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31CF3" w14:textId="0CD48AB7" w:rsidR="00507E8D" w:rsidRPr="003400E4" w:rsidRDefault="00507E8D" w:rsidP="00507E8D">
      <w:pPr>
        <w:spacing w:line="360" w:lineRule="auto"/>
        <w:rPr>
          <w:rFonts w:ascii="Times New Roman" w:hAnsi="Times New Roman" w:cs="Times New Roman"/>
          <w:bCs/>
          <w:sz w:val="24"/>
        </w:rPr>
      </w:pPr>
      <w:r w:rsidRPr="003400E4">
        <w:rPr>
          <w:rFonts w:ascii="Times New Roman" w:hAnsi="Times New Roman" w:cs="Times New Roman"/>
          <w:bCs/>
          <w:sz w:val="24"/>
        </w:rPr>
        <w:t>TableS</w:t>
      </w:r>
      <w:r w:rsidR="001005C7">
        <w:rPr>
          <w:rFonts w:ascii="Times New Roman" w:hAnsi="Times New Roman" w:cs="Times New Roman"/>
          <w:bCs/>
          <w:sz w:val="24"/>
        </w:rPr>
        <w:t>1</w:t>
      </w:r>
      <w:r w:rsidRPr="003400E4">
        <w:rPr>
          <w:rFonts w:ascii="Times New Roman" w:hAnsi="Times New Roman" w:cs="Times New Roman"/>
          <w:bCs/>
          <w:sz w:val="24"/>
        </w:rPr>
        <w:t>: Characteristics of artic</w:t>
      </w:r>
      <w:bookmarkStart w:id="0" w:name="_GoBack"/>
      <w:bookmarkEnd w:id="0"/>
      <w:r w:rsidRPr="003400E4">
        <w:rPr>
          <w:rFonts w:ascii="Times New Roman" w:hAnsi="Times New Roman" w:cs="Times New Roman"/>
          <w:bCs/>
          <w:sz w:val="24"/>
        </w:rPr>
        <w:t>les</w:t>
      </w:r>
    </w:p>
    <w:tbl>
      <w:tblPr>
        <w:tblW w:w="15001"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10"/>
        <w:gridCol w:w="1483"/>
        <w:gridCol w:w="1465"/>
        <w:gridCol w:w="2296"/>
        <w:gridCol w:w="2390"/>
        <w:gridCol w:w="4441"/>
      </w:tblGrid>
      <w:tr w:rsidR="00405C60" w:rsidRPr="001D148E" w14:paraId="5CAF05AA" w14:textId="77777777" w:rsidTr="009A37D3">
        <w:trPr>
          <w:trHeight w:val="300"/>
        </w:trPr>
        <w:tc>
          <w:tcPr>
            <w:tcW w:w="1504" w:type="dxa"/>
            <w:shd w:val="clear" w:color="auto" w:fill="auto"/>
            <w:noWrap/>
            <w:vAlign w:val="bottom"/>
            <w:hideMark/>
          </w:tcPr>
          <w:p w14:paraId="2E2A81F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Author</w:t>
            </w:r>
          </w:p>
        </w:tc>
        <w:tc>
          <w:tcPr>
            <w:tcW w:w="1219" w:type="dxa"/>
            <w:shd w:val="clear" w:color="auto" w:fill="auto"/>
            <w:noWrap/>
            <w:vAlign w:val="bottom"/>
            <w:hideMark/>
          </w:tcPr>
          <w:p w14:paraId="2FC821D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Publication year</w:t>
            </w:r>
          </w:p>
        </w:tc>
        <w:tc>
          <w:tcPr>
            <w:tcW w:w="1395" w:type="dxa"/>
            <w:shd w:val="clear" w:color="auto" w:fill="auto"/>
            <w:noWrap/>
            <w:vAlign w:val="bottom"/>
            <w:hideMark/>
          </w:tcPr>
          <w:p w14:paraId="2BC80C47" w14:textId="610942F6" w:rsidR="00507E8D" w:rsidRPr="001D148E" w:rsidRDefault="00507E8D" w:rsidP="005224F6">
            <w:pPr>
              <w:spacing w:after="0" w:line="240" w:lineRule="auto"/>
              <w:rPr>
                <w:rFonts w:ascii="Times New Roman" w:eastAsia="Times New Roman" w:hAnsi="Times New Roman" w:cs="Times New Roman"/>
                <w:sz w:val="24"/>
                <w:szCs w:val="24"/>
              </w:rPr>
            </w:pPr>
            <w:r w:rsidRPr="00842933">
              <w:rPr>
                <w:rFonts w:ascii="Times New Roman" w:eastAsia="Times New Roman" w:hAnsi="Times New Roman" w:cs="Times New Roman"/>
                <w:sz w:val="24"/>
                <w:szCs w:val="24"/>
              </w:rPr>
              <w:t>Country</w:t>
            </w:r>
            <w:r w:rsidR="00604BC7" w:rsidRPr="00842933">
              <w:rPr>
                <w:rFonts w:ascii="Times New Roman" w:eastAsia="Times New Roman" w:hAnsi="Times New Roman" w:cs="Times New Roman"/>
                <w:sz w:val="24"/>
                <w:szCs w:val="24"/>
              </w:rPr>
              <w:t xml:space="preserve"> (study setting)</w:t>
            </w:r>
          </w:p>
        </w:tc>
        <w:tc>
          <w:tcPr>
            <w:tcW w:w="1465" w:type="dxa"/>
            <w:shd w:val="clear" w:color="auto" w:fill="auto"/>
            <w:noWrap/>
            <w:vAlign w:val="bottom"/>
            <w:hideMark/>
          </w:tcPr>
          <w:p w14:paraId="348BD65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Study approach</w:t>
            </w:r>
          </w:p>
        </w:tc>
        <w:tc>
          <w:tcPr>
            <w:tcW w:w="2216" w:type="dxa"/>
            <w:shd w:val="clear" w:color="auto" w:fill="auto"/>
            <w:noWrap/>
            <w:vAlign w:val="bottom"/>
            <w:hideMark/>
          </w:tcPr>
          <w:p w14:paraId="73AA733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study population</w:t>
            </w:r>
          </w:p>
        </w:tc>
        <w:tc>
          <w:tcPr>
            <w:tcW w:w="2245" w:type="dxa"/>
            <w:shd w:val="clear" w:color="auto" w:fill="auto"/>
            <w:noWrap/>
            <w:vAlign w:val="bottom"/>
            <w:hideMark/>
          </w:tcPr>
          <w:p w14:paraId="6D12D3E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Dimensions/Attributes</w:t>
            </w:r>
          </w:p>
        </w:tc>
        <w:tc>
          <w:tcPr>
            <w:tcW w:w="4957" w:type="dxa"/>
            <w:vAlign w:val="bottom"/>
          </w:tcPr>
          <w:p w14:paraId="065742E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Objective</w:t>
            </w:r>
          </w:p>
        </w:tc>
      </w:tr>
      <w:tr w:rsidR="00405C60" w:rsidRPr="001D148E" w14:paraId="4E81F458" w14:textId="77777777" w:rsidTr="009A37D3">
        <w:trPr>
          <w:trHeight w:val="521"/>
        </w:trPr>
        <w:tc>
          <w:tcPr>
            <w:tcW w:w="1504" w:type="dxa"/>
            <w:shd w:val="clear" w:color="auto" w:fill="auto"/>
            <w:noWrap/>
            <w:vAlign w:val="bottom"/>
            <w:hideMark/>
          </w:tcPr>
          <w:p w14:paraId="417931D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Abdullah A et al</w:t>
            </w:r>
          </w:p>
        </w:tc>
        <w:tc>
          <w:tcPr>
            <w:tcW w:w="1219" w:type="dxa"/>
            <w:shd w:val="clear" w:color="auto" w:fill="auto"/>
            <w:noWrap/>
            <w:vAlign w:val="bottom"/>
            <w:hideMark/>
          </w:tcPr>
          <w:p w14:paraId="617A9C5D"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2012</w:t>
            </w:r>
          </w:p>
        </w:tc>
        <w:tc>
          <w:tcPr>
            <w:tcW w:w="1395" w:type="dxa"/>
            <w:shd w:val="clear" w:color="auto" w:fill="auto"/>
            <w:noWrap/>
            <w:vAlign w:val="bottom"/>
            <w:hideMark/>
          </w:tcPr>
          <w:p w14:paraId="37CD74A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Indonesia</w:t>
            </w:r>
          </w:p>
        </w:tc>
        <w:tc>
          <w:tcPr>
            <w:tcW w:w="1465" w:type="dxa"/>
            <w:shd w:val="clear" w:color="auto" w:fill="auto"/>
            <w:noWrap/>
            <w:vAlign w:val="bottom"/>
            <w:hideMark/>
          </w:tcPr>
          <w:p w14:paraId="6000EE7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1EC9A6E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Stakeholders (from staff to managers)</w:t>
            </w:r>
          </w:p>
        </w:tc>
        <w:tc>
          <w:tcPr>
            <w:tcW w:w="2245" w:type="dxa"/>
            <w:shd w:val="clear" w:color="auto" w:fill="auto"/>
            <w:noWrap/>
            <w:vAlign w:val="bottom"/>
            <w:hideMark/>
          </w:tcPr>
          <w:p w14:paraId="391575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Cost effectiveness</w:t>
            </w:r>
          </w:p>
        </w:tc>
        <w:tc>
          <w:tcPr>
            <w:tcW w:w="4957" w:type="dxa"/>
            <w:vAlign w:val="bottom"/>
          </w:tcPr>
          <w:p w14:paraId="0739C688" w14:textId="69A4C44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Develop a costing tool to PHC services (health promotion, sanitation and environment health, maternal and child health and family</w:t>
            </w:r>
            <w:r w:rsidR="00AF3703" w:rsidRPr="001D148E">
              <w:rPr>
                <w:rFonts w:ascii="Times New Roman" w:hAnsi="Times New Roman" w:cs="Times New Roman"/>
                <w:sz w:val="24"/>
                <w:szCs w:val="24"/>
              </w:rPr>
              <w:t xml:space="preserve"> </w:t>
            </w:r>
            <w:r w:rsidRPr="001D148E">
              <w:rPr>
                <w:rFonts w:ascii="Times New Roman" w:hAnsi="Times New Roman" w:cs="Times New Roman"/>
                <w:sz w:val="24"/>
                <w:szCs w:val="24"/>
              </w:rPr>
              <w:t>planning, nutrition, immunization and communicable diseases control, and treatment of common illness)</w:t>
            </w:r>
          </w:p>
        </w:tc>
      </w:tr>
      <w:tr w:rsidR="00405C60" w:rsidRPr="001D148E" w14:paraId="523A822B" w14:textId="77777777" w:rsidTr="009A37D3">
        <w:trPr>
          <w:trHeight w:val="251"/>
        </w:trPr>
        <w:tc>
          <w:tcPr>
            <w:tcW w:w="1504" w:type="dxa"/>
            <w:shd w:val="clear" w:color="auto" w:fill="auto"/>
            <w:noWrap/>
            <w:vAlign w:val="bottom"/>
            <w:hideMark/>
          </w:tcPr>
          <w:p w14:paraId="6A87C2D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Adie H et al</w:t>
            </w:r>
          </w:p>
        </w:tc>
        <w:tc>
          <w:tcPr>
            <w:tcW w:w="1219" w:type="dxa"/>
            <w:shd w:val="clear" w:color="auto" w:fill="auto"/>
            <w:noWrap/>
            <w:vAlign w:val="bottom"/>
            <w:hideMark/>
          </w:tcPr>
          <w:p w14:paraId="754B6B87"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2014</w:t>
            </w:r>
          </w:p>
        </w:tc>
        <w:tc>
          <w:tcPr>
            <w:tcW w:w="1395" w:type="dxa"/>
            <w:shd w:val="clear" w:color="auto" w:fill="auto"/>
            <w:noWrap/>
            <w:vAlign w:val="bottom"/>
            <w:hideMark/>
          </w:tcPr>
          <w:p w14:paraId="696912A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Nigeria</w:t>
            </w:r>
          </w:p>
        </w:tc>
        <w:tc>
          <w:tcPr>
            <w:tcW w:w="1465" w:type="dxa"/>
            <w:shd w:val="clear" w:color="auto" w:fill="auto"/>
            <w:noWrap/>
            <w:vAlign w:val="bottom"/>
            <w:hideMark/>
          </w:tcPr>
          <w:p w14:paraId="7EFE61C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7FF9A41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 and health worker</w:t>
            </w:r>
          </w:p>
        </w:tc>
        <w:tc>
          <w:tcPr>
            <w:tcW w:w="2245" w:type="dxa"/>
            <w:shd w:val="clear" w:color="auto" w:fill="auto"/>
            <w:noWrap/>
            <w:vAlign w:val="bottom"/>
            <w:hideMark/>
          </w:tcPr>
          <w:p w14:paraId="271A264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313B7D16"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perception and attitude policy and services of PHC</w:t>
            </w:r>
          </w:p>
        </w:tc>
      </w:tr>
      <w:tr w:rsidR="00405C60" w:rsidRPr="001D148E" w14:paraId="6B1B9C9F" w14:textId="77777777" w:rsidTr="009A37D3">
        <w:trPr>
          <w:trHeight w:val="600"/>
        </w:trPr>
        <w:tc>
          <w:tcPr>
            <w:tcW w:w="1504" w:type="dxa"/>
            <w:shd w:val="clear" w:color="auto" w:fill="auto"/>
            <w:noWrap/>
            <w:vAlign w:val="bottom"/>
            <w:hideMark/>
          </w:tcPr>
          <w:p w14:paraId="29A088E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Akhavan S. &amp; Tillgren P</w:t>
            </w:r>
          </w:p>
        </w:tc>
        <w:tc>
          <w:tcPr>
            <w:tcW w:w="1219" w:type="dxa"/>
            <w:shd w:val="clear" w:color="auto" w:fill="auto"/>
            <w:noWrap/>
            <w:vAlign w:val="bottom"/>
            <w:hideMark/>
          </w:tcPr>
          <w:p w14:paraId="0EB10B98"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39167B7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Sweden</w:t>
            </w:r>
          </w:p>
        </w:tc>
        <w:tc>
          <w:tcPr>
            <w:tcW w:w="1465" w:type="dxa"/>
            <w:shd w:val="clear" w:color="auto" w:fill="auto"/>
            <w:noWrap/>
            <w:vAlign w:val="bottom"/>
            <w:hideMark/>
          </w:tcPr>
          <w:p w14:paraId="2E8C703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Mixed</w:t>
            </w:r>
          </w:p>
        </w:tc>
        <w:tc>
          <w:tcPr>
            <w:tcW w:w="2216" w:type="dxa"/>
            <w:shd w:val="clear" w:color="auto" w:fill="auto"/>
            <w:noWrap/>
            <w:vAlign w:val="bottom"/>
            <w:hideMark/>
          </w:tcPr>
          <w:p w14:paraId="5CBA710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w:t>
            </w:r>
          </w:p>
        </w:tc>
        <w:tc>
          <w:tcPr>
            <w:tcW w:w="2245" w:type="dxa"/>
            <w:shd w:val="clear" w:color="auto" w:fill="auto"/>
            <w:noWrap/>
            <w:vAlign w:val="bottom"/>
            <w:hideMark/>
          </w:tcPr>
          <w:p w14:paraId="778E30F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24F877E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Patient experiences and perceptions of equity care in PHC</w:t>
            </w:r>
          </w:p>
        </w:tc>
      </w:tr>
      <w:tr w:rsidR="00405C60" w:rsidRPr="001D148E" w14:paraId="5BCE9F67" w14:textId="77777777" w:rsidTr="009A37D3">
        <w:trPr>
          <w:trHeight w:val="260"/>
        </w:trPr>
        <w:tc>
          <w:tcPr>
            <w:tcW w:w="1504" w:type="dxa"/>
            <w:shd w:val="clear" w:color="auto" w:fill="auto"/>
            <w:noWrap/>
            <w:vAlign w:val="bottom"/>
            <w:hideMark/>
          </w:tcPr>
          <w:p w14:paraId="1D546E3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Al-Ahmadi H &amp; Roland M</w:t>
            </w:r>
          </w:p>
        </w:tc>
        <w:tc>
          <w:tcPr>
            <w:tcW w:w="1219" w:type="dxa"/>
            <w:shd w:val="clear" w:color="auto" w:fill="auto"/>
            <w:noWrap/>
            <w:vAlign w:val="bottom"/>
            <w:hideMark/>
          </w:tcPr>
          <w:p w14:paraId="4B14B734"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2005</w:t>
            </w:r>
          </w:p>
        </w:tc>
        <w:tc>
          <w:tcPr>
            <w:tcW w:w="1395" w:type="dxa"/>
            <w:shd w:val="clear" w:color="auto" w:fill="auto"/>
            <w:noWrap/>
            <w:vAlign w:val="bottom"/>
            <w:hideMark/>
          </w:tcPr>
          <w:p w14:paraId="74C5187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Saudi Arabia</w:t>
            </w:r>
          </w:p>
        </w:tc>
        <w:tc>
          <w:tcPr>
            <w:tcW w:w="1465" w:type="dxa"/>
            <w:shd w:val="clear" w:color="auto" w:fill="auto"/>
            <w:noWrap/>
            <w:vAlign w:val="bottom"/>
            <w:hideMark/>
          </w:tcPr>
          <w:p w14:paraId="4848472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17DE666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4A0A6E7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0D3C4278"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 quality of primary care and factors</w:t>
            </w:r>
          </w:p>
        </w:tc>
      </w:tr>
      <w:tr w:rsidR="00405C60" w:rsidRPr="001D148E" w14:paraId="3EBD5432" w14:textId="77777777" w:rsidTr="009A37D3">
        <w:trPr>
          <w:trHeight w:val="600"/>
        </w:trPr>
        <w:tc>
          <w:tcPr>
            <w:tcW w:w="1504" w:type="dxa"/>
            <w:shd w:val="clear" w:color="auto" w:fill="auto"/>
            <w:noWrap/>
            <w:vAlign w:val="bottom"/>
            <w:hideMark/>
          </w:tcPr>
          <w:p w14:paraId="20C619E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Aleluia IRS et al</w:t>
            </w:r>
          </w:p>
        </w:tc>
        <w:tc>
          <w:tcPr>
            <w:tcW w:w="1219" w:type="dxa"/>
            <w:shd w:val="clear" w:color="auto" w:fill="auto"/>
            <w:noWrap/>
            <w:vAlign w:val="bottom"/>
            <w:hideMark/>
          </w:tcPr>
          <w:p w14:paraId="6ADC3A1C"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1DAE2EC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3E460DD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208EDB9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Document, professionals &amp; managers</w:t>
            </w:r>
          </w:p>
        </w:tc>
        <w:tc>
          <w:tcPr>
            <w:tcW w:w="2245" w:type="dxa"/>
            <w:shd w:val="clear" w:color="auto" w:fill="auto"/>
            <w:noWrap/>
            <w:vAlign w:val="bottom"/>
            <w:hideMark/>
          </w:tcPr>
          <w:p w14:paraId="238BC0F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Coordination</w:t>
            </w:r>
          </w:p>
        </w:tc>
        <w:tc>
          <w:tcPr>
            <w:tcW w:w="4957" w:type="dxa"/>
            <w:vAlign w:val="bottom"/>
          </w:tcPr>
          <w:p w14:paraId="4376C70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 Assess coordination of care by PHC </w:t>
            </w:r>
          </w:p>
        </w:tc>
      </w:tr>
      <w:tr w:rsidR="00405C60" w:rsidRPr="001D148E" w14:paraId="4C59027F" w14:textId="77777777" w:rsidTr="009A37D3">
        <w:trPr>
          <w:trHeight w:val="300"/>
        </w:trPr>
        <w:tc>
          <w:tcPr>
            <w:tcW w:w="1504" w:type="dxa"/>
            <w:shd w:val="clear" w:color="auto" w:fill="auto"/>
            <w:noWrap/>
            <w:vAlign w:val="bottom"/>
            <w:hideMark/>
          </w:tcPr>
          <w:p w14:paraId="0053CC0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Alsubaie AM et al </w:t>
            </w:r>
          </w:p>
        </w:tc>
        <w:tc>
          <w:tcPr>
            <w:tcW w:w="1219" w:type="dxa"/>
            <w:shd w:val="clear" w:color="auto" w:fill="auto"/>
            <w:noWrap/>
            <w:vAlign w:val="bottom"/>
            <w:hideMark/>
          </w:tcPr>
          <w:p w14:paraId="29C79F95"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2001</w:t>
            </w:r>
          </w:p>
        </w:tc>
        <w:tc>
          <w:tcPr>
            <w:tcW w:w="1395" w:type="dxa"/>
            <w:shd w:val="clear" w:color="auto" w:fill="auto"/>
            <w:noWrap/>
            <w:vAlign w:val="bottom"/>
            <w:hideMark/>
          </w:tcPr>
          <w:p w14:paraId="6A41EBF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Saudi Arabia</w:t>
            </w:r>
          </w:p>
        </w:tc>
        <w:tc>
          <w:tcPr>
            <w:tcW w:w="1465" w:type="dxa"/>
            <w:shd w:val="clear" w:color="auto" w:fill="auto"/>
            <w:noWrap/>
            <w:vAlign w:val="bottom"/>
            <w:hideMark/>
          </w:tcPr>
          <w:p w14:paraId="7E05A2D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94408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w:t>
            </w:r>
          </w:p>
        </w:tc>
        <w:tc>
          <w:tcPr>
            <w:tcW w:w="2245" w:type="dxa"/>
            <w:shd w:val="clear" w:color="auto" w:fill="auto"/>
            <w:noWrap/>
            <w:vAlign w:val="bottom"/>
            <w:hideMark/>
          </w:tcPr>
          <w:p w14:paraId="01F71E0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00475A1F"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Observe effect of the main socioeconomic factors affecting patients’ utilization of primary health care services</w:t>
            </w:r>
          </w:p>
        </w:tc>
      </w:tr>
      <w:tr w:rsidR="00405C60" w:rsidRPr="001D148E" w14:paraId="6595441D" w14:textId="77777777" w:rsidTr="009A37D3">
        <w:trPr>
          <w:trHeight w:val="260"/>
        </w:trPr>
        <w:tc>
          <w:tcPr>
            <w:tcW w:w="1504" w:type="dxa"/>
            <w:shd w:val="clear" w:color="auto" w:fill="auto"/>
            <w:noWrap/>
            <w:vAlign w:val="bottom"/>
            <w:hideMark/>
          </w:tcPr>
          <w:p w14:paraId="7C2A15A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Anderson E et al</w:t>
            </w:r>
          </w:p>
        </w:tc>
        <w:tc>
          <w:tcPr>
            <w:tcW w:w="1219" w:type="dxa"/>
            <w:shd w:val="clear" w:color="auto" w:fill="auto"/>
            <w:noWrap/>
            <w:vAlign w:val="bottom"/>
            <w:hideMark/>
          </w:tcPr>
          <w:p w14:paraId="758DAE03"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2005</w:t>
            </w:r>
          </w:p>
        </w:tc>
        <w:tc>
          <w:tcPr>
            <w:tcW w:w="1395" w:type="dxa"/>
            <w:shd w:val="clear" w:color="auto" w:fill="auto"/>
            <w:noWrap/>
            <w:vAlign w:val="bottom"/>
            <w:hideMark/>
          </w:tcPr>
          <w:p w14:paraId="57599D2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United Kingdom</w:t>
            </w:r>
          </w:p>
        </w:tc>
        <w:tc>
          <w:tcPr>
            <w:tcW w:w="1465" w:type="dxa"/>
            <w:shd w:val="clear" w:color="auto" w:fill="auto"/>
            <w:noWrap/>
            <w:vAlign w:val="bottom"/>
            <w:hideMark/>
          </w:tcPr>
          <w:p w14:paraId="23EEC8F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1A9FB55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care provider and residents</w:t>
            </w:r>
          </w:p>
        </w:tc>
        <w:tc>
          <w:tcPr>
            <w:tcW w:w="2245" w:type="dxa"/>
            <w:shd w:val="clear" w:color="auto" w:fill="auto"/>
            <w:noWrap/>
            <w:vAlign w:val="bottom"/>
            <w:hideMark/>
          </w:tcPr>
          <w:p w14:paraId="7BFCCB1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2C08B85B"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process of public involvement in planning primary health care</w:t>
            </w:r>
          </w:p>
        </w:tc>
      </w:tr>
      <w:tr w:rsidR="00405C60" w:rsidRPr="001D148E" w14:paraId="39D0FA24" w14:textId="77777777" w:rsidTr="009A37D3">
        <w:trPr>
          <w:trHeight w:val="242"/>
        </w:trPr>
        <w:tc>
          <w:tcPr>
            <w:tcW w:w="1504" w:type="dxa"/>
            <w:shd w:val="clear" w:color="auto" w:fill="auto"/>
            <w:noWrap/>
            <w:vAlign w:val="bottom"/>
            <w:hideMark/>
          </w:tcPr>
          <w:p w14:paraId="2A62EA3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Arnaudo F et </w:t>
            </w:r>
            <w:r w:rsidRPr="001D148E">
              <w:rPr>
                <w:rFonts w:ascii="Times New Roman" w:eastAsia="Times New Roman" w:hAnsi="Times New Roman" w:cs="Times New Roman"/>
                <w:sz w:val="24"/>
                <w:szCs w:val="24"/>
              </w:rPr>
              <w:lastRenderedPageBreak/>
              <w:t>al</w:t>
            </w:r>
          </w:p>
        </w:tc>
        <w:tc>
          <w:tcPr>
            <w:tcW w:w="1219" w:type="dxa"/>
            <w:shd w:val="clear" w:color="auto" w:fill="auto"/>
            <w:noWrap/>
            <w:vAlign w:val="bottom"/>
            <w:hideMark/>
          </w:tcPr>
          <w:p w14:paraId="2FBF5BF4"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lastRenderedPageBreak/>
              <w:t>2017</w:t>
            </w:r>
          </w:p>
        </w:tc>
        <w:tc>
          <w:tcPr>
            <w:tcW w:w="1395" w:type="dxa"/>
            <w:shd w:val="clear" w:color="auto" w:fill="auto"/>
            <w:noWrap/>
            <w:vAlign w:val="bottom"/>
            <w:hideMark/>
          </w:tcPr>
          <w:p w14:paraId="5B3766A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Argentina</w:t>
            </w:r>
          </w:p>
        </w:tc>
        <w:tc>
          <w:tcPr>
            <w:tcW w:w="1465" w:type="dxa"/>
            <w:shd w:val="clear" w:color="auto" w:fill="auto"/>
            <w:noWrap/>
            <w:vAlign w:val="bottom"/>
            <w:hideMark/>
          </w:tcPr>
          <w:p w14:paraId="776AB5D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53CDEAE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National Population </w:t>
            </w:r>
            <w:r w:rsidRPr="001D148E">
              <w:rPr>
                <w:rFonts w:ascii="Times New Roman" w:eastAsia="Times New Roman" w:hAnsi="Times New Roman" w:cs="Times New Roman"/>
                <w:sz w:val="24"/>
                <w:szCs w:val="24"/>
              </w:rPr>
              <w:lastRenderedPageBreak/>
              <w:t>census (all age)</w:t>
            </w:r>
          </w:p>
        </w:tc>
        <w:tc>
          <w:tcPr>
            <w:tcW w:w="2245" w:type="dxa"/>
            <w:shd w:val="clear" w:color="auto" w:fill="auto"/>
            <w:noWrap/>
            <w:vAlign w:val="bottom"/>
            <w:hideMark/>
          </w:tcPr>
          <w:p w14:paraId="1DB9104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lastRenderedPageBreak/>
              <w:t>Equity</w:t>
            </w:r>
          </w:p>
        </w:tc>
        <w:tc>
          <w:tcPr>
            <w:tcW w:w="4957" w:type="dxa"/>
            <w:vAlign w:val="bottom"/>
          </w:tcPr>
          <w:p w14:paraId="5FB18F3D"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Degree of equity in the availability of </w:t>
            </w:r>
            <w:r w:rsidRPr="001D148E">
              <w:rPr>
                <w:rFonts w:ascii="Times New Roman" w:hAnsi="Times New Roman" w:cs="Times New Roman"/>
                <w:sz w:val="24"/>
                <w:szCs w:val="24"/>
              </w:rPr>
              <w:lastRenderedPageBreak/>
              <w:t>public primary healthcare centers</w:t>
            </w:r>
          </w:p>
        </w:tc>
      </w:tr>
      <w:tr w:rsidR="00405C60" w:rsidRPr="001D148E" w14:paraId="7B0FD8E8" w14:textId="77777777" w:rsidTr="009A37D3">
        <w:trPr>
          <w:trHeight w:val="251"/>
        </w:trPr>
        <w:tc>
          <w:tcPr>
            <w:tcW w:w="1504" w:type="dxa"/>
            <w:shd w:val="clear" w:color="auto" w:fill="auto"/>
            <w:noWrap/>
            <w:vAlign w:val="bottom"/>
            <w:hideMark/>
          </w:tcPr>
          <w:p w14:paraId="21190EE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lastRenderedPageBreak/>
              <w:t>Assefa Y et al</w:t>
            </w:r>
          </w:p>
        </w:tc>
        <w:tc>
          <w:tcPr>
            <w:tcW w:w="1219" w:type="dxa"/>
            <w:shd w:val="clear" w:color="auto" w:fill="auto"/>
            <w:noWrap/>
            <w:vAlign w:val="bottom"/>
            <w:hideMark/>
          </w:tcPr>
          <w:p w14:paraId="595D3C89"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68E8295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Ethiopia</w:t>
            </w:r>
          </w:p>
        </w:tc>
        <w:tc>
          <w:tcPr>
            <w:tcW w:w="1465" w:type="dxa"/>
            <w:shd w:val="clear" w:color="auto" w:fill="auto"/>
            <w:noWrap/>
            <w:vAlign w:val="bottom"/>
            <w:hideMark/>
          </w:tcPr>
          <w:p w14:paraId="2D86B2B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2382F49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Document</w:t>
            </w:r>
          </w:p>
        </w:tc>
        <w:tc>
          <w:tcPr>
            <w:tcW w:w="2245" w:type="dxa"/>
            <w:shd w:val="clear" w:color="auto" w:fill="auto"/>
            <w:noWrap/>
            <w:vAlign w:val="bottom"/>
            <w:hideMark/>
          </w:tcPr>
          <w:p w14:paraId="71EE241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Effectiveness </w:t>
            </w:r>
          </w:p>
        </w:tc>
        <w:tc>
          <w:tcPr>
            <w:tcW w:w="4957" w:type="dxa"/>
            <w:vAlign w:val="bottom"/>
          </w:tcPr>
          <w:p w14:paraId="57EB5B06"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effectiveness and sustainability of a diagonal investment approach</w:t>
            </w:r>
          </w:p>
        </w:tc>
      </w:tr>
      <w:tr w:rsidR="00405C60" w:rsidRPr="001D148E" w14:paraId="43752C31" w14:textId="77777777" w:rsidTr="009A37D3">
        <w:trPr>
          <w:trHeight w:val="233"/>
        </w:trPr>
        <w:tc>
          <w:tcPr>
            <w:tcW w:w="1504" w:type="dxa"/>
            <w:shd w:val="clear" w:color="auto" w:fill="auto"/>
            <w:noWrap/>
            <w:vAlign w:val="bottom"/>
            <w:hideMark/>
          </w:tcPr>
          <w:p w14:paraId="2A01336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Atting IA et al</w:t>
            </w:r>
          </w:p>
        </w:tc>
        <w:tc>
          <w:tcPr>
            <w:tcW w:w="1219" w:type="dxa"/>
            <w:shd w:val="clear" w:color="auto" w:fill="auto"/>
            <w:noWrap/>
            <w:vAlign w:val="bottom"/>
            <w:hideMark/>
          </w:tcPr>
          <w:p w14:paraId="0B1E6285"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1991</w:t>
            </w:r>
          </w:p>
        </w:tc>
        <w:tc>
          <w:tcPr>
            <w:tcW w:w="1395" w:type="dxa"/>
            <w:shd w:val="clear" w:color="auto" w:fill="auto"/>
            <w:noWrap/>
            <w:vAlign w:val="bottom"/>
            <w:hideMark/>
          </w:tcPr>
          <w:p w14:paraId="27B6493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Nigeria</w:t>
            </w:r>
          </w:p>
        </w:tc>
        <w:tc>
          <w:tcPr>
            <w:tcW w:w="1465" w:type="dxa"/>
            <w:shd w:val="clear" w:color="auto" w:fill="auto"/>
            <w:noWrap/>
            <w:vAlign w:val="bottom"/>
            <w:hideMark/>
          </w:tcPr>
          <w:p w14:paraId="1723354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CBF68B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w:t>
            </w:r>
          </w:p>
        </w:tc>
        <w:tc>
          <w:tcPr>
            <w:tcW w:w="2245" w:type="dxa"/>
            <w:shd w:val="clear" w:color="auto" w:fill="auto"/>
            <w:noWrap/>
            <w:vAlign w:val="bottom"/>
            <w:hideMark/>
          </w:tcPr>
          <w:p w14:paraId="162012D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6780637A"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indicators of Accessibility (proportion of births attended by trained health personnel, proportion of children with diarrhea treated with oral rehydration therapy (ORT), distance from home to regular immunization site, and acceptability of primary health care services to the target population) PHC Coverage</w:t>
            </w:r>
          </w:p>
        </w:tc>
      </w:tr>
      <w:tr w:rsidR="00405C60" w:rsidRPr="001D148E" w14:paraId="6EBE5134" w14:textId="77777777" w:rsidTr="009A37D3">
        <w:trPr>
          <w:trHeight w:val="323"/>
        </w:trPr>
        <w:tc>
          <w:tcPr>
            <w:tcW w:w="1504" w:type="dxa"/>
            <w:shd w:val="clear" w:color="auto" w:fill="auto"/>
            <w:noWrap/>
            <w:vAlign w:val="bottom"/>
            <w:hideMark/>
          </w:tcPr>
          <w:p w14:paraId="012D2AB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Avelino CCV et al</w:t>
            </w:r>
          </w:p>
        </w:tc>
        <w:tc>
          <w:tcPr>
            <w:tcW w:w="1219" w:type="dxa"/>
            <w:shd w:val="clear" w:color="auto" w:fill="auto"/>
            <w:noWrap/>
            <w:vAlign w:val="bottom"/>
            <w:hideMark/>
          </w:tcPr>
          <w:p w14:paraId="3CCCA34B"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11A154E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7543135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94A8A6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all age</w:t>
            </w:r>
          </w:p>
        </w:tc>
        <w:tc>
          <w:tcPr>
            <w:tcW w:w="2245" w:type="dxa"/>
            <w:shd w:val="clear" w:color="auto" w:fill="auto"/>
            <w:noWrap/>
            <w:vAlign w:val="bottom"/>
            <w:hideMark/>
          </w:tcPr>
          <w:p w14:paraId="2BACBDD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1CFB462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Quality of the PHC service</w:t>
            </w:r>
          </w:p>
        </w:tc>
      </w:tr>
      <w:tr w:rsidR="00405C60" w:rsidRPr="001D148E" w14:paraId="029073DC" w14:textId="77777777" w:rsidTr="009A37D3">
        <w:trPr>
          <w:trHeight w:val="350"/>
        </w:trPr>
        <w:tc>
          <w:tcPr>
            <w:tcW w:w="1504" w:type="dxa"/>
            <w:shd w:val="clear" w:color="auto" w:fill="auto"/>
            <w:noWrap/>
            <w:vAlign w:val="bottom"/>
            <w:hideMark/>
          </w:tcPr>
          <w:p w14:paraId="163E2357" w14:textId="336723EA"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Ba</w:t>
            </w:r>
            <w:r w:rsidR="009A38ED" w:rsidRPr="001D148E">
              <w:rPr>
                <w:rFonts w:ascii="Times New Roman" w:eastAsia="Times New Roman" w:hAnsi="Times New Roman" w:cs="Times New Roman"/>
                <w:sz w:val="24"/>
                <w:szCs w:val="24"/>
              </w:rPr>
              <w:t>t</w:t>
            </w:r>
            <w:r w:rsidRPr="001D148E">
              <w:rPr>
                <w:rFonts w:ascii="Times New Roman" w:eastAsia="Times New Roman" w:hAnsi="Times New Roman" w:cs="Times New Roman"/>
                <w:sz w:val="24"/>
                <w:szCs w:val="24"/>
              </w:rPr>
              <w:t>tussen R et al</w:t>
            </w:r>
          </w:p>
        </w:tc>
        <w:tc>
          <w:tcPr>
            <w:tcW w:w="1219" w:type="dxa"/>
            <w:shd w:val="clear" w:color="auto" w:fill="auto"/>
            <w:noWrap/>
            <w:vAlign w:val="bottom"/>
            <w:hideMark/>
          </w:tcPr>
          <w:p w14:paraId="68DE865D"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2002</w:t>
            </w:r>
          </w:p>
        </w:tc>
        <w:tc>
          <w:tcPr>
            <w:tcW w:w="1395" w:type="dxa"/>
            <w:shd w:val="clear" w:color="auto" w:fill="auto"/>
            <w:noWrap/>
            <w:vAlign w:val="bottom"/>
            <w:hideMark/>
          </w:tcPr>
          <w:p w14:paraId="3BD57BB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Burkina Faso</w:t>
            </w:r>
          </w:p>
        </w:tc>
        <w:tc>
          <w:tcPr>
            <w:tcW w:w="1465" w:type="dxa"/>
            <w:shd w:val="clear" w:color="auto" w:fill="auto"/>
            <w:noWrap/>
            <w:vAlign w:val="bottom"/>
            <w:hideMark/>
          </w:tcPr>
          <w:p w14:paraId="07F91FB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7B41597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1512CCE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0D4A9DB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User's opinion on the quality of care of PHC services</w:t>
            </w:r>
          </w:p>
        </w:tc>
      </w:tr>
      <w:tr w:rsidR="00405C60" w:rsidRPr="001D148E" w14:paraId="04043758" w14:textId="77777777" w:rsidTr="009A37D3">
        <w:trPr>
          <w:trHeight w:val="530"/>
        </w:trPr>
        <w:tc>
          <w:tcPr>
            <w:tcW w:w="1504" w:type="dxa"/>
            <w:shd w:val="clear" w:color="auto" w:fill="auto"/>
            <w:noWrap/>
            <w:vAlign w:val="bottom"/>
            <w:hideMark/>
          </w:tcPr>
          <w:p w14:paraId="7AB9694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Bath J &amp; Wakerman J</w:t>
            </w:r>
          </w:p>
        </w:tc>
        <w:tc>
          <w:tcPr>
            <w:tcW w:w="1219" w:type="dxa"/>
            <w:shd w:val="clear" w:color="auto" w:fill="auto"/>
            <w:noWrap/>
            <w:vAlign w:val="bottom"/>
            <w:hideMark/>
          </w:tcPr>
          <w:p w14:paraId="3607D482"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65704D6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2055470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0292814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4976614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5D7F9F04"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Impact of community participation in primary health care</w:t>
            </w:r>
          </w:p>
        </w:tc>
      </w:tr>
      <w:tr w:rsidR="00405C60" w:rsidRPr="001D148E" w14:paraId="4CA7C2C3" w14:textId="77777777" w:rsidTr="009A37D3">
        <w:trPr>
          <w:trHeight w:val="60"/>
        </w:trPr>
        <w:tc>
          <w:tcPr>
            <w:tcW w:w="1504" w:type="dxa"/>
            <w:shd w:val="clear" w:color="auto" w:fill="auto"/>
            <w:noWrap/>
            <w:vAlign w:val="bottom"/>
            <w:hideMark/>
          </w:tcPr>
          <w:p w14:paraId="30CBEB1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Batisa R et al</w:t>
            </w:r>
          </w:p>
        </w:tc>
        <w:tc>
          <w:tcPr>
            <w:tcW w:w="1219" w:type="dxa"/>
            <w:shd w:val="clear" w:color="auto" w:fill="auto"/>
            <w:noWrap/>
            <w:vAlign w:val="bottom"/>
            <w:hideMark/>
          </w:tcPr>
          <w:p w14:paraId="1A07573C"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26AA45E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multicountry</w:t>
            </w:r>
          </w:p>
        </w:tc>
        <w:tc>
          <w:tcPr>
            <w:tcW w:w="1465" w:type="dxa"/>
            <w:shd w:val="clear" w:color="auto" w:fill="auto"/>
            <w:noWrap/>
            <w:vAlign w:val="bottom"/>
            <w:hideMark/>
          </w:tcPr>
          <w:p w14:paraId="6D4896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14B2F52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3072C7B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3E653B7B"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 two healthcare models, specifically “Primary Medical Care” (PMC) and “Primary Health Care” (PHC) in the context of immigrant populations’ health needs</w:t>
            </w:r>
          </w:p>
        </w:tc>
      </w:tr>
      <w:tr w:rsidR="00405C60" w:rsidRPr="001D148E" w14:paraId="67116645" w14:textId="77777777" w:rsidTr="009A37D3">
        <w:trPr>
          <w:trHeight w:val="80"/>
        </w:trPr>
        <w:tc>
          <w:tcPr>
            <w:tcW w:w="1504" w:type="dxa"/>
            <w:shd w:val="clear" w:color="auto" w:fill="auto"/>
            <w:noWrap/>
            <w:vAlign w:val="bottom"/>
            <w:hideMark/>
          </w:tcPr>
          <w:p w14:paraId="09A7D74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Bousquat A et al</w:t>
            </w:r>
          </w:p>
        </w:tc>
        <w:tc>
          <w:tcPr>
            <w:tcW w:w="1219" w:type="dxa"/>
            <w:shd w:val="clear" w:color="auto" w:fill="auto"/>
            <w:noWrap/>
            <w:vAlign w:val="bottom"/>
            <w:hideMark/>
          </w:tcPr>
          <w:p w14:paraId="06FA17C2"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436E2EF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750C8A2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Mixed</w:t>
            </w:r>
          </w:p>
        </w:tc>
        <w:tc>
          <w:tcPr>
            <w:tcW w:w="2216" w:type="dxa"/>
            <w:shd w:val="clear" w:color="auto" w:fill="auto"/>
            <w:noWrap/>
            <w:vAlign w:val="bottom"/>
            <w:hideMark/>
          </w:tcPr>
          <w:p w14:paraId="7D1BEA0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 &amp; client</w:t>
            </w:r>
          </w:p>
        </w:tc>
        <w:tc>
          <w:tcPr>
            <w:tcW w:w="2245" w:type="dxa"/>
            <w:shd w:val="clear" w:color="auto" w:fill="auto"/>
            <w:noWrap/>
            <w:vAlign w:val="bottom"/>
            <w:hideMark/>
          </w:tcPr>
          <w:p w14:paraId="32ED164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Coordination</w:t>
            </w:r>
          </w:p>
        </w:tc>
        <w:tc>
          <w:tcPr>
            <w:tcW w:w="4957" w:type="dxa"/>
            <w:vAlign w:val="bottom"/>
          </w:tcPr>
          <w:p w14:paraId="4C7CB3FA"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Analyze the healthcare coordination by Primary Health Care (PHC), with the backdrop of building a Health Care </w:t>
            </w:r>
            <w:r w:rsidRPr="001D148E">
              <w:rPr>
                <w:rFonts w:ascii="Times New Roman" w:hAnsi="Times New Roman" w:cs="Times New Roman"/>
                <w:sz w:val="24"/>
                <w:szCs w:val="24"/>
              </w:rPr>
              <w:lastRenderedPageBreak/>
              <w:t>Network (RAS)</w:t>
            </w:r>
          </w:p>
        </w:tc>
      </w:tr>
      <w:tr w:rsidR="00405C60" w:rsidRPr="001D148E" w14:paraId="4FB3F22D" w14:textId="77777777" w:rsidTr="009A37D3">
        <w:trPr>
          <w:trHeight w:val="251"/>
        </w:trPr>
        <w:tc>
          <w:tcPr>
            <w:tcW w:w="1504" w:type="dxa"/>
            <w:shd w:val="clear" w:color="auto" w:fill="auto"/>
            <w:noWrap/>
            <w:vAlign w:val="bottom"/>
            <w:hideMark/>
          </w:tcPr>
          <w:p w14:paraId="218D46D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lastRenderedPageBreak/>
              <w:t>Burström B et al</w:t>
            </w:r>
          </w:p>
        </w:tc>
        <w:tc>
          <w:tcPr>
            <w:tcW w:w="1219" w:type="dxa"/>
            <w:shd w:val="clear" w:color="auto" w:fill="auto"/>
            <w:noWrap/>
            <w:vAlign w:val="bottom"/>
            <w:hideMark/>
          </w:tcPr>
          <w:p w14:paraId="43E3CE3F"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156C117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Sweden</w:t>
            </w:r>
          </w:p>
        </w:tc>
        <w:tc>
          <w:tcPr>
            <w:tcW w:w="1465" w:type="dxa"/>
            <w:shd w:val="clear" w:color="auto" w:fill="auto"/>
            <w:noWrap/>
            <w:vAlign w:val="bottom"/>
            <w:hideMark/>
          </w:tcPr>
          <w:p w14:paraId="6DE5EB9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288D2F3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4B5945F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3ADD1D2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Impact of current PHC on health inequality</w:t>
            </w:r>
          </w:p>
        </w:tc>
      </w:tr>
      <w:tr w:rsidR="00405C60" w:rsidRPr="001D148E" w14:paraId="61270D31" w14:textId="77777777" w:rsidTr="009A37D3">
        <w:trPr>
          <w:trHeight w:val="251"/>
        </w:trPr>
        <w:tc>
          <w:tcPr>
            <w:tcW w:w="1504" w:type="dxa"/>
            <w:shd w:val="clear" w:color="auto" w:fill="auto"/>
            <w:noWrap/>
            <w:vAlign w:val="bottom"/>
            <w:hideMark/>
          </w:tcPr>
          <w:p w14:paraId="455E8B1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Barakat-Haddad C &amp; Siddiqua A</w:t>
            </w:r>
          </w:p>
        </w:tc>
        <w:tc>
          <w:tcPr>
            <w:tcW w:w="1219" w:type="dxa"/>
            <w:shd w:val="clear" w:color="auto" w:fill="auto"/>
            <w:noWrap/>
            <w:vAlign w:val="bottom"/>
            <w:hideMark/>
          </w:tcPr>
          <w:p w14:paraId="570B4DB8" w14:textId="77777777" w:rsidR="00507E8D" w:rsidRPr="001D148E" w:rsidRDefault="00507E8D" w:rsidP="005224F6">
            <w:pPr>
              <w:spacing w:after="0" w:line="240" w:lineRule="auto"/>
              <w:jc w:val="right"/>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67B16D8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UAE</w:t>
            </w:r>
          </w:p>
        </w:tc>
        <w:tc>
          <w:tcPr>
            <w:tcW w:w="1465" w:type="dxa"/>
            <w:shd w:val="clear" w:color="auto" w:fill="auto"/>
            <w:noWrap/>
            <w:vAlign w:val="bottom"/>
            <w:hideMark/>
          </w:tcPr>
          <w:p w14:paraId="1CC48EA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BA204C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Adolescent</w:t>
            </w:r>
          </w:p>
        </w:tc>
        <w:tc>
          <w:tcPr>
            <w:tcW w:w="2245" w:type="dxa"/>
            <w:shd w:val="clear" w:color="auto" w:fill="auto"/>
            <w:noWrap/>
            <w:vAlign w:val="bottom"/>
            <w:hideMark/>
          </w:tcPr>
          <w:p w14:paraId="519ED54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556A115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Examined primary health care use and accessibility</w:t>
            </w:r>
          </w:p>
        </w:tc>
      </w:tr>
      <w:tr w:rsidR="00405C60" w:rsidRPr="001D148E" w14:paraId="6FB67B51" w14:textId="77777777" w:rsidTr="009A37D3">
        <w:trPr>
          <w:trHeight w:val="413"/>
        </w:trPr>
        <w:tc>
          <w:tcPr>
            <w:tcW w:w="1504" w:type="dxa"/>
            <w:shd w:val="clear" w:color="auto" w:fill="auto"/>
            <w:noWrap/>
            <w:vAlign w:val="bottom"/>
            <w:hideMark/>
          </w:tcPr>
          <w:p w14:paraId="34B90FD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Carlisle K et al</w:t>
            </w:r>
          </w:p>
        </w:tc>
        <w:tc>
          <w:tcPr>
            <w:tcW w:w="1219" w:type="dxa"/>
            <w:shd w:val="clear" w:color="auto" w:fill="auto"/>
            <w:noWrap/>
            <w:vAlign w:val="bottom"/>
            <w:hideMark/>
          </w:tcPr>
          <w:p w14:paraId="3AA0F51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4BE701E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78406AC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5A4E5F0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Observations, health worker, client, community member</w:t>
            </w:r>
          </w:p>
        </w:tc>
        <w:tc>
          <w:tcPr>
            <w:tcW w:w="2245" w:type="dxa"/>
            <w:shd w:val="clear" w:color="auto" w:fill="auto"/>
            <w:noWrap/>
            <w:vAlign w:val="bottom"/>
            <w:hideMark/>
          </w:tcPr>
          <w:p w14:paraId="0B9FF1C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120BF4AE"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Explore the strengths and challenges in QI for Aboriginal and Torres Strait Islander PHC services and their priorities for improvement</w:t>
            </w:r>
          </w:p>
        </w:tc>
      </w:tr>
      <w:tr w:rsidR="00405C60" w:rsidRPr="001D148E" w14:paraId="2187A43B" w14:textId="77777777" w:rsidTr="009A37D3">
        <w:trPr>
          <w:trHeight w:val="314"/>
        </w:trPr>
        <w:tc>
          <w:tcPr>
            <w:tcW w:w="1504" w:type="dxa"/>
            <w:shd w:val="clear" w:color="auto" w:fill="auto"/>
            <w:noWrap/>
            <w:vAlign w:val="bottom"/>
            <w:hideMark/>
          </w:tcPr>
          <w:p w14:paraId="46A5D6E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Catacutan AR</w:t>
            </w:r>
          </w:p>
        </w:tc>
        <w:tc>
          <w:tcPr>
            <w:tcW w:w="1219" w:type="dxa"/>
            <w:shd w:val="clear" w:color="auto" w:fill="auto"/>
            <w:noWrap/>
            <w:vAlign w:val="bottom"/>
            <w:hideMark/>
          </w:tcPr>
          <w:p w14:paraId="633214C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2005</w:t>
            </w:r>
          </w:p>
        </w:tc>
        <w:tc>
          <w:tcPr>
            <w:tcW w:w="1395" w:type="dxa"/>
            <w:shd w:val="clear" w:color="auto" w:fill="auto"/>
            <w:noWrap/>
            <w:vAlign w:val="bottom"/>
            <w:hideMark/>
          </w:tcPr>
          <w:p w14:paraId="13545E0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Philippines</w:t>
            </w:r>
          </w:p>
        </w:tc>
        <w:tc>
          <w:tcPr>
            <w:tcW w:w="1465" w:type="dxa"/>
            <w:shd w:val="clear" w:color="auto" w:fill="auto"/>
            <w:noWrap/>
            <w:vAlign w:val="bottom"/>
            <w:hideMark/>
          </w:tcPr>
          <w:p w14:paraId="26A8FC4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BE3FF2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w:t>
            </w:r>
          </w:p>
        </w:tc>
        <w:tc>
          <w:tcPr>
            <w:tcW w:w="2245" w:type="dxa"/>
            <w:shd w:val="clear" w:color="auto" w:fill="auto"/>
            <w:noWrap/>
            <w:vAlign w:val="bottom"/>
            <w:hideMark/>
          </w:tcPr>
          <w:p w14:paraId="34C115B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6E6B32C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service coverage among certified and non-certified facilities</w:t>
            </w:r>
          </w:p>
        </w:tc>
      </w:tr>
      <w:tr w:rsidR="00405C60" w:rsidRPr="001D148E" w14:paraId="2D615B14" w14:textId="77777777" w:rsidTr="009A37D3">
        <w:trPr>
          <w:trHeight w:val="260"/>
        </w:trPr>
        <w:tc>
          <w:tcPr>
            <w:tcW w:w="1504" w:type="dxa"/>
            <w:shd w:val="clear" w:color="auto" w:fill="auto"/>
            <w:noWrap/>
            <w:vAlign w:val="bottom"/>
            <w:hideMark/>
          </w:tcPr>
          <w:p w14:paraId="3488601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Chreim S et al</w:t>
            </w:r>
          </w:p>
        </w:tc>
        <w:tc>
          <w:tcPr>
            <w:tcW w:w="1219" w:type="dxa"/>
            <w:shd w:val="clear" w:color="auto" w:fill="auto"/>
            <w:noWrap/>
            <w:vAlign w:val="bottom"/>
            <w:hideMark/>
          </w:tcPr>
          <w:p w14:paraId="6EDA0E9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2010</w:t>
            </w:r>
          </w:p>
        </w:tc>
        <w:tc>
          <w:tcPr>
            <w:tcW w:w="1395" w:type="dxa"/>
            <w:shd w:val="clear" w:color="auto" w:fill="auto"/>
            <w:noWrap/>
            <w:vAlign w:val="bottom"/>
            <w:hideMark/>
          </w:tcPr>
          <w:p w14:paraId="3E6DB8D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1258631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63DDA35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Stakeholders</w:t>
            </w:r>
          </w:p>
        </w:tc>
        <w:tc>
          <w:tcPr>
            <w:tcW w:w="2245" w:type="dxa"/>
            <w:shd w:val="clear" w:color="auto" w:fill="auto"/>
            <w:noWrap/>
            <w:vAlign w:val="bottom"/>
            <w:hideMark/>
          </w:tcPr>
          <w:p w14:paraId="48D15AB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Leadership and governance</w:t>
            </w:r>
          </w:p>
        </w:tc>
        <w:tc>
          <w:tcPr>
            <w:tcW w:w="4957" w:type="dxa"/>
            <w:vAlign w:val="bottom"/>
          </w:tcPr>
          <w:p w14:paraId="2290F059"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 Understand the dynamics of collective or distributed leadership by attending to change agency roles in a context involving collaboration across health organizations</w:t>
            </w:r>
          </w:p>
        </w:tc>
      </w:tr>
      <w:tr w:rsidR="00405C60" w:rsidRPr="001D148E" w14:paraId="6C0C55D7" w14:textId="77777777" w:rsidTr="009A37D3">
        <w:trPr>
          <w:trHeight w:val="710"/>
        </w:trPr>
        <w:tc>
          <w:tcPr>
            <w:tcW w:w="1504" w:type="dxa"/>
            <w:shd w:val="clear" w:color="auto" w:fill="auto"/>
            <w:noWrap/>
            <w:vAlign w:val="bottom"/>
            <w:hideMark/>
          </w:tcPr>
          <w:p w14:paraId="0AEFD27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Cleary S et al</w:t>
            </w:r>
          </w:p>
        </w:tc>
        <w:tc>
          <w:tcPr>
            <w:tcW w:w="1219" w:type="dxa"/>
            <w:shd w:val="clear" w:color="auto" w:fill="auto"/>
            <w:noWrap/>
            <w:vAlign w:val="bottom"/>
            <w:hideMark/>
          </w:tcPr>
          <w:p w14:paraId="2D696AD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40352EA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South Africa</w:t>
            </w:r>
          </w:p>
        </w:tc>
        <w:tc>
          <w:tcPr>
            <w:tcW w:w="1465" w:type="dxa"/>
            <w:shd w:val="clear" w:color="auto" w:fill="auto"/>
            <w:noWrap/>
            <w:vAlign w:val="bottom"/>
            <w:hideMark/>
          </w:tcPr>
          <w:p w14:paraId="534C518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31E0881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Facilities and leadership team</w:t>
            </w:r>
          </w:p>
        </w:tc>
        <w:tc>
          <w:tcPr>
            <w:tcW w:w="2245" w:type="dxa"/>
            <w:shd w:val="clear" w:color="auto" w:fill="auto"/>
            <w:noWrap/>
            <w:vAlign w:val="bottom"/>
            <w:hideMark/>
          </w:tcPr>
          <w:p w14:paraId="0DD2220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Leadership and governance</w:t>
            </w:r>
          </w:p>
        </w:tc>
        <w:tc>
          <w:tcPr>
            <w:tcW w:w="4957" w:type="dxa"/>
            <w:vAlign w:val="bottom"/>
          </w:tcPr>
          <w:p w14:paraId="5170B63E"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Provide insights into how leadership is currently practiced</w:t>
            </w:r>
          </w:p>
        </w:tc>
      </w:tr>
      <w:tr w:rsidR="00405C60" w:rsidRPr="001D148E" w14:paraId="46E32CDC" w14:textId="77777777" w:rsidTr="009A37D3">
        <w:trPr>
          <w:trHeight w:val="341"/>
        </w:trPr>
        <w:tc>
          <w:tcPr>
            <w:tcW w:w="1504" w:type="dxa"/>
            <w:shd w:val="clear" w:color="auto" w:fill="auto"/>
            <w:noWrap/>
            <w:vAlign w:val="bottom"/>
            <w:hideMark/>
          </w:tcPr>
          <w:p w14:paraId="304619D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Comino EJ et al</w:t>
            </w:r>
          </w:p>
        </w:tc>
        <w:tc>
          <w:tcPr>
            <w:tcW w:w="1219" w:type="dxa"/>
            <w:shd w:val="clear" w:color="auto" w:fill="auto"/>
            <w:noWrap/>
            <w:vAlign w:val="bottom"/>
            <w:hideMark/>
          </w:tcPr>
          <w:p w14:paraId="0C59DC9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2006</w:t>
            </w:r>
          </w:p>
        </w:tc>
        <w:tc>
          <w:tcPr>
            <w:tcW w:w="1395" w:type="dxa"/>
            <w:shd w:val="clear" w:color="auto" w:fill="auto"/>
            <w:noWrap/>
            <w:vAlign w:val="bottom"/>
            <w:hideMark/>
          </w:tcPr>
          <w:p w14:paraId="6E7163E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0F11775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C1C454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5399CA1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 and Quality of care</w:t>
            </w:r>
          </w:p>
        </w:tc>
        <w:tc>
          <w:tcPr>
            <w:tcW w:w="4957" w:type="dxa"/>
            <w:vAlign w:val="bottom"/>
          </w:tcPr>
          <w:p w14:paraId="4DEAE1BF"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explores the utility of population health surveys to address questions relating to access to and use of PHC, using diabetes as an example</w:t>
            </w:r>
          </w:p>
        </w:tc>
      </w:tr>
      <w:tr w:rsidR="00405C60" w:rsidRPr="001D148E" w14:paraId="3D91E9EA" w14:textId="77777777" w:rsidTr="009A37D3">
        <w:trPr>
          <w:trHeight w:val="422"/>
        </w:trPr>
        <w:tc>
          <w:tcPr>
            <w:tcW w:w="1504" w:type="dxa"/>
            <w:shd w:val="clear" w:color="auto" w:fill="auto"/>
            <w:noWrap/>
            <w:vAlign w:val="bottom"/>
            <w:hideMark/>
          </w:tcPr>
          <w:p w14:paraId="143CD0E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Cordero-Ferrera JM et al</w:t>
            </w:r>
          </w:p>
        </w:tc>
        <w:tc>
          <w:tcPr>
            <w:tcW w:w="1219" w:type="dxa"/>
            <w:shd w:val="clear" w:color="auto" w:fill="auto"/>
            <w:noWrap/>
            <w:vAlign w:val="bottom"/>
            <w:hideMark/>
          </w:tcPr>
          <w:p w14:paraId="7C273E1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2009</w:t>
            </w:r>
          </w:p>
        </w:tc>
        <w:tc>
          <w:tcPr>
            <w:tcW w:w="1395" w:type="dxa"/>
            <w:shd w:val="clear" w:color="auto" w:fill="auto"/>
            <w:noWrap/>
            <w:vAlign w:val="bottom"/>
            <w:hideMark/>
          </w:tcPr>
          <w:p w14:paraId="0885716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Spain</w:t>
            </w:r>
          </w:p>
        </w:tc>
        <w:tc>
          <w:tcPr>
            <w:tcW w:w="1465" w:type="dxa"/>
            <w:shd w:val="clear" w:color="auto" w:fill="auto"/>
            <w:noWrap/>
            <w:vAlign w:val="bottom"/>
            <w:hideMark/>
          </w:tcPr>
          <w:p w14:paraId="025BC10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507F54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Population data</w:t>
            </w:r>
          </w:p>
        </w:tc>
        <w:tc>
          <w:tcPr>
            <w:tcW w:w="2245" w:type="dxa"/>
            <w:shd w:val="clear" w:color="auto" w:fill="auto"/>
            <w:noWrap/>
            <w:vAlign w:val="bottom"/>
            <w:hideMark/>
          </w:tcPr>
          <w:p w14:paraId="6D590A7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Efficiency</w:t>
            </w:r>
          </w:p>
        </w:tc>
        <w:tc>
          <w:tcPr>
            <w:tcW w:w="4957" w:type="dxa"/>
            <w:vAlign w:val="bottom"/>
          </w:tcPr>
          <w:p w14:paraId="0BF47DF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efficiency measurement in primary health care with the application of a recently developed method to deal with exogenous </w:t>
            </w:r>
            <w:r w:rsidRPr="001D148E">
              <w:rPr>
                <w:rFonts w:ascii="Times New Roman" w:hAnsi="Times New Roman" w:cs="Times New Roman"/>
                <w:sz w:val="24"/>
                <w:szCs w:val="24"/>
              </w:rPr>
              <w:lastRenderedPageBreak/>
              <w:t>variables</w:t>
            </w:r>
          </w:p>
        </w:tc>
      </w:tr>
      <w:tr w:rsidR="00405C60" w:rsidRPr="001D148E" w14:paraId="67CA3582" w14:textId="77777777" w:rsidTr="009A37D3">
        <w:trPr>
          <w:trHeight w:val="440"/>
        </w:trPr>
        <w:tc>
          <w:tcPr>
            <w:tcW w:w="1504" w:type="dxa"/>
            <w:shd w:val="clear" w:color="auto" w:fill="auto"/>
            <w:noWrap/>
            <w:vAlign w:val="bottom"/>
            <w:hideMark/>
          </w:tcPr>
          <w:p w14:paraId="21C786C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lastRenderedPageBreak/>
              <w:t>Costa LB et al</w:t>
            </w:r>
          </w:p>
        </w:tc>
        <w:tc>
          <w:tcPr>
            <w:tcW w:w="1219" w:type="dxa"/>
            <w:shd w:val="clear" w:color="auto" w:fill="auto"/>
            <w:noWrap/>
            <w:vAlign w:val="bottom"/>
            <w:hideMark/>
          </w:tcPr>
          <w:p w14:paraId="7E8A792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2156A67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143DAA4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CBB423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w:t>
            </w:r>
          </w:p>
        </w:tc>
        <w:tc>
          <w:tcPr>
            <w:tcW w:w="2245" w:type="dxa"/>
            <w:shd w:val="clear" w:color="auto" w:fill="auto"/>
            <w:noWrap/>
            <w:vAlign w:val="bottom"/>
            <w:hideMark/>
          </w:tcPr>
          <w:p w14:paraId="56E7DD3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181E91C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Quality of PHC</w:t>
            </w:r>
          </w:p>
        </w:tc>
      </w:tr>
      <w:tr w:rsidR="00405C60" w:rsidRPr="001D148E" w14:paraId="7E9EDDA8" w14:textId="77777777" w:rsidTr="009A37D3">
        <w:trPr>
          <w:trHeight w:val="80"/>
        </w:trPr>
        <w:tc>
          <w:tcPr>
            <w:tcW w:w="1504" w:type="dxa"/>
            <w:shd w:val="clear" w:color="auto" w:fill="auto"/>
            <w:noWrap/>
            <w:vAlign w:val="bottom"/>
            <w:hideMark/>
          </w:tcPr>
          <w:p w14:paraId="5373B65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Crossland L et al</w:t>
            </w:r>
          </w:p>
        </w:tc>
        <w:tc>
          <w:tcPr>
            <w:tcW w:w="1219" w:type="dxa"/>
            <w:shd w:val="clear" w:color="auto" w:fill="auto"/>
            <w:noWrap/>
            <w:vAlign w:val="bottom"/>
            <w:hideMark/>
          </w:tcPr>
          <w:p w14:paraId="1927C41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2014</w:t>
            </w:r>
          </w:p>
        </w:tc>
        <w:tc>
          <w:tcPr>
            <w:tcW w:w="1395" w:type="dxa"/>
            <w:shd w:val="clear" w:color="auto" w:fill="auto"/>
            <w:noWrap/>
            <w:vAlign w:val="bottom"/>
            <w:hideMark/>
          </w:tcPr>
          <w:p w14:paraId="259B341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multicountry</w:t>
            </w:r>
          </w:p>
        </w:tc>
        <w:tc>
          <w:tcPr>
            <w:tcW w:w="1465" w:type="dxa"/>
            <w:shd w:val="clear" w:color="auto" w:fill="auto"/>
            <w:noWrap/>
            <w:vAlign w:val="bottom"/>
            <w:hideMark/>
          </w:tcPr>
          <w:p w14:paraId="4E2A795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4E7D419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364B036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76CF0279"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Identify elements that are integral to highquality practice and determine considerations relating to high-quality practice organisation in primary care.</w:t>
            </w:r>
          </w:p>
        </w:tc>
      </w:tr>
      <w:tr w:rsidR="00405C60" w:rsidRPr="001D148E" w14:paraId="4BA98372" w14:textId="77777777" w:rsidTr="009A37D3">
        <w:trPr>
          <w:trHeight w:val="350"/>
        </w:trPr>
        <w:tc>
          <w:tcPr>
            <w:tcW w:w="1504" w:type="dxa"/>
            <w:shd w:val="clear" w:color="auto" w:fill="auto"/>
            <w:noWrap/>
            <w:vAlign w:val="bottom"/>
            <w:hideMark/>
          </w:tcPr>
          <w:p w14:paraId="2FAA600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Culhane-Pera KA et al</w:t>
            </w:r>
          </w:p>
        </w:tc>
        <w:tc>
          <w:tcPr>
            <w:tcW w:w="1219" w:type="dxa"/>
            <w:shd w:val="clear" w:color="auto" w:fill="auto"/>
            <w:noWrap/>
            <w:vAlign w:val="bottom"/>
            <w:hideMark/>
          </w:tcPr>
          <w:p w14:paraId="3633D3D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7D521E3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USA</w:t>
            </w:r>
          </w:p>
        </w:tc>
        <w:tc>
          <w:tcPr>
            <w:tcW w:w="1465" w:type="dxa"/>
            <w:shd w:val="clear" w:color="auto" w:fill="auto"/>
            <w:noWrap/>
            <w:vAlign w:val="bottom"/>
            <w:hideMark/>
          </w:tcPr>
          <w:p w14:paraId="525E18A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7EE444B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w:t>
            </w:r>
          </w:p>
        </w:tc>
        <w:tc>
          <w:tcPr>
            <w:tcW w:w="2245" w:type="dxa"/>
            <w:shd w:val="clear" w:color="auto" w:fill="auto"/>
            <w:noWrap/>
            <w:vAlign w:val="bottom"/>
            <w:hideMark/>
          </w:tcPr>
          <w:p w14:paraId="162DD57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7763D32E"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amplify the voices of community leaders from seven diverse urban communities view qual</w:t>
            </w:r>
            <w:r w:rsidRPr="001D148E">
              <w:rPr>
                <w:rFonts w:ascii="Times New Roman" w:hAnsi="Times New Roman" w:cs="Times New Roman"/>
                <w:sz w:val="24"/>
                <w:szCs w:val="24"/>
              </w:rPr>
              <w:noBreakHyphen/>
              <w:t>ity healthcare and fnancial reimbursement based on quality metric scores</w:t>
            </w:r>
          </w:p>
        </w:tc>
      </w:tr>
      <w:tr w:rsidR="00405C60" w:rsidRPr="001D148E" w14:paraId="61311D47" w14:textId="77777777" w:rsidTr="009A37D3">
        <w:trPr>
          <w:trHeight w:val="440"/>
        </w:trPr>
        <w:tc>
          <w:tcPr>
            <w:tcW w:w="1504" w:type="dxa"/>
            <w:shd w:val="clear" w:color="auto" w:fill="auto"/>
            <w:noWrap/>
            <w:vAlign w:val="bottom"/>
            <w:hideMark/>
          </w:tcPr>
          <w:p w14:paraId="4124907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David J &amp; Zakus L</w:t>
            </w:r>
          </w:p>
        </w:tc>
        <w:tc>
          <w:tcPr>
            <w:tcW w:w="1219" w:type="dxa"/>
            <w:shd w:val="clear" w:color="auto" w:fill="auto"/>
            <w:noWrap/>
            <w:vAlign w:val="bottom"/>
            <w:hideMark/>
          </w:tcPr>
          <w:p w14:paraId="32C62BB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1988</w:t>
            </w:r>
          </w:p>
        </w:tc>
        <w:tc>
          <w:tcPr>
            <w:tcW w:w="1395" w:type="dxa"/>
            <w:shd w:val="clear" w:color="auto" w:fill="auto"/>
            <w:noWrap/>
            <w:vAlign w:val="bottom"/>
            <w:hideMark/>
          </w:tcPr>
          <w:p w14:paraId="7787340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Mexico</w:t>
            </w:r>
          </w:p>
        </w:tc>
        <w:tc>
          <w:tcPr>
            <w:tcW w:w="1465" w:type="dxa"/>
            <w:shd w:val="clear" w:color="auto" w:fill="auto"/>
            <w:noWrap/>
            <w:vAlign w:val="bottom"/>
            <w:hideMark/>
          </w:tcPr>
          <w:p w14:paraId="18E43E7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073C7AF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workers &amp; community</w:t>
            </w:r>
          </w:p>
        </w:tc>
        <w:tc>
          <w:tcPr>
            <w:tcW w:w="2245" w:type="dxa"/>
            <w:shd w:val="clear" w:color="auto" w:fill="auto"/>
            <w:noWrap/>
            <w:vAlign w:val="bottom"/>
            <w:hideMark/>
          </w:tcPr>
          <w:p w14:paraId="3645867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2444099A"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Resource dependency and community participation in PHC</w:t>
            </w:r>
          </w:p>
        </w:tc>
      </w:tr>
      <w:tr w:rsidR="00405C60" w:rsidRPr="001D148E" w14:paraId="2DD716C0" w14:textId="77777777" w:rsidTr="009A37D3">
        <w:trPr>
          <w:trHeight w:val="260"/>
        </w:trPr>
        <w:tc>
          <w:tcPr>
            <w:tcW w:w="1504" w:type="dxa"/>
            <w:shd w:val="clear" w:color="auto" w:fill="auto"/>
            <w:noWrap/>
            <w:vAlign w:val="bottom"/>
            <w:hideMark/>
          </w:tcPr>
          <w:p w14:paraId="343D1FC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Davy C et al</w:t>
            </w:r>
          </w:p>
        </w:tc>
        <w:tc>
          <w:tcPr>
            <w:tcW w:w="1219" w:type="dxa"/>
            <w:shd w:val="clear" w:color="auto" w:fill="auto"/>
            <w:noWrap/>
            <w:vAlign w:val="bottom"/>
            <w:hideMark/>
          </w:tcPr>
          <w:p w14:paraId="27FA1B1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40ED575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multicountry</w:t>
            </w:r>
          </w:p>
        </w:tc>
        <w:tc>
          <w:tcPr>
            <w:tcW w:w="1465" w:type="dxa"/>
            <w:shd w:val="clear" w:color="auto" w:fill="auto"/>
            <w:noWrap/>
            <w:vAlign w:val="bottom"/>
            <w:hideMark/>
          </w:tcPr>
          <w:p w14:paraId="6C3C30E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5C2C92F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350DE19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709561D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 identify issues that hindered Indigenous peoples from accessing primary health care and then explore how, if at all, these were addressed by Indigenous health care services</w:t>
            </w:r>
          </w:p>
        </w:tc>
      </w:tr>
      <w:tr w:rsidR="00405C60" w:rsidRPr="001D148E" w14:paraId="18180B2D" w14:textId="77777777" w:rsidTr="009A37D3">
        <w:trPr>
          <w:trHeight w:val="260"/>
        </w:trPr>
        <w:tc>
          <w:tcPr>
            <w:tcW w:w="1504" w:type="dxa"/>
            <w:shd w:val="clear" w:color="auto" w:fill="auto"/>
            <w:noWrap/>
            <w:vAlign w:val="bottom"/>
            <w:hideMark/>
          </w:tcPr>
          <w:p w14:paraId="2F908CA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de Sousa ANA &amp; Shimizu HE</w:t>
            </w:r>
          </w:p>
        </w:tc>
        <w:tc>
          <w:tcPr>
            <w:tcW w:w="1219" w:type="dxa"/>
            <w:shd w:val="clear" w:color="auto" w:fill="auto"/>
            <w:noWrap/>
            <w:vAlign w:val="bottom"/>
            <w:hideMark/>
          </w:tcPr>
          <w:p w14:paraId="5770D8C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1F38482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4D3479B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12E969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2353ACF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Comprehensiveness</w:t>
            </w:r>
          </w:p>
        </w:tc>
        <w:tc>
          <w:tcPr>
            <w:tcW w:w="4957" w:type="dxa"/>
            <w:vAlign w:val="bottom"/>
          </w:tcPr>
          <w:p w14:paraId="5C1E791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Analyze comprehensiveness elements in Primary Care</w:t>
            </w:r>
          </w:p>
        </w:tc>
      </w:tr>
      <w:tr w:rsidR="00405C60" w:rsidRPr="001D148E" w14:paraId="270CC0A3" w14:textId="77777777" w:rsidTr="009A37D3">
        <w:trPr>
          <w:trHeight w:val="251"/>
        </w:trPr>
        <w:tc>
          <w:tcPr>
            <w:tcW w:w="1504" w:type="dxa"/>
            <w:shd w:val="clear" w:color="auto" w:fill="auto"/>
            <w:noWrap/>
            <w:vAlign w:val="bottom"/>
            <w:hideMark/>
          </w:tcPr>
          <w:p w14:paraId="6D716A1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Desta BF et al</w:t>
            </w:r>
          </w:p>
        </w:tc>
        <w:tc>
          <w:tcPr>
            <w:tcW w:w="1219" w:type="dxa"/>
            <w:shd w:val="clear" w:color="auto" w:fill="auto"/>
            <w:noWrap/>
            <w:vAlign w:val="bottom"/>
            <w:hideMark/>
          </w:tcPr>
          <w:p w14:paraId="32FF6BF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2020</w:t>
            </w:r>
          </w:p>
        </w:tc>
        <w:tc>
          <w:tcPr>
            <w:tcW w:w="1395" w:type="dxa"/>
            <w:shd w:val="clear" w:color="auto" w:fill="auto"/>
            <w:noWrap/>
            <w:vAlign w:val="bottom"/>
            <w:hideMark/>
          </w:tcPr>
          <w:p w14:paraId="0BDDAF6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Ethiopia</w:t>
            </w:r>
          </w:p>
        </w:tc>
        <w:tc>
          <w:tcPr>
            <w:tcW w:w="1465" w:type="dxa"/>
            <w:shd w:val="clear" w:color="auto" w:fill="auto"/>
            <w:noWrap/>
            <w:vAlign w:val="bottom"/>
            <w:hideMark/>
          </w:tcPr>
          <w:p w14:paraId="529E157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5AA98C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Districts</w:t>
            </w:r>
          </w:p>
        </w:tc>
        <w:tc>
          <w:tcPr>
            <w:tcW w:w="2245" w:type="dxa"/>
            <w:shd w:val="clear" w:color="auto" w:fill="auto"/>
            <w:noWrap/>
            <w:vAlign w:val="bottom"/>
            <w:hideMark/>
          </w:tcPr>
          <w:p w14:paraId="4CB2D6C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Leadership and governance</w:t>
            </w:r>
          </w:p>
        </w:tc>
        <w:tc>
          <w:tcPr>
            <w:tcW w:w="4957" w:type="dxa"/>
            <w:vAlign w:val="bottom"/>
          </w:tcPr>
          <w:p w14:paraId="03E5EEF4"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compare district level capacity and performances between leadership,</w:t>
            </w:r>
            <w:r w:rsidRPr="001D148E">
              <w:rPr>
                <w:rFonts w:ascii="Times New Roman" w:hAnsi="Times New Roman" w:cs="Times New Roman"/>
                <w:sz w:val="24"/>
                <w:szCs w:val="24"/>
              </w:rPr>
              <w:br/>
              <w:t>management and governance (LMG) and non-LMG districts.</w:t>
            </w:r>
          </w:p>
        </w:tc>
      </w:tr>
      <w:tr w:rsidR="00405C60" w:rsidRPr="001D148E" w14:paraId="5EADDA1B" w14:textId="77777777" w:rsidTr="009A37D3">
        <w:trPr>
          <w:trHeight w:val="242"/>
        </w:trPr>
        <w:tc>
          <w:tcPr>
            <w:tcW w:w="1504" w:type="dxa"/>
            <w:shd w:val="clear" w:color="auto" w:fill="auto"/>
            <w:noWrap/>
            <w:vAlign w:val="bottom"/>
            <w:hideMark/>
          </w:tcPr>
          <w:p w14:paraId="2F46F7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Dewulf B et al</w:t>
            </w:r>
          </w:p>
        </w:tc>
        <w:tc>
          <w:tcPr>
            <w:tcW w:w="1219" w:type="dxa"/>
            <w:shd w:val="clear" w:color="auto" w:fill="auto"/>
            <w:noWrap/>
            <w:vAlign w:val="bottom"/>
            <w:hideMark/>
          </w:tcPr>
          <w:p w14:paraId="508AD0E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2013</w:t>
            </w:r>
          </w:p>
        </w:tc>
        <w:tc>
          <w:tcPr>
            <w:tcW w:w="1395" w:type="dxa"/>
            <w:shd w:val="clear" w:color="auto" w:fill="auto"/>
            <w:noWrap/>
            <w:vAlign w:val="bottom"/>
            <w:hideMark/>
          </w:tcPr>
          <w:p w14:paraId="787D8FD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Belgium</w:t>
            </w:r>
          </w:p>
        </w:tc>
        <w:tc>
          <w:tcPr>
            <w:tcW w:w="1465" w:type="dxa"/>
            <w:shd w:val="clear" w:color="auto" w:fill="auto"/>
            <w:noWrap/>
            <w:vAlign w:val="bottom"/>
            <w:hideMark/>
          </w:tcPr>
          <w:p w14:paraId="0403844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5F707C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40F2A25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374B4BF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 verify whether these population-to-physician ratio methods are accurate enough for adequately designating medical shortage areas and explore how these perform relative to more advanced GIS-based methods.</w:t>
            </w:r>
          </w:p>
        </w:tc>
      </w:tr>
      <w:tr w:rsidR="00405C60" w:rsidRPr="001D148E" w14:paraId="1487B593" w14:textId="77777777" w:rsidTr="009A37D3">
        <w:trPr>
          <w:trHeight w:val="422"/>
        </w:trPr>
        <w:tc>
          <w:tcPr>
            <w:tcW w:w="1504" w:type="dxa"/>
            <w:shd w:val="clear" w:color="auto" w:fill="auto"/>
            <w:noWrap/>
            <w:vAlign w:val="bottom"/>
            <w:hideMark/>
          </w:tcPr>
          <w:p w14:paraId="4E95316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Dietrich AJ &amp; Olson AL</w:t>
            </w:r>
          </w:p>
        </w:tc>
        <w:tc>
          <w:tcPr>
            <w:tcW w:w="1219" w:type="dxa"/>
            <w:shd w:val="clear" w:color="auto" w:fill="auto"/>
            <w:noWrap/>
            <w:vAlign w:val="bottom"/>
            <w:hideMark/>
          </w:tcPr>
          <w:p w14:paraId="4C95E07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1981</w:t>
            </w:r>
          </w:p>
        </w:tc>
        <w:tc>
          <w:tcPr>
            <w:tcW w:w="1395" w:type="dxa"/>
            <w:shd w:val="clear" w:color="auto" w:fill="auto"/>
            <w:noWrap/>
            <w:vAlign w:val="bottom"/>
            <w:hideMark/>
          </w:tcPr>
          <w:p w14:paraId="2CD1F69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India &amp; Mexico</w:t>
            </w:r>
          </w:p>
        </w:tc>
        <w:tc>
          <w:tcPr>
            <w:tcW w:w="1465" w:type="dxa"/>
            <w:shd w:val="clear" w:color="auto" w:fill="auto"/>
            <w:noWrap/>
            <w:vAlign w:val="bottom"/>
            <w:hideMark/>
          </w:tcPr>
          <w:p w14:paraId="0DEE279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0471CE2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 and health worker</w:t>
            </w:r>
          </w:p>
        </w:tc>
        <w:tc>
          <w:tcPr>
            <w:tcW w:w="2245" w:type="dxa"/>
            <w:shd w:val="clear" w:color="auto" w:fill="auto"/>
            <w:noWrap/>
            <w:vAlign w:val="bottom"/>
            <w:hideMark/>
          </w:tcPr>
          <w:p w14:paraId="1CFEA98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Continuity </w:t>
            </w:r>
          </w:p>
        </w:tc>
        <w:tc>
          <w:tcPr>
            <w:tcW w:w="4957" w:type="dxa"/>
            <w:vAlign w:val="bottom"/>
          </w:tcPr>
          <w:p w14:paraId="70B96C96"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continuity with a personal provider</w:t>
            </w:r>
          </w:p>
        </w:tc>
      </w:tr>
      <w:tr w:rsidR="00405C60" w:rsidRPr="001D148E" w14:paraId="762EF4DD" w14:textId="77777777" w:rsidTr="009A37D3">
        <w:trPr>
          <w:trHeight w:val="224"/>
        </w:trPr>
        <w:tc>
          <w:tcPr>
            <w:tcW w:w="1504" w:type="dxa"/>
            <w:shd w:val="clear" w:color="auto" w:fill="auto"/>
            <w:noWrap/>
            <w:vAlign w:val="bottom"/>
            <w:hideMark/>
          </w:tcPr>
          <w:p w14:paraId="354D7E4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Espinosa-Gonzalez AB et al</w:t>
            </w:r>
          </w:p>
        </w:tc>
        <w:tc>
          <w:tcPr>
            <w:tcW w:w="1219" w:type="dxa"/>
            <w:shd w:val="clear" w:color="auto" w:fill="auto"/>
            <w:noWrap/>
            <w:vAlign w:val="bottom"/>
            <w:hideMark/>
          </w:tcPr>
          <w:p w14:paraId="78F2344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2019</w:t>
            </w:r>
          </w:p>
        </w:tc>
        <w:tc>
          <w:tcPr>
            <w:tcW w:w="1395" w:type="dxa"/>
            <w:shd w:val="clear" w:color="auto" w:fill="auto"/>
            <w:noWrap/>
            <w:vAlign w:val="bottom"/>
            <w:hideMark/>
          </w:tcPr>
          <w:p w14:paraId="7ECC2A0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European</w:t>
            </w:r>
          </w:p>
        </w:tc>
        <w:tc>
          <w:tcPr>
            <w:tcW w:w="1465" w:type="dxa"/>
            <w:shd w:val="clear" w:color="auto" w:fill="auto"/>
            <w:noWrap/>
            <w:vAlign w:val="bottom"/>
            <w:hideMark/>
          </w:tcPr>
          <w:p w14:paraId="7975758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A2BC42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stakeholders</w:t>
            </w:r>
          </w:p>
        </w:tc>
        <w:tc>
          <w:tcPr>
            <w:tcW w:w="2245" w:type="dxa"/>
            <w:shd w:val="clear" w:color="auto" w:fill="auto"/>
            <w:noWrap/>
            <w:vAlign w:val="bottom"/>
            <w:hideMark/>
          </w:tcPr>
          <w:p w14:paraId="6C10872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Leadership and governance</w:t>
            </w:r>
          </w:p>
        </w:tc>
        <w:tc>
          <w:tcPr>
            <w:tcW w:w="4957" w:type="dxa"/>
            <w:vAlign w:val="bottom"/>
          </w:tcPr>
          <w:p w14:paraId="511D902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Analyze the interactions between PHC functions and their impact in PHC delivery, particularly in providers’ behaviour and practice organization</w:t>
            </w:r>
          </w:p>
        </w:tc>
      </w:tr>
      <w:tr w:rsidR="00405C60" w:rsidRPr="001D148E" w14:paraId="46332479" w14:textId="77777777" w:rsidTr="009A37D3">
        <w:trPr>
          <w:trHeight w:val="530"/>
        </w:trPr>
        <w:tc>
          <w:tcPr>
            <w:tcW w:w="1504" w:type="dxa"/>
            <w:shd w:val="clear" w:color="auto" w:fill="auto"/>
            <w:noWrap/>
            <w:vAlign w:val="bottom"/>
            <w:hideMark/>
          </w:tcPr>
          <w:p w14:paraId="0274A8F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Cordero-Ferrera JM et al</w:t>
            </w:r>
          </w:p>
        </w:tc>
        <w:tc>
          <w:tcPr>
            <w:tcW w:w="1219" w:type="dxa"/>
            <w:shd w:val="clear" w:color="auto" w:fill="auto"/>
            <w:noWrap/>
            <w:vAlign w:val="bottom"/>
            <w:hideMark/>
          </w:tcPr>
          <w:p w14:paraId="5081D35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2013</w:t>
            </w:r>
          </w:p>
        </w:tc>
        <w:tc>
          <w:tcPr>
            <w:tcW w:w="1395" w:type="dxa"/>
            <w:shd w:val="clear" w:color="auto" w:fill="auto"/>
            <w:noWrap/>
            <w:vAlign w:val="bottom"/>
            <w:hideMark/>
          </w:tcPr>
          <w:p w14:paraId="1F953D0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Spain</w:t>
            </w:r>
          </w:p>
        </w:tc>
        <w:tc>
          <w:tcPr>
            <w:tcW w:w="1465" w:type="dxa"/>
            <w:shd w:val="clear" w:color="auto" w:fill="auto"/>
            <w:noWrap/>
            <w:vAlign w:val="bottom"/>
            <w:hideMark/>
          </w:tcPr>
          <w:p w14:paraId="3B53C5A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7D399A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Population data</w:t>
            </w:r>
          </w:p>
        </w:tc>
        <w:tc>
          <w:tcPr>
            <w:tcW w:w="2245" w:type="dxa"/>
            <w:shd w:val="clear" w:color="auto" w:fill="auto"/>
            <w:noWrap/>
            <w:vAlign w:val="bottom"/>
            <w:hideMark/>
          </w:tcPr>
          <w:p w14:paraId="2BB95AC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Efficiency</w:t>
            </w:r>
          </w:p>
        </w:tc>
        <w:tc>
          <w:tcPr>
            <w:tcW w:w="4957" w:type="dxa"/>
            <w:vAlign w:val="bottom"/>
          </w:tcPr>
          <w:p w14:paraId="00DD55D9"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Extend the literature on measuring efficiency in primary health care by considering the influence of quality indicators and environmental variables conjointly in a case study</w:t>
            </w:r>
          </w:p>
        </w:tc>
      </w:tr>
      <w:tr w:rsidR="00405C60" w:rsidRPr="001D148E" w14:paraId="5F1E648F" w14:textId="77777777" w:rsidTr="009A37D3">
        <w:trPr>
          <w:trHeight w:val="359"/>
        </w:trPr>
        <w:tc>
          <w:tcPr>
            <w:tcW w:w="1504" w:type="dxa"/>
            <w:shd w:val="clear" w:color="auto" w:fill="auto"/>
            <w:noWrap/>
            <w:vAlign w:val="bottom"/>
            <w:hideMark/>
          </w:tcPr>
          <w:p w14:paraId="3009F45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Field KS et al</w:t>
            </w:r>
          </w:p>
        </w:tc>
        <w:tc>
          <w:tcPr>
            <w:tcW w:w="1219" w:type="dxa"/>
            <w:shd w:val="clear" w:color="auto" w:fill="auto"/>
            <w:noWrap/>
            <w:vAlign w:val="bottom"/>
            <w:hideMark/>
          </w:tcPr>
          <w:p w14:paraId="08EECE3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2002</w:t>
            </w:r>
          </w:p>
        </w:tc>
        <w:tc>
          <w:tcPr>
            <w:tcW w:w="1395" w:type="dxa"/>
            <w:shd w:val="clear" w:color="auto" w:fill="auto"/>
            <w:noWrap/>
            <w:vAlign w:val="bottom"/>
            <w:hideMark/>
          </w:tcPr>
          <w:p w14:paraId="4C6A31C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United Kingdom</w:t>
            </w:r>
          </w:p>
        </w:tc>
        <w:tc>
          <w:tcPr>
            <w:tcW w:w="1465" w:type="dxa"/>
            <w:shd w:val="clear" w:color="auto" w:fill="auto"/>
            <w:noWrap/>
            <w:vAlign w:val="bottom"/>
            <w:hideMark/>
          </w:tcPr>
          <w:p w14:paraId="21048DA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46BB7B9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 &amp; health worker</w:t>
            </w:r>
          </w:p>
        </w:tc>
        <w:tc>
          <w:tcPr>
            <w:tcW w:w="2245" w:type="dxa"/>
            <w:shd w:val="clear" w:color="auto" w:fill="auto"/>
            <w:noWrap/>
            <w:vAlign w:val="bottom"/>
            <w:hideMark/>
          </w:tcPr>
          <w:p w14:paraId="2181189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Accessibility </w:t>
            </w:r>
          </w:p>
        </w:tc>
        <w:tc>
          <w:tcPr>
            <w:tcW w:w="4957" w:type="dxa"/>
            <w:vAlign w:val="bottom"/>
          </w:tcPr>
          <w:p w14:paraId="709A00D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Socio-economic and locational determinants of accessibility and utilization of primary healthcare</w:t>
            </w:r>
          </w:p>
        </w:tc>
      </w:tr>
      <w:tr w:rsidR="00405C60" w:rsidRPr="001D148E" w14:paraId="1635C25F" w14:textId="77777777" w:rsidTr="009A37D3">
        <w:trPr>
          <w:trHeight w:val="251"/>
        </w:trPr>
        <w:tc>
          <w:tcPr>
            <w:tcW w:w="1504" w:type="dxa"/>
            <w:shd w:val="clear" w:color="auto" w:fill="auto"/>
            <w:noWrap/>
            <w:vAlign w:val="bottom"/>
            <w:hideMark/>
          </w:tcPr>
          <w:p w14:paraId="2C04ADE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Figueiredo DCMM et al</w:t>
            </w:r>
          </w:p>
        </w:tc>
        <w:tc>
          <w:tcPr>
            <w:tcW w:w="1219" w:type="dxa"/>
            <w:shd w:val="clear" w:color="auto" w:fill="auto"/>
            <w:noWrap/>
            <w:vAlign w:val="bottom"/>
            <w:hideMark/>
          </w:tcPr>
          <w:p w14:paraId="4A9106C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38BD1A0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499BE79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D115BE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1DFFC66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786A0459"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Describe the evaluation of patients that participated in the National Program for Improving the Access and Quality in Primary Health Care for the comprehensive healthcare, the bond and the coordination of care in the country’s macro-regions</w:t>
            </w:r>
          </w:p>
        </w:tc>
      </w:tr>
      <w:tr w:rsidR="00405C60" w:rsidRPr="001D148E" w14:paraId="7FF53E77" w14:textId="77777777" w:rsidTr="009A37D3">
        <w:trPr>
          <w:trHeight w:val="332"/>
        </w:trPr>
        <w:tc>
          <w:tcPr>
            <w:tcW w:w="1504" w:type="dxa"/>
            <w:shd w:val="clear" w:color="auto" w:fill="auto"/>
            <w:noWrap/>
            <w:vAlign w:val="bottom"/>
            <w:hideMark/>
          </w:tcPr>
          <w:p w14:paraId="276E69B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Gage Adet al</w:t>
            </w:r>
          </w:p>
        </w:tc>
        <w:tc>
          <w:tcPr>
            <w:tcW w:w="1219" w:type="dxa"/>
            <w:shd w:val="clear" w:color="auto" w:fill="auto"/>
            <w:noWrap/>
            <w:vAlign w:val="bottom"/>
            <w:hideMark/>
          </w:tcPr>
          <w:p w14:paraId="51D9611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1B6EE5F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Haiti</w:t>
            </w:r>
          </w:p>
        </w:tc>
        <w:tc>
          <w:tcPr>
            <w:tcW w:w="1465" w:type="dxa"/>
            <w:shd w:val="clear" w:color="auto" w:fill="auto"/>
            <w:noWrap/>
            <w:vAlign w:val="bottom"/>
            <w:hideMark/>
          </w:tcPr>
          <w:p w14:paraId="0878B4B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9BA43C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19C6D49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7BD6F15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How facility infrastructure and the quality of primary health care service delivery were associated with community utilization of primary health care services</w:t>
            </w:r>
          </w:p>
        </w:tc>
      </w:tr>
      <w:tr w:rsidR="00405C60" w:rsidRPr="001D148E" w14:paraId="1B9F5DEC" w14:textId="77777777" w:rsidTr="009A37D3">
        <w:trPr>
          <w:trHeight w:val="269"/>
        </w:trPr>
        <w:tc>
          <w:tcPr>
            <w:tcW w:w="1504" w:type="dxa"/>
            <w:shd w:val="clear" w:color="auto" w:fill="auto"/>
            <w:noWrap/>
            <w:vAlign w:val="bottom"/>
            <w:hideMark/>
          </w:tcPr>
          <w:p w14:paraId="7E6A4D5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Gonçalves MR et al</w:t>
            </w:r>
          </w:p>
        </w:tc>
        <w:tc>
          <w:tcPr>
            <w:tcW w:w="1219" w:type="dxa"/>
            <w:shd w:val="clear" w:color="auto" w:fill="auto"/>
            <w:noWrap/>
            <w:vAlign w:val="bottom"/>
            <w:hideMark/>
          </w:tcPr>
          <w:p w14:paraId="4F261B6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03F5668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786B206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40C72E0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Patients</w:t>
            </w:r>
          </w:p>
        </w:tc>
        <w:tc>
          <w:tcPr>
            <w:tcW w:w="2245" w:type="dxa"/>
            <w:shd w:val="clear" w:color="auto" w:fill="auto"/>
            <w:noWrap/>
            <w:vAlign w:val="bottom"/>
            <w:hideMark/>
          </w:tcPr>
          <w:p w14:paraId="343E240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4EF8033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Investigate the relation of hospitalization for ambulatory care sensitive conditions (ACSC) with the quality of public primary care health services</w:t>
            </w:r>
          </w:p>
        </w:tc>
      </w:tr>
      <w:tr w:rsidR="00405C60" w:rsidRPr="001D148E" w14:paraId="5694C226" w14:textId="77777777" w:rsidTr="009A37D3">
        <w:trPr>
          <w:trHeight w:val="341"/>
        </w:trPr>
        <w:tc>
          <w:tcPr>
            <w:tcW w:w="1504" w:type="dxa"/>
            <w:shd w:val="clear" w:color="auto" w:fill="auto"/>
            <w:noWrap/>
            <w:vAlign w:val="bottom"/>
            <w:hideMark/>
          </w:tcPr>
          <w:p w14:paraId="4BE2E88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Goni S </w:t>
            </w:r>
          </w:p>
        </w:tc>
        <w:tc>
          <w:tcPr>
            <w:tcW w:w="1219" w:type="dxa"/>
            <w:shd w:val="clear" w:color="auto" w:fill="auto"/>
            <w:noWrap/>
            <w:vAlign w:val="bottom"/>
            <w:hideMark/>
          </w:tcPr>
          <w:p w14:paraId="5AFF229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1999</w:t>
            </w:r>
          </w:p>
        </w:tc>
        <w:tc>
          <w:tcPr>
            <w:tcW w:w="1395" w:type="dxa"/>
            <w:shd w:val="clear" w:color="auto" w:fill="auto"/>
            <w:noWrap/>
            <w:vAlign w:val="bottom"/>
            <w:hideMark/>
          </w:tcPr>
          <w:p w14:paraId="08DEC06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Spain</w:t>
            </w:r>
          </w:p>
        </w:tc>
        <w:tc>
          <w:tcPr>
            <w:tcW w:w="1465" w:type="dxa"/>
            <w:shd w:val="clear" w:color="auto" w:fill="auto"/>
            <w:noWrap/>
            <w:vAlign w:val="bottom"/>
            <w:hideMark/>
          </w:tcPr>
          <w:p w14:paraId="6487856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E14DE4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Teams (health worker)</w:t>
            </w:r>
          </w:p>
        </w:tc>
        <w:tc>
          <w:tcPr>
            <w:tcW w:w="2245" w:type="dxa"/>
            <w:shd w:val="clear" w:color="auto" w:fill="auto"/>
            <w:noWrap/>
            <w:vAlign w:val="bottom"/>
            <w:hideMark/>
          </w:tcPr>
          <w:p w14:paraId="419F8C2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Effectiveness </w:t>
            </w:r>
          </w:p>
        </w:tc>
        <w:tc>
          <w:tcPr>
            <w:tcW w:w="4957" w:type="dxa"/>
            <w:vAlign w:val="bottom"/>
          </w:tcPr>
          <w:p w14:paraId="20CF9506"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Observe how the introduction of one tool traditionally used in the private sector, the organisation of work through teams, can contribute to improved performance in public health services.</w:t>
            </w:r>
          </w:p>
        </w:tc>
      </w:tr>
      <w:tr w:rsidR="00405C60" w:rsidRPr="001D148E" w14:paraId="5F8914E0" w14:textId="77777777" w:rsidTr="009A37D3">
        <w:trPr>
          <w:trHeight w:val="242"/>
        </w:trPr>
        <w:tc>
          <w:tcPr>
            <w:tcW w:w="1504" w:type="dxa"/>
            <w:shd w:val="clear" w:color="auto" w:fill="auto"/>
            <w:noWrap/>
            <w:vAlign w:val="bottom"/>
            <w:hideMark/>
          </w:tcPr>
          <w:p w14:paraId="30A5184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Hadded S et al</w:t>
            </w:r>
          </w:p>
        </w:tc>
        <w:tc>
          <w:tcPr>
            <w:tcW w:w="1219" w:type="dxa"/>
            <w:shd w:val="clear" w:color="auto" w:fill="auto"/>
            <w:noWrap/>
            <w:vAlign w:val="bottom"/>
            <w:hideMark/>
          </w:tcPr>
          <w:p w14:paraId="48A0165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1998</w:t>
            </w:r>
          </w:p>
        </w:tc>
        <w:tc>
          <w:tcPr>
            <w:tcW w:w="1395" w:type="dxa"/>
            <w:shd w:val="clear" w:color="auto" w:fill="auto"/>
            <w:noWrap/>
            <w:vAlign w:val="bottom"/>
            <w:hideMark/>
          </w:tcPr>
          <w:p w14:paraId="4086895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Guinea</w:t>
            </w:r>
          </w:p>
        </w:tc>
        <w:tc>
          <w:tcPr>
            <w:tcW w:w="1465" w:type="dxa"/>
            <w:shd w:val="clear" w:color="auto" w:fill="auto"/>
            <w:noWrap/>
            <w:vAlign w:val="bottom"/>
            <w:hideMark/>
          </w:tcPr>
          <w:p w14:paraId="0450624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1AD6AE5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w:t>
            </w:r>
          </w:p>
        </w:tc>
        <w:tc>
          <w:tcPr>
            <w:tcW w:w="2245" w:type="dxa"/>
            <w:shd w:val="clear" w:color="auto" w:fill="auto"/>
            <w:noWrap/>
            <w:vAlign w:val="bottom"/>
            <w:hideMark/>
          </w:tcPr>
          <w:p w14:paraId="38EBC93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48938CB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Identify, characterize, and classify the criteria that the public uses to judge the quality of primary health care (PHC) services</w:t>
            </w:r>
          </w:p>
        </w:tc>
      </w:tr>
      <w:tr w:rsidR="00405C60" w:rsidRPr="001D148E" w14:paraId="37C1E935" w14:textId="77777777" w:rsidTr="009A37D3">
        <w:trPr>
          <w:trHeight w:val="60"/>
        </w:trPr>
        <w:tc>
          <w:tcPr>
            <w:tcW w:w="1504" w:type="dxa"/>
            <w:shd w:val="clear" w:color="auto" w:fill="auto"/>
            <w:noWrap/>
            <w:vAlign w:val="bottom"/>
            <w:hideMark/>
          </w:tcPr>
          <w:p w14:paraId="28F2C68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Haggerty JL et al</w:t>
            </w:r>
          </w:p>
        </w:tc>
        <w:tc>
          <w:tcPr>
            <w:tcW w:w="1219" w:type="dxa"/>
            <w:shd w:val="clear" w:color="auto" w:fill="auto"/>
            <w:noWrap/>
            <w:vAlign w:val="bottom"/>
            <w:hideMark/>
          </w:tcPr>
          <w:p w14:paraId="04B69A7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2008</w:t>
            </w:r>
          </w:p>
        </w:tc>
        <w:tc>
          <w:tcPr>
            <w:tcW w:w="1395" w:type="dxa"/>
            <w:shd w:val="clear" w:color="auto" w:fill="auto"/>
            <w:noWrap/>
            <w:vAlign w:val="bottom"/>
            <w:hideMark/>
          </w:tcPr>
          <w:p w14:paraId="6C4F5E0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3BD80EB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ABA1F6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Clients and health worker </w:t>
            </w:r>
          </w:p>
        </w:tc>
        <w:tc>
          <w:tcPr>
            <w:tcW w:w="2245" w:type="dxa"/>
            <w:shd w:val="clear" w:color="auto" w:fill="auto"/>
            <w:noWrap/>
            <w:vAlign w:val="bottom"/>
            <w:hideMark/>
          </w:tcPr>
          <w:p w14:paraId="0154B6B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 continuity, coordination</w:t>
            </w:r>
          </w:p>
        </w:tc>
        <w:tc>
          <w:tcPr>
            <w:tcW w:w="4957" w:type="dxa"/>
            <w:vAlign w:val="bottom"/>
          </w:tcPr>
          <w:p w14:paraId="29F1AE8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Identify attributes of clinic organization and physician practice that predict accessibility, continuity, and coordination of care as experienced by patients</w:t>
            </w:r>
          </w:p>
        </w:tc>
      </w:tr>
      <w:tr w:rsidR="00405C60" w:rsidRPr="001D148E" w14:paraId="1290D739" w14:textId="77777777" w:rsidTr="009A37D3">
        <w:trPr>
          <w:trHeight w:val="80"/>
        </w:trPr>
        <w:tc>
          <w:tcPr>
            <w:tcW w:w="1504" w:type="dxa"/>
            <w:shd w:val="clear" w:color="auto" w:fill="auto"/>
            <w:noWrap/>
            <w:vAlign w:val="bottom"/>
            <w:hideMark/>
          </w:tcPr>
          <w:p w14:paraId="251C6C0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Hove J et al</w:t>
            </w:r>
          </w:p>
        </w:tc>
        <w:tc>
          <w:tcPr>
            <w:tcW w:w="1219" w:type="dxa"/>
            <w:shd w:val="clear" w:color="auto" w:fill="auto"/>
            <w:noWrap/>
            <w:vAlign w:val="bottom"/>
            <w:hideMark/>
          </w:tcPr>
          <w:p w14:paraId="4E68717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17D62C9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South Africa</w:t>
            </w:r>
          </w:p>
        </w:tc>
        <w:tc>
          <w:tcPr>
            <w:tcW w:w="1465" w:type="dxa"/>
            <w:shd w:val="clear" w:color="auto" w:fill="auto"/>
            <w:noWrap/>
            <w:vAlign w:val="bottom"/>
            <w:hideMark/>
          </w:tcPr>
          <w:p w14:paraId="0E7A4DF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050DC8C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7CDC888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336DB3A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Provide evidence on forms, extents, contexts and dynamics of community participation in primary health care (PHC) and water governance</w:t>
            </w:r>
          </w:p>
        </w:tc>
      </w:tr>
      <w:tr w:rsidR="00405C60" w:rsidRPr="001D148E" w14:paraId="0F232E20" w14:textId="77777777" w:rsidTr="009A37D3">
        <w:trPr>
          <w:trHeight w:val="60"/>
        </w:trPr>
        <w:tc>
          <w:tcPr>
            <w:tcW w:w="1504" w:type="dxa"/>
            <w:shd w:val="clear" w:color="auto" w:fill="auto"/>
            <w:noWrap/>
            <w:vAlign w:val="bottom"/>
            <w:hideMark/>
          </w:tcPr>
          <w:p w14:paraId="599D4DD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Heard A et al </w:t>
            </w:r>
          </w:p>
        </w:tc>
        <w:tc>
          <w:tcPr>
            <w:tcW w:w="1219" w:type="dxa"/>
            <w:shd w:val="clear" w:color="auto" w:fill="auto"/>
            <w:noWrap/>
            <w:vAlign w:val="bottom"/>
            <w:hideMark/>
          </w:tcPr>
          <w:p w14:paraId="02C1254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2013</w:t>
            </w:r>
          </w:p>
        </w:tc>
        <w:tc>
          <w:tcPr>
            <w:tcW w:w="1395" w:type="dxa"/>
            <w:shd w:val="clear" w:color="auto" w:fill="auto"/>
            <w:noWrap/>
            <w:vAlign w:val="bottom"/>
            <w:hideMark/>
          </w:tcPr>
          <w:p w14:paraId="46BFD04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Bangladesh</w:t>
            </w:r>
          </w:p>
        </w:tc>
        <w:tc>
          <w:tcPr>
            <w:tcW w:w="1465" w:type="dxa"/>
            <w:shd w:val="clear" w:color="auto" w:fill="auto"/>
            <w:noWrap/>
            <w:vAlign w:val="bottom"/>
            <w:hideMark/>
          </w:tcPr>
          <w:p w14:paraId="47A662E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552D155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 households</w:t>
            </w:r>
          </w:p>
        </w:tc>
        <w:tc>
          <w:tcPr>
            <w:tcW w:w="2245" w:type="dxa"/>
            <w:shd w:val="clear" w:color="auto" w:fill="auto"/>
            <w:noWrap/>
            <w:vAlign w:val="bottom"/>
            <w:hideMark/>
          </w:tcPr>
          <w:p w14:paraId="3D990AF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 cost effectiveness, quality of care</w:t>
            </w:r>
          </w:p>
        </w:tc>
        <w:tc>
          <w:tcPr>
            <w:tcW w:w="4957" w:type="dxa"/>
            <w:vAlign w:val="bottom"/>
          </w:tcPr>
          <w:p w14:paraId="334592F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a large, ongoing effort to improve urban primary health care (PHC) in Bangladesh through expansion of publicly funded urban health facilities and contracting with partner non-governmental organisations (NGOs)</w:t>
            </w:r>
          </w:p>
        </w:tc>
      </w:tr>
      <w:tr w:rsidR="00405C60" w:rsidRPr="001D148E" w14:paraId="4CB832E4" w14:textId="77777777" w:rsidTr="009A37D3">
        <w:trPr>
          <w:trHeight w:val="60"/>
        </w:trPr>
        <w:tc>
          <w:tcPr>
            <w:tcW w:w="1504" w:type="dxa"/>
            <w:shd w:val="clear" w:color="auto" w:fill="auto"/>
            <w:noWrap/>
            <w:vAlign w:val="bottom"/>
            <w:hideMark/>
          </w:tcPr>
          <w:p w14:paraId="53AD3DC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Higgs G et al</w:t>
            </w:r>
          </w:p>
        </w:tc>
        <w:tc>
          <w:tcPr>
            <w:tcW w:w="1219" w:type="dxa"/>
            <w:shd w:val="clear" w:color="auto" w:fill="auto"/>
            <w:noWrap/>
            <w:vAlign w:val="bottom"/>
            <w:hideMark/>
          </w:tcPr>
          <w:p w14:paraId="3828691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01556B9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United Kingdom</w:t>
            </w:r>
          </w:p>
        </w:tc>
        <w:tc>
          <w:tcPr>
            <w:tcW w:w="1465" w:type="dxa"/>
            <w:shd w:val="clear" w:color="auto" w:fill="auto"/>
            <w:noWrap/>
            <w:vAlign w:val="bottom"/>
            <w:hideMark/>
          </w:tcPr>
          <w:p w14:paraId="450DECA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423BB5B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07B792B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288335EB"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 variations in geographical accessibility to general practitioner (GP) surgeries offering appointment times outside of ‘core’ operating hours.</w:t>
            </w:r>
          </w:p>
        </w:tc>
      </w:tr>
      <w:tr w:rsidR="00405C60" w:rsidRPr="001D148E" w14:paraId="17AC7FA2" w14:textId="77777777" w:rsidTr="009A37D3">
        <w:trPr>
          <w:trHeight w:val="60"/>
        </w:trPr>
        <w:tc>
          <w:tcPr>
            <w:tcW w:w="1504" w:type="dxa"/>
            <w:shd w:val="clear" w:color="auto" w:fill="auto"/>
            <w:noWrap/>
            <w:vAlign w:val="bottom"/>
            <w:hideMark/>
          </w:tcPr>
          <w:p w14:paraId="5185295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Isaksson D et al </w:t>
            </w:r>
          </w:p>
        </w:tc>
        <w:tc>
          <w:tcPr>
            <w:tcW w:w="1219" w:type="dxa"/>
            <w:shd w:val="clear" w:color="auto" w:fill="auto"/>
            <w:noWrap/>
            <w:vAlign w:val="bottom"/>
            <w:hideMark/>
          </w:tcPr>
          <w:p w14:paraId="7C9010F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3DE811E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Sweden</w:t>
            </w:r>
          </w:p>
        </w:tc>
        <w:tc>
          <w:tcPr>
            <w:tcW w:w="1465" w:type="dxa"/>
            <w:shd w:val="clear" w:color="auto" w:fill="auto"/>
            <w:noWrap/>
            <w:vAlign w:val="bottom"/>
            <w:hideMark/>
          </w:tcPr>
          <w:p w14:paraId="0B037EB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02039D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Geographical site, where HF located</w:t>
            </w:r>
          </w:p>
        </w:tc>
        <w:tc>
          <w:tcPr>
            <w:tcW w:w="2245" w:type="dxa"/>
            <w:shd w:val="clear" w:color="auto" w:fill="auto"/>
            <w:noWrap/>
            <w:vAlign w:val="bottom"/>
            <w:hideMark/>
          </w:tcPr>
          <w:p w14:paraId="0F5802B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3E6DDC6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 how the primary care choice reform has affected geographical equity by analysing patterns of establishment on the part of new private providers.</w:t>
            </w:r>
          </w:p>
        </w:tc>
      </w:tr>
      <w:tr w:rsidR="00405C60" w:rsidRPr="001D148E" w14:paraId="493B0CFF" w14:textId="77777777" w:rsidTr="009A37D3">
        <w:trPr>
          <w:trHeight w:val="251"/>
        </w:trPr>
        <w:tc>
          <w:tcPr>
            <w:tcW w:w="1504" w:type="dxa"/>
            <w:shd w:val="clear" w:color="auto" w:fill="auto"/>
            <w:noWrap/>
            <w:vAlign w:val="bottom"/>
            <w:hideMark/>
          </w:tcPr>
          <w:p w14:paraId="4FA9302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Iyanda OF &amp; Akinyemi</w:t>
            </w:r>
          </w:p>
        </w:tc>
        <w:tc>
          <w:tcPr>
            <w:tcW w:w="1219" w:type="dxa"/>
            <w:shd w:val="clear" w:color="auto" w:fill="auto"/>
            <w:noWrap/>
            <w:vAlign w:val="bottom"/>
            <w:hideMark/>
          </w:tcPr>
          <w:p w14:paraId="28A870B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60F96A6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Nigeria</w:t>
            </w:r>
          </w:p>
        </w:tc>
        <w:tc>
          <w:tcPr>
            <w:tcW w:w="1465" w:type="dxa"/>
            <w:shd w:val="clear" w:color="auto" w:fill="auto"/>
            <w:noWrap/>
            <w:vAlign w:val="bottom"/>
            <w:hideMark/>
          </w:tcPr>
          <w:p w14:paraId="5B73112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686535E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and health worker</w:t>
            </w:r>
          </w:p>
        </w:tc>
        <w:tc>
          <w:tcPr>
            <w:tcW w:w="2245" w:type="dxa"/>
            <w:shd w:val="clear" w:color="auto" w:fill="auto"/>
            <w:noWrap/>
            <w:vAlign w:val="bottom"/>
            <w:hideMark/>
          </w:tcPr>
          <w:p w14:paraId="0DD1654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35278C38"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the process  indicators  and other  factors  influencing  community  participation  in  the  delivery  of  primary  health  care</w:t>
            </w:r>
          </w:p>
        </w:tc>
      </w:tr>
      <w:tr w:rsidR="00405C60" w:rsidRPr="001D148E" w14:paraId="2E32EA37" w14:textId="77777777" w:rsidTr="009A37D3">
        <w:trPr>
          <w:trHeight w:val="242"/>
        </w:trPr>
        <w:tc>
          <w:tcPr>
            <w:tcW w:w="1504" w:type="dxa"/>
            <w:shd w:val="clear" w:color="auto" w:fill="auto"/>
            <w:noWrap/>
            <w:vAlign w:val="bottom"/>
            <w:hideMark/>
          </w:tcPr>
          <w:p w14:paraId="796E658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Jatrana S &amp; Crampton P</w:t>
            </w:r>
          </w:p>
        </w:tc>
        <w:tc>
          <w:tcPr>
            <w:tcW w:w="1219" w:type="dxa"/>
            <w:shd w:val="clear" w:color="auto" w:fill="auto"/>
            <w:noWrap/>
            <w:vAlign w:val="bottom"/>
            <w:hideMark/>
          </w:tcPr>
          <w:p w14:paraId="1B39020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2009</w:t>
            </w:r>
          </w:p>
        </w:tc>
        <w:tc>
          <w:tcPr>
            <w:tcW w:w="1395" w:type="dxa"/>
            <w:shd w:val="clear" w:color="auto" w:fill="auto"/>
            <w:noWrap/>
            <w:vAlign w:val="bottom"/>
            <w:hideMark/>
          </w:tcPr>
          <w:p w14:paraId="750F52E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New Zealand</w:t>
            </w:r>
          </w:p>
        </w:tc>
        <w:tc>
          <w:tcPr>
            <w:tcW w:w="1465" w:type="dxa"/>
            <w:shd w:val="clear" w:color="auto" w:fill="auto"/>
            <w:noWrap/>
            <w:vAlign w:val="bottom"/>
            <w:hideMark/>
          </w:tcPr>
          <w:p w14:paraId="67EC66F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33820D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4B51FBD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2337C95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Examined the demographic, socioeconomic, health behaviour and health determinants of financial barriers to access to general practitioner services, prescription drugs and dental care in New Zealand (NZ).</w:t>
            </w:r>
          </w:p>
        </w:tc>
      </w:tr>
      <w:tr w:rsidR="00405C60" w:rsidRPr="001D148E" w14:paraId="76D2A177" w14:textId="77777777" w:rsidTr="009A37D3">
        <w:trPr>
          <w:trHeight w:val="233"/>
        </w:trPr>
        <w:tc>
          <w:tcPr>
            <w:tcW w:w="1504" w:type="dxa"/>
            <w:shd w:val="clear" w:color="auto" w:fill="auto"/>
            <w:noWrap/>
            <w:vAlign w:val="bottom"/>
            <w:hideMark/>
          </w:tcPr>
          <w:p w14:paraId="725005E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Joshi C et al</w:t>
            </w:r>
          </w:p>
        </w:tc>
        <w:tc>
          <w:tcPr>
            <w:tcW w:w="1219" w:type="dxa"/>
            <w:shd w:val="clear" w:color="auto" w:fill="auto"/>
            <w:noWrap/>
            <w:vAlign w:val="bottom"/>
            <w:hideMark/>
          </w:tcPr>
          <w:p w14:paraId="02FEC15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2013</w:t>
            </w:r>
          </w:p>
        </w:tc>
        <w:tc>
          <w:tcPr>
            <w:tcW w:w="1395" w:type="dxa"/>
            <w:shd w:val="clear" w:color="auto" w:fill="auto"/>
            <w:noWrap/>
            <w:vAlign w:val="bottom"/>
            <w:hideMark/>
          </w:tcPr>
          <w:p w14:paraId="024CD5D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Multicounty</w:t>
            </w:r>
          </w:p>
        </w:tc>
        <w:tc>
          <w:tcPr>
            <w:tcW w:w="1465" w:type="dxa"/>
            <w:shd w:val="clear" w:color="auto" w:fill="auto"/>
            <w:noWrap/>
            <w:vAlign w:val="bottom"/>
            <w:hideMark/>
          </w:tcPr>
          <w:p w14:paraId="58B476C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1E3D2FF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2C66D99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 quality of care, coordination</w:t>
            </w:r>
          </w:p>
        </w:tc>
        <w:tc>
          <w:tcPr>
            <w:tcW w:w="4957" w:type="dxa"/>
            <w:vAlign w:val="bottom"/>
          </w:tcPr>
          <w:p w14:paraId="00B6908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Identify the components of primary health care service delivery models for such populations which have been effective in improving access, quality and coordination of care</w:t>
            </w:r>
          </w:p>
        </w:tc>
      </w:tr>
      <w:tr w:rsidR="00405C60" w:rsidRPr="001D148E" w14:paraId="5F582C5D" w14:textId="77777777" w:rsidTr="009A37D3">
        <w:trPr>
          <w:trHeight w:val="134"/>
        </w:trPr>
        <w:tc>
          <w:tcPr>
            <w:tcW w:w="1504" w:type="dxa"/>
            <w:shd w:val="clear" w:color="auto" w:fill="auto"/>
            <w:noWrap/>
            <w:vAlign w:val="bottom"/>
            <w:hideMark/>
          </w:tcPr>
          <w:p w14:paraId="0989550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Kaag MEC et al</w:t>
            </w:r>
          </w:p>
        </w:tc>
        <w:tc>
          <w:tcPr>
            <w:tcW w:w="1219" w:type="dxa"/>
            <w:shd w:val="clear" w:color="auto" w:fill="auto"/>
            <w:noWrap/>
            <w:vAlign w:val="bottom"/>
            <w:hideMark/>
          </w:tcPr>
          <w:p w14:paraId="7490E50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1996</w:t>
            </w:r>
          </w:p>
        </w:tc>
        <w:tc>
          <w:tcPr>
            <w:tcW w:w="1395" w:type="dxa"/>
            <w:shd w:val="clear" w:color="auto" w:fill="auto"/>
            <w:noWrap/>
            <w:vAlign w:val="bottom"/>
            <w:hideMark/>
          </w:tcPr>
          <w:p w14:paraId="75AE5F4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Netherlands</w:t>
            </w:r>
          </w:p>
        </w:tc>
        <w:tc>
          <w:tcPr>
            <w:tcW w:w="1465" w:type="dxa"/>
            <w:shd w:val="clear" w:color="auto" w:fill="auto"/>
            <w:noWrap/>
            <w:vAlign w:val="bottom"/>
            <w:hideMark/>
          </w:tcPr>
          <w:p w14:paraId="3D8A3A2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AE6B54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Patients</w:t>
            </w:r>
          </w:p>
        </w:tc>
        <w:tc>
          <w:tcPr>
            <w:tcW w:w="2245" w:type="dxa"/>
            <w:shd w:val="clear" w:color="auto" w:fill="auto"/>
            <w:noWrap/>
            <w:vAlign w:val="bottom"/>
            <w:hideMark/>
          </w:tcPr>
          <w:p w14:paraId="7FC531F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4B1AD487"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Assessing quality of care of shorted hospital stays with home care by the community nurse and/or the genral practitioner (GP)</w:t>
            </w:r>
          </w:p>
        </w:tc>
      </w:tr>
      <w:tr w:rsidR="00405C60" w:rsidRPr="001D148E" w14:paraId="569E52D8" w14:textId="77777777" w:rsidTr="009A37D3">
        <w:trPr>
          <w:trHeight w:val="215"/>
        </w:trPr>
        <w:tc>
          <w:tcPr>
            <w:tcW w:w="1504" w:type="dxa"/>
            <w:shd w:val="clear" w:color="auto" w:fill="auto"/>
            <w:noWrap/>
            <w:vAlign w:val="bottom"/>
            <w:hideMark/>
          </w:tcPr>
          <w:p w14:paraId="09FB2E0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Khakh AK et al</w:t>
            </w:r>
          </w:p>
        </w:tc>
        <w:tc>
          <w:tcPr>
            <w:tcW w:w="1219" w:type="dxa"/>
            <w:shd w:val="clear" w:color="auto" w:fill="auto"/>
            <w:noWrap/>
            <w:vAlign w:val="bottom"/>
            <w:hideMark/>
          </w:tcPr>
          <w:p w14:paraId="0420AE1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74C4488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291F538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1D394C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Geographical site and HF </w:t>
            </w:r>
          </w:p>
        </w:tc>
        <w:tc>
          <w:tcPr>
            <w:tcW w:w="2245" w:type="dxa"/>
            <w:shd w:val="clear" w:color="auto" w:fill="auto"/>
            <w:noWrap/>
            <w:vAlign w:val="bottom"/>
            <w:hideMark/>
          </w:tcPr>
          <w:p w14:paraId="1CFFFF2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23ED0324"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spatial accessibility of PHC</w:t>
            </w:r>
          </w:p>
        </w:tc>
      </w:tr>
      <w:tr w:rsidR="00405C60" w:rsidRPr="001D148E" w14:paraId="6CEF4794" w14:textId="77777777" w:rsidTr="009A37D3">
        <w:trPr>
          <w:trHeight w:val="197"/>
        </w:trPr>
        <w:tc>
          <w:tcPr>
            <w:tcW w:w="1504" w:type="dxa"/>
            <w:shd w:val="clear" w:color="auto" w:fill="auto"/>
            <w:noWrap/>
            <w:vAlign w:val="bottom"/>
            <w:hideMark/>
          </w:tcPr>
          <w:p w14:paraId="12DD0F5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Kila´nska D et al</w:t>
            </w:r>
          </w:p>
        </w:tc>
        <w:tc>
          <w:tcPr>
            <w:tcW w:w="1219" w:type="dxa"/>
            <w:shd w:val="clear" w:color="auto" w:fill="auto"/>
            <w:noWrap/>
            <w:vAlign w:val="bottom"/>
            <w:hideMark/>
          </w:tcPr>
          <w:p w14:paraId="45A28BD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07DCA8E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Poland</w:t>
            </w:r>
          </w:p>
        </w:tc>
        <w:tc>
          <w:tcPr>
            <w:tcW w:w="1465" w:type="dxa"/>
            <w:shd w:val="clear" w:color="auto" w:fill="auto"/>
            <w:noWrap/>
            <w:vAlign w:val="bottom"/>
            <w:hideMark/>
          </w:tcPr>
          <w:p w14:paraId="3747826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4D635C6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Medical record</w:t>
            </w:r>
          </w:p>
        </w:tc>
        <w:tc>
          <w:tcPr>
            <w:tcW w:w="2245" w:type="dxa"/>
            <w:shd w:val="clear" w:color="auto" w:fill="auto"/>
            <w:noWrap/>
            <w:vAlign w:val="bottom"/>
            <w:hideMark/>
          </w:tcPr>
          <w:p w14:paraId="77DC95D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646E0CD6"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 Assess the impact of structural changes which increased the nurses’ competences on the accessibility to prescription visits for patients receiving primary healthcare on the example of Medical and Diagnostic Centre, and to discuss the general trend of legal changes in nursing profession regulations</w:t>
            </w:r>
          </w:p>
        </w:tc>
      </w:tr>
      <w:tr w:rsidR="00405C60" w:rsidRPr="001D148E" w14:paraId="38E5E150" w14:textId="77777777" w:rsidTr="009A37D3">
        <w:trPr>
          <w:trHeight w:val="197"/>
        </w:trPr>
        <w:tc>
          <w:tcPr>
            <w:tcW w:w="1504" w:type="dxa"/>
            <w:shd w:val="clear" w:color="auto" w:fill="auto"/>
            <w:noWrap/>
            <w:vAlign w:val="bottom"/>
            <w:hideMark/>
          </w:tcPr>
          <w:p w14:paraId="3299F0C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Kironde S &amp; Kahirimbanyi M</w:t>
            </w:r>
          </w:p>
        </w:tc>
        <w:tc>
          <w:tcPr>
            <w:tcW w:w="1219" w:type="dxa"/>
            <w:shd w:val="clear" w:color="auto" w:fill="auto"/>
            <w:noWrap/>
            <w:vAlign w:val="bottom"/>
            <w:hideMark/>
          </w:tcPr>
          <w:p w14:paraId="56B7C20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2002</w:t>
            </w:r>
          </w:p>
        </w:tc>
        <w:tc>
          <w:tcPr>
            <w:tcW w:w="1395" w:type="dxa"/>
            <w:shd w:val="clear" w:color="auto" w:fill="auto"/>
            <w:noWrap/>
            <w:vAlign w:val="bottom"/>
            <w:hideMark/>
          </w:tcPr>
          <w:p w14:paraId="629AC94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South Africa</w:t>
            </w:r>
          </w:p>
        </w:tc>
        <w:tc>
          <w:tcPr>
            <w:tcW w:w="1465" w:type="dxa"/>
            <w:shd w:val="clear" w:color="auto" w:fill="auto"/>
            <w:noWrap/>
            <w:vAlign w:val="bottom"/>
            <w:hideMark/>
          </w:tcPr>
          <w:p w14:paraId="6727861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251465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&amp; health worker</w:t>
            </w:r>
          </w:p>
        </w:tc>
        <w:tc>
          <w:tcPr>
            <w:tcW w:w="2245" w:type="dxa"/>
            <w:shd w:val="clear" w:color="auto" w:fill="auto"/>
            <w:noWrap/>
            <w:vAlign w:val="bottom"/>
            <w:hideMark/>
          </w:tcPr>
          <w:p w14:paraId="3304C48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58F48D84"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Explore the feasibility of community participation in a high-burden Tuberculosis Control Programme and to establish how supervision of treatment by lay volunteers compares with other methods of tuberculosis treatment delivery</w:t>
            </w:r>
          </w:p>
        </w:tc>
      </w:tr>
      <w:tr w:rsidR="00405C60" w:rsidRPr="001D148E" w14:paraId="1AF25EE9" w14:textId="77777777" w:rsidTr="009A37D3">
        <w:trPr>
          <w:trHeight w:val="107"/>
        </w:trPr>
        <w:tc>
          <w:tcPr>
            <w:tcW w:w="1504" w:type="dxa"/>
            <w:shd w:val="clear" w:color="auto" w:fill="auto"/>
            <w:noWrap/>
            <w:vAlign w:val="bottom"/>
            <w:hideMark/>
          </w:tcPr>
          <w:p w14:paraId="6601842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Krztoń-Królewiecka A et al</w:t>
            </w:r>
          </w:p>
        </w:tc>
        <w:tc>
          <w:tcPr>
            <w:tcW w:w="1219" w:type="dxa"/>
            <w:shd w:val="clear" w:color="auto" w:fill="auto"/>
            <w:noWrap/>
            <w:vAlign w:val="bottom"/>
            <w:hideMark/>
          </w:tcPr>
          <w:p w14:paraId="633831B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7DD95B3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Poland</w:t>
            </w:r>
          </w:p>
        </w:tc>
        <w:tc>
          <w:tcPr>
            <w:tcW w:w="1465" w:type="dxa"/>
            <w:shd w:val="clear" w:color="auto" w:fill="auto"/>
            <w:noWrap/>
            <w:vAlign w:val="bottom"/>
            <w:hideMark/>
          </w:tcPr>
          <w:p w14:paraId="168CCC8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28F53F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w:t>
            </w:r>
          </w:p>
        </w:tc>
        <w:tc>
          <w:tcPr>
            <w:tcW w:w="2245" w:type="dxa"/>
            <w:shd w:val="clear" w:color="auto" w:fill="auto"/>
            <w:noWrap/>
            <w:vAlign w:val="bottom"/>
            <w:hideMark/>
          </w:tcPr>
          <w:p w14:paraId="3F94634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 accessibility, comprehensiveness, continuity, coordination, efficiency, equity, cost effectiveness</w:t>
            </w:r>
          </w:p>
        </w:tc>
        <w:tc>
          <w:tcPr>
            <w:tcW w:w="4957" w:type="dxa"/>
            <w:vAlign w:val="bottom"/>
          </w:tcPr>
          <w:p w14:paraId="3AB05D26"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Analyze the insight of nine core dimensions of Polish PC system: “Economic conditions”, “Workforce”, “Accessibility”, “Comprehensiveness”, “Continuity”, “Coordination”, “Quality of care”, “Efficiency” and“Equity” and to identify the characteristics of the providing physicians that influence their perception of the quality of care</w:t>
            </w:r>
          </w:p>
        </w:tc>
      </w:tr>
      <w:tr w:rsidR="00405C60" w:rsidRPr="001D148E" w14:paraId="49F6F23D" w14:textId="77777777" w:rsidTr="009A37D3">
        <w:trPr>
          <w:trHeight w:val="197"/>
        </w:trPr>
        <w:tc>
          <w:tcPr>
            <w:tcW w:w="1504" w:type="dxa"/>
            <w:shd w:val="clear" w:color="auto" w:fill="auto"/>
            <w:noWrap/>
            <w:vAlign w:val="bottom"/>
            <w:hideMark/>
          </w:tcPr>
          <w:p w14:paraId="5F2FDDE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Kurpas D et al</w:t>
            </w:r>
          </w:p>
        </w:tc>
        <w:tc>
          <w:tcPr>
            <w:tcW w:w="1219" w:type="dxa"/>
            <w:shd w:val="clear" w:color="auto" w:fill="auto"/>
            <w:noWrap/>
            <w:vAlign w:val="bottom"/>
            <w:hideMark/>
          </w:tcPr>
          <w:p w14:paraId="4A607E7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2013</w:t>
            </w:r>
          </w:p>
        </w:tc>
        <w:tc>
          <w:tcPr>
            <w:tcW w:w="1395" w:type="dxa"/>
            <w:shd w:val="clear" w:color="auto" w:fill="auto"/>
            <w:noWrap/>
            <w:vAlign w:val="bottom"/>
            <w:hideMark/>
          </w:tcPr>
          <w:p w14:paraId="72DFB69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Poland</w:t>
            </w:r>
          </w:p>
        </w:tc>
        <w:tc>
          <w:tcPr>
            <w:tcW w:w="1465" w:type="dxa"/>
            <w:shd w:val="clear" w:color="auto" w:fill="auto"/>
            <w:noWrap/>
            <w:vAlign w:val="bottom"/>
            <w:hideMark/>
          </w:tcPr>
          <w:p w14:paraId="0B6D0DF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1BD4BF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Patients</w:t>
            </w:r>
          </w:p>
        </w:tc>
        <w:tc>
          <w:tcPr>
            <w:tcW w:w="2245" w:type="dxa"/>
            <w:shd w:val="clear" w:color="auto" w:fill="auto"/>
            <w:noWrap/>
            <w:vAlign w:val="bottom"/>
            <w:hideMark/>
          </w:tcPr>
          <w:p w14:paraId="0617318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42D3948E"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correlations between patients’ characteristics and their assessments of the quality of health care and to identify the primary factors influencing the quality of care for chronically ill patients.</w:t>
            </w:r>
          </w:p>
        </w:tc>
      </w:tr>
      <w:tr w:rsidR="00405C60" w:rsidRPr="001D148E" w14:paraId="7FD78566" w14:textId="77777777" w:rsidTr="009A37D3">
        <w:trPr>
          <w:trHeight w:val="179"/>
        </w:trPr>
        <w:tc>
          <w:tcPr>
            <w:tcW w:w="1504" w:type="dxa"/>
            <w:shd w:val="clear" w:color="auto" w:fill="auto"/>
            <w:noWrap/>
            <w:vAlign w:val="bottom"/>
            <w:hideMark/>
          </w:tcPr>
          <w:p w14:paraId="21B7E22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Langford M et al</w:t>
            </w:r>
          </w:p>
        </w:tc>
        <w:tc>
          <w:tcPr>
            <w:tcW w:w="1219" w:type="dxa"/>
            <w:shd w:val="clear" w:color="auto" w:fill="auto"/>
            <w:noWrap/>
            <w:vAlign w:val="bottom"/>
            <w:hideMark/>
          </w:tcPr>
          <w:p w14:paraId="266BE3C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140D716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United Kingdom</w:t>
            </w:r>
          </w:p>
        </w:tc>
        <w:tc>
          <w:tcPr>
            <w:tcW w:w="1465" w:type="dxa"/>
            <w:shd w:val="clear" w:color="auto" w:fill="auto"/>
            <w:noWrap/>
            <w:vAlign w:val="bottom"/>
            <w:hideMark/>
          </w:tcPr>
          <w:p w14:paraId="62C453C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0CF17E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43D55A4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6AF6243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Multi-modal two-step floating catchment area analysis of primary health care accessibility</w:t>
            </w:r>
          </w:p>
        </w:tc>
      </w:tr>
      <w:tr w:rsidR="00405C60" w:rsidRPr="001D148E" w14:paraId="1CAB9DE9" w14:textId="77777777" w:rsidTr="009A37D3">
        <w:trPr>
          <w:trHeight w:val="179"/>
        </w:trPr>
        <w:tc>
          <w:tcPr>
            <w:tcW w:w="1504" w:type="dxa"/>
            <w:shd w:val="clear" w:color="auto" w:fill="auto"/>
            <w:noWrap/>
            <w:vAlign w:val="bottom"/>
            <w:hideMark/>
          </w:tcPr>
          <w:p w14:paraId="0A25A85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Lapão LV et al</w:t>
            </w:r>
          </w:p>
        </w:tc>
        <w:tc>
          <w:tcPr>
            <w:tcW w:w="1219" w:type="dxa"/>
            <w:shd w:val="clear" w:color="auto" w:fill="auto"/>
            <w:noWrap/>
            <w:vAlign w:val="bottom"/>
            <w:hideMark/>
          </w:tcPr>
          <w:p w14:paraId="61B80F6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6D34080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Portugal</w:t>
            </w:r>
          </w:p>
        </w:tc>
        <w:tc>
          <w:tcPr>
            <w:tcW w:w="1465" w:type="dxa"/>
            <w:shd w:val="clear" w:color="auto" w:fill="auto"/>
            <w:noWrap/>
            <w:vAlign w:val="bottom"/>
            <w:hideMark/>
          </w:tcPr>
          <w:p w14:paraId="00241EE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04C2463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Documents and articles</w:t>
            </w:r>
          </w:p>
        </w:tc>
        <w:tc>
          <w:tcPr>
            <w:tcW w:w="2245" w:type="dxa"/>
            <w:shd w:val="clear" w:color="auto" w:fill="auto"/>
            <w:noWrap/>
            <w:vAlign w:val="bottom"/>
            <w:hideMark/>
          </w:tcPr>
          <w:p w14:paraId="2C0D15C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Coordination</w:t>
            </w:r>
          </w:p>
        </w:tc>
        <w:tc>
          <w:tcPr>
            <w:tcW w:w="4957" w:type="dxa"/>
            <w:vAlign w:val="bottom"/>
          </w:tcPr>
          <w:p w14:paraId="0D0890E7"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Compare the organization of the Primary Healthcare from both regions, searching to identify the advancement which in terms of the Delivery Health Networks’ coordination</w:t>
            </w:r>
          </w:p>
        </w:tc>
      </w:tr>
      <w:tr w:rsidR="00405C60" w:rsidRPr="001D148E" w14:paraId="1CFF23B5" w14:textId="77777777" w:rsidTr="009A37D3">
        <w:trPr>
          <w:trHeight w:val="260"/>
        </w:trPr>
        <w:tc>
          <w:tcPr>
            <w:tcW w:w="1504" w:type="dxa"/>
            <w:shd w:val="clear" w:color="auto" w:fill="auto"/>
            <w:noWrap/>
            <w:vAlign w:val="bottom"/>
            <w:hideMark/>
          </w:tcPr>
          <w:p w14:paraId="7ED5C76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Lechowski L &amp; Jasion A</w:t>
            </w:r>
          </w:p>
        </w:tc>
        <w:tc>
          <w:tcPr>
            <w:tcW w:w="1219" w:type="dxa"/>
            <w:shd w:val="clear" w:color="auto" w:fill="auto"/>
            <w:noWrap/>
            <w:vAlign w:val="bottom"/>
            <w:hideMark/>
          </w:tcPr>
          <w:p w14:paraId="6A4E9A4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6480B94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Poland</w:t>
            </w:r>
          </w:p>
        </w:tc>
        <w:tc>
          <w:tcPr>
            <w:tcW w:w="1465" w:type="dxa"/>
            <w:shd w:val="clear" w:color="auto" w:fill="auto"/>
            <w:noWrap/>
            <w:vAlign w:val="bottom"/>
            <w:hideMark/>
          </w:tcPr>
          <w:p w14:paraId="394FE64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4943033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Geographic site &amp; HF</w:t>
            </w:r>
          </w:p>
        </w:tc>
        <w:tc>
          <w:tcPr>
            <w:tcW w:w="2245" w:type="dxa"/>
            <w:shd w:val="clear" w:color="auto" w:fill="auto"/>
            <w:noWrap/>
            <w:vAlign w:val="bottom"/>
            <w:hideMark/>
          </w:tcPr>
          <w:p w14:paraId="2ADE6C3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31EAEFD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the spatial accessibility of basic and universal healthcare (understood as primary healthcare (PHC) facilities</w:t>
            </w:r>
          </w:p>
        </w:tc>
      </w:tr>
      <w:tr w:rsidR="00405C60" w:rsidRPr="001D148E" w14:paraId="7D4B2E4D" w14:textId="77777777" w:rsidTr="009A37D3">
        <w:trPr>
          <w:trHeight w:val="332"/>
        </w:trPr>
        <w:tc>
          <w:tcPr>
            <w:tcW w:w="1504" w:type="dxa"/>
            <w:shd w:val="clear" w:color="auto" w:fill="auto"/>
            <w:noWrap/>
            <w:vAlign w:val="bottom"/>
            <w:hideMark/>
          </w:tcPr>
          <w:p w14:paraId="0309971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Leng Y et al</w:t>
            </w:r>
          </w:p>
        </w:tc>
        <w:tc>
          <w:tcPr>
            <w:tcW w:w="1219" w:type="dxa"/>
            <w:shd w:val="clear" w:color="auto" w:fill="auto"/>
            <w:noWrap/>
            <w:vAlign w:val="bottom"/>
            <w:hideMark/>
          </w:tcPr>
          <w:p w14:paraId="21F734D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2019</w:t>
            </w:r>
          </w:p>
        </w:tc>
        <w:tc>
          <w:tcPr>
            <w:tcW w:w="1395" w:type="dxa"/>
            <w:shd w:val="clear" w:color="auto" w:fill="auto"/>
            <w:noWrap/>
            <w:vAlign w:val="bottom"/>
            <w:hideMark/>
          </w:tcPr>
          <w:p w14:paraId="23B3C96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China</w:t>
            </w:r>
          </w:p>
        </w:tc>
        <w:tc>
          <w:tcPr>
            <w:tcW w:w="1465" w:type="dxa"/>
            <w:shd w:val="clear" w:color="auto" w:fill="auto"/>
            <w:noWrap/>
            <w:vAlign w:val="bottom"/>
            <w:hideMark/>
          </w:tcPr>
          <w:p w14:paraId="434200A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561F11A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Documents and records</w:t>
            </w:r>
          </w:p>
        </w:tc>
        <w:tc>
          <w:tcPr>
            <w:tcW w:w="2245" w:type="dxa"/>
            <w:shd w:val="clear" w:color="auto" w:fill="auto"/>
            <w:noWrap/>
            <w:vAlign w:val="bottom"/>
            <w:hideMark/>
          </w:tcPr>
          <w:p w14:paraId="00F431F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Efficiency</w:t>
            </w:r>
          </w:p>
        </w:tc>
        <w:tc>
          <w:tcPr>
            <w:tcW w:w="4957" w:type="dxa"/>
            <w:vAlign w:val="bottom"/>
          </w:tcPr>
          <w:p w14:paraId="332DC0D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the impact of the China’s health care reform policy in 2009 on the intangible service efficiency of PHC institution (PHCI) and exploring the way to improve the service efficiency of PHCI.</w:t>
            </w:r>
          </w:p>
        </w:tc>
      </w:tr>
      <w:tr w:rsidR="00405C60" w:rsidRPr="001D148E" w14:paraId="25E816F0" w14:textId="77777777" w:rsidTr="009A37D3">
        <w:trPr>
          <w:trHeight w:val="80"/>
        </w:trPr>
        <w:tc>
          <w:tcPr>
            <w:tcW w:w="1504" w:type="dxa"/>
            <w:shd w:val="clear" w:color="auto" w:fill="auto"/>
            <w:noWrap/>
            <w:vAlign w:val="bottom"/>
            <w:hideMark/>
          </w:tcPr>
          <w:p w14:paraId="483C288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Li Xi et al</w:t>
            </w:r>
          </w:p>
        </w:tc>
        <w:tc>
          <w:tcPr>
            <w:tcW w:w="1219" w:type="dxa"/>
            <w:shd w:val="clear" w:color="auto" w:fill="auto"/>
            <w:noWrap/>
            <w:vAlign w:val="bottom"/>
            <w:hideMark/>
          </w:tcPr>
          <w:p w14:paraId="46EBE8D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2020</w:t>
            </w:r>
          </w:p>
        </w:tc>
        <w:tc>
          <w:tcPr>
            <w:tcW w:w="1395" w:type="dxa"/>
            <w:shd w:val="clear" w:color="auto" w:fill="auto"/>
            <w:noWrap/>
            <w:vAlign w:val="bottom"/>
            <w:hideMark/>
          </w:tcPr>
          <w:p w14:paraId="635118A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China</w:t>
            </w:r>
          </w:p>
        </w:tc>
        <w:tc>
          <w:tcPr>
            <w:tcW w:w="1465" w:type="dxa"/>
            <w:shd w:val="clear" w:color="auto" w:fill="auto"/>
            <w:noWrap/>
            <w:vAlign w:val="bottom"/>
            <w:hideMark/>
          </w:tcPr>
          <w:p w14:paraId="392B017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41E3899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 expert, practitioner</w:t>
            </w:r>
          </w:p>
        </w:tc>
        <w:tc>
          <w:tcPr>
            <w:tcW w:w="2245" w:type="dxa"/>
            <w:shd w:val="clear" w:color="auto" w:fill="auto"/>
            <w:noWrap/>
            <w:vAlign w:val="bottom"/>
            <w:hideMark/>
          </w:tcPr>
          <w:p w14:paraId="5123615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555B2D5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Identify the causes for this poor quality, and provide policy recommendations</w:t>
            </w:r>
          </w:p>
        </w:tc>
      </w:tr>
      <w:tr w:rsidR="00405C60" w:rsidRPr="001D148E" w14:paraId="3695929C" w14:textId="77777777" w:rsidTr="009A37D3">
        <w:trPr>
          <w:trHeight w:val="170"/>
        </w:trPr>
        <w:tc>
          <w:tcPr>
            <w:tcW w:w="1504" w:type="dxa"/>
            <w:shd w:val="clear" w:color="auto" w:fill="auto"/>
            <w:noWrap/>
            <w:vAlign w:val="bottom"/>
            <w:hideMark/>
          </w:tcPr>
          <w:p w14:paraId="53C4B9F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Llyoyd JE et al</w:t>
            </w:r>
          </w:p>
        </w:tc>
        <w:tc>
          <w:tcPr>
            <w:tcW w:w="1219" w:type="dxa"/>
            <w:shd w:val="clear" w:color="auto" w:fill="auto"/>
            <w:noWrap/>
            <w:vAlign w:val="bottom"/>
            <w:hideMark/>
          </w:tcPr>
          <w:p w14:paraId="3D1F558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762209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12C3B5C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7920BDC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w:t>
            </w:r>
          </w:p>
        </w:tc>
        <w:tc>
          <w:tcPr>
            <w:tcW w:w="2245" w:type="dxa"/>
            <w:shd w:val="clear" w:color="auto" w:fill="auto"/>
            <w:noWrap/>
            <w:vAlign w:val="bottom"/>
            <w:hideMark/>
          </w:tcPr>
          <w:p w14:paraId="781E31A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39636E9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how primary health care can better meet the health care and social support needs of Aboriginal Australians transitioning from prison to the community</w:t>
            </w:r>
          </w:p>
        </w:tc>
      </w:tr>
      <w:tr w:rsidR="00405C60" w:rsidRPr="001D148E" w14:paraId="45581168" w14:textId="77777777" w:rsidTr="009A37D3">
        <w:trPr>
          <w:trHeight w:val="260"/>
        </w:trPr>
        <w:tc>
          <w:tcPr>
            <w:tcW w:w="1504" w:type="dxa"/>
            <w:shd w:val="clear" w:color="auto" w:fill="auto"/>
            <w:noWrap/>
            <w:vAlign w:val="bottom"/>
            <w:hideMark/>
          </w:tcPr>
          <w:p w14:paraId="5DF545C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Luis ADA </w:t>
            </w:r>
          </w:p>
        </w:tc>
        <w:tc>
          <w:tcPr>
            <w:tcW w:w="1219" w:type="dxa"/>
            <w:shd w:val="clear" w:color="auto" w:fill="auto"/>
            <w:noWrap/>
            <w:vAlign w:val="bottom"/>
            <w:hideMark/>
          </w:tcPr>
          <w:p w14:paraId="258296B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1DDBF55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Mozambique</w:t>
            </w:r>
          </w:p>
        </w:tc>
        <w:tc>
          <w:tcPr>
            <w:tcW w:w="1465" w:type="dxa"/>
            <w:shd w:val="clear" w:color="auto" w:fill="auto"/>
            <w:noWrap/>
            <w:vAlign w:val="bottom"/>
            <w:hideMark/>
          </w:tcPr>
          <w:p w14:paraId="1A60F4A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496C53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geography, population, HF</w:t>
            </w:r>
          </w:p>
        </w:tc>
        <w:tc>
          <w:tcPr>
            <w:tcW w:w="2245" w:type="dxa"/>
            <w:shd w:val="clear" w:color="auto" w:fill="auto"/>
            <w:noWrap/>
            <w:vAlign w:val="bottom"/>
            <w:hideMark/>
          </w:tcPr>
          <w:p w14:paraId="7719D12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3479F27A"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Measure the geographic accessibility of population to existing Healthcare Centers (HC), and to estimate the number of persons served by the health network</w:t>
            </w:r>
          </w:p>
        </w:tc>
      </w:tr>
      <w:tr w:rsidR="00405C60" w:rsidRPr="001D148E" w14:paraId="2F54D80F" w14:textId="77777777" w:rsidTr="009A37D3">
        <w:trPr>
          <w:trHeight w:val="161"/>
        </w:trPr>
        <w:tc>
          <w:tcPr>
            <w:tcW w:w="1504" w:type="dxa"/>
            <w:shd w:val="clear" w:color="auto" w:fill="auto"/>
            <w:noWrap/>
            <w:vAlign w:val="bottom"/>
            <w:hideMark/>
          </w:tcPr>
          <w:p w14:paraId="5EA0898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Luisi D &amp; Hämel K</w:t>
            </w:r>
          </w:p>
        </w:tc>
        <w:tc>
          <w:tcPr>
            <w:tcW w:w="1219" w:type="dxa"/>
            <w:shd w:val="clear" w:color="auto" w:fill="auto"/>
            <w:noWrap/>
            <w:vAlign w:val="bottom"/>
            <w:hideMark/>
          </w:tcPr>
          <w:p w14:paraId="4FC8526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2020</w:t>
            </w:r>
          </w:p>
        </w:tc>
        <w:tc>
          <w:tcPr>
            <w:tcW w:w="1395" w:type="dxa"/>
            <w:shd w:val="clear" w:color="auto" w:fill="auto"/>
            <w:noWrap/>
            <w:vAlign w:val="bottom"/>
            <w:hideMark/>
          </w:tcPr>
          <w:p w14:paraId="530E6E9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Italy</w:t>
            </w:r>
          </w:p>
        </w:tc>
        <w:tc>
          <w:tcPr>
            <w:tcW w:w="1465" w:type="dxa"/>
            <w:shd w:val="clear" w:color="auto" w:fill="auto"/>
            <w:noWrap/>
            <w:vAlign w:val="bottom"/>
            <w:hideMark/>
          </w:tcPr>
          <w:p w14:paraId="6BB59EF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31A19E6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Document</w:t>
            </w:r>
          </w:p>
        </w:tc>
        <w:tc>
          <w:tcPr>
            <w:tcW w:w="2245" w:type="dxa"/>
            <w:shd w:val="clear" w:color="auto" w:fill="auto"/>
            <w:noWrap/>
            <w:vAlign w:val="bottom"/>
            <w:hideMark/>
          </w:tcPr>
          <w:p w14:paraId="2047131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61B31C6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Explores the evolution  of  the  meaning  and  conceptualization  of  community  participation  and  empowerment  in  police</w:t>
            </w:r>
          </w:p>
        </w:tc>
      </w:tr>
      <w:tr w:rsidR="00405C60" w:rsidRPr="001D148E" w14:paraId="6657EF16" w14:textId="77777777" w:rsidTr="009A37D3">
        <w:trPr>
          <w:trHeight w:val="251"/>
        </w:trPr>
        <w:tc>
          <w:tcPr>
            <w:tcW w:w="1504" w:type="dxa"/>
            <w:shd w:val="clear" w:color="auto" w:fill="auto"/>
            <w:noWrap/>
            <w:vAlign w:val="bottom"/>
            <w:hideMark/>
          </w:tcPr>
          <w:p w14:paraId="64F185F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Lum ID et al</w:t>
            </w:r>
          </w:p>
        </w:tc>
        <w:tc>
          <w:tcPr>
            <w:tcW w:w="1219" w:type="dxa"/>
            <w:shd w:val="clear" w:color="auto" w:fill="auto"/>
            <w:noWrap/>
            <w:vAlign w:val="bottom"/>
            <w:hideMark/>
          </w:tcPr>
          <w:p w14:paraId="20AD8916" w14:textId="343D061B"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w:t>
            </w:r>
            <w:r w:rsidR="00756576" w:rsidRPr="001D148E">
              <w:rPr>
                <w:rFonts w:ascii="Times New Roman" w:eastAsia="Times New Roman" w:hAnsi="Times New Roman" w:cs="Times New Roman"/>
                <w:sz w:val="24"/>
                <w:szCs w:val="24"/>
              </w:rPr>
              <w:t>6</w:t>
            </w:r>
          </w:p>
        </w:tc>
        <w:tc>
          <w:tcPr>
            <w:tcW w:w="1395" w:type="dxa"/>
            <w:shd w:val="clear" w:color="auto" w:fill="auto"/>
            <w:noWrap/>
            <w:vAlign w:val="bottom"/>
            <w:hideMark/>
          </w:tcPr>
          <w:p w14:paraId="3C70CC7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4E61936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1061A96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(immigrant)</w:t>
            </w:r>
          </w:p>
        </w:tc>
        <w:tc>
          <w:tcPr>
            <w:tcW w:w="2245" w:type="dxa"/>
            <w:shd w:val="clear" w:color="auto" w:fill="auto"/>
            <w:noWrap/>
            <w:vAlign w:val="bottom"/>
            <w:hideMark/>
          </w:tcPr>
          <w:p w14:paraId="0DAC57A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Accessibility </w:t>
            </w:r>
          </w:p>
        </w:tc>
        <w:tc>
          <w:tcPr>
            <w:tcW w:w="4957" w:type="dxa"/>
            <w:vAlign w:val="bottom"/>
          </w:tcPr>
          <w:p w14:paraId="27AB0127"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 the lived experiences of immigrants living in a small urban centre with regards to the primary healthcare system</w:t>
            </w:r>
          </w:p>
        </w:tc>
      </w:tr>
      <w:tr w:rsidR="00405C60" w:rsidRPr="001D148E" w14:paraId="1073448D" w14:textId="77777777" w:rsidTr="009A37D3">
        <w:trPr>
          <w:trHeight w:val="242"/>
        </w:trPr>
        <w:tc>
          <w:tcPr>
            <w:tcW w:w="1504" w:type="dxa"/>
            <w:shd w:val="clear" w:color="auto" w:fill="auto"/>
            <w:noWrap/>
            <w:vAlign w:val="bottom"/>
            <w:hideMark/>
          </w:tcPr>
          <w:p w14:paraId="567C087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Luna I &amp; da Silva MT</w:t>
            </w:r>
          </w:p>
        </w:tc>
        <w:tc>
          <w:tcPr>
            <w:tcW w:w="1219" w:type="dxa"/>
            <w:shd w:val="clear" w:color="auto" w:fill="auto"/>
            <w:noWrap/>
            <w:vAlign w:val="bottom"/>
            <w:hideMark/>
          </w:tcPr>
          <w:p w14:paraId="6F5E9A0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1B47A04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25DBFA4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031DBB7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w:t>
            </w:r>
          </w:p>
        </w:tc>
        <w:tc>
          <w:tcPr>
            <w:tcW w:w="2245" w:type="dxa"/>
            <w:shd w:val="clear" w:color="auto" w:fill="auto"/>
            <w:noWrap/>
            <w:vAlign w:val="bottom"/>
            <w:hideMark/>
          </w:tcPr>
          <w:p w14:paraId="26AD316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Coordination</w:t>
            </w:r>
          </w:p>
        </w:tc>
        <w:tc>
          <w:tcPr>
            <w:tcW w:w="4957" w:type="dxa"/>
            <w:vAlign w:val="bottom"/>
          </w:tcPr>
          <w:p w14:paraId="5D4DE5B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Describe and explain the work coordination process applied by multi-professional teams to deal with the intangibility inherent in the healthcare services</w:t>
            </w:r>
          </w:p>
        </w:tc>
      </w:tr>
      <w:tr w:rsidR="00405C60" w:rsidRPr="001D148E" w14:paraId="6E25A752" w14:textId="77777777" w:rsidTr="009A37D3">
        <w:trPr>
          <w:trHeight w:val="233"/>
        </w:trPr>
        <w:tc>
          <w:tcPr>
            <w:tcW w:w="1504" w:type="dxa"/>
            <w:shd w:val="clear" w:color="auto" w:fill="auto"/>
            <w:noWrap/>
            <w:vAlign w:val="bottom"/>
            <w:hideMark/>
          </w:tcPr>
          <w:p w14:paraId="3119943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Mandel MD et al</w:t>
            </w:r>
          </w:p>
        </w:tc>
        <w:tc>
          <w:tcPr>
            <w:tcW w:w="1219" w:type="dxa"/>
            <w:shd w:val="clear" w:color="auto" w:fill="auto"/>
            <w:noWrap/>
            <w:vAlign w:val="bottom"/>
            <w:hideMark/>
          </w:tcPr>
          <w:p w14:paraId="3D58B8C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2003</w:t>
            </w:r>
          </w:p>
        </w:tc>
        <w:tc>
          <w:tcPr>
            <w:tcW w:w="1395" w:type="dxa"/>
            <w:shd w:val="clear" w:color="auto" w:fill="auto"/>
            <w:noWrap/>
            <w:vAlign w:val="bottom"/>
            <w:hideMark/>
          </w:tcPr>
          <w:p w14:paraId="0FB5BB9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Israeli</w:t>
            </w:r>
          </w:p>
        </w:tc>
        <w:tc>
          <w:tcPr>
            <w:tcW w:w="1465" w:type="dxa"/>
            <w:shd w:val="clear" w:color="auto" w:fill="auto"/>
            <w:noWrap/>
            <w:vAlign w:val="bottom"/>
            <w:hideMark/>
          </w:tcPr>
          <w:p w14:paraId="49E9FE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0CE7CA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 &amp; HF</w:t>
            </w:r>
          </w:p>
        </w:tc>
        <w:tc>
          <w:tcPr>
            <w:tcW w:w="2245" w:type="dxa"/>
            <w:shd w:val="clear" w:color="auto" w:fill="auto"/>
            <w:noWrap/>
            <w:vAlign w:val="bottom"/>
            <w:hideMark/>
          </w:tcPr>
          <w:p w14:paraId="7C91364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69DD698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Analyze the quality of primary care</w:t>
            </w:r>
          </w:p>
        </w:tc>
      </w:tr>
      <w:tr w:rsidR="00405C60" w:rsidRPr="001D148E" w14:paraId="4627DF84" w14:textId="77777777" w:rsidTr="009A37D3">
        <w:trPr>
          <w:trHeight w:val="233"/>
        </w:trPr>
        <w:tc>
          <w:tcPr>
            <w:tcW w:w="1504" w:type="dxa"/>
            <w:shd w:val="clear" w:color="auto" w:fill="auto"/>
            <w:noWrap/>
            <w:vAlign w:val="bottom"/>
            <w:hideMark/>
          </w:tcPr>
          <w:p w14:paraId="3590E1B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Marques JF et al</w:t>
            </w:r>
          </w:p>
        </w:tc>
        <w:tc>
          <w:tcPr>
            <w:tcW w:w="1219" w:type="dxa"/>
            <w:shd w:val="clear" w:color="auto" w:fill="auto"/>
            <w:noWrap/>
            <w:vAlign w:val="bottom"/>
            <w:hideMark/>
          </w:tcPr>
          <w:p w14:paraId="1230C75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745BE02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03B2C43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C1EEEB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facility</w:t>
            </w:r>
          </w:p>
        </w:tc>
        <w:tc>
          <w:tcPr>
            <w:tcW w:w="2245" w:type="dxa"/>
            <w:shd w:val="clear" w:color="auto" w:fill="auto"/>
            <w:noWrap/>
            <w:vAlign w:val="bottom"/>
            <w:hideMark/>
          </w:tcPr>
          <w:p w14:paraId="49B8AFC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4D3D5D0F"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the physical accessibility from the front desk of primary healthcare units</w:t>
            </w:r>
          </w:p>
        </w:tc>
      </w:tr>
      <w:tr w:rsidR="00405C60" w:rsidRPr="001D148E" w14:paraId="433D94BA" w14:textId="77777777" w:rsidTr="009A37D3">
        <w:trPr>
          <w:trHeight w:val="305"/>
        </w:trPr>
        <w:tc>
          <w:tcPr>
            <w:tcW w:w="1504" w:type="dxa"/>
            <w:shd w:val="clear" w:color="auto" w:fill="auto"/>
            <w:noWrap/>
            <w:vAlign w:val="bottom"/>
            <w:hideMark/>
          </w:tcPr>
          <w:p w14:paraId="02B6A75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Maun A et al</w:t>
            </w:r>
          </w:p>
        </w:tc>
        <w:tc>
          <w:tcPr>
            <w:tcW w:w="1219" w:type="dxa"/>
            <w:shd w:val="clear" w:color="auto" w:fill="auto"/>
            <w:noWrap/>
            <w:vAlign w:val="bottom"/>
            <w:hideMark/>
          </w:tcPr>
          <w:p w14:paraId="343E8D0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5EB4DF8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Sweden</w:t>
            </w:r>
          </w:p>
        </w:tc>
        <w:tc>
          <w:tcPr>
            <w:tcW w:w="1465" w:type="dxa"/>
            <w:shd w:val="clear" w:color="auto" w:fill="auto"/>
            <w:noWrap/>
            <w:vAlign w:val="bottom"/>
            <w:hideMark/>
          </w:tcPr>
          <w:p w14:paraId="5BF0C97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F6D984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6A77783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044AC39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Is the quality of primary healthcare services influenced by the healthcare centre’s type of ownership?</w:t>
            </w:r>
          </w:p>
        </w:tc>
      </w:tr>
      <w:tr w:rsidR="00405C60" w:rsidRPr="001D148E" w14:paraId="3EDC773F" w14:textId="77777777" w:rsidTr="009A37D3">
        <w:trPr>
          <w:trHeight w:val="269"/>
        </w:trPr>
        <w:tc>
          <w:tcPr>
            <w:tcW w:w="1504" w:type="dxa"/>
            <w:shd w:val="clear" w:color="auto" w:fill="auto"/>
            <w:noWrap/>
            <w:vAlign w:val="bottom"/>
            <w:hideMark/>
          </w:tcPr>
          <w:p w14:paraId="2C7F717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Meads G et al</w:t>
            </w:r>
          </w:p>
        </w:tc>
        <w:tc>
          <w:tcPr>
            <w:tcW w:w="1219" w:type="dxa"/>
            <w:shd w:val="clear" w:color="auto" w:fill="auto"/>
            <w:noWrap/>
            <w:vAlign w:val="bottom"/>
            <w:hideMark/>
          </w:tcPr>
          <w:p w14:paraId="3031EB6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061FC4B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Latin America and Northwest Europe</w:t>
            </w:r>
          </w:p>
        </w:tc>
        <w:tc>
          <w:tcPr>
            <w:tcW w:w="1465" w:type="dxa"/>
            <w:shd w:val="clear" w:color="auto" w:fill="auto"/>
            <w:noWrap/>
            <w:vAlign w:val="bottom"/>
            <w:hideMark/>
          </w:tcPr>
          <w:p w14:paraId="0BC9E66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5B992CC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1E569D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Leadership and governance</w:t>
            </w:r>
          </w:p>
        </w:tc>
        <w:tc>
          <w:tcPr>
            <w:tcW w:w="4957" w:type="dxa"/>
            <w:vAlign w:val="bottom"/>
          </w:tcPr>
          <w:p w14:paraId="7BD53EF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community governance in PHC</w:t>
            </w:r>
          </w:p>
        </w:tc>
      </w:tr>
      <w:tr w:rsidR="00405C60" w:rsidRPr="001D148E" w14:paraId="319411D1" w14:textId="77777777" w:rsidTr="009A37D3">
        <w:trPr>
          <w:trHeight w:val="350"/>
        </w:trPr>
        <w:tc>
          <w:tcPr>
            <w:tcW w:w="1504" w:type="dxa"/>
            <w:shd w:val="clear" w:color="auto" w:fill="auto"/>
            <w:noWrap/>
            <w:vAlign w:val="bottom"/>
            <w:hideMark/>
          </w:tcPr>
          <w:p w14:paraId="2AD781A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Mercer A et al</w:t>
            </w:r>
          </w:p>
        </w:tc>
        <w:tc>
          <w:tcPr>
            <w:tcW w:w="1219" w:type="dxa"/>
            <w:shd w:val="clear" w:color="auto" w:fill="auto"/>
            <w:noWrap/>
            <w:vAlign w:val="bottom"/>
            <w:hideMark/>
          </w:tcPr>
          <w:p w14:paraId="2896C93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2004</w:t>
            </w:r>
          </w:p>
        </w:tc>
        <w:tc>
          <w:tcPr>
            <w:tcW w:w="1395" w:type="dxa"/>
            <w:shd w:val="clear" w:color="auto" w:fill="auto"/>
            <w:noWrap/>
            <w:vAlign w:val="bottom"/>
            <w:hideMark/>
          </w:tcPr>
          <w:p w14:paraId="3BB287D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Bangladesh</w:t>
            </w:r>
          </w:p>
        </w:tc>
        <w:tc>
          <w:tcPr>
            <w:tcW w:w="1465" w:type="dxa"/>
            <w:shd w:val="clear" w:color="auto" w:fill="auto"/>
            <w:noWrap/>
            <w:vAlign w:val="bottom"/>
            <w:hideMark/>
          </w:tcPr>
          <w:p w14:paraId="4B113D4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F68E39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household/population</w:t>
            </w:r>
          </w:p>
        </w:tc>
        <w:tc>
          <w:tcPr>
            <w:tcW w:w="2245" w:type="dxa"/>
            <w:shd w:val="clear" w:color="auto" w:fill="auto"/>
            <w:noWrap/>
            <w:vAlign w:val="bottom"/>
            <w:hideMark/>
          </w:tcPr>
          <w:p w14:paraId="25F13D4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Effectiveness</w:t>
            </w:r>
          </w:p>
        </w:tc>
        <w:tc>
          <w:tcPr>
            <w:tcW w:w="4957" w:type="dxa"/>
            <w:vAlign w:val="bottom"/>
          </w:tcPr>
          <w:p w14:paraId="32C7AF1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Effectiveness of a non-governmental organization (NGO) primary health care programme</w:t>
            </w:r>
          </w:p>
        </w:tc>
      </w:tr>
      <w:tr w:rsidR="00405C60" w:rsidRPr="001D148E" w14:paraId="0B57B665" w14:textId="77777777" w:rsidTr="009A37D3">
        <w:trPr>
          <w:trHeight w:val="341"/>
        </w:trPr>
        <w:tc>
          <w:tcPr>
            <w:tcW w:w="1504" w:type="dxa"/>
            <w:shd w:val="clear" w:color="auto" w:fill="auto"/>
            <w:noWrap/>
            <w:vAlign w:val="bottom"/>
            <w:hideMark/>
          </w:tcPr>
          <w:p w14:paraId="187C55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Mogakwe LJ et al</w:t>
            </w:r>
          </w:p>
        </w:tc>
        <w:tc>
          <w:tcPr>
            <w:tcW w:w="1219" w:type="dxa"/>
            <w:shd w:val="clear" w:color="auto" w:fill="auto"/>
            <w:noWrap/>
            <w:vAlign w:val="bottom"/>
            <w:hideMark/>
          </w:tcPr>
          <w:p w14:paraId="74E1EED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2019</w:t>
            </w:r>
          </w:p>
        </w:tc>
        <w:tc>
          <w:tcPr>
            <w:tcW w:w="1395" w:type="dxa"/>
            <w:shd w:val="clear" w:color="auto" w:fill="auto"/>
            <w:noWrap/>
            <w:vAlign w:val="bottom"/>
            <w:hideMark/>
          </w:tcPr>
          <w:p w14:paraId="1A93EBC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South Africa</w:t>
            </w:r>
          </w:p>
        </w:tc>
        <w:tc>
          <w:tcPr>
            <w:tcW w:w="1465" w:type="dxa"/>
            <w:shd w:val="clear" w:color="auto" w:fill="auto"/>
            <w:noWrap/>
            <w:vAlign w:val="bottom"/>
            <w:hideMark/>
          </w:tcPr>
          <w:p w14:paraId="37C9AE2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4F2BCF9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Stokeholds</w:t>
            </w:r>
          </w:p>
        </w:tc>
        <w:tc>
          <w:tcPr>
            <w:tcW w:w="2245" w:type="dxa"/>
            <w:shd w:val="clear" w:color="auto" w:fill="auto"/>
            <w:noWrap/>
            <w:vAlign w:val="bottom"/>
            <w:hideMark/>
          </w:tcPr>
          <w:p w14:paraId="5EC876A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4B7CBC7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Describe recommendations to facilitate managers’ compliance with quality standards of PHC clinics </w:t>
            </w:r>
          </w:p>
        </w:tc>
      </w:tr>
      <w:tr w:rsidR="00405C60" w:rsidRPr="001D148E" w14:paraId="0ADE4433" w14:textId="77777777" w:rsidTr="009A37D3">
        <w:trPr>
          <w:trHeight w:val="251"/>
        </w:trPr>
        <w:tc>
          <w:tcPr>
            <w:tcW w:w="1504" w:type="dxa"/>
            <w:shd w:val="clear" w:color="auto" w:fill="auto"/>
            <w:noWrap/>
            <w:vAlign w:val="bottom"/>
            <w:hideMark/>
          </w:tcPr>
          <w:p w14:paraId="3EFCEFE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Mudrick et al</w:t>
            </w:r>
          </w:p>
        </w:tc>
        <w:tc>
          <w:tcPr>
            <w:tcW w:w="1219" w:type="dxa"/>
            <w:shd w:val="clear" w:color="auto" w:fill="auto"/>
            <w:noWrap/>
            <w:vAlign w:val="bottom"/>
            <w:hideMark/>
          </w:tcPr>
          <w:p w14:paraId="088C0EA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2012</w:t>
            </w:r>
          </w:p>
        </w:tc>
        <w:tc>
          <w:tcPr>
            <w:tcW w:w="1395" w:type="dxa"/>
            <w:shd w:val="clear" w:color="auto" w:fill="auto"/>
            <w:noWrap/>
            <w:vAlign w:val="bottom"/>
            <w:hideMark/>
          </w:tcPr>
          <w:p w14:paraId="001B6DD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USA</w:t>
            </w:r>
          </w:p>
        </w:tc>
        <w:tc>
          <w:tcPr>
            <w:tcW w:w="1465" w:type="dxa"/>
            <w:shd w:val="clear" w:color="auto" w:fill="auto"/>
            <w:noWrap/>
            <w:vAlign w:val="bottom"/>
            <w:hideMark/>
          </w:tcPr>
          <w:p w14:paraId="3752BCE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C24FEC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w:t>
            </w:r>
          </w:p>
        </w:tc>
        <w:tc>
          <w:tcPr>
            <w:tcW w:w="2245" w:type="dxa"/>
            <w:shd w:val="clear" w:color="auto" w:fill="auto"/>
            <w:noWrap/>
            <w:vAlign w:val="bottom"/>
            <w:hideMark/>
          </w:tcPr>
          <w:p w14:paraId="324EBD8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11C9EEE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Describe overall primary care office physical accessibility and identify (1) in which areas offices meet access criteria, (2) which accessibility criteria are most often not met, and (3) whether there are urban/non-urban differences</w:t>
            </w:r>
          </w:p>
        </w:tc>
      </w:tr>
      <w:tr w:rsidR="00405C60" w:rsidRPr="001D148E" w14:paraId="35132E39" w14:textId="77777777" w:rsidTr="009A37D3">
        <w:trPr>
          <w:trHeight w:val="260"/>
        </w:trPr>
        <w:tc>
          <w:tcPr>
            <w:tcW w:w="1504" w:type="dxa"/>
            <w:shd w:val="clear" w:color="auto" w:fill="auto"/>
            <w:noWrap/>
            <w:vAlign w:val="bottom"/>
            <w:hideMark/>
          </w:tcPr>
          <w:p w14:paraId="1B27DBA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Mukiapini S et al</w:t>
            </w:r>
          </w:p>
        </w:tc>
        <w:tc>
          <w:tcPr>
            <w:tcW w:w="1219" w:type="dxa"/>
            <w:shd w:val="clear" w:color="auto" w:fill="auto"/>
            <w:noWrap/>
            <w:vAlign w:val="bottom"/>
            <w:hideMark/>
          </w:tcPr>
          <w:p w14:paraId="6322DD4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4B8FC27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South Africa</w:t>
            </w:r>
          </w:p>
        </w:tc>
        <w:tc>
          <w:tcPr>
            <w:tcW w:w="1465" w:type="dxa"/>
            <w:shd w:val="clear" w:color="auto" w:fill="auto"/>
            <w:noWrap/>
            <w:vAlign w:val="bottom"/>
            <w:hideMark/>
          </w:tcPr>
          <w:p w14:paraId="65230DC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Mixed</w:t>
            </w:r>
          </w:p>
        </w:tc>
        <w:tc>
          <w:tcPr>
            <w:tcW w:w="2216" w:type="dxa"/>
            <w:shd w:val="clear" w:color="auto" w:fill="auto"/>
            <w:noWrap/>
            <w:vAlign w:val="bottom"/>
            <w:hideMark/>
          </w:tcPr>
          <w:p w14:paraId="0CD3F23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workers &amp; clients</w:t>
            </w:r>
          </w:p>
        </w:tc>
        <w:tc>
          <w:tcPr>
            <w:tcW w:w="2245" w:type="dxa"/>
            <w:shd w:val="clear" w:color="auto" w:fill="auto"/>
            <w:noWrap/>
            <w:vAlign w:val="bottom"/>
            <w:hideMark/>
          </w:tcPr>
          <w:p w14:paraId="39FF216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Effectiveness</w:t>
            </w:r>
          </w:p>
        </w:tc>
        <w:tc>
          <w:tcPr>
            <w:tcW w:w="4957" w:type="dxa"/>
            <w:vAlign w:val="bottom"/>
          </w:tcPr>
          <w:p w14:paraId="0BB18A4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PHC team effectiveness and PHC organisation and performance.</w:t>
            </w:r>
          </w:p>
        </w:tc>
      </w:tr>
      <w:tr w:rsidR="00405C60" w:rsidRPr="001D148E" w14:paraId="00774ED6" w14:textId="77777777" w:rsidTr="009A37D3">
        <w:trPr>
          <w:trHeight w:val="395"/>
        </w:trPr>
        <w:tc>
          <w:tcPr>
            <w:tcW w:w="1504" w:type="dxa"/>
            <w:shd w:val="clear" w:color="auto" w:fill="auto"/>
            <w:noWrap/>
            <w:vAlign w:val="bottom"/>
            <w:hideMark/>
          </w:tcPr>
          <w:p w14:paraId="5D5C535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Murillo-Zamorano LR &amp; Petraglia C</w:t>
            </w:r>
          </w:p>
        </w:tc>
        <w:tc>
          <w:tcPr>
            <w:tcW w:w="1219" w:type="dxa"/>
            <w:shd w:val="clear" w:color="auto" w:fill="auto"/>
            <w:noWrap/>
            <w:vAlign w:val="bottom"/>
            <w:hideMark/>
          </w:tcPr>
          <w:p w14:paraId="39F696D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2011</w:t>
            </w:r>
          </w:p>
        </w:tc>
        <w:tc>
          <w:tcPr>
            <w:tcW w:w="1395" w:type="dxa"/>
            <w:shd w:val="clear" w:color="auto" w:fill="auto"/>
            <w:noWrap/>
            <w:vAlign w:val="bottom"/>
            <w:hideMark/>
          </w:tcPr>
          <w:p w14:paraId="440656B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Spain</w:t>
            </w:r>
          </w:p>
        </w:tc>
        <w:tc>
          <w:tcPr>
            <w:tcW w:w="1465" w:type="dxa"/>
            <w:shd w:val="clear" w:color="auto" w:fill="auto"/>
            <w:noWrap/>
            <w:vAlign w:val="bottom"/>
            <w:hideMark/>
          </w:tcPr>
          <w:p w14:paraId="423A117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48BD9BD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Medical record</w:t>
            </w:r>
          </w:p>
        </w:tc>
        <w:tc>
          <w:tcPr>
            <w:tcW w:w="2245" w:type="dxa"/>
            <w:shd w:val="clear" w:color="auto" w:fill="auto"/>
            <w:noWrap/>
            <w:vAlign w:val="bottom"/>
            <w:hideMark/>
          </w:tcPr>
          <w:p w14:paraId="2D0F454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Efficiency</w:t>
            </w:r>
          </w:p>
        </w:tc>
        <w:tc>
          <w:tcPr>
            <w:tcW w:w="4957" w:type="dxa"/>
            <w:vAlign w:val="bottom"/>
          </w:tcPr>
          <w:p w14:paraId="3DE11F37"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technical efficiency in primary health care</w:t>
            </w:r>
          </w:p>
        </w:tc>
      </w:tr>
      <w:tr w:rsidR="00405C60" w:rsidRPr="001D148E" w14:paraId="0A98F558" w14:textId="77777777" w:rsidTr="009A37D3">
        <w:trPr>
          <w:trHeight w:val="60"/>
        </w:trPr>
        <w:tc>
          <w:tcPr>
            <w:tcW w:w="1504" w:type="dxa"/>
            <w:shd w:val="clear" w:color="auto" w:fill="auto"/>
            <w:noWrap/>
            <w:vAlign w:val="bottom"/>
            <w:hideMark/>
          </w:tcPr>
          <w:p w14:paraId="7C1810A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Novignon J &amp; Nonvignon J</w:t>
            </w:r>
          </w:p>
        </w:tc>
        <w:tc>
          <w:tcPr>
            <w:tcW w:w="1219" w:type="dxa"/>
            <w:shd w:val="clear" w:color="auto" w:fill="auto"/>
            <w:noWrap/>
            <w:vAlign w:val="bottom"/>
            <w:hideMark/>
          </w:tcPr>
          <w:p w14:paraId="4243B74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3AD9FCE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Ghana</w:t>
            </w:r>
          </w:p>
        </w:tc>
        <w:tc>
          <w:tcPr>
            <w:tcW w:w="1465" w:type="dxa"/>
            <w:shd w:val="clear" w:color="auto" w:fill="auto"/>
            <w:noWrap/>
            <w:vAlign w:val="bottom"/>
            <w:hideMark/>
          </w:tcPr>
          <w:p w14:paraId="57C6E30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04018D7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w:t>
            </w:r>
          </w:p>
        </w:tc>
        <w:tc>
          <w:tcPr>
            <w:tcW w:w="2245" w:type="dxa"/>
            <w:shd w:val="clear" w:color="auto" w:fill="auto"/>
            <w:noWrap/>
            <w:vAlign w:val="bottom"/>
            <w:hideMark/>
          </w:tcPr>
          <w:p w14:paraId="4A9BFD7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Efficiency</w:t>
            </w:r>
          </w:p>
        </w:tc>
        <w:tc>
          <w:tcPr>
            <w:tcW w:w="4957" w:type="dxa"/>
            <w:vAlign w:val="bottom"/>
          </w:tcPr>
          <w:p w14:paraId="5D57C12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Estimate efficiency among primary health facilities (health centers), examine the potential fiscal space from improved efficiency and investigate the efficiency disparities in public and private facilities</w:t>
            </w:r>
          </w:p>
        </w:tc>
      </w:tr>
      <w:tr w:rsidR="00405C60" w:rsidRPr="001D148E" w14:paraId="258E9A66" w14:textId="77777777" w:rsidTr="009A37D3">
        <w:trPr>
          <w:trHeight w:val="251"/>
        </w:trPr>
        <w:tc>
          <w:tcPr>
            <w:tcW w:w="1504" w:type="dxa"/>
            <w:shd w:val="clear" w:color="auto" w:fill="auto"/>
            <w:noWrap/>
            <w:vAlign w:val="bottom"/>
            <w:hideMark/>
          </w:tcPr>
          <w:p w14:paraId="2908E9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Oikonomou N et al</w:t>
            </w:r>
          </w:p>
        </w:tc>
        <w:tc>
          <w:tcPr>
            <w:tcW w:w="1219" w:type="dxa"/>
            <w:shd w:val="clear" w:color="auto" w:fill="auto"/>
            <w:noWrap/>
            <w:vAlign w:val="bottom"/>
            <w:hideMark/>
          </w:tcPr>
          <w:p w14:paraId="55E2F31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7E93B99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Greece</w:t>
            </w:r>
          </w:p>
        </w:tc>
        <w:tc>
          <w:tcPr>
            <w:tcW w:w="1465" w:type="dxa"/>
            <w:shd w:val="clear" w:color="auto" w:fill="auto"/>
            <w:noWrap/>
            <w:vAlign w:val="bottom"/>
            <w:hideMark/>
          </w:tcPr>
          <w:p w14:paraId="04442E6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46B4D6C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w:t>
            </w:r>
          </w:p>
        </w:tc>
        <w:tc>
          <w:tcPr>
            <w:tcW w:w="2245" w:type="dxa"/>
            <w:shd w:val="clear" w:color="auto" w:fill="auto"/>
            <w:noWrap/>
            <w:vAlign w:val="bottom"/>
            <w:hideMark/>
          </w:tcPr>
          <w:p w14:paraId="22A11E7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Efficiency</w:t>
            </w:r>
          </w:p>
        </w:tc>
        <w:tc>
          <w:tcPr>
            <w:tcW w:w="4957" w:type="dxa"/>
            <w:vAlign w:val="bottom"/>
          </w:tcPr>
          <w:p w14:paraId="1A1B54BD"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 Measure the efficiency of the rural Health Centres</w:t>
            </w:r>
          </w:p>
        </w:tc>
      </w:tr>
      <w:tr w:rsidR="00405C60" w:rsidRPr="001D148E" w14:paraId="4BF37C61" w14:textId="77777777" w:rsidTr="009A37D3">
        <w:trPr>
          <w:trHeight w:val="251"/>
        </w:trPr>
        <w:tc>
          <w:tcPr>
            <w:tcW w:w="1504" w:type="dxa"/>
            <w:shd w:val="clear" w:color="auto" w:fill="auto"/>
            <w:noWrap/>
            <w:vAlign w:val="bottom"/>
            <w:hideMark/>
          </w:tcPr>
          <w:p w14:paraId="6AC5F652" w14:textId="13E89E79"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Okoronkwo I</w:t>
            </w:r>
            <w:r w:rsidR="00787833" w:rsidRPr="001D148E">
              <w:rPr>
                <w:rFonts w:ascii="Times New Roman" w:eastAsia="Times New Roman" w:hAnsi="Times New Roman" w:cs="Times New Roman"/>
                <w:sz w:val="24"/>
                <w:szCs w:val="24"/>
              </w:rPr>
              <w:t>L</w:t>
            </w:r>
            <w:r w:rsidRPr="001D148E">
              <w:rPr>
                <w:rFonts w:ascii="Times New Roman" w:eastAsia="Times New Roman" w:hAnsi="Times New Roman" w:cs="Times New Roman"/>
                <w:sz w:val="24"/>
                <w:szCs w:val="24"/>
              </w:rPr>
              <w:t xml:space="preserve"> et al</w:t>
            </w:r>
          </w:p>
        </w:tc>
        <w:tc>
          <w:tcPr>
            <w:tcW w:w="1219" w:type="dxa"/>
            <w:shd w:val="clear" w:color="auto" w:fill="auto"/>
            <w:noWrap/>
            <w:vAlign w:val="bottom"/>
            <w:hideMark/>
          </w:tcPr>
          <w:p w14:paraId="47879BA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2014</w:t>
            </w:r>
          </w:p>
        </w:tc>
        <w:tc>
          <w:tcPr>
            <w:tcW w:w="1395" w:type="dxa"/>
            <w:shd w:val="clear" w:color="auto" w:fill="auto"/>
            <w:noWrap/>
            <w:vAlign w:val="bottom"/>
            <w:hideMark/>
          </w:tcPr>
          <w:p w14:paraId="386A426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Nigeria</w:t>
            </w:r>
          </w:p>
        </w:tc>
        <w:tc>
          <w:tcPr>
            <w:tcW w:w="1465" w:type="dxa"/>
            <w:shd w:val="clear" w:color="auto" w:fill="auto"/>
            <w:noWrap/>
            <w:vAlign w:val="bottom"/>
            <w:hideMark/>
          </w:tcPr>
          <w:p w14:paraId="5F83791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51C915E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2A59779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454D9254"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patterns of utilization of PHC services among adults</w:t>
            </w:r>
          </w:p>
        </w:tc>
      </w:tr>
      <w:tr w:rsidR="00405C60" w:rsidRPr="001D148E" w14:paraId="4BC3E3C4" w14:textId="77777777" w:rsidTr="009A37D3">
        <w:trPr>
          <w:trHeight w:val="332"/>
        </w:trPr>
        <w:tc>
          <w:tcPr>
            <w:tcW w:w="1504" w:type="dxa"/>
            <w:shd w:val="clear" w:color="auto" w:fill="auto"/>
            <w:noWrap/>
            <w:vAlign w:val="bottom"/>
            <w:hideMark/>
          </w:tcPr>
          <w:p w14:paraId="56F7633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Oliphant NP et al</w:t>
            </w:r>
          </w:p>
        </w:tc>
        <w:tc>
          <w:tcPr>
            <w:tcW w:w="1219" w:type="dxa"/>
            <w:shd w:val="clear" w:color="auto" w:fill="auto"/>
            <w:noWrap/>
            <w:vAlign w:val="bottom"/>
            <w:hideMark/>
          </w:tcPr>
          <w:p w14:paraId="6BA6F85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7F932CD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Niger</w:t>
            </w:r>
          </w:p>
        </w:tc>
        <w:tc>
          <w:tcPr>
            <w:tcW w:w="1465" w:type="dxa"/>
            <w:shd w:val="clear" w:color="auto" w:fill="auto"/>
            <w:noWrap/>
            <w:vAlign w:val="bottom"/>
            <w:hideMark/>
          </w:tcPr>
          <w:p w14:paraId="4C2C870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344FDA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 &amp; health workers</w:t>
            </w:r>
          </w:p>
        </w:tc>
        <w:tc>
          <w:tcPr>
            <w:tcW w:w="2245" w:type="dxa"/>
            <w:shd w:val="clear" w:color="auto" w:fill="auto"/>
            <w:noWrap/>
            <w:vAlign w:val="bottom"/>
            <w:hideMark/>
          </w:tcPr>
          <w:p w14:paraId="68C4791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546542E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geographical accessibility of primary healthcare services at community level and strategies for optimising geographical accessibility to these services</w:t>
            </w:r>
          </w:p>
        </w:tc>
      </w:tr>
      <w:tr w:rsidR="00405C60" w:rsidRPr="001D148E" w14:paraId="0760B44B" w14:textId="77777777" w:rsidTr="009A37D3">
        <w:trPr>
          <w:trHeight w:val="323"/>
        </w:trPr>
        <w:tc>
          <w:tcPr>
            <w:tcW w:w="1504" w:type="dxa"/>
            <w:shd w:val="clear" w:color="auto" w:fill="auto"/>
            <w:noWrap/>
            <w:vAlign w:val="bottom"/>
            <w:hideMark/>
          </w:tcPr>
          <w:p w14:paraId="3505C63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Oosterveer TM &amp; YoungTK</w:t>
            </w:r>
          </w:p>
        </w:tc>
        <w:tc>
          <w:tcPr>
            <w:tcW w:w="1219" w:type="dxa"/>
            <w:shd w:val="clear" w:color="auto" w:fill="auto"/>
            <w:noWrap/>
            <w:vAlign w:val="bottom"/>
            <w:hideMark/>
          </w:tcPr>
          <w:p w14:paraId="3992416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3AE3542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3E1FFFD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6CA679E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care provider, clients &amp; community</w:t>
            </w:r>
          </w:p>
        </w:tc>
        <w:tc>
          <w:tcPr>
            <w:tcW w:w="2245" w:type="dxa"/>
            <w:shd w:val="clear" w:color="auto" w:fill="auto"/>
            <w:noWrap/>
            <w:vAlign w:val="bottom"/>
            <w:hideMark/>
          </w:tcPr>
          <w:p w14:paraId="499F5F7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021F573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Analyze the challenges in accessing PHC services by indigenous people in remote communities</w:t>
            </w:r>
          </w:p>
        </w:tc>
      </w:tr>
      <w:tr w:rsidR="00405C60" w:rsidRPr="001D148E" w14:paraId="4F27FE16" w14:textId="77777777" w:rsidTr="009A37D3">
        <w:trPr>
          <w:trHeight w:val="314"/>
        </w:trPr>
        <w:tc>
          <w:tcPr>
            <w:tcW w:w="1504" w:type="dxa"/>
            <w:shd w:val="clear" w:color="auto" w:fill="auto"/>
            <w:noWrap/>
            <w:vAlign w:val="bottom"/>
            <w:hideMark/>
          </w:tcPr>
          <w:p w14:paraId="23F14B4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Paré-Plante A et al</w:t>
            </w:r>
          </w:p>
        </w:tc>
        <w:tc>
          <w:tcPr>
            <w:tcW w:w="1219" w:type="dxa"/>
            <w:shd w:val="clear" w:color="auto" w:fill="auto"/>
            <w:noWrap/>
            <w:vAlign w:val="bottom"/>
            <w:hideMark/>
          </w:tcPr>
          <w:p w14:paraId="7AE1F62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49ADA53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25A87CF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4BCEA98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care provider &amp; clients</w:t>
            </w:r>
          </w:p>
        </w:tc>
        <w:tc>
          <w:tcPr>
            <w:tcW w:w="2245" w:type="dxa"/>
            <w:shd w:val="clear" w:color="auto" w:fill="auto"/>
            <w:noWrap/>
            <w:vAlign w:val="bottom"/>
            <w:hideMark/>
          </w:tcPr>
          <w:p w14:paraId="5249A64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6E7D11FD"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which PHC organizations’ characteristics are associated with improved first-contact accessibility</w:t>
            </w:r>
          </w:p>
        </w:tc>
      </w:tr>
      <w:tr w:rsidR="00405C60" w:rsidRPr="001D148E" w14:paraId="17B2A21D" w14:textId="77777777" w:rsidTr="009A37D3">
        <w:trPr>
          <w:trHeight w:val="503"/>
        </w:trPr>
        <w:tc>
          <w:tcPr>
            <w:tcW w:w="1504" w:type="dxa"/>
            <w:shd w:val="clear" w:color="auto" w:fill="auto"/>
            <w:noWrap/>
            <w:vAlign w:val="bottom"/>
            <w:hideMark/>
          </w:tcPr>
          <w:p w14:paraId="4C4B707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Philips H et al</w:t>
            </w:r>
          </w:p>
        </w:tc>
        <w:tc>
          <w:tcPr>
            <w:tcW w:w="1219" w:type="dxa"/>
            <w:shd w:val="clear" w:color="auto" w:fill="auto"/>
            <w:noWrap/>
            <w:vAlign w:val="bottom"/>
            <w:hideMark/>
          </w:tcPr>
          <w:p w14:paraId="0526D40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2014</w:t>
            </w:r>
          </w:p>
        </w:tc>
        <w:tc>
          <w:tcPr>
            <w:tcW w:w="1395" w:type="dxa"/>
            <w:shd w:val="clear" w:color="auto" w:fill="auto"/>
            <w:noWrap/>
            <w:vAlign w:val="bottom"/>
            <w:hideMark/>
          </w:tcPr>
          <w:p w14:paraId="3DA11D5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Belgium</w:t>
            </w:r>
          </w:p>
        </w:tc>
        <w:tc>
          <w:tcPr>
            <w:tcW w:w="1465" w:type="dxa"/>
            <w:shd w:val="clear" w:color="auto" w:fill="auto"/>
            <w:noWrap/>
            <w:vAlign w:val="bottom"/>
            <w:hideMark/>
          </w:tcPr>
          <w:p w14:paraId="68EF2B5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A5E337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w:t>
            </w:r>
          </w:p>
        </w:tc>
        <w:tc>
          <w:tcPr>
            <w:tcW w:w="2245" w:type="dxa"/>
            <w:shd w:val="clear" w:color="auto" w:fill="auto"/>
            <w:noWrap/>
            <w:vAlign w:val="bottom"/>
            <w:hideMark/>
          </w:tcPr>
          <w:p w14:paraId="4AE9696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777D299F"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 how primary health care can be made accessible to vulnerable groups</w:t>
            </w:r>
          </w:p>
        </w:tc>
      </w:tr>
      <w:tr w:rsidR="00405C60" w:rsidRPr="001D148E" w14:paraId="427602C4" w14:textId="77777777" w:rsidTr="009A37D3">
        <w:trPr>
          <w:trHeight w:val="350"/>
        </w:trPr>
        <w:tc>
          <w:tcPr>
            <w:tcW w:w="1504" w:type="dxa"/>
            <w:shd w:val="clear" w:color="auto" w:fill="auto"/>
            <w:noWrap/>
            <w:vAlign w:val="bottom"/>
            <w:hideMark/>
          </w:tcPr>
          <w:p w14:paraId="00ED7BE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Pinto A et al</w:t>
            </w:r>
          </w:p>
        </w:tc>
        <w:tc>
          <w:tcPr>
            <w:tcW w:w="1219" w:type="dxa"/>
            <w:shd w:val="clear" w:color="auto" w:fill="auto"/>
            <w:noWrap/>
            <w:vAlign w:val="bottom"/>
            <w:hideMark/>
          </w:tcPr>
          <w:p w14:paraId="31B62B3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34A5044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39A2ADB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30F010D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facility</w:t>
            </w:r>
          </w:p>
        </w:tc>
        <w:tc>
          <w:tcPr>
            <w:tcW w:w="2245" w:type="dxa"/>
            <w:shd w:val="clear" w:color="auto" w:fill="auto"/>
            <w:noWrap/>
            <w:vAlign w:val="bottom"/>
            <w:hideMark/>
          </w:tcPr>
          <w:p w14:paraId="04C34D9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538578BE"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Assessment of the accessibility of primary health care facilities</w:t>
            </w:r>
          </w:p>
        </w:tc>
      </w:tr>
      <w:tr w:rsidR="00405C60" w:rsidRPr="001D148E" w14:paraId="7DF54AFE" w14:textId="77777777" w:rsidTr="009A37D3">
        <w:trPr>
          <w:trHeight w:val="260"/>
        </w:trPr>
        <w:tc>
          <w:tcPr>
            <w:tcW w:w="1504" w:type="dxa"/>
            <w:shd w:val="clear" w:color="auto" w:fill="auto"/>
            <w:noWrap/>
            <w:vAlign w:val="bottom"/>
            <w:hideMark/>
          </w:tcPr>
          <w:p w14:paraId="4454E8B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Pinto LF et al</w:t>
            </w:r>
          </w:p>
        </w:tc>
        <w:tc>
          <w:tcPr>
            <w:tcW w:w="1219" w:type="dxa"/>
            <w:shd w:val="clear" w:color="auto" w:fill="auto"/>
            <w:noWrap/>
            <w:vAlign w:val="bottom"/>
            <w:hideMark/>
          </w:tcPr>
          <w:p w14:paraId="0870108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4E366A9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18A456D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3A40EC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77D6F91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0D1F1F0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 Evaluate the extent of PHC attributes</w:t>
            </w:r>
          </w:p>
        </w:tc>
      </w:tr>
      <w:tr w:rsidR="00405C60" w:rsidRPr="001D148E" w14:paraId="1AF8C36A" w14:textId="77777777" w:rsidTr="009A37D3">
        <w:trPr>
          <w:trHeight w:val="251"/>
        </w:trPr>
        <w:tc>
          <w:tcPr>
            <w:tcW w:w="1504" w:type="dxa"/>
            <w:shd w:val="clear" w:color="auto" w:fill="auto"/>
            <w:noWrap/>
            <w:vAlign w:val="bottom"/>
            <w:hideMark/>
          </w:tcPr>
          <w:p w14:paraId="464AE61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Pocas KC et al</w:t>
            </w:r>
          </w:p>
        </w:tc>
        <w:tc>
          <w:tcPr>
            <w:tcW w:w="1219" w:type="dxa"/>
            <w:shd w:val="clear" w:color="auto" w:fill="auto"/>
            <w:noWrap/>
            <w:vAlign w:val="bottom"/>
            <w:hideMark/>
          </w:tcPr>
          <w:p w14:paraId="426AB97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2017</w:t>
            </w:r>
          </w:p>
        </w:tc>
        <w:tc>
          <w:tcPr>
            <w:tcW w:w="1395" w:type="dxa"/>
            <w:shd w:val="clear" w:color="auto" w:fill="auto"/>
            <w:noWrap/>
            <w:vAlign w:val="bottom"/>
            <w:hideMark/>
          </w:tcPr>
          <w:p w14:paraId="135A807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11FE6A5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8412AD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w:t>
            </w:r>
          </w:p>
        </w:tc>
        <w:tc>
          <w:tcPr>
            <w:tcW w:w="2245" w:type="dxa"/>
            <w:shd w:val="clear" w:color="auto" w:fill="auto"/>
            <w:noWrap/>
            <w:vAlign w:val="bottom"/>
            <w:hideMark/>
          </w:tcPr>
          <w:p w14:paraId="2714972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5BF6827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Potential coverage indicators were estimated for infrastructure, health team composition and services available</w:t>
            </w:r>
          </w:p>
        </w:tc>
      </w:tr>
      <w:tr w:rsidR="00405C60" w:rsidRPr="001D148E" w14:paraId="1750277E" w14:textId="77777777" w:rsidTr="009A37D3">
        <w:trPr>
          <w:trHeight w:val="323"/>
        </w:trPr>
        <w:tc>
          <w:tcPr>
            <w:tcW w:w="1504" w:type="dxa"/>
            <w:shd w:val="clear" w:color="auto" w:fill="auto"/>
            <w:noWrap/>
            <w:vAlign w:val="bottom"/>
            <w:hideMark/>
          </w:tcPr>
          <w:p w14:paraId="546D705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Rabelo ALR et al</w:t>
            </w:r>
          </w:p>
        </w:tc>
        <w:tc>
          <w:tcPr>
            <w:tcW w:w="1219" w:type="dxa"/>
            <w:shd w:val="clear" w:color="auto" w:fill="auto"/>
            <w:noWrap/>
            <w:vAlign w:val="bottom"/>
            <w:hideMark/>
          </w:tcPr>
          <w:p w14:paraId="057C2B6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2019</w:t>
            </w:r>
          </w:p>
        </w:tc>
        <w:tc>
          <w:tcPr>
            <w:tcW w:w="1395" w:type="dxa"/>
            <w:shd w:val="clear" w:color="auto" w:fill="auto"/>
            <w:noWrap/>
            <w:vAlign w:val="bottom"/>
            <w:hideMark/>
          </w:tcPr>
          <w:p w14:paraId="0799C7D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319355A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C49880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 &amp; client</w:t>
            </w:r>
          </w:p>
        </w:tc>
        <w:tc>
          <w:tcPr>
            <w:tcW w:w="2245" w:type="dxa"/>
            <w:shd w:val="clear" w:color="auto" w:fill="auto"/>
            <w:noWrap/>
            <w:vAlign w:val="bottom"/>
            <w:hideMark/>
          </w:tcPr>
          <w:p w14:paraId="2BF4AD1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Continuity and coordination</w:t>
            </w:r>
          </w:p>
        </w:tc>
        <w:tc>
          <w:tcPr>
            <w:tcW w:w="4957" w:type="dxa"/>
            <w:vAlign w:val="bottom"/>
          </w:tcPr>
          <w:p w14:paraId="64A133E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the attributes of primary health care, care coordination and longitudinality, from the perception of the professional and patients</w:t>
            </w:r>
          </w:p>
        </w:tc>
      </w:tr>
      <w:tr w:rsidR="00405C60" w:rsidRPr="001D148E" w14:paraId="434C3D26" w14:textId="77777777" w:rsidTr="009A37D3">
        <w:trPr>
          <w:trHeight w:val="530"/>
        </w:trPr>
        <w:tc>
          <w:tcPr>
            <w:tcW w:w="1504" w:type="dxa"/>
            <w:shd w:val="clear" w:color="auto" w:fill="auto"/>
            <w:noWrap/>
            <w:vAlign w:val="bottom"/>
            <w:hideMark/>
          </w:tcPr>
          <w:p w14:paraId="590720F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Richard L et al</w:t>
            </w:r>
          </w:p>
        </w:tc>
        <w:tc>
          <w:tcPr>
            <w:tcW w:w="1219" w:type="dxa"/>
            <w:shd w:val="clear" w:color="auto" w:fill="auto"/>
            <w:noWrap/>
            <w:vAlign w:val="bottom"/>
            <w:hideMark/>
          </w:tcPr>
          <w:p w14:paraId="0189ABF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199791C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multicounty</w:t>
            </w:r>
          </w:p>
        </w:tc>
        <w:tc>
          <w:tcPr>
            <w:tcW w:w="1465" w:type="dxa"/>
            <w:shd w:val="clear" w:color="auto" w:fill="auto"/>
            <w:noWrap/>
            <w:vAlign w:val="bottom"/>
            <w:hideMark/>
          </w:tcPr>
          <w:p w14:paraId="66BF5D3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56683D5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Stakeholders (Expert, researchers, leaders)</w:t>
            </w:r>
          </w:p>
        </w:tc>
        <w:tc>
          <w:tcPr>
            <w:tcW w:w="2245" w:type="dxa"/>
            <w:shd w:val="clear" w:color="auto" w:fill="auto"/>
            <w:noWrap/>
            <w:vAlign w:val="bottom"/>
            <w:hideMark/>
          </w:tcPr>
          <w:p w14:paraId="78053A4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7B994DD7"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Equity of access to primary healthcare for vulnerable populations</w:t>
            </w:r>
          </w:p>
        </w:tc>
      </w:tr>
      <w:tr w:rsidR="00405C60" w:rsidRPr="001D148E" w14:paraId="1B059092" w14:textId="77777777" w:rsidTr="009A37D3">
        <w:trPr>
          <w:trHeight w:val="1200"/>
        </w:trPr>
        <w:tc>
          <w:tcPr>
            <w:tcW w:w="1504" w:type="dxa"/>
            <w:shd w:val="clear" w:color="auto" w:fill="auto"/>
            <w:noWrap/>
            <w:vAlign w:val="bottom"/>
            <w:hideMark/>
          </w:tcPr>
          <w:p w14:paraId="5ED2A10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Rifkin SB</w:t>
            </w:r>
          </w:p>
        </w:tc>
        <w:tc>
          <w:tcPr>
            <w:tcW w:w="1219" w:type="dxa"/>
            <w:shd w:val="clear" w:color="auto" w:fill="auto"/>
            <w:noWrap/>
            <w:vAlign w:val="bottom"/>
            <w:hideMark/>
          </w:tcPr>
          <w:p w14:paraId="5177D17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1987</w:t>
            </w:r>
          </w:p>
        </w:tc>
        <w:tc>
          <w:tcPr>
            <w:tcW w:w="1395" w:type="dxa"/>
            <w:shd w:val="clear" w:color="auto" w:fill="auto"/>
            <w:noWrap/>
            <w:vAlign w:val="bottom"/>
            <w:hideMark/>
          </w:tcPr>
          <w:p w14:paraId="7CACD41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Asia</w:t>
            </w:r>
          </w:p>
        </w:tc>
        <w:tc>
          <w:tcPr>
            <w:tcW w:w="1465" w:type="dxa"/>
            <w:shd w:val="clear" w:color="auto" w:fill="auto"/>
            <w:noWrap/>
            <w:vAlign w:val="bottom"/>
            <w:hideMark/>
          </w:tcPr>
          <w:p w14:paraId="0D5095B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678BC1E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Urban poor</w:t>
            </w:r>
          </w:p>
        </w:tc>
        <w:tc>
          <w:tcPr>
            <w:tcW w:w="2245" w:type="dxa"/>
            <w:shd w:val="clear" w:color="auto" w:fill="auto"/>
            <w:noWrap/>
            <w:vAlign w:val="bottom"/>
            <w:hideMark/>
          </w:tcPr>
          <w:p w14:paraId="7799A40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5C35E7A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why participate? who participates? how do they participate?</w:t>
            </w:r>
          </w:p>
        </w:tc>
      </w:tr>
      <w:tr w:rsidR="00405C60" w:rsidRPr="001D148E" w14:paraId="4057419F" w14:textId="77777777" w:rsidTr="009A37D3">
        <w:trPr>
          <w:trHeight w:val="1200"/>
        </w:trPr>
        <w:tc>
          <w:tcPr>
            <w:tcW w:w="1504" w:type="dxa"/>
            <w:shd w:val="clear" w:color="auto" w:fill="auto"/>
            <w:noWrap/>
            <w:vAlign w:val="bottom"/>
            <w:hideMark/>
          </w:tcPr>
          <w:p w14:paraId="3F87F7C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Rocha ESC et al</w:t>
            </w:r>
          </w:p>
        </w:tc>
        <w:tc>
          <w:tcPr>
            <w:tcW w:w="1219" w:type="dxa"/>
            <w:shd w:val="clear" w:color="auto" w:fill="auto"/>
            <w:noWrap/>
            <w:vAlign w:val="bottom"/>
            <w:hideMark/>
          </w:tcPr>
          <w:p w14:paraId="5E392C6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2020</w:t>
            </w:r>
          </w:p>
        </w:tc>
        <w:tc>
          <w:tcPr>
            <w:tcW w:w="1395" w:type="dxa"/>
            <w:shd w:val="clear" w:color="auto" w:fill="auto"/>
            <w:noWrap/>
            <w:vAlign w:val="bottom"/>
            <w:hideMark/>
          </w:tcPr>
          <w:p w14:paraId="5268BA6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16C4564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052F304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w:t>
            </w:r>
          </w:p>
        </w:tc>
        <w:tc>
          <w:tcPr>
            <w:tcW w:w="2245" w:type="dxa"/>
            <w:shd w:val="clear" w:color="auto" w:fill="auto"/>
            <w:noWrap/>
            <w:vAlign w:val="bottom"/>
            <w:hideMark/>
          </w:tcPr>
          <w:p w14:paraId="7E5C9E2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 continuity, coordination, comprehensiveness, community participation</w:t>
            </w:r>
          </w:p>
        </w:tc>
        <w:tc>
          <w:tcPr>
            <w:tcW w:w="4957" w:type="dxa"/>
            <w:vAlign w:val="bottom"/>
          </w:tcPr>
          <w:p w14:paraId="422C80D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the attributes of Primary Health Care from the perspective of health professionals, comparing services in the Special Indigenous Health District and the Municipal Health Offices</w:t>
            </w:r>
          </w:p>
        </w:tc>
      </w:tr>
      <w:tr w:rsidR="00405C60" w:rsidRPr="001D148E" w14:paraId="16C7B942" w14:textId="77777777" w:rsidTr="009A37D3">
        <w:trPr>
          <w:trHeight w:val="305"/>
        </w:trPr>
        <w:tc>
          <w:tcPr>
            <w:tcW w:w="1504" w:type="dxa"/>
            <w:shd w:val="clear" w:color="auto" w:fill="auto"/>
            <w:noWrap/>
            <w:vAlign w:val="bottom"/>
            <w:hideMark/>
          </w:tcPr>
          <w:p w14:paraId="6E7D4D3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Rohrbasser A et al</w:t>
            </w:r>
          </w:p>
        </w:tc>
        <w:tc>
          <w:tcPr>
            <w:tcW w:w="1219" w:type="dxa"/>
            <w:shd w:val="clear" w:color="auto" w:fill="auto"/>
            <w:noWrap/>
            <w:vAlign w:val="bottom"/>
            <w:hideMark/>
          </w:tcPr>
          <w:p w14:paraId="580863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54CE4C0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multicounty</w:t>
            </w:r>
          </w:p>
        </w:tc>
        <w:tc>
          <w:tcPr>
            <w:tcW w:w="1465" w:type="dxa"/>
            <w:shd w:val="clear" w:color="auto" w:fill="auto"/>
            <w:noWrap/>
            <w:vAlign w:val="bottom"/>
            <w:hideMark/>
          </w:tcPr>
          <w:p w14:paraId="0947D79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2426083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articles</w:t>
            </w:r>
          </w:p>
        </w:tc>
        <w:tc>
          <w:tcPr>
            <w:tcW w:w="2245" w:type="dxa"/>
            <w:shd w:val="clear" w:color="auto" w:fill="auto"/>
            <w:noWrap/>
            <w:vAlign w:val="bottom"/>
            <w:hideMark/>
          </w:tcPr>
          <w:p w14:paraId="6216938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17258E1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Identify possible definitions of quality circles, their origins, and reported effectiveness in primary health care, and to identify gaps in our knowledge</w:t>
            </w:r>
          </w:p>
        </w:tc>
      </w:tr>
      <w:tr w:rsidR="00405C60" w:rsidRPr="001D148E" w14:paraId="4E3D1139" w14:textId="77777777" w:rsidTr="009A37D3">
        <w:trPr>
          <w:trHeight w:val="305"/>
        </w:trPr>
        <w:tc>
          <w:tcPr>
            <w:tcW w:w="1504" w:type="dxa"/>
            <w:shd w:val="clear" w:color="auto" w:fill="auto"/>
            <w:noWrap/>
            <w:vAlign w:val="bottom"/>
            <w:hideMark/>
          </w:tcPr>
          <w:p w14:paraId="071ACA5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Rossignol M et al</w:t>
            </w:r>
          </w:p>
        </w:tc>
        <w:tc>
          <w:tcPr>
            <w:tcW w:w="1219" w:type="dxa"/>
            <w:shd w:val="clear" w:color="auto" w:fill="auto"/>
            <w:noWrap/>
            <w:vAlign w:val="bottom"/>
            <w:hideMark/>
          </w:tcPr>
          <w:p w14:paraId="29D1D36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2000</w:t>
            </w:r>
          </w:p>
        </w:tc>
        <w:tc>
          <w:tcPr>
            <w:tcW w:w="1395" w:type="dxa"/>
            <w:shd w:val="clear" w:color="auto" w:fill="auto"/>
            <w:noWrap/>
            <w:vAlign w:val="bottom"/>
            <w:hideMark/>
          </w:tcPr>
          <w:p w14:paraId="71A9230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00B1143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460571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workers and clients</w:t>
            </w:r>
          </w:p>
        </w:tc>
        <w:tc>
          <w:tcPr>
            <w:tcW w:w="2245" w:type="dxa"/>
            <w:shd w:val="clear" w:color="auto" w:fill="auto"/>
            <w:noWrap/>
            <w:vAlign w:val="bottom"/>
            <w:hideMark/>
          </w:tcPr>
          <w:p w14:paraId="1EF91B0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Coordination</w:t>
            </w:r>
          </w:p>
        </w:tc>
        <w:tc>
          <w:tcPr>
            <w:tcW w:w="4957" w:type="dxa"/>
            <w:vAlign w:val="bottom"/>
          </w:tcPr>
          <w:p w14:paraId="558E46C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Measure the effectiveness of the coordination of PHC </w:t>
            </w:r>
            <w:r w:rsidRPr="001D148E">
              <w:rPr>
                <w:rFonts w:ascii="Times New Roman" w:hAnsi="Times New Roman" w:cs="Times New Roman"/>
                <w:sz w:val="24"/>
                <w:szCs w:val="24"/>
              </w:rPr>
              <w:br/>
              <w:t>program as a mean for implementing clinical practice</w:t>
            </w:r>
            <w:r w:rsidRPr="001D148E">
              <w:rPr>
                <w:rFonts w:ascii="Times New Roman" w:hAnsi="Times New Roman" w:cs="Times New Roman"/>
                <w:sz w:val="24"/>
                <w:szCs w:val="24"/>
              </w:rPr>
              <w:br/>
              <w:t>guidelines for low-back pain in an urban community</w:t>
            </w:r>
          </w:p>
        </w:tc>
      </w:tr>
      <w:tr w:rsidR="00405C60" w:rsidRPr="001D148E" w14:paraId="1547D648" w14:textId="77777777" w:rsidTr="009A37D3">
        <w:trPr>
          <w:trHeight w:val="386"/>
        </w:trPr>
        <w:tc>
          <w:tcPr>
            <w:tcW w:w="1504" w:type="dxa"/>
            <w:shd w:val="clear" w:color="auto" w:fill="auto"/>
            <w:noWrap/>
            <w:vAlign w:val="bottom"/>
            <w:hideMark/>
          </w:tcPr>
          <w:p w14:paraId="17CA953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Salisbury C et al</w:t>
            </w:r>
          </w:p>
        </w:tc>
        <w:tc>
          <w:tcPr>
            <w:tcW w:w="1219" w:type="dxa"/>
            <w:shd w:val="clear" w:color="auto" w:fill="auto"/>
            <w:noWrap/>
            <w:vAlign w:val="bottom"/>
            <w:hideMark/>
          </w:tcPr>
          <w:p w14:paraId="51CB533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2009</w:t>
            </w:r>
          </w:p>
        </w:tc>
        <w:tc>
          <w:tcPr>
            <w:tcW w:w="1395" w:type="dxa"/>
            <w:shd w:val="clear" w:color="auto" w:fill="auto"/>
            <w:noWrap/>
            <w:vAlign w:val="bottom"/>
            <w:hideMark/>
          </w:tcPr>
          <w:p w14:paraId="0043747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United Kingdom</w:t>
            </w:r>
          </w:p>
        </w:tc>
        <w:tc>
          <w:tcPr>
            <w:tcW w:w="1465" w:type="dxa"/>
            <w:shd w:val="clear" w:color="auto" w:fill="auto"/>
            <w:noWrap/>
            <w:vAlign w:val="bottom"/>
            <w:hideMark/>
          </w:tcPr>
          <w:p w14:paraId="36D6CD4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98DAF1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workers</w:t>
            </w:r>
          </w:p>
        </w:tc>
        <w:tc>
          <w:tcPr>
            <w:tcW w:w="2245" w:type="dxa"/>
            <w:shd w:val="clear" w:color="auto" w:fill="auto"/>
            <w:noWrap/>
            <w:vAlign w:val="bottom"/>
            <w:hideMark/>
          </w:tcPr>
          <w:p w14:paraId="7B82606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Continuity </w:t>
            </w:r>
          </w:p>
        </w:tc>
        <w:tc>
          <w:tcPr>
            <w:tcW w:w="4957" w:type="dxa"/>
            <w:vAlign w:val="bottom"/>
          </w:tcPr>
          <w:p w14:paraId="53B9ADA8"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whether organisational changes have had an impact on continuity, it is necessary to define and measure the term</w:t>
            </w:r>
          </w:p>
        </w:tc>
      </w:tr>
      <w:tr w:rsidR="00405C60" w:rsidRPr="001D148E" w14:paraId="52E37E58" w14:textId="77777777" w:rsidTr="009A37D3">
        <w:trPr>
          <w:trHeight w:val="377"/>
        </w:trPr>
        <w:tc>
          <w:tcPr>
            <w:tcW w:w="1504" w:type="dxa"/>
            <w:shd w:val="clear" w:color="auto" w:fill="auto"/>
            <w:noWrap/>
            <w:vAlign w:val="bottom"/>
            <w:hideMark/>
          </w:tcPr>
          <w:p w14:paraId="7FF4503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Saric J et al</w:t>
            </w:r>
          </w:p>
        </w:tc>
        <w:tc>
          <w:tcPr>
            <w:tcW w:w="1219" w:type="dxa"/>
            <w:shd w:val="clear" w:color="auto" w:fill="auto"/>
            <w:noWrap/>
            <w:vAlign w:val="bottom"/>
            <w:hideMark/>
          </w:tcPr>
          <w:p w14:paraId="5AB703F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3A1FB91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Albania</w:t>
            </w:r>
          </w:p>
        </w:tc>
        <w:tc>
          <w:tcPr>
            <w:tcW w:w="1465" w:type="dxa"/>
            <w:shd w:val="clear" w:color="auto" w:fill="auto"/>
            <w:noWrap/>
            <w:vAlign w:val="bottom"/>
            <w:hideMark/>
          </w:tcPr>
          <w:p w14:paraId="6E0BFD6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5D04F0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 health worker, patient</w:t>
            </w:r>
          </w:p>
        </w:tc>
        <w:tc>
          <w:tcPr>
            <w:tcW w:w="2245" w:type="dxa"/>
            <w:shd w:val="clear" w:color="auto" w:fill="auto"/>
            <w:noWrap/>
            <w:vAlign w:val="bottom"/>
            <w:hideMark/>
          </w:tcPr>
          <w:p w14:paraId="2184518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 of care</w:t>
            </w:r>
          </w:p>
        </w:tc>
        <w:tc>
          <w:tcPr>
            <w:tcW w:w="4957" w:type="dxa"/>
            <w:vAlign w:val="bottom"/>
          </w:tcPr>
          <w:p w14:paraId="6C389CC7"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Compare quality of care before and after the 4 years of health for all project implementation in PHC</w:t>
            </w:r>
          </w:p>
        </w:tc>
      </w:tr>
      <w:tr w:rsidR="00405C60" w:rsidRPr="001D148E" w14:paraId="77555B9F" w14:textId="77777777" w:rsidTr="009A37D3">
        <w:trPr>
          <w:trHeight w:val="368"/>
        </w:trPr>
        <w:tc>
          <w:tcPr>
            <w:tcW w:w="1504" w:type="dxa"/>
            <w:shd w:val="clear" w:color="auto" w:fill="auto"/>
            <w:noWrap/>
            <w:vAlign w:val="bottom"/>
            <w:hideMark/>
          </w:tcPr>
          <w:p w14:paraId="7C72E02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Scarborough J et al</w:t>
            </w:r>
          </w:p>
        </w:tc>
        <w:tc>
          <w:tcPr>
            <w:tcW w:w="1219" w:type="dxa"/>
            <w:shd w:val="clear" w:color="auto" w:fill="auto"/>
            <w:noWrap/>
            <w:vAlign w:val="bottom"/>
            <w:hideMark/>
          </w:tcPr>
          <w:p w14:paraId="5E0DADA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4DCCB59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415E4ED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Review</w:t>
            </w:r>
          </w:p>
        </w:tc>
        <w:tc>
          <w:tcPr>
            <w:tcW w:w="2216" w:type="dxa"/>
            <w:shd w:val="clear" w:color="auto" w:fill="auto"/>
            <w:noWrap/>
            <w:vAlign w:val="bottom"/>
            <w:hideMark/>
          </w:tcPr>
          <w:p w14:paraId="5A03A62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facilities</w:t>
            </w:r>
          </w:p>
        </w:tc>
        <w:tc>
          <w:tcPr>
            <w:tcW w:w="2245" w:type="dxa"/>
            <w:shd w:val="clear" w:color="auto" w:fill="auto"/>
            <w:noWrap/>
            <w:vAlign w:val="bottom"/>
            <w:hideMark/>
          </w:tcPr>
          <w:p w14:paraId="5909553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5618252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Suggest ways of increasing the cohesiveness of national primary healthcare strategies and hepatitis C strategies, with the aim of ensuring that all these strategies include ways to address barriers and facilitators to access to primary healthcare and equity for people with hepatitis C</w:t>
            </w:r>
          </w:p>
        </w:tc>
      </w:tr>
      <w:tr w:rsidR="00405C60" w:rsidRPr="001D148E" w14:paraId="4FE694D0" w14:textId="77777777" w:rsidTr="009A37D3">
        <w:trPr>
          <w:trHeight w:val="449"/>
        </w:trPr>
        <w:tc>
          <w:tcPr>
            <w:tcW w:w="1504" w:type="dxa"/>
            <w:shd w:val="clear" w:color="auto" w:fill="auto"/>
            <w:noWrap/>
            <w:vAlign w:val="bottom"/>
            <w:hideMark/>
          </w:tcPr>
          <w:p w14:paraId="20A8CD8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Schmidt B et al</w:t>
            </w:r>
          </w:p>
        </w:tc>
        <w:tc>
          <w:tcPr>
            <w:tcW w:w="1219" w:type="dxa"/>
            <w:shd w:val="clear" w:color="auto" w:fill="auto"/>
            <w:noWrap/>
            <w:vAlign w:val="bottom"/>
            <w:hideMark/>
          </w:tcPr>
          <w:p w14:paraId="06E1D47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20A0AEF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4F64725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5B82B00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 clients, stakeholder</w:t>
            </w:r>
          </w:p>
        </w:tc>
        <w:tc>
          <w:tcPr>
            <w:tcW w:w="2245" w:type="dxa"/>
            <w:shd w:val="clear" w:color="auto" w:fill="auto"/>
            <w:noWrap/>
            <w:vAlign w:val="bottom"/>
            <w:hideMark/>
          </w:tcPr>
          <w:p w14:paraId="3FA78FC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Coordination</w:t>
            </w:r>
          </w:p>
        </w:tc>
        <w:tc>
          <w:tcPr>
            <w:tcW w:w="4957" w:type="dxa"/>
            <w:vAlign w:val="bottom"/>
          </w:tcPr>
          <w:p w14:paraId="1A44791A"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Explore how a client-centred Chronic Care model was implemented by Indigenous Health Workers (IHWs) at participating sites in a trial of IHW-led case management and understand the experiences of engaging with the model from the perspective of the IHWs, health team members and clients.</w:t>
            </w:r>
          </w:p>
        </w:tc>
      </w:tr>
      <w:tr w:rsidR="00405C60" w:rsidRPr="001D148E" w14:paraId="6237BB3F" w14:textId="77777777" w:rsidTr="009A37D3">
        <w:trPr>
          <w:trHeight w:val="269"/>
        </w:trPr>
        <w:tc>
          <w:tcPr>
            <w:tcW w:w="1504" w:type="dxa"/>
            <w:shd w:val="clear" w:color="auto" w:fill="auto"/>
            <w:noWrap/>
            <w:vAlign w:val="bottom"/>
            <w:hideMark/>
          </w:tcPr>
          <w:p w14:paraId="5BE7DC8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Sigurdsson JA et al</w:t>
            </w:r>
          </w:p>
        </w:tc>
        <w:tc>
          <w:tcPr>
            <w:tcW w:w="1219" w:type="dxa"/>
            <w:shd w:val="clear" w:color="auto" w:fill="auto"/>
            <w:noWrap/>
            <w:vAlign w:val="bottom"/>
            <w:hideMark/>
          </w:tcPr>
          <w:p w14:paraId="6903451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1988</w:t>
            </w:r>
          </w:p>
        </w:tc>
        <w:tc>
          <w:tcPr>
            <w:tcW w:w="1395" w:type="dxa"/>
            <w:shd w:val="clear" w:color="auto" w:fill="auto"/>
            <w:noWrap/>
            <w:vAlign w:val="bottom"/>
            <w:hideMark/>
          </w:tcPr>
          <w:p w14:paraId="3D7F33D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Iceland</w:t>
            </w:r>
          </w:p>
        </w:tc>
        <w:tc>
          <w:tcPr>
            <w:tcW w:w="1465" w:type="dxa"/>
            <w:shd w:val="clear" w:color="auto" w:fill="auto"/>
            <w:noWrap/>
            <w:vAlign w:val="bottom"/>
            <w:hideMark/>
          </w:tcPr>
          <w:p w14:paraId="53F5865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0D2EB3E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53B7B28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4947CAB1"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Accessibility by telephone of primary health care </w:t>
            </w:r>
          </w:p>
        </w:tc>
      </w:tr>
      <w:tr w:rsidR="00405C60" w:rsidRPr="001D148E" w14:paraId="7427080B" w14:textId="77777777" w:rsidTr="009A37D3">
        <w:trPr>
          <w:trHeight w:val="431"/>
        </w:trPr>
        <w:tc>
          <w:tcPr>
            <w:tcW w:w="1504" w:type="dxa"/>
            <w:shd w:val="clear" w:color="auto" w:fill="auto"/>
            <w:noWrap/>
            <w:vAlign w:val="bottom"/>
            <w:hideMark/>
          </w:tcPr>
          <w:p w14:paraId="522C049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Singh D et al</w:t>
            </w:r>
          </w:p>
        </w:tc>
        <w:tc>
          <w:tcPr>
            <w:tcW w:w="1219" w:type="dxa"/>
            <w:shd w:val="clear" w:color="auto" w:fill="auto"/>
            <w:noWrap/>
            <w:vAlign w:val="bottom"/>
            <w:hideMark/>
          </w:tcPr>
          <w:p w14:paraId="7DB8FAE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3C7E7F4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India</w:t>
            </w:r>
          </w:p>
        </w:tc>
        <w:tc>
          <w:tcPr>
            <w:tcW w:w="1465" w:type="dxa"/>
            <w:shd w:val="clear" w:color="auto" w:fill="auto"/>
            <w:noWrap/>
            <w:vAlign w:val="bottom"/>
            <w:hideMark/>
          </w:tcPr>
          <w:p w14:paraId="5BE4CCE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394E5F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facility</w:t>
            </w:r>
          </w:p>
        </w:tc>
        <w:tc>
          <w:tcPr>
            <w:tcW w:w="2245" w:type="dxa"/>
            <w:shd w:val="clear" w:color="auto" w:fill="auto"/>
            <w:noWrap/>
            <w:vAlign w:val="bottom"/>
            <w:hideMark/>
          </w:tcPr>
          <w:p w14:paraId="3248570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Cost effectiveness</w:t>
            </w:r>
          </w:p>
        </w:tc>
        <w:tc>
          <w:tcPr>
            <w:tcW w:w="4957" w:type="dxa"/>
            <w:vAlign w:val="bottom"/>
          </w:tcPr>
          <w:p w14:paraId="1C4091D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the cost of this scale-up to inform decisions on budgetary allocation, as well as to set the norms for capitation-based payments</w:t>
            </w:r>
          </w:p>
        </w:tc>
      </w:tr>
      <w:tr w:rsidR="00405C60" w:rsidRPr="001D148E" w14:paraId="64E3B237" w14:textId="77777777" w:rsidTr="009A37D3">
        <w:trPr>
          <w:trHeight w:val="359"/>
        </w:trPr>
        <w:tc>
          <w:tcPr>
            <w:tcW w:w="1504" w:type="dxa"/>
            <w:shd w:val="clear" w:color="auto" w:fill="auto"/>
            <w:noWrap/>
            <w:vAlign w:val="bottom"/>
            <w:hideMark/>
          </w:tcPr>
          <w:p w14:paraId="186C774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Sirilak S et al</w:t>
            </w:r>
          </w:p>
        </w:tc>
        <w:tc>
          <w:tcPr>
            <w:tcW w:w="1219" w:type="dxa"/>
            <w:shd w:val="clear" w:color="auto" w:fill="auto"/>
            <w:noWrap/>
            <w:vAlign w:val="bottom"/>
            <w:hideMark/>
          </w:tcPr>
          <w:p w14:paraId="142873D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2012</w:t>
            </w:r>
          </w:p>
        </w:tc>
        <w:tc>
          <w:tcPr>
            <w:tcW w:w="1395" w:type="dxa"/>
            <w:shd w:val="clear" w:color="auto" w:fill="auto"/>
            <w:noWrap/>
            <w:vAlign w:val="bottom"/>
            <w:hideMark/>
          </w:tcPr>
          <w:p w14:paraId="6EF1273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Thailand</w:t>
            </w:r>
          </w:p>
        </w:tc>
        <w:tc>
          <w:tcPr>
            <w:tcW w:w="1465" w:type="dxa"/>
            <w:shd w:val="clear" w:color="auto" w:fill="auto"/>
            <w:noWrap/>
            <w:vAlign w:val="bottom"/>
            <w:hideMark/>
          </w:tcPr>
          <w:p w14:paraId="347B667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Mixed</w:t>
            </w:r>
          </w:p>
        </w:tc>
        <w:tc>
          <w:tcPr>
            <w:tcW w:w="2216" w:type="dxa"/>
            <w:shd w:val="clear" w:color="auto" w:fill="auto"/>
            <w:noWrap/>
            <w:vAlign w:val="bottom"/>
            <w:hideMark/>
          </w:tcPr>
          <w:p w14:paraId="7D15CCB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 clients, stakeholder</w:t>
            </w:r>
          </w:p>
        </w:tc>
        <w:tc>
          <w:tcPr>
            <w:tcW w:w="2245" w:type="dxa"/>
            <w:shd w:val="clear" w:color="auto" w:fill="auto"/>
            <w:noWrap/>
            <w:vAlign w:val="bottom"/>
            <w:hideMark/>
          </w:tcPr>
          <w:p w14:paraId="485ACC1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5E5458E8"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Explores the identities of volunteers, their relationship with program management, and their attitudes. The study also investigates the impact of the volunteers, from the migrants’ and healthcare workers’ perspective</w:t>
            </w:r>
          </w:p>
        </w:tc>
      </w:tr>
      <w:tr w:rsidR="00405C60" w:rsidRPr="001D148E" w14:paraId="0B69C053" w14:textId="77777777" w:rsidTr="009A37D3">
        <w:trPr>
          <w:trHeight w:val="350"/>
        </w:trPr>
        <w:tc>
          <w:tcPr>
            <w:tcW w:w="1504" w:type="dxa"/>
            <w:shd w:val="clear" w:color="auto" w:fill="auto"/>
            <w:noWrap/>
            <w:vAlign w:val="bottom"/>
            <w:hideMark/>
          </w:tcPr>
          <w:p w14:paraId="0E38E47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Sitienei J et al</w:t>
            </w:r>
          </w:p>
        </w:tc>
        <w:tc>
          <w:tcPr>
            <w:tcW w:w="1219" w:type="dxa"/>
            <w:shd w:val="clear" w:color="auto" w:fill="auto"/>
            <w:noWrap/>
            <w:vAlign w:val="bottom"/>
            <w:hideMark/>
          </w:tcPr>
          <w:p w14:paraId="37A06B3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203DDE3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Kenya</w:t>
            </w:r>
          </w:p>
        </w:tc>
        <w:tc>
          <w:tcPr>
            <w:tcW w:w="1465" w:type="dxa"/>
            <w:shd w:val="clear" w:color="auto" w:fill="auto"/>
            <w:noWrap/>
            <w:vAlign w:val="bottom"/>
            <w:hideMark/>
          </w:tcPr>
          <w:p w14:paraId="0083D26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5C2AB59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 client</w:t>
            </w:r>
          </w:p>
        </w:tc>
        <w:tc>
          <w:tcPr>
            <w:tcW w:w="2245" w:type="dxa"/>
            <w:shd w:val="clear" w:color="auto" w:fill="auto"/>
            <w:noWrap/>
            <w:vAlign w:val="bottom"/>
            <w:hideMark/>
          </w:tcPr>
          <w:p w14:paraId="6D865B3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 participation</w:t>
            </w:r>
          </w:p>
        </w:tc>
        <w:tc>
          <w:tcPr>
            <w:tcW w:w="4957" w:type="dxa"/>
            <w:vAlign w:val="bottom"/>
          </w:tcPr>
          <w:p w14:paraId="56656893"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Examined the implementation of community participation, through collaborative governance in primary health care facilities</w:t>
            </w:r>
          </w:p>
        </w:tc>
      </w:tr>
      <w:tr w:rsidR="00405C60" w:rsidRPr="001D148E" w14:paraId="3CF068B4" w14:textId="77777777" w:rsidTr="009A37D3">
        <w:trPr>
          <w:trHeight w:val="260"/>
        </w:trPr>
        <w:tc>
          <w:tcPr>
            <w:tcW w:w="1504" w:type="dxa"/>
            <w:shd w:val="clear" w:color="auto" w:fill="auto"/>
            <w:noWrap/>
            <w:vAlign w:val="bottom"/>
            <w:hideMark/>
          </w:tcPr>
          <w:p w14:paraId="7303D95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Sola GJI et al</w:t>
            </w:r>
          </w:p>
        </w:tc>
        <w:tc>
          <w:tcPr>
            <w:tcW w:w="1219" w:type="dxa"/>
            <w:shd w:val="clear" w:color="auto" w:fill="auto"/>
            <w:noWrap/>
            <w:vAlign w:val="bottom"/>
            <w:hideMark/>
          </w:tcPr>
          <w:p w14:paraId="75B69AE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7960785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Spain</w:t>
            </w:r>
          </w:p>
        </w:tc>
        <w:tc>
          <w:tcPr>
            <w:tcW w:w="1465" w:type="dxa"/>
            <w:shd w:val="clear" w:color="auto" w:fill="auto"/>
            <w:noWrap/>
            <w:vAlign w:val="bottom"/>
            <w:hideMark/>
          </w:tcPr>
          <w:p w14:paraId="04F569E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55ECF46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PHC managers</w:t>
            </w:r>
          </w:p>
        </w:tc>
        <w:tc>
          <w:tcPr>
            <w:tcW w:w="2245" w:type="dxa"/>
            <w:shd w:val="clear" w:color="auto" w:fill="auto"/>
            <w:noWrap/>
            <w:vAlign w:val="bottom"/>
            <w:hideMark/>
          </w:tcPr>
          <w:p w14:paraId="7E69B8D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Leadership and governance</w:t>
            </w:r>
          </w:p>
        </w:tc>
        <w:tc>
          <w:tcPr>
            <w:tcW w:w="4957" w:type="dxa"/>
            <w:vAlign w:val="bottom"/>
          </w:tcPr>
          <w:p w14:paraId="38E4CF4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Describe and learn about the self-perception of behaviours and leadership styles among PHC managers; to determine the influence of the leadership style on job satisfaction, efficiency, and willingness to work in a team; and to determine the relationship between transformational and transactional styles according to age, gender, profession, type of manager years of management experience, and the type of organization</w:t>
            </w:r>
          </w:p>
        </w:tc>
      </w:tr>
      <w:tr w:rsidR="00405C60" w:rsidRPr="001D148E" w14:paraId="2BE3E027" w14:textId="77777777" w:rsidTr="009A37D3">
        <w:trPr>
          <w:trHeight w:val="170"/>
        </w:trPr>
        <w:tc>
          <w:tcPr>
            <w:tcW w:w="1504" w:type="dxa"/>
            <w:shd w:val="clear" w:color="auto" w:fill="auto"/>
            <w:noWrap/>
            <w:vAlign w:val="bottom"/>
            <w:hideMark/>
          </w:tcPr>
          <w:p w14:paraId="011D175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Spike EA et al</w:t>
            </w:r>
          </w:p>
        </w:tc>
        <w:tc>
          <w:tcPr>
            <w:tcW w:w="1219" w:type="dxa"/>
            <w:shd w:val="clear" w:color="auto" w:fill="auto"/>
            <w:noWrap/>
            <w:vAlign w:val="bottom"/>
            <w:hideMark/>
          </w:tcPr>
          <w:p w14:paraId="5415CDA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2011</w:t>
            </w:r>
          </w:p>
        </w:tc>
        <w:tc>
          <w:tcPr>
            <w:tcW w:w="1395" w:type="dxa"/>
            <w:shd w:val="clear" w:color="auto" w:fill="auto"/>
            <w:noWrap/>
            <w:vAlign w:val="bottom"/>
            <w:hideMark/>
          </w:tcPr>
          <w:p w14:paraId="637E95F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0A4B3EE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03B9038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 community, stakeholder</w:t>
            </w:r>
          </w:p>
        </w:tc>
        <w:tc>
          <w:tcPr>
            <w:tcW w:w="2245" w:type="dxa"/>
            <w:shd w:val="clear" w:color="auto" w:fill="auto"/>
            <w:noWrap/>
            <w:vAlign w:val="bottom"/>
            <w:hideMark/>
          </w:tcPr>
          <w:p w14:paraId="6BC9233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1E57DDC7"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Determine whether community-based asylum seekers experience difficulty in gaining access to primary healthcare services, and to determine the impact of any difficulties described.</w:t>
            </w:r>
          </w:p>
        </w:tc>
      </w:tr>
      <w:tr w:rsidR="00405C60" w:rsidRPr="001D148E" w14:paraId="1076274A" w14:textId="77777777" w:rsidTr="009A37D3">
        <w:trPr>
          <w:trHeight w:val="161"/>
        </w:trPr>
        <w:tc>
          <w:tcPr>
            <w:tcW w:w="1504" w:type="dxa"/>
            <w:shd w:val="clear" w:color="auto" w:fill="auto"/>
            <w:noWrap/>
            <w:vAlign w:val="bottom"/>
            <w:hideMark/>
          </w:tcPr>
          <w:p w14:paraId="601B0F3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Tanser F et al</w:t>
            </w:r>
          </w:p>
        </w:tc>
        <w:tc>
          <w:tcPr>
            <w:tcW w:w="1219" w:type="dxa"/>
            <w:shd w:val="clear" w:color="auto" w:fill="auto"/>
            <w:noWrap/>
            <w:vAlign w:val="bottom"/>
            <w:hideMark/>
          </w:tcPr>
          <w:p w14:paraId="09244D3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2006</w:t>
            </w:r>
          </w:p>
        </w:tc>
        <w:tc>
          <w:tcPr>
            <w:tcW w:w="1395" w:type="dxa"/>
            <w:shd w:val="clear" w:color="auto" w:fill="auto"/>
            <w:noWrap/>
            <w:vAlign w:val="bottom"/>
            <w:hideMark/>
          </w:tcPr>
          <w:p w14:paraId="50B1DC7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South Africa</w:t>
            </w:r>
          </w:p>
        </w:tc>
        <w:tc>
          <w:tcPr>
            <w:tcW w:w="1465" w:type="dxa"/>
            <w:shd w:val="clear" w:color="auto" w:fill="auto"/>
            <w:noWrap/>
            <w:vAlign w:val="bottom"/>
            <w:hideMark/>
          </w:tcPr>
          <w:p w14:paraId="52648E2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6ADAFA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00396D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3623A4CD"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Investigate differences in rural, urban and periurban usage patterns of clinics in the study area and to quantify the effect of physical access to clinic on usage.</w:t>
            </w:r>
          </w:p>
        </w:tc>
      </w:tr>
      <w:tr w:rsidR="00405C60" w:rsidRPr="001D148E" w14:paraId="02F5B96C" w14:textId="77777777" w:rsidTr="009A37D3">
        <w:trPr>
          <w:trHeight w:val="251"/>
        </w:trPr>
        <w:tc>
          <w:tcPr>
            <w:tcW w:w="1504" w:type="dxa"/>
            <w:shd w:val="clear" w:color="auto" w:fill="auto"/>
            <w:noWrap/>
            <w:vAlign w:val="bottom"/>
            <w:hideMark/>
          </w:tcPr>
          <w:p w14:paraId="1FCE097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Thomas SL et al</w:t>
            </w:r>
          </w:p>
        </w:tc>
        <w:tc>
          <w:tcPr>
            <w:tcW w:w="1219" w:type="dxa"/>
            <w:shd w:val="clear" w:color="auto" w:fill="auto"/>
            <w:noWrap/>
            <w:vAlign w:val="bottom"/>
            <w:hideMark/>
          </w:tcPr>
          <w:p w14:paraId="3E4CF96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2015</w:t>
            </w:r>
          </w:p>
        </w:tc>
        <w:tc>
          <w:tcPr>
            <w:tcW w:w="1395" w:type="dxa"/>
            <w:shd w:val="clear" w:color="auto" w:fill="auto"/>
            <w:noWrap/>
            <w:vAlign w:val="bottom"/>
            <w:hideMark/>
          </w:tcPr>
          <w:p w14:paraId="2A09F8C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5B9ADCB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5F1319B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Stakeholders</w:t>
            </w:r>
          </w:p>
        </w:tc>
        <w:tc>
          <w:tcPr>
            <w:tcW w:w="2245" w:type="dxa"/>
            <w:shd w:val="clear" w:color="auto" w:fill="auto"/>
            <w:noWrap/>
            <w:vAlign w:val="bottom"/>
            <w:hideMark/>
          </w:tcPr>
          <w:p w14:paraId="7ACDB61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40CFE7A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Define the population thresholds governing which PHC services would be best provided by a resident health worker, and to outline attendant implementation issues.</w:t>
            </w:r>
          </w:p>
        </w:tc>
      </w:tr>
      <w:tr w:rsidR="00405C60" w:rsidRPr="001D148E" w14:paraId="385F1501" w14:textId="77777777" w:rsidTr="009A37D3">
        <w:trPr>
          <w:trHeight w:val="332"/>
        </w:trPr>
        <w:tc>
          <w:tcPr>
            <w:tcW w:w="1504" w:type="dxa"/>
            <w:shd w:val="clear" w:color="auto" w:fill="auto"/>
            <w:noWrap/>
            <w:vAlign w:val="bottom"/>
            <w:hideMark/>
          </w:tcPr>
          <w:p w14:paraId="27D724F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Uchôa SADC et al</w:t>
            </w:r>
          </w:p>
        </w:tc>
        <w:tc>
          <w:tcPr>
            <w:tcW w:w="1219" w:type="dxa"/>
            <w:shd w:val="clear" w:color="auto" w:fill="auto"/>
            <w:noWrap/>
            <w:vAlign w:val="bottom"/>
            <w:hideMark/>
          </w:tcPr>
          <w:p w14:paraId="03B23BE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hideMark/>
          </w:tcPr>
          <w:p w14:paraId="67B0D66C"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061ECE5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6DEC90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w:t>
            </w:r>
          </w:p>
        </w:tc>
        <w:tc>
          <w:tcPr>
            <w:tcW w:w="2245" w:type="dxa"/>
            <w:shd w:val="clear" w:color="auto" w:fill="auto"/>
            <w:noWrap/>
            <w:vAlign w:val="bottom"/>
            <w:hideMark/>
          </w:tcPr>
          <w:p w14:paraId="0BD3013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38E15AA4"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 xml:space="preserve">Analyze the influence of contextual indicators on the performance of municipalities regarding potential access to primary health care </w:t>
            </w:r>
          </w:p>
        </w:tc>
      </w:tr>
      <w:tr w:rsidR="00405C60" w:rsidRPr="001D148E" w14:paraId="51C2E030" w14:textId="77777777" w:rsidTr="009A37D3">
        <w:trPr>
          <w:trHeight w:val="134"/>
        </w:trPr>
        <w:tc>
          <w:tcPr>
            <w:tcW w:w="1504" w:type="dxa"/>
            <w:shd w:val="clear" w:color="auto" w:fill="auto"/>
            <w:noWrap/>
            <w:vAlign w:val="bottom"/>
            <w:hideMark/>
          </w:tcPr>
          <w:p w14:paraId="32B58F8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Vidal TB et al</w:t>
            </w:r>
          </w:p>
        </w:tc>
        <w:tc>
          <w:tcPr>
            <w:tcW w:w="1219" w:type="dxa"/>
            <w:shd w:val="clear" w:color="auto" w:fill="auto"/>
            <w:noWrap/>
            <w:vAlign w:val="bottom"/>
            <w:hideMark/>
          </w:tcPr>
          <w:p w14:paraId="7A4FB81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2019</w:t>
            </w:r>
          </w:p>
        </w:tc>
        <w:tc>
          <w:tcPr>
            <w:tcW w:w="1395" w:type="dxa"/>
            <w:shd w:val="clear" w:color="auto" w:fill="auto"/>
            <w:noWrap/>
            <w:vAlign w:val="bottom"/>
            <w:hideMark/>
          </w:tcPr>
          <w:p w14:paraId="5F55E48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7D2C11D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1EB52AF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hideMark/>
          </w:tcPr>
          <w:p w14:paraId="273D1E1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Quality</w:t>
            </w:r>
          </w:p>
        </w:tc>
        <w:tc>
          <w:tcPr>
            <w:tcW w:w="4957" w:type="dxa"/>
            <w:vAlign w:val="bottom"/>
          </w:tcPr>
          <w:p w14:paraId="6EB93212"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whether the scheduling model influences the perception of the user about the quality of primary health care centers</w:t>
            </w:r>
          </w:p>
        </w:tc>
      </w:tr>
      <w:tr w:rsidR="00405C60" w:rsidRPr="001D148E" w14:paraId="2FA6DF9E" w14:textId="77777777" w:rsidTr="009A37D3">
        <w:trPr>
          <w:trHeight w:val="60"/>
        </w:trPr>
        <w:tc>
          <w:tcPr>
            <w:tcW w:w="1504" w:type="dxa"/>
            <w:shd w:val="clear" w:color="auto" w:fill="auto"/>
            <w:noWrap/>
            <w:vAlign w:val="bottom"/>
            <w:hideMark/>
          </w:tcPr>
          <w:p w14:paraId="3C1F70D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Vieira-da-Silva LM et al</w:t>
            </w:r>
          </w:p>
        </w:tc>
        <w:tc>
          <w:tcPr>
            <w:tcW w:w="1219" w:type="dxa"/>
            <w:shd w:val="clear" w:color="auto" w:fill="auto"/>
            <w:noWrap/>
            <w:vAlign w:val="bottom"/>
            <w:hideMark/>
          </w:tcPr>
          <w:p w14:paraId="1D380AE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2010</w:t>
            </w:r>
          </w:p>
        </w:tc>
        <w:tc>
          <w:tcPr>
            <w:tcW w:w="1395" w:type="dxa"/>
            <w:shd w:val="clear" w:color="auto" w:fill="auto"/>
            <w:noWrap/>
            <w:vAlign w:val="bottom"/>
            <w:hideMark/>
          </w:tcPr>
          <w:p w14:paraId="0A06CE8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Brazil</w:t>
            </w:r>
          </w:p>
        </w:tc>
        <w:tc>
          <w:tcPr>
            <w:tcW w:w="1465" w:type="dxa"/>
            <w:shd w:val="clear" w:color="auto" w:fill="auto"/>
            <w:noWrap/>
            <w:vAlign w:val="bottom"/>
            <w:hideMark/>
          </w:tcPr>
          <w:p w14:paraId="422DFAF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7902B5F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Clients and health worker </w:t>
            </w:r>
          </w:p>
        </w:tc>
        <w:tc>
          <w:tcPr>
            <w:tcW w:w="2245" w:type="dxa"/>
            <w:shd w:val="clear" w:color="auto" w:fill="auto"/>
            <w:noWrap/>
            <w:vAlign w:val="bottom"/>
            <w:hideMark/>
          </w:tcPr>
          <w:p w14:paraId="780BC0C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w:t>
            </w:r>
          </w:p>
        </w:tc>
        <w:tc>
          <w:tcPr>
            <w:tcW w:w="4957" w:type="dxa"/>
            <w:vAlign w:val="bottom"/>
          </w:tcPr>
          <w:p w14:paraId="75F0BD9B"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the results of a project designed to improve accessibility to healthcare services</w:t>
            </w:r>
          </w:p>
        </w:tc>
      </w:tr>
      <w:tr w:rsidR="00405C60" w:rsidRPr="001D148E" w14:paraId="69004A52" w14:textId="77777777" w:rsidTr="009A37D3">
        <w:trPr>
          <w:trHeight w:val="206"/>
        </w:trPr>
        <w:tc>
          <w:tcPr>
            <w:tcW w:w="1504" w:type="dxa"/>
            <w:shd w:val="clear" w:color="auto" w:fill="auto"/>
            <w:noWrap/>
            <w:vAlign w:val="bottom"/>
            <w:hideMark/>
          </w:tcPr>
          <w:p w14:paraId="6D4990B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Wiese M et al</w:t>
            </w:r>
          </w:p>
        </w:tc>
        <w:tc>
          <w:tcPr>
            <w:tcW w:w="1219" w:type="dxa"/>
            <w:shd w:val="clear" w:color="auto" w:fill="auto"/>
            <w:noWrap/>
            <w:vAlign w:val="bottom"/>
            <w:hideMark/>
          </w:tcPr>
          <w:p w14:paraId="3A41ACB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2011</w:t>
            </w:r>
          </w:p>
        </w:tc>
        <w:tc>
          <w:tcPr>
            <w:tcW w:w="1395" w:type="dxa"/>
            <w:shd w:val="clear" w:color="auto" w:fill="auto"/>
            <w:noWrap/>
            <w:vAlign w:val="bottom"/>
            <w:hideMark/>
          </w:tcPr>
          <w:p w14:paraId="048C12F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0CBF8A4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hideMark/>
          </w:tcPr>
          <w:p w14:paraId="2B29BB9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w:t>
            </w:r>
          </w:p>
        </w:tc>
        <w:tc>
          <w:tcPr>
            <w:tcW w:w="2245" w:type="dxa"/>
            <w:shd w:val="clear" w:color="auto" w:fill="auto"/>
            <w:noWrap/>
            <w:vAlign w:val="bottom"/>
            <w:hideMark/>
          </w:tcPr>
          <w:p w14:paraId="7B0F316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Coordination</w:t>
            </w:r>
          </w:p>
        </w:tc>
        <w:tc>
          <w:tcPr>
            <w:tcW w:w="4957" w:type="dxa"/>
            <w:vAlign w:val="bottom"/>
          </w:tcPr>
          <w:p w14:paraId="10E62AB0"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Investigate the current links between GPs and local primary healthcare providers</w:t>
            </w:r>
          </w:p>
        </w:tc>
      </w:tr>
      <w:tr w:rsidR="00405C60" w:rsidRPr="001D148E" w14:paraId="0E06C5AA" w14:textId="77777777" w:rsidTr="009A37D3">
        <w:trPr>
          <w:trHeight w:val="197"/>
        </w:trPr>
        <w:tc>
          <w:tcPr>
            <w:tcW w:w="1504" w:type="dxa"/>
            <w:shd w:val="clear" w:color="auto" w:fill="auto"/>
            <w:noWrap/>
            <w:vAlign w:val="bottom"/>
            <w:hideMark/>
          </w:tcPr>
          <w:p w14:paraId="4B3028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Woldemichael A et al</w:t>
            </w:r>
          </w:p>
        </w:tc>
        <w:tc>
          <w:tcPr>
            <w:tcW w:w="1219" w:type="dxa"/>
            <w:shd w:val="clear" w:color="auto" w:fill="auto"/>
            <w:noWrap/>
            <w:vAlign w:val="bottom"/>
            <w:hideMark/>
          </w:tcPr>
          <w:p w14:paraId="1187A74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2019</w:t>
            </w:r>
          </w:p>
        </w:tc>
        <w:tc>
          <w:tcPr>
            <w:tcW w:w="1395" w:type="dxa"/>
            <w:shd w:val="clear" w:color="auto" w:fill="auto"/>
            <w:noWrap/>
            <w:vAlign w:val="bottom"/>
            <w:hideMark/>
          </w:tcPr>
          <w:p w14:paraId="1C2958A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Ethiopia</w:t>
            </w:r>
          </w:p>
        </w:tc>
        <w:tc>
          <w:tcPr>
            <w:tcW w:w="1465" w:type="dxa"/>
            <w:shd w:val="clear" w:color="auto" w:fill="auto"/>
            <w:noWrap/>
            <w:vAlign w:val="bottom"/>
            <w:hideMark/>
          </w:tcPr>
          <w:p w14:paraId="793B2D9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E5231F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household survey</w:t>
            </w:r>
          </w:p>
        </w:tc>
        <w:tc>
          <w:tcPr>
            <w:tcW w:w="2245" w:type="dxa"/>
            <w:shd w:val="clear" w:color="auto" w:fill="auto"/>
            <w:noWrap/>
            <w:vAlign w:val="bottom"/>
            <w:hideMark/>
          </w:tcPr>
          <w:p w14:paraId="625468E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5B48AC4C"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Assess availability and measure magnitude and trend of inequalities in accessibility of health centre based PHC resources</w:t>
            </w:r>
          </w:p>
        </w:tc>
      </w:tr>
      <w:tr w:rsidR="00405C60" w:rsidRPr="001D148E" w14:paraId="55DFBECB" w14:textId="77777777" w:rsidTr="009A37D3">
        <w:trPr>
          <w:trHeight w:val="368"/>
        </w:trPr>
        <w:tc>
          <w:tcPr>
            <w:tcW w:w="1504" w:type="dxa"/>
            <w:shd w:val="clear" w:color="auto" w:fill="auto"/>
            <w:noWrap/>
            <w:vAlign w:val="bottom"/>
            <w:hideMark/>
          </w:tcPr>
          <w:p w14:paraId="34D9CD5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Wong S &amp; Regan S</w:t>
            </w:r>
          </w:p>
        </w:tc>
        <w:tc>
          <w:tcPr>
            <w:tcW w:w="1219" w:type="dxa"/>
            <w:shd w:val="clear" w:color="auto" w:fill="auto"/>
            <w:noWrap/>
            <w:vAlign w:val="bottom"/>
            <w:hideMark/>
          </w:tcPr>
          <w:p w14:paraId="22A87B5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2009</w:t>
            </w:r>
          </w:p>
        </w:tc>
        <w:tc>
          <w:tcPr>
            <w:tcW w:w="1395" w:type="dxa"/>
            <w:shd w:val="clear" w:color="auto" w:fill="auto"/>
            <w:noWrap/>
            <w:vAlign w:val="bottom"/>
            <w:hideMark/>
          </w:tcPr>
          <w:p w14:paraId="3490C3E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30B81BB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20CB23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community</w:t>
            </w:r>
          </w:p>
        </w:tc>
        <w:tc>
          <w:tcPr>
            <w:tcW w:w="2245" w:type="dxa"/>
            <w:shd w:val="clear" w:color="auto" w:fill="auto"/>
            <w:noWrap/>
            <w:vAlign w:val="bottom"/>
            <w:hideMark/>
          </w:tcPr>
          <w:p w14:paraId="5C1DEDA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Accessibility, continuity and efficiency</w:t>
            </w:r>
          </w:p>
        </w:tc>
        <w:tc>
          <w:tcPr>
            <w:tcW w:w="4957" w:type="dxa"/>
            <w:vAlign w:val="bottom"/>
          </w:tcPr>
          <w:p w14:paraId="0332FB4F"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Examining how to deliver primary health care (PHC) services and increase their accessibility (regardless of geographic location) from the patient’s perspective is needed</w:t>
            </w:r>
          </w:p>
        </w:tc>
      </w:tr>
      <w:tr w:rsidR="00405C60" w:rsidRPr="001D148E" w14:paraId="032BF06B" w14:textId="77777777" w:rsidTr="009A37D3">
        <w:trPr>
          <w:trHeight w:val="359"/>
        </w:trPr>
        <w:tc>
          <w:tcPr>
            <w:tcW w:w="1504" w:type="dxa"/>
            <w:shd w:val="clear" w:color="auto" w:fill="auto"/>
            <w:noWrap/>
            <w:vAlign w:val="bottom"/>
            <w:hideMark/>
          </w:tcPr>
          <w:p w14:paraId="03A75B5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Wong ST et al</w:t>
            </w:r>
          </w:p>
        </w:tc>
        <w:tc>
          <w:tcPr>
            <w:tcW w:w="1219" w:type="dxa"/>
            <w:shd w:val="clear" w:color="auto" w:fill="auto"/>
            <w:noWrap/>
            <w:vAlign w:val="bottom"/>
            <w:hideMark/>
          </w:tcPr>
          <w:p w14:paraId="4667470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2014</w:t>
            </w:r>
          </w:p>
        </w:tc>
        <w:tc>
          <w:tcPr>
            <w:tcW w:w="1395" w:type="dxa"/>
            <w:shd w:val="clear" w:color="auto" w:fill="auto"/>
            <w:noWrap/>
            <w:vAlign w:val="bottom"/>
            <w:hideMark/>
          </w:tcPr>
          <w:p w14:paraId="031BF8F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Canada</w:t>
            </w:r>
          </w:p>
        </w:tc>
        <w:tc>
          <w:tcPr>
            <w:tcW w:w="1465" w:type="dxa"/>
            <w:shd w:val="clear" w:color="auto" w:fill="auto"/>
            <w:noWrap/>
            <w:vAlign w:val="bottom"/>
            <w:hideMark/>
          </w:tcPr>
          <w:p w14:paraId="632BAC8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Mixed</w:t>
            </w:r>
          </w:p>
        </w:tc>
        <w:tc>
          <w:tcPr>
            <w:tcW w:w="2216" w:type="dxa"/>
            <w:shd w:val="clear" w:color="auto" w:fill="auto"/>
            <w:noWrap/>
            <w:vAlign w:val="bottom"/>
            <w:hideMark/>
          </w:tcPr>
          <w:p w14:paraId="1D8737E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Literature, clients, health worker</w:t>
            </w:r>
          </w:p>
        </w:tc>
        <w:tc>
          <w:tcPr>
            <w:tcW w:w="2245" w:type="dxa"/>
            <w:shd w:val="clear" w:color="auto" w:fill="auto"/>
            <w:noWrap/>
            <w:vAlign w:val="bottom"/>
            <w:hideMark/>
          </w:tcPr>
          <w:p w14:paraId="6778568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0E9B9EE8"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Develop a core set of indicators that could be used for measuring and monitoring the performance of primary health care organizations’ capacity and strategies for enhancing equity-oriented care</w:t>
            </w:r>
          </w:p>
        </w:tc>
      </w:tr>
      <w:tr w:rsidR="00405C60" w:rsidRPr="001D148E" w14:paraId="0B2CAB5F" w14:textId="77777777" w:rsidTr="009A37D3">
        <w:trPr>
          <w:trHeight w:val="179"/>
        </w:trPr>
        <w:tc>
          <w:tcPr>
            <w:tcW w:w="1504" w:type="dxa"/>
            <w:shd w:val="clear" w:color="auto" w:fill="auto"/>
            <w:noWrap/>
            <w:vAlign w:val="bottom"/>
            <w:hideMark/>
          </w:tcPr>
          <w:p w14:paraId="47B2ECF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Wright M et al</w:t>
            </w:r>
          </w:p>
        </w:tc>
        <w:tc>
          <w:tcPr>
            <w:tcW w:w="1219" w:type="dxa"/>
            <w:shd w:val="clear" w:color="auto" w:fill="auto"/>
            <w:noWrap/>
            <w:vAlign w:val="bottom"/>
            <w:hideMark/>
          </w:tcPr>
          <w:p w14:paraId="3638E2F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hideMark/>
          </w:tcPr>
          <w:p w14:paraId="3F6839E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Australia</w:t>
            </w:r>
          </w:p>
        </w:tc>
        <w:tc>
          <w:tcPr>
            <w:tcW w:w="1465" w:type="dxa"/>
            <w:shd w:val="clear" w:color="auto" w:fill="auto"/>
            <w:noWrap/>
            <w:vAlign w:val="bottom"/>
            <w:hideMark/>
          </w:tcPr>
          <w:p w14:paraId="1C815B4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2996C9B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Reports</w:t>
            </w:r>
          </w:p>
        </w:tc>
        <w:tc>
          <w:tcPr>
            <w:tcW w:w="2245" w:type="dxa"/>
            <w:shd w:val="clear" w:color="auto" w:fill="auto"/>
            <w:noWrap/>
            <w:vAlign w:val="bottom"/>
            <w:hideMark/>
          </w:tcPr>
          <w:p w14:paraId="18C664E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Cost effectiveness</w:t>
            </w:r>
          </w:p>
        </w:tc>
        <w:tc>
          <w:tcPr>
            <w:tcW w:w="4957" w:type="dxa"/>
            <w:vAlign w:val="bottom"/>
          </w:tcPr>
          <w:p w14:paraId="0E19B475"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Explore how much of Australia’s national health expenditure is allocated specially to general practice services, and more broadly to primary healthcare (PHC) services.</w:t>
            </w:r>
          </w:p>
        </w:tc>
      </w:tr>
      <w:tr w:rsidR="00405C60" w:rsidRPr="001D148E" w14:paraId="4B54E56D" w14:textId="77777777" w:rsidTr="009A37D3">
        <w:trPr>
          <w:trHeight w:val="260"/>
        </w:trPr>
        <w:tc>
          <w:tcPr>
            <w:tcW w:w="1504" w:type="dxa"/>
            <w:shd w:val="clear" w:color="auto" w:fill="auto"/>
            <w:noWrap/>
            <w:vAlign w:val="bottom"/>
            <w:hideMark/>
          </w:tcPr>
          <w:p w14:paraId="4BB71E3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 xml:space="preserve">Zhang X et al </w:t>
            </w:r>
          </w:p>
        </w:tc>
        <w:tc>
          <w:tcPr>
            <w:tcW w:w="1219" w:type="dxa"/>
            <w:shd w:val="clear" w:color="auto" w:fill="auto"/>
            <w:noWrap/>
            <w:vAlign w:val="bottom"/>
            <w:hideMark/>
          </w:tcPr>
          <w:p w14:paraId="4B0E575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2013</w:t>
            </w:r>
          </w:p>
        </w:tc>
        <w:tc>
          <w:tcPr>
            <w:tcW w:w="1395" w:type="dxa"/>
            <w:shd w:val="clear" w:color="auto" w:fill="auto"/>
            <w:noWrap/>
            <w:vAlign w:val="bottom"/>
            <w:hideMark/>
          </w:tcPr>
          <w:p w14:paraId="0039125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China</w:t>
            </w:r>
          </w:p>
        </w:tc>
        <w:tc>
          <w:tcPr>
            <w:tcW w:w="1465" w:type="dxa"/>
            <w:shd w:val="clear" w:color="auto" w:fill="auto"/>
            <w:noWrap/>
            <w:vAlign w:val="bottom"/>
            <w:hideMark/>
          </w:tcPr>
          <w:p w14:paraId="2880C7B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F7A1E2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Documents/reports</w:t>
            </w:r>
          </w:p>
        </w:tc>
        <w:tc>
          <w:tcPr>
            <w:tcW w:w="2245" w:type="dxa"/>
            <w:shd w:val="clear" w:color="auto" w:fill="auto"/>
            <w:noWrap/>
            <w:vAlign w:val="bottom"/>
            <w:hideMark/>
          </w:tcPr>
          <w:p w14:paraId="3AE3BD9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w:t>
            </w:r>
          </w:p>
        </w:tc>
        <w:tc>
          <w:tcPr>
            <w:tcW w:w="4957" w:type="dxa"/>
            <w:vAlign w:val="bottom"/>
          </w:tcPr>
          <w:p w14:paraId="4DEE558D"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Analysis of government investment in primary healthcare institutions to promote equity during the three-year health reform program</w:t>
            </w:r>
          </w:p>
        </w:tc>
      </w:tr>
      <w:tr w:rsidR="00405C60" w:rsidRPr="001D148E" w14:paraId="45A3B696" w14:textId="77777777" w:rsidTr="009A37D3">
        <w:trPr>
          <w:trHeight w:val="161"/>
        </w:trPr>
        <w:tc>
          <w:tcPr>
            <w:tcW w:w="1504" w:type="dxa"/>
            <w:shd w:val="clear" w:color="auto" w:fill="auto"/>
            <w:noWrap/>
            <w:vAlign w:val="bottom"/>
            <w:hideMark/>
          </w:tcPr>
          <w:p w14:paraId="12F273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Zhang Y et al</w:t>
            </w:r>
          </w:p>
        </w:tc>
        <w:tc>
          <w:tcPr>
            <w:tcW w:w="1219" w:type="dxa"/>
            <w:shd w:val="clear" w:color="auto" w:fill="auto"/>
            <w:noWrap/>
            <w:vAlign w:val="bottom"/>
            <w:hideMark/>
          </w:tcPr>
          <w:p w14:paraId="7A3ED9C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hideMark/>
          </w:tcPr>
          <w:p w14:paraId="5835314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China</w:t>
            </w:r>
          </w:p>
        </w:tc>
        <w:tc>
          <w:tcPr>
            <w:tcW w:w="1465" w:type="dxa"/>
            <w:shd w:val="clear" w:color="auto" w:fill="auto"/>
            <w:noWrap/>
            <w:vAlign w:val="bottom"/>
            <w:hideMark/>
          </w:tcPr>
          <w:p w14:paraId="0BAF90F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hideMark/>
          </w:tcPr>
          <w:p w14:paraId="6958FAF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Reports</w:t>
            </w:r>
          </w:p>
        </w:tc>
        <w:tc>
          <w:tcPr>
            <w:tcW w:w="2245" w:type="dxa"/>
            <w:shd w:val="clear" w:color="auto" w:fill="auto"/>
            <w:noWrap/>
            <w:vAlign w:val="bottom"/>
            <w:hideMark/>
          </w:tcPr>
          <w:p w14:paraId="15A1C30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Equity and efficiency</w:t>
            </w:r>
          </w:p>
        </w:tc>
        <w:tc>
          <w:tcPr>
            <w:tcW w:w="4957" w:type="dxa"/>
            <w:vAlign w:val="bottom"/>
          </w:tcPr>
          <w:p w14:paraId="79C2EA4E" w14:textId="77777777" w:rsidR="00507E8D" w:rsidRPr="001D148E" w:rsidRDefault="00507E8D" w:rsidP="005224F6">
            <w:pPr>
              <w:rPr>
                <w:rFonts w:ascii="Times New Roman" w:hAnsi="Times New Roman" w:cs="Times New Roman"/>
                <w:sz w:val="24"/>
                <w:szCs w:val="24"/>
              </w:rPr>
            </w:pPr>
            <w:r w:rsidRPr="001D148E">
              <w:rPr>
                <w:rFonts w:ascii="Times New Roman" w:hAnsi="Times New Roman" w:cs="Times New Roman"/>
                <w:sz w:val="24"/>
                <w:szCs w:val="24"/>
              </w:rPr>
              <w:t>Evaluate the changes of equity and efficiency in PHC resource allocation (PHCRA) and explored ways to improve the current situation</w:t>
            </w:r>
          </w:p>
        </w:tc>
      </w:tr>
      <w:tr w:rsidR="00405C60" w:rsidRPr="001D148E" w14:paraId="0F44A34C" w14:textId="77777777" w:rsidTr="009A37D3">
        <w:trPr>
          <w:trHeight w:val="161"/>
        </w:trPr>
        <w:tc>
          <w:tcPr>
            <w:tcW w:w="1504" w:type="dxa"/>
            <w:shd w:val="clear" w:color="auto" w:fill="auto"/>
            <w:noWrap/>
            <w:vAlign w:val="bottom"/>
          </w:tcPr>
          <w:p w14:paraId="34A062E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Maele NV et al</w:t>
            </w:r>
          </w:p>
        </w:tc>
        <w:tc>
          <w:tcPr>
            <w:tcW w:w="1219" w:type="dxa"/>
            <w:shd w:val="clear" w:color="auto" w:fill="auto"/>
            <w:noWrap/>
            <w:vAlign w:val="bottom"/>
          </w:tcPr>
          <w:p w14:paraId="07FED33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2019</w:t>
            </w:r>
          </w:p>
        </w:tc>
        <w:tc>
          <w:tcPr>
            <w:tcW w:w="1395" w:type="dxa"/>
            <w:shd w:val="clear" w:color="auto" w:fill="auto"/>
            <w:noWrap/>
            <w:vAlign w:val="bottom"/>
          </w:tcPr>
          <w:p w14:paraId="55F8DD2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Low-and Middle-income countries</w:t>
            </w:r>
          </w:p>
        </w:tc>
        <w:tc>
          <w:tcPr>
            <w:tcW w:w="1465" w:type="dxa"/>
            <w:shd w:val="clear" w:color="auto" w:fill="auto"/>
            <w:noWrap/>
            <w:vAlign w:val="bottom"/>
          </w:tcPr>
          <w:p w14:paraId="4748557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tcPr>
          <w:p w14:paraId="3D048B1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Reports (The system of health accounts)</w:t>
            </w:r>
          </w:p>
        </w:tc>
        <w:tc>
          <w:tcPr>
            <w:tcW w:w="2245" w:type="dxa"/>
            <w:shd w:val="clear" w:color="auto" w:fill="auto"/>
            <w:noWrap/>
            <w:vAlign w:val="bottom"/>
          </w:tcPr>
          <w:p w14:paraId="725862F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Cost effectiveness</w:t>
            </w:r>
          </w:p>
        </w:tc>
        <w:tc>
          <w:tcPr>
            <w:tcW w:w="4957" w:type="dxa"/>
            <w:vAlign w:val="bottom"/>
          </w:tcPr>
          <w:p w14:paraId="43D9A2BA"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Tested and examined different measurement options using the System of Health Accounts (SHA) 2011 for systematic monitoring of PHC expenditure</w:t>
            </w:r>
          </w:p>
        </w:tc>
      </w:tr>
      <w:tr w:rsidR="00405C60" w:rsidRPr="001D148E" w14:paraId="3691AC80" w14:textId="77777777" w:rsidTr="009A37D3">
        <w:trPr>
          <w:trHeight w:val="161"/>
        </w:trPr>
        <w:tc>
          <w:tcPr>
            <w:tcW w:w="1504" w:type="dxa"/>
            <w:shd w:val="clear" w:color="auto" w:fill="auto"/>
            <w:noWrap/>
            <w:vAlign w:val="bottom"/>
          </w:tcPr>
          <w:p w14:paraId="5168FBC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Fleming NS et al</w:t>
            </w:r>
          </w:p>
        </w:tc>
        <w:tc>
          <w:tcPr>
            <w:tcW w:w="1219" w:type="dxa"/>
            <w:shd w:val="clear" w:color="auto" w:fill="auto"/>
            <w:noWrap/>
            <w:vAlign w:val="bottom"/>
          </w:tcPr>
          <w:p w14:paraId="4391011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2006</w:t>
            </w:r>
          </w:p>
        </w:tc>
        <w:tc>
          <w:tcPr>
            <w:tcW w:w="1395" w:type="dxa"/>
            <w:shd w:val="clear" w:color="auto" w:fill="auto"/>
            <w:noWrap/>
            <w:vAlign w:val="bottom"/>
          </w:tcPr>
          <w:p w14:paraId="2CE31DA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USA</w:t>
            </w:r>
          </w:p>
        </w:tc>
        <w:tc>
          <w:tcPr>
            <w:tcW w:w="1465" w:type="dxa"/>
            <w:shd w:val="clear" w:color="auto" w:fill="auto"/>
            <w:noWrap/>
            <w:vAlign w:val="bottom"/>
          </w:tcPr>
          <w:p w14:paraId="1FF665A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tcPr>
          <w:p w14:paraId="4AA61EB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 and health workers</w:t>
            </w:r>
          </w:p>
        </w:tc>
        <w:tc>
          <w:tcPr>
            <w:tcW w:w="2245" w:type="dxa"/>
            <w:shd w:val="clear" w:color="auto" w:fill="auto"/>
            <w:noWrap/>
            <w:vAlign w:val="bottom"/>
          </w:tcPr>
          <w:p w14:paraId="61F5400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18A61573"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Evaluate the quality of care and financial impact of the ambulatory electronic health record implementation</w:t>
            </w:r>
          </w:p>
        </w:tc>
      </w:tr>
      <w:tr w:rsidR="00405C60" w:rsidRPr="001D148E" w14:paraId="01A1E6A9" w14:textId="77777777" w:rsidTr="009A37D3">
        <w:trPr>
          <w:trHeight w:val="161"/>
        </w:trPr>
        <w:tc>
          <w:tcPr>
            <w:tcW w:w="1504" w:type="dxa"/>
            <w:shd w:val="clear" w:color="auto" w:fill="auto"/>
            <w:noWrap/>
            <w:vAlign w:val="bottom"/>
          </w:tcPr>
          <w:p w14:paraId="0D938E8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Henry SG et al</w:t>
            </w:r>
          </w:p>
        </w:tc>
        <w:tc>
          <w:tcPr>
            <w:tcW w:w="1219" w:type="dxa"/>
            <w:shd w:val="clear" w:color="auto" w:fill="auto"/>
            <w:noWrap/>
            <w:vAlign w:val="bottom"/>
          </w:tcPr>
          <w:p w14:paraId="70CFBDB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tcPr>
          <w:p w14:paraId="6CACF14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USA</w:t>
            </w:r>
          </w:p>
        </w:tc>
        <w:tc>
          <w:tcPr>
            <w:tcW w:w="1465" w:type="dxa"/>
            <w:shd w:val="clear" w:color="auto" w:fill="auto"/>
            <w:noWrap/>
            <w:vAlign w:val="bottom"/>
          </w:tcPr>
          <w:p w14:paraId="41B264F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tcPr>
          <w:p w14:paraId="73D7A4D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 and health worker</w:t>
            </w:r>
          </w:p>
        </w:tc>
        <w:tc>
          <w:tcPr>
            <w:tcW w:w="2245" w:type="dxa"/>
            <w:shd w:val="clear" w:color="auto" w:fill="auto"/>
            <w:noWrap/>
            <w:vAlign w:val="bottom"/>
          </w:tcPr>
          <w:p w14:paraId="32DC329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448D73D7"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Investigate associations between ratings of “thin slices” from recorded clinic visits and perceived patient-centeredness</w:t>
            </w:r>
          </w:p>
        </w:tc>
      </w:tr>
      <w:tr w:rsidR="00405C60" w:rsidRPr="001D148E" w14:paraId="6D88A64E" w14:textId="77777777" w:rsidTr="009A37D3">
        <w:trPr>
          <w:trHeight w:val="161"/>
        </w:trPr>
        <w:tc>
          <w:tcPr>
            <w:tcW w:w="1504" w:type="dxa"/>
            <w:shd w:val="clear" w:color="auto" w:fill="auto"/>
            <w:noWrap/>
            <w:vAlign w:val="bottom"/>
          </w:tcPr>
          <w:p w14:paraId="3B1A95E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Mann C et al</w:t>
            </w:r>
          </w:p>
        </w:tc>
        <w:tc>
          <w:tcPr>
            <w:tcW w:w="1219" w:type="dxa"/>
            <w:shd w:val="clear" w:color="auto" w:fill="auto"/>
            <w:noWrap/>
            <w:vAlign w:val="bottom"/>
          </w:tcPr>
          <w:p w14:paraId="05F63EE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2018</w:t>
            </w:r>
          </w:p>
        </w:tc>
        <w:tc>
          <w:tcPr>
            <w:tcW w:w="1395" w:type="dxa"/>
            <w:shd w:val="clear" w:color="auto" w:fill="auto"/>
            <w:noWrap/>
            <w:vAlign w:val="bottom"/>
          </w:tcPr>
          <w:p w14:paraId="52D6E8E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England</w:t>
            </w:r>
          </w:p>
        </w:tc>
        <w:tc>
          <w:tcPr>
            <w:tcW w:w="1465" w:type="dxa"/>
            <w:shd w:val="clear" w:color="auto" w:fill="auto"/>
            <w:noWrap/>
            <w:vAlign w:val="bottom"/>
          </w:tcPr>
          <w:p w14:paraId="19B18B0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Qualitative</w:t>
            </w:r>
          </w:p>
        </w:tc>
        <w:tc>
          <w:tcPr>
            <w:tcW w:w="2216" w:type="dxa"/>
            <w:shd w:val="clear" w:color="auto" w:fill="auto"/>
            <w:noWrap/>
            <w:vAlign w:val="bottom"/>
          </w:tcPr>
          <w:p w14:paraId="4B2EA23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Health worker</w:t>
            </w:r>
          </w:p>
        </w:tc>
        <w:tc>
          <w:tcPr>
            <w:tcW w:w="2245" w:type="dxa"/>
            <w:shd w:val="clear" w:color="auto" w:fill="auto"/>
            <w:noWrap/>
            <w:vAlign w:val="bottom"/>
          </w:tcPr>
          <w:p w14:paraId="5711232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477EFBA4"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Evaluate the effect on patient-centredness of a novel computer template used in multimorbidity reviews</w:t>
            </w:r>
          </w:p>
        </w:tc>
      </w:tr>
      <w:tr w:rsidR="00405C60" w:rsidRPr="001D148E" w14:paraId="71354935" w14:textId="77777777" w:rsidTr="009A37D3">
        <w:trPr>
          <w:trHeight w:val="161"/>
        </w:trPr>
        <w:tc>
          <w:tcPr>
            <w:tcW w:w="1504" w:type="dxa"/>
            <w:shd w:val="clear" w:color="auto" w:fill="auto"/>
            <w:noWrap/>
            <w:vAlign w:val="bottom"/>
          </w:tcPr>
          <w:p w14:paraId="2E60F57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Mayer SD et al</w:t>
            </w:r>
          </w:p>
        </w:tc>
        <w:tc>
          <w:tcPr>
            <w:tcW w:w="1219" w:type="dxa"/>
            <w:shd w:val="clear" w:color="auto" w:fill="auto"/>
            <w:noWrap/>
            <w:vAlign w:val="bottom"/>
          </w:tcPr>
          <w:p w14:paraId="58B5F59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2016</w:t>
            </w:r>
          </w:p>
        </w:tc>
        <w:tc>
          <w:tcPr>
            <w:tcW w:w="1395" w:type="dxa"/>
            <w:shd w:val="clear" w:color="auto" w:fill="auto"/>
            <w:noWrap/>
            <w:vAlign w:val="bottom"/>
          </w:tcPr>
          <w:p w14:paraId="579BFC3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USA</w:t>
            </w:r>
          </w:p>
        </w:tc>
        <w:tc>
          <w:tcPr>
            <w:tcW w:w="1465" w:type="dxa"/>
            <w:shd w:val="clear" w:color="auto" w:fill="auto"/>
            <w:noWrap/>
            <w:vAlign w:val="bottom"/>
          </w:tcPr>
          <w:p w14:paraId="1626EF8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tcPr>
          <w:p w14:paraId="6EC0781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tcPr>
          <w:p w14:paraId="68CD01D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1BCBB6EC"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Examined the perceptions of care team empathy and patient-centeredness between English- and Spanish-speaking patients</w:t>
            </w:r>
          </w:p>
        </w:tc>
      </w:tr>
      <w:tr w:rsidR="00405C60" w:rsidRPr="001D148E" w14:paraId="21D0A7B6" w14:textId="77777777" w:rsidTr="009A37D3">
        <w:trPr>
          <w:trHeight w:val="161"/>
        </w:trPr>
        <w:tc>
          <w:tcPr>
            <w:tcW w:w="1504" w:type="dxa"/>
            <w:shd w:val="clear" w:color="auto" w:fill="auto"/>
            <w:noWrap/>
            <w:vAlign w:val="bottom"/>
          </w:tcPr>
          <w:p w14:paraId="24466F6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Pongsupap Y and Lerberghe WV</w:t>
            </w:r>
          </w:p>
        </w:tc>
        <w:tc>
          <w:tcPr>
            <w:tcW w:w="1219" w:type="dxa"/>
            <w:shd w:val="clear" w:color="auto" w:fill="auto"/>
            <w:noWrap/>
            <w:vAlign w:val="bottom"/>
          </w:tcPr>
          <w:p w14:paraId="3D2D046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2006</w:t>
            </w:r>
          </w:p>
        </w:tc>
        <w:tc>
          <w:tcPr>
            <w:tcW w:w="1395" w:type="dxa"/>
            <w:shd w:val="clear" w:color="auto" w:fill="auto"/>
            <w:noWrap/>
            <w:vAlign w:val="bottom"/>
          </w:tcPr>
          <w:p w14:paraId="030EEDE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Thialand</w:t>
            </w:r>
          </w:p>
        </w:tc>
        <w:tc>
          <w:tcPr>
            <w:tcW w:w="1465" w:type="dxa"/>
            <w:shd w:val="clear" w:color="auto" w:fill="auto"/>
            <w:noWrap/>
            <w:vAlign w:val="bottom"/>
          </w:tcPr>
          <w:p w14:paraId="6EC8EAB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tcPr>
          <w:p w14:paraId="2CE152B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tcPr>
          <w:p w14:paraId="5B2FE89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57F9B63A"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Document differences in provider behaviour between private and public providers in hospital outpatient departments, health centres and clinics</w:t>
            </w:r>
          </w:p>
        </w:tc>
      </w:tr>
      <w:tr w:rsidR="00405C60" w:rsidRPr="001D148E" w14:paraId="2E488A66" w14:textId="77777777" w:rsidTr="009A37D3">
        <w:trPr>
          <w:trHeight w:val="161"/>
        </w:trPr>
        <w:tc>
          <w:tcPr>
            <w:tcW w:w="1504" w:type="dxa"/>
            <w:shd w:val="clear" w:color="auto" w:fill="auto"/>
            <w:noWrap/>
            <w:vAlign w:val="bottom"/>
          </w:tcPr>
          <w:p w14:paraId="5CBEC66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Rose GL et al</w:t>
            </w:r>
          </w:p>
        </w:tc>
        <w:tc>
          <w:tcPr>
            <w:tcW w:w="1219" w:type="dxa"/>
            <w:shd w:val="clear" w:color="auto" w:fill="auto"/>
            <w:noWrap/>
            <w:vAlign w:val="bottom"/>
          </w:tcPr>
          <w:p w14:paraId="1DCD929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2021</w:t>
            </w:r>
          </w:p>
        </w:tc>
        <w:tc>
          <w:tcPr>
            <w:tcW w:w="1395" w:type="dxa"/>
            <w:shd w:val="clear" w:color="auto" w:fill="auto"/>
            <w:noWrap/>
            <w:vAlign w:val="bottom"/>
          </w:tcPr>
          <w:p w14:paraId="727C8CE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USA</w:t>
            </w:r>
          </w:p>
        </w:tc>
        <w:tc>
          <w:tcPr>
            <w:tcW w:w="1465" w:type="dxa"/>
            <w:shd w:val="clear" w:color="auto" w:fill="auto"/>
            <w:noWrap/>
            <w:vAlign w:val="bottom"/>
          </w:tcPr>
          <w:p w14:paraId="2F367E0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tcPr>
          <w:p w14:paraId="588D424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tcPr>
          <w:p w14:paraId="3E34B46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06F98AA5"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Describe the development of  the  Patient  Centeredness Index (PCI), evaluate its psychometric characteristics and evaluate the relationships between scores on the PCI and an established measure of empathy</w:t>
            </w:r>
          </w:p>
        </w:tc>
      </w:tr>
      <w:tr w:rsidR="00405C60" w:rsidRPr="001D148E" w14:paraId="4F6CA2FA" w14:textId="77777777" w:rsidTr="009A37D3">
        <w:trPr>
          <w:trHeight w:val="161"/>
        </w:trPr>
        <w:tc>
          <w:tcPr>
            <w:tcW w:w="1504" w:type="dxa"/>
            <w:shd w:val="clear" w:color="auto" w:fill="auto"/>
            <w:noWrap/>
            <w:vAlign w:val="bottom"/>
          </w:tcPr>
          <w:p w14:paraId="2FF2363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Roter DL et al</w:t>
            </w:r>
          </w:p>
        </w:tc>
        <w:tc>
          <w:tcPr>
            <w:tcW w:w="1219" w:type="dxa"/>
            <w:shd w:val="clear" w:color="auto" w:fill="auto"/>
            <w:noWrap/>
            <w:vAlign w:val="bottom"/>
          </w:tcPr>
          <w:p w14:paraId="7A167035"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2020</w:t>
            </w:r>
          </w:p>
        </w:tc>
        <w:tc>
          <w:tcPr>
            <w:tcW w:w="1395" w:type="dxa"/>
            <w:shd w:val="clear" w:color="auto" w:fill="auto"/>
            <w:noWrap/>
            <w:vAlign w:val="bottom"/>
          </w:tcPr>
          <w:p w14:paraId="49DBA31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USA</w:t>
            </w:r>
          </w:p>
        </w:tc>
        <w:tc>
          <w:tcPr>
            <w:tcW w:w="1465" w:type="dxa"/>
            <w:shd w:val="clear" w:color="auto" w:fill="auto"/>
            <w:noWrap/>
            <w:vAlign w:val="bottom"/>
          </w:tcPr>
          <w:p w14:paraId="0A0D146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Quantitative</w:t>
            </w:r>
          </w:p>
        </w:tc>
        <w:tc>
          <w:tcPr>
            <w:tcW w:w="2216" w:type="dxa"/>
            <w:shd w:val="clear" w:color="auto" w:fill="auto"/>
            <w:noWrap/>
            <w:vAlign w:val="bottom"/>
          </w:tcPr>
          <w:p w14:paraId="32D4AC3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 and health worker</w:t>
            </w:r>
          </w:p>
        </w:tc>
        <w:tc>
          <w:tcPr>
            <w:tcW w:w="2245" w:type="dxa"/>
            <w:shd w:val="clear" w:color="auto" w:fill="auto"/>
            <w:noWrap/>
            <w:vAlign w:val="bottom"/>
          </w:tcPr>
          <w:p w14:paraId="23DF193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40D8048A"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 xml:space="preserve">Explore consequences of interpreter mediation of visit communication on patient </w:t>
            </w:r>
          </w:p>
          <w:p w14:paraId="3A32F1A2"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centered dialogue and patient satisfaction with interpreter listening</w:t>
            </w:r>
          </w:p>
        </w:tc>
      </w:tr>
      <w:tr w:rsidR="00405C60" w:rsidRPr="001D148E" w14:paraId="4995FBA7" w14:textId="77777777" w:rsidTr="009A37D3">
        <w:trPr>
          <w:trHeight w:val="161"/>
        </w:trPr>
        <w:tc>
          <w:tcPr>
            <w:tcW w:w="1504" w:type="dxa"/>
            <w:shd w:val="clear" w:color="auto" w:fill="auto"/>
            <w:noWrap/>
            <w:vAlign w:val="bottom"/>
          </w:tcPr>
          <w:p w14:paraId="15B5237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Waweru E et al</w:t>
            </w:r>
          </w:p>
        </w:tc>
        <w:tc>
          <w:tcPr>
            <w:tcW w:w="1219" w:type="dxa"/>
            <w:shd w:val="clear" w:color="auto" w:fill="auto"/>
            <w:noWrap/>
            <w:vAlign w:val="bottom"/>
          </w:tcPr>
          <w:p w14:paraId="611E737B"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2020</w:t>
            </w:r>
          </w:p>
        </w:tc>
        <w:tc>
          <w:tcPr>
            <w:tcW w:w="1395" w:type="dxa"/>
            <w:shd w:val="clear" w:color="auto" w:fill="auto"/>
            <w:noWrap/>
            <w:vAlign w:val="bottom"/>
          </w:tcPr>
          <w:p w14:paraId="68411B0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Uganda</w:t>
            </w:r>
          </w:p>
        </w:tc>
        <w:tc>
          <w:tcPr>
            <w:tcW w:w="1465" w:type="dxa"/>
            <w:shd w:val="clear" w:color="auto" w:fill="auto"/>
            <w:noWrap/>
            <w:vAlign w:val="bottom"/>
          </w:tcPr>
          <w:p w14:paraId="24B8057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Mixed</w:t>
            </w:r>
          </w:p>
        </w:tc>
        <w:tc>
          <w:tcPr>
            <w:tcW w:w="2216" w:type="dxa"/>
            <w:shd w:val="clear" w:color="auto" w:fill="auto"/>
            <w:noWrap/>
            <w:vAlign w:val="bottom"/>
          </w:tcPr>
          <w:p w14:paraId="42B55E3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Clients</w:t>
            </w:r>
          </w:p>
        </w:tc>
        <w:tc>
          <w:tcPr>
            <w:tcW w:w="2245" w:type="dxa"/>
            <w:shd w:val="clear" w:color="auto" w:fill="auto"/>
            <w:noWrap/>
            <w:vAlign w:val="bottom"/>
          </w:tcPr>
          <w:p w14:paraId="42ED787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eastAsia="Times New Roman" w:hAnsi="Times New Roman" w:cs="Times New Roman"/>
                <w:sz w:val="24"/>
                <w:szCs w:val="24"/>
              </w:rPr>
              <w:t>Patient-centredness</w:t>
            </w:r>
          </w:p>
        </w:tc>
        <w:tc>
          <w:tcPr>
            <w:tcW w:w="4957" w:type="dxa"/>
            <w:vAlign w:val="bottom"/>
          </w:tcPr>
          <w:p w14:paraId="2B3273EC"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 xml:space="preserve">Highlight patient perspectives by show casing their perceptions of their experience of patient-centred care at primary health facilities </w:t>
            </w:r>
          </w:p>
        </w:tc>
      </w:tr>
      <w:tr w:rsidR="00405C60" w:rsidRPr="001D148E" w14:paraId="4A692E85" w14:textId="77777777" w:rsidTr="009A37D3">
        <w:trPr>
          <w:trHeight w:val="699"/>
        </w:trPr>
        <w:tc>
          <w:tcPr>
            <w:tcW w:w="1504" w:type="dxa"/>
            <w:shd w:val="clear" w:color="auto" w:fill="auto"/>
            <w:noWrap/>
            <w:vAlign w:val="bottom"/>
          </w:tcPr>
          <w:p w14:paraId="19E4041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Kim HJ et al</w:t>
            </w:r>
          </w:p>
        </w:tc>
        <w:tc>
          <w:tcPr>
            <w:tcW w:w="1219" w:type="dxa"/>
            <w:shd w:val="clear" w:color="auto" w:fill="auto"/>
            <w:noWrap/>
            <w:vAlign w:val="bottom"/>
          </w:tcPr>
          <w:p w14:paraId="5B7ED38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2021</w:t>
            </w:r>
          </w:p>
        </w:tc>
        <w:tc>
          <w:tcPr>
            <w:tcW w:w="1395" w:type="dxa"/>
            <w:shd w:val="clear" w:color="auto" w:fill="auto"/>
            <w:noWrap/>
            <w:vAlign w:val="bottom"/>
          </w:tcPr>
          <w:p w14:paraId="2B86D49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South Korea</w:t>
            </w:r>
          </w:p>
        </w:tc>
        <w:tc>
          <w:tcPr>
            <w:tcW w:w="1465" w:type="dxa"/>
            <w:shd w:val="clear" w:color="auto" w:fill="auto"/>
            <w:noWrap/>
            <w:vAlign w:val="bottom"/>
          </w:tcPr>
          <w:p w14:paraId="6E957A51"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Quantitative</w:t>
            </w:r>
          </w:p>
        </w:tc>
        <w:tc>
          <w:tcPr>
            <w:tcW w:w="2216" w:type="dxa"/>
            <w:shd w:val="clear" w:color="auto" w:fill="auto"/>
            <w:noWrap/>
            <w:vAlign w:val="bottom"/>
          </w:tcPr>
          <w:p w14:paraId="778265BD"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Clinics</w:t>
            </w:r>
          </w:p>
        </w:tc>
        <w:tc>
          <w:tcPr>
            <w:tcW w:w="2245" w:type="dxa"/>
            <w:shd w:val="clear" w:color="auto" w:fill="auto"/>
            <w:noWrap/>
            <w:vAlign w:val="bottom"/>
          </w:tcPr>
          <w:p w14:paraId="60860EA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Comprehensiveness</w:t>
            </w:r>
          </w:p>
        </w:tc>
        <w:tc>
          <w:tcPr>
            <w:tcW w:w="4957" w:type="dxa"/>
            <w:vAlign w:val="bottom"/>
          </w:tcPr>
          <w:p w14:paraId="11ECF46A"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assessed comprehensiveness and factors for each clinic as the number of SMDGs treated in each clinic for 2 years</w:t>
            </w:r>
          </w:p>
        </w:tc>
      </w:tr>
      <w:tr w:rsidR="00405C60" w:rsidRPr="001D148E" w14:paraId="203B84D8" w14:textId="77777777" w:rsidTr="009A37D3">
        <w:trPr>
          <w:trHeight w:val="829"/>
        </w:trPr>
        <w:tc>
          <w:tcPr>
            <w:tcW w:w="1504" w:type="dxa"/>
            <w:shd w:val="clear" w:color="auto" w:fill="auto"/>
            <w:noWrap/>
            <w:vAlign w:val="bottom"/>
          </w:tcPr>
          <w:p w14:paraId="402A7E0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O'Malley AS et al</w:t>
            </w:r>
          </w:p>
        </w:tc>
        <w:tc>
          <w:tcPr>
            <w:tcW w:w="1219" w:type="dxa"/>
            <w:shd w:val="clear" w:color="auto" w:fill="auto"/>
            <w:noWrap/>
            <w:vAlign w:val="bottom"/>
          </w:tcPr>
          <w:p w14:paraId="3930D676"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2019</w:t>
            </w:r>
          </w:p>
        </w:tc>
        <w:tc>
          <w:tcPr>
            <w:tcW w:w="1395" w:type="dxa"/>
            <w:shd w:val="clear" w:color="auto" w:fill="auto"/>
            <w:noWrap/>
            <w:vAlign w:val="bottom"/>
          </w:tcPr>
          <w:p w14:paraId="21A04E8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USA</w:t>
            </w:r>
          </w:p>
        </w:tc>
        <w:tc>
          <w:tcPr>
            <w:tcW w:w="1465" w:type="dxa"/>
            <w:shd w:val="clear" w:color="auto" w:fill="auto"/>
            <w:noWrap/>
            <w:vAlign w:val="bottom"/>
          </w:tcPr>
          <w:p w14:paraId="1DF051FA"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Quantitative</w:t>
            </w:r>
          </w:p>
        </w:tc>
        <w:tc>
          <w:tcPr>
            <w:tcW w:w="2216" w:type="dxa"/>
            <w:shd w:val="clear" w:color="auto" w:fill="auto"/>
            <w:noWrap/>
            <w:vAlign w:val="bottom"/>
          </w:tcPr>
          <w:p w14:paraId="2785B69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Health workers</w:t>
            </w:r>
          </w:p>
        </w:tc>
        <w:tc>
          <w:tcPr>
            <w:tcW w:w="2245" w:type="dxa"/>
            <w:shd w:val="clear" w:color="auto" w:fill="auto"/>
            <w:noWrap/>
            <w:vAlign w:val="bottom"/>
          </w:tcPr>
          <w:p w14:paraId="4FBB9A3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Comprehensiveness</w:t>
            </w:r>
          </w:p>
        </w:tc>
        <w:tc>
          <w:tcPr>
            <w:tcW w:w="4957" w:type="dxa"/>
            <w:vAlign w:val="bottom"/>
          </w:tcPr>
          <w:p w14:paraId="6B1859D7"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Develop claims‐based measures of comprehensiveness of primary care physicians (PCPs) and summarize their associations with health care utilization and cost</w:t>
            </w:r>
          </w:p>
        </w:tc>
      </w:tr>
      <w:tr w:rsidR="00405C60" w:rsidRPr="001D148E" w14:paraId="794E35CC" w14:textId="77777777" w:rsidTr="009A37D3">
        <w:trPr>
          <w:trHeight w:val="161"/>
        </w:trPr>
        <w:tc>
          <w:tcPr>
            <w:tcW w:w="1504" w:type="dxa"/>
            <w:shd w:val="clear" w:color="auto" w:fill="auto"/>
            <w:noWrap/>
            <w:vAlign w:val="bottom"/>
          </w:tcPr>
          <w:p w14:paraId="2664102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Myloneros T and Sakellariou D</w:t>
            </w:r>
          </w:p>
        </w:tc>
        <w:tc>
          <w:tcPr>
            <w:tcW w:w="1219" w:type="dxa"/>
            <w:shd w:val="clear" w:color="auto" w:fill="auto"/>
            <w:noWrap/>
            <w:vAlign w:val="bottom"/>
          </w:tcPr>
          <w:p w14:paraId="67CBD4F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2021</w:t>
            </w:r>
          </w:p>
        </w:tc>
        <w:tc>
          <w:tcPr>
            <w:tcW w:w="1395" w:type="dxa"/>
            <w:shd w:val="clear" w:color="auto" w:fill="auto"/>
            <w:noWrap/>
            <w:vAlign w:val="bottom"/>
          </w:tcPr>
          <w:p w14:paraId="11B7230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Greece</w:t>
            </w:r>
          </w:p>
        </w:tc>
        <w:tc>
          <w:tcPr>
            <w:tcW w:w="1465" w:type="dxa"/>
            <w:shd w:val="clear" w:color="auto" w:fill="auto"/>
            <w:noWrap/>
            <w:vAlign w:val="bottom"/>
          </w:tcPr>
          <w:p w14:paraId="39C704E7"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Review</w:t>
            </w:r>
          </w:p>
        </w:tc>
        <w:tc>
          <w:tcPr>
            <w:tcW w:w="2216" w:type="dxa"/>
            <w:shd w:val="clear" w:color="auto" w:fill="auto"/>
            <w:noWrap/>
            <w:vAlign w:val="bottom"/>
          </w:tcPr>
          <w:p w14:paraId="2313F17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Articles</w:t>
            </w:r>
          </w:p>
        </w:tc>
        <w:tc>
          <w:tcPr>
            <w:tcW w:w="2245" w:type="dxa"/>
            <w:shd w:val="clear" w:color="auto" w:fill="auto"/>
            <w:noWrap/>
            <w:vAlign w:val="bottom"/>
          </w:tcPr>
          <w:p w14:paraId="4F22B952"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Effectiveness</w:t>
            </w:r>
          </w:p>
        </w:tc>
        <w:tc>
          <w:tcPr>
            <w:tcW w:w="4957" w:type="dxa"/>
            <w:vAlign w:val="bottom"/>
          </w:tcPr>
          <w:p w14:paraId="022C51E3"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Examine whether the Primary Health Care reforms during that period assisted the country in moving towards Universal Health Coverage</w:t>
            </w:r>
          </w:p>
        </w:tc>
      </w:tr>
      <w:tr w:rsidR="00405C60" w:rsidRPr="001D148E" w14:paraId="31AF9FCB" w14:textId="77777777" w:rsidTr="009A37D3">
        <w:trPr>
          <w:trHeight w:val="161"/>
        </w:trPr>
        <w:tc>
          <w:tcPr>
            <w:tcW w:w="1504" w:type="dxa"/>
            <w:shd w:val="clear" w:color="auto" w:fill="auto"/>
            <w:noWrap/>
            <w:vAlign w:val="bottom"/>
          </w:tcPr>
          <w:p w14:paraId="4872C62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Tammes P et al</w:t>
            </w:r>
          </w:p>
        </w:tc>
        <w:tc>
          <w:tcPr>
            <w:tcW w:w="1219" w:type="dxa"/>
            <w:shd w:val="clear" w:color="auto" w:fill="auto"/>
            <w:noWrap/>
            <w:vAlign w:val="bottom"/>
          </w:tcPr>
          <w:p w14:paraId="7627A37F"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2021</w:t>
            </w:r>
          </w:p>
        </w:tc>
        <w:tc>
          <w:tcPr>
            <w:tcW w:w="1395" w:type="dxa"/>
            <w:shd w:val="clear" w:color="auto" w:fill="auto"/>
            <w:noWrap/>
            <w:vAlign w:val="bottom"/>
          </w:tcPr>
          <w:p w14:paraId="69B83239"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England</w:t>
            </w:r>
          </w:p>
        </w:tc>
        <w:tc>
          <w:tcPr>
            <w:tcW w:w="1465" w:type="dxa"/>
            <w:shd w:val="clear" w:color="auto" w:fill="auto"/>
            <w:noWrap/>
            <w:vAlign w:val="bottom"/>
          </w:tcPr>
          <w:p w14:paraId="5A6BB4E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Quantitative</w:t>
            </w:r>
          </w:p>
        </w:tc>
        <w:tc>
          <w:tcPr>
            <w:tcW w:w="2216" w:type="dxa"/>
            <w:shd w:val="clear" w:color="auto" w:fill="auto"/>
            <w:noWrap/>
            <w:vAlign w:val="bottom"/>
          </w:tcPr>
          <w:p w14:paraId="7108205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General practitioner-patient survey data</w:t>
            </w:r>
          </w:p>
        </w:tc>
        <w:tc>
          <w:tcPr>
            <w:tcW w:w="2245" w:type="dxa"/>
            <w:shd w:val="clear" w:color="auto" w:fill="auto"/>
            <w:noWrap/>
            <w:vAlign w:val="bottom"/>
          </w:tcPr>
          <w:p w14:paraId="5FCC9CD0"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Continuity</w:t>
            </w:r>
          </w:p>
        </w:tc>
        <w:tc>
          <w:tcPr>
            <w:tcW w:w="4957" w:type="dxa"/>
            <w:vAlign w:val="bottom"/>
          </w:tcPr>
          <w:p w14:paraId="47A8CC3A"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Confirm reports of declining continuity of care, explore differences in decline according to practice characteristics, and examine associations between practice populations or appointment provision and changes in continuity of care.</w:t>
            </w:r>
          </w:p>
        </w:tc>
      </w:tr>
      <w:tr w:rsidR="00405C60" w:rsidRPr="001D148E" w14:paraId="5E2F48E4" w14:textId="77777777" w:rsidTr="009A37D3">
        <w:trPr>
          <w:trHeight w:val="161"/>
        </w:trPr>
        <w:tc>
          <w:tcPr>
            <w:tcW w:w="1504" w:type="dxa"/>
            <w:shd w:val="clear" w:color="auto" w:fill="auto"/>
            <w:noWrap/>
            <w:vAlign w:val="bottom"/>
          </w:tcPr>
          <w:p w14:paraId="738AB7F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Meiesaar K &amp; Lember M</w:t>
            </w:r>
          </w:p>
        </w:tc>
        <w:tc>
          <w:tcPr>
            <w:tcW w:w="1219" w:type="dxa"/>
            <w:shd w:val="clear" w:color="auto" w:fill="auto"/>
            <w:noWrap/>
            <w:vAlign w:val="bottom"/>
          </w:tcPr>
          <w:p w14:paraId="2BBFE79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2004</w:t>
            </w:r>
          </w:p>
        </w:tc>
        <w:tc>
          <w:tcPr>
            <w:tcW w:w="1395" w:type="dxa"/>
            <w:shd w:val="clear" w:color="auto" w:fill="auto"/>
            <w:noWrap/>
            <w:vAlign w:val="bottom"/>
          </w:tcPr>
          <w:p w14:paraId="7C23EDCE"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Estonia</w:t>
            </w:r>
          </w:p>
        </w:tc>
        <w:tc>
          <w:tcPr>
            <w:tcW w:w="1465" w:type="dxa"/>
            <w:shd w:val="clear" w:color="auto" w:fill="auto"/>
            <w:noWrap/>
            <w:vAlign w:val="bottom"/>
          </w:tcPr>
          <w:p w14:paraId="0966FE43"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Quantitative</w:t>
            </w:r>
          </w:p>
        </w:tc>
        <w:tc>
          <w:tcPr>
            <w:tcW w:w="2216" w:type="dxa"/>
            <w:shd w:val="clear" w:color="auto" w:fill="auto"/>
            <w:noWrap/>
            <w:vAlign w:val="bottom"/>
          </w:tcPr>
          <w:p w14:paraId="4F34FEB8"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Document</w:t>
            </w:r>
          </w:p>
        </w:tc>
        <w:tc>
          <w:tcPr>
            <w:tcW w:w="2245" w:type="dxa"/>
            <w:shd w:val="clear" w:color="auto" w:fill="auto"/>
            <w:noWrap/>
            <w:vAlign w:val="bottom"/>
          </w:tcPr>
          <w:p w14:paraId="3F1CC364" w14:textId="77777777" w:rsidR="00507E8D" w:rsidRPr="001D148E" w:rsidRDefault="00507E8D" w:rsidP="005224F6">
            <w:pPr>
              <w:spacing w:after="0" w:line="240" w:lineRule="auto"/>
              <w:rPr>
                <w:rFonts w:ascii="Times New Roman" w:eastAsia="Times New Roman" w:hAnsi="Times New Roman" w:cs="Times New Roman"/>
                <w:sz w:val="24"/>
                <w:szCs w:val="24"/>
              </w:rPr>
            </w:pPr>
            <w:r w:rsidRPr="001D148E">
              <w:rPr>
                <w:rFonts w:ascii="Times New Roman" w:hAnsi="Times New Roman" w:cs="Times New Roman"/>
                <w:sz w:val="24"/>
                <w:szCs w:val="24"/>
              </w:rPr>
              <w:t>Efficiency</w:t>
            </w:r>
          </w:p>
        </w:tc>
        <w:tc>
          <w:tcPr>
            <w:tcW w:w="4957" w:type="dxa"/>
            <w:vAlign w:val="bottom"/>
          </w:tcPr>
          <w:p w14:paraId="4D80B868"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 xml:space="preserve">Assess the efficiency and sustainability of using health resources in Estonian primary health care </w:t>
            </w:r>
          </w:p>
        </w:tc>
      </w:tr>
      <w:tr w:rsidR="00405C60" w:rsidRPr="001D148E" w14:paraId="53A739FC" w14:textId="77777777" w:rsidTr="009A37D3">
        <w:trPr>
          <w:trHeight w:val="648"/>
        </w:trPr>
        <w:tc>
          <w:tcPr>
            <w:tcW w:w="1504" w:type="dxa"/>
            <w:shd w:val="clear" w:color="auto" w:fill="auto"/>
            <w:noWrap/>
            <w:vAlign w:val="bottom"/>
          </w:tcPr>
          <w:p w14:paraId="570C4E3C"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Begley CE et al</w:t>
            </w:r>
          </w:p>
        </w:tc>
        <w:tc>
          <w:tcPr>
            <w:tcW w:w="1219" w:type="dxa"/>
            <w:shd w:val="clear" w:color="auto" w:fill="auto"/>
            <w:noWrap/>
            <w:vAlign w:val="bottom"/>
          </w:tcPr>
          <w:p w14:paraId="0E2233DC"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1989</w:t>
            </w:r>
          </w:p>
        </w:tc>
        <w:tc>
          <w:tcPr>
            <w:tcW w:w="1395" w:type="dxa"/>
            <w:shd w:val="clear" w:color="auto" w:fill="auto"/>
            <w:noWrap/>
            <w:vAlign w:val="bottom"/>
          </w:tcPr>
          <w:p w14:paraId="512C2D27"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USA</w:t>
            </w:r>
          </w:p>
        </w:tc>
        <w:tc>
          <w:tcPr>
            <w:tcW w:w="1465" w:type="dxa"/>
            <w:shd w:val="clear" w:color="auto" w:fill="auto"/>
            <w:noWrap/>
            <w:vAlign w:val="bottom"/>
          </w:tcPr>
          <w:p w14:paraId="26CD0DC8"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Quantitative</w:t>
            </w:r>
          </w:p>
        </w:tc>
        <w:tc>
          <w:tcPr>
            <w:tcW w:w="2216" w:type="dxa"/>
            <w:shd w:val="clear" w:color="auto" w:fill="auto"/>
            <w:noWrap/>
            <w:vAlign w:val="bottom"/>
          </w:tcPr>
          <w:p w14:paraId="2396789E"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Record/document</w:t>
            </w:r>
          </w:p>
        </w:tc>
        <w:tc>
          <w:tcPr>
            <w:tcW w:w="2245" w:type="dxa"/>
            <w:shd w:val="clear" w:color="auto" w:fill="auto"/>
            <w:noWrap/>
            <w:vAlign w:val="bottom"/>
          </w:tcPr>
          <w:p w14:paraId="5E9DF966"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Cost effectiveness</w:t>
            </w:r>
          </w:p>
        </w:tc>
        <w:tc>
          <w:tcPr>
            <w:tcW w:w="4957" w:type="dxa"/>
            <w:vAlign w:val="bottom"/>
          </w:tcPr>
          <w:p w14:paraId="6D759A24"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Assess a cost-effectiveness evaluation of primary health care projects for the poor</w:t>
            </w:r>
          </w:p>
        </w:tc>
      </w:tr>
      <w:tr w:rsidR="00405C60" w:rsidRPr="001D148E" w14:paraId="0458D7A6" w14:textId="77777777" w:rsidTr="009A37D3">
        <w:trPr>
          <w:trHeight w:val="716"/>
        </w:trPr>
        <w:tc>
          <w:tcPr>
            <w:tcW w:w="1504" w:type="dxa"/>
            <w:shd w:val="clear" w:color="auto" w:fill="auto"/>
            <w:noWrap/>
            <w:vAlign w:val="bottom"/>
          </w:tcPr>
          <w:p w14:paraId="51684965"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Berman P</w:t>
            </w:r>
          </w:p>
        </w:tc>
        <w:tc>
          <w:tcPr>
            <w:tcW w:w="1219" w:type="dxa"/>
            <w:shd w:val="clear" w:color="auto" w:fill="auto"/>
            <w:noWrap/>
            <w:vAlign w:val="bottom"/>
          </w:tcPr>
          <w:p w14:paraId="28D48128"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1989</w:t>
            </w:r>
          </w:p>
        </w:tc>
        <w:tc>
          <w:tcPr>
            <w:tcW w:w="1395" w:type="dxa"/>
            <w:shd w:val="clear" w:color="auto" w:fill="auto"/>
            <w:noWrap/>
            <w:vAlign w:val="bottom"/>
          </w:tcPr>
          <w:p w14:paraId="7B6BB0B9"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Indonesia</w:t>
            </w:r>
          </w:p>
        </w:tc>
        <w:tc>
          <w:tcPr>
            <w:tcW w:w="1465" w:type="dxa"/>
            <w:shd w:val="clear" w:color="auto" w:fill="auto"/>
            <w:noWrap/>
            <w:vAlign w:val="bottom"/>
          </w:tcPr>
          <w:p w14:paraId="6D679733"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Quantitative</w:t>
            </w:r>
          </w:p>
        </w:tc>
        <w:tc>
          <w:tcPr>
            <w:tcW w:w="2216" w:type="dxa"/>
            <w:shd w:val="clear" w:color="auto" w:fill="auto"/>
            <w:noWrap/>
            <w:vAlign w:val="bottom"/>
          </w:tcPr>
          <w:p w14:paraId="3A20723E"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Record/document</w:t>
            </w:r>
          </w:p>
        </w:tc>
        <w:tc>
          <w:tcPr>
            <w:tcW w:w="2245" w:type="dxa"/>
            <w:shd w:val="clear" w:color="auto" w:fill="auto"/>
            <w:noWrap/>
            <w:vAlign w:val="bottom"/>
          </w:tcPr>
          <w:p w14:paraId="09CB91F6" w14:textId="77777777" w:rsidR="00507E8D" w:rsidRPr="001D148E" w:rsidRDefault="00507E8D" w:rsidP="005224F6">
            <w:pPr>
              <w:spacing w:after="0" w:line="240" w:lineRule="auto"/>
              <w:rPr>
                <w:rFonts w:ascii="Times New Roman" w:hAnsi="Times New Roman" w:cs="Times New Roman"/>
                <w:sz w:val="24"/>
                <w:szCs w:val="24"/>
              </w:rPr>
            </w:pPr>
            <w:r w:rsidRPr="001D148E">
              <w:rPr>
                <w:rFonts w:ascii="Times New Roman" w:hAnsi="Times New Roman" w:cs="Times New Roman"/>
                <w:sz w:val="24"/>
                <w:szCs w:val="24"/>
              </w:rPr>
              <w:t>Cost effectiveness</w:t>
            </w:r>
          </w:p>
        </w:tc>
        <w:tc>
          <w:tcPr>
            <w:tcW w:w="4957" w:type="dxa"/>
            <w:vAlign w:val="bottom"/>
          </w:tcPr>
          <w:p w14:paraId="61AB513F" w14:textId="77777777" w:rsidR="00507E8D" w:rsidRPr="001D148E" w:rsidRDefault="00507E8D" w:rsidP="005224F6">
            <w:pPr>
              <w:jc w:val="both"/>
              <w:rPr>
                <w:rFonts w:ascii="Times New Roman" w:hAnsi="Times New Roman" w:cs="Times New Roman"/>
                <w:sz w:val="24"/>
                <w:szCs w:val="24"/>
              </w:rPr>
            </w:pPr>
            <w:r w:rsidRPr="001D148E">
              <w:rPr>
                <w:rFonts w:ascii="Times New Roman" w:hAnsi="Times New Roman" w:cs="Times New Roman"/>
                <w:sz w:val="24"/>
                <w:szCs w:val="24"/>
              </w:rPr>
              <w:t>Are certain types of small, rural health facilities more efficient than others in providing outpatient contacts?</w:t>
            </w:r>
          </w:p>
        </w:tc>
      </w:tr>
      <w:tr w:rsidR="00016FA0" w:rsidRPr="001D148E" w14:paraId="5FA583BA" w14:textId="77777777" w:rsidTr="009A37D3">
        <w:trPr>
          <w:trHeight w:val="716"/>
        </w:trPr>
        <w:tc>
          <w:tcPr>
            <w:tcW w:w="1504" w:type="dxa"/>
            <w:shd w:val="clear" w:color="auto" w:fill="auto"/>
            <w:noWrap/>
            <w:vAlign w:val="bottom"/>
          </w:tcPr>
          <w:p w14:paraId="154950CE" w14:textId="6827C85E" w:rsidR="00016FA0" w:rsidRPr="00842933" w:rsidRDefault="005F00CE"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Acquah-Hagan G</w:t>
            </w:r>
            <w:r w:rsidR="00434A84" w:rsidRPr="00842933">
              <w:rPr>
                <w:rFonts w:ascii="Times New Roman" w:hAnsi="Times New Roman" w:cs="Times New Roman"/>
                <w:sz w:val="24"/>
                <w:szCs w:val="24"/>
              </w:rPr>
              <w:t xml:space="preserve"> et al</w:t>
            </w:r>
          </w:p>
        </w:tc>
        <w:tc>
          <w:tcPr>
            <w:tcW w:w="1219" w:type="dxa"/>
            <w:shd w:val="clear" w:color="auto" w:fill="auto"/>
            <w:noWrap/>
            <w:vAlign w:val="bottom"/>
          </w:tcPr>
          <w:p w14:paraId="38AD9E31" w14:textId="32F59C64" w:rsidR="00016FA0" w:rsidRPr="00842933" w:rsidRDefault="00434A8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2022</w:t>
            </w:r>
          </w:p>
        </w:tc>
        <w:tc>
          <w:tcPr>
            <w:tcW w:w="1395" w:type="dxa"/>
            <w:shd w:val="clear" w:color="auto" w:fill="auto"/>
            <w:noWrap/>
            <w:vAlign w:val="bottom"/>
          </w:tcPr>
          <w:p w14:paraId="779A8FD8" w14:textId="43643DC9" w:rsidR="00016FA0" w:rsidRPr="00842933" w:rsidRDefault="00434A8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Ghana</w:t>
            </w:r>
          </w:p>
        </w:tc>
        <w:tc>
          <w:tcPr>
            <w:tcW w:w="1465" w:type="dxa"/>
            <w:shd w:val="clear" w:color="auto" w:fill="auto"/>
            <w:noWrap/>
            <w:vAlign w:val="bottom"/>
          </w:tcPr>
          <w:p w14:paraId="7F8D4DB2" w14:textId="4CF4BA2D" w:rsidR="00016FA0" w:rsidRPr="00842933" w:rsidRDefault="00434A8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Quantitative</w:t>
            </w:r>
          </w:p>
        </w:tc>
        <w:tc>
          <w:tcPr>
            <w:tcW w:w="2216" w:type="dxa"/>
            <w:shd w:val="clear" w:color="auto" w:fill="auto"/>
            <w:noWrap/>
            <w:vAlign w:val="bottom"/>
          </w:tcPr>
          <w:p w14:paraId="6AEAAC28" w14:textId="24F6A7B3" w:rsidR="00016FA0" w:rsidRPr="00842933" w:rsidRDefault="00D61A89"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Vulnerable populations</w:t>
            </w:r>
          </w:p>
        </w:tc>
        <w:tc>
          <w:tcPr>
            <w:tcW w:w="2245" w:type="dxa"/>
            <w:shd w:val="clear" w:color="auto" w:fill="auto"/>
            <w:noWrap/>
            <w:vAlign w:val="bottom"/>
          </w:tcPr>
          <w:p w14:paraId="47DB7C88" w14:textId="542CC62C" w:rsidR="00016FA0" w:rsidRPr="00842933" w:rsidRDefault="002C4D5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Accessibility</w:t>
            </w:r>
          </w:p>
        </w:tc>
        <w:tc>
          <w:tcPr>
            <w:tcW w:w="4957" w:type="dxa"/>
            <w:vAlign w:val="bottom"/>
          </w:tcPr>
          <w:p w14:paraId="4A454CF1" w14:textId="0FE305B3" w:rsidR="00321DCC" w:rsidRPr="00842933" w:rsidRDefault="00BB7766" w:rsidP="005224F6">
            <w:pPr>
              <w:jc w:val="both"/>
              <w:rPr>
                <w:rFonts w:ascii="Times New Roman" w:hAnsi="Times New Roman" w:cs="Times New Roman"/>
                <w:sz w:val="24"/>
                <w:szCs w:val="24"/>
              </w:rPr>
            </w:pPr>
            <w:r w:rsidRPr="00842933">
              <w:rPr>
                <w:rFonts w:ascii="Times New Roman" w:hAnsi="Times New Roman" w:cs="Times New Roman"/>
                <w:sz w:val="24"/>
                <w:szCs w:val="24"/>
              </w:rPr>
              <w:t>Assess a</w:t>
            </w:r>
            <w:r w:rsidR="00016FA0" w:rsidRPr="00842933">
              <w:rPr>
                <w:rFonts w:ascii="Times New Roman" w:hAnsi="Times New Roman" w:cs="Times New Roman"/>
                <w:sz w:val="24"/>
                <w:szCs w:val="24"/>
              </w:rPr>
              <w:t>vailability and Affordability of Primary Health Care Among Vulnerable Populations in Urban Kumasi Metropolis: Family Health Perspective</w:t>
            </w:r>
            <w:r w:rsidR="00321DCC" w:rsidRPr="00842933">
              <w:rPr>
                <w:rFonts w:ascii="Times New Roman" w:hAnsi="Times New Roman" w:cs="Times New Roman"/>
                <w:sz w:val="24"/>
                <w:szCs w:val="24"/>
              </w:rPr>
              <w:t xml:space="preserve"> </w:t>
            </w:r>
          </w:p>
        </w:tc>
      </w:tr>
      <w:tr w:rsidR="00BB7766" w:rsidRPr="001D148E" w14:paraId="1B6D5119" w14:textId="77777777" w:rsidTr="009A37D3">
        <w:trPr>
          <w:trHeight w:val="716"/>
        </w:trPr>
        <w:tc>
          <w:tcPr>
            <w:tcW w:w="1504" w:type="dxa"/>
            <w:shd w:val="clear" w:color="auto" w:fill="auto"/>
            <w:noWrap/>
            <w:vAlign w:val="bottom"/>
          </w:tcPr>
          <w:p w14:paraId="2110849D" w14:textId="7864A9BC" w:rsidR="00BB7766" w:rsidRPr="00842933" w:rsidRDefault="00A405F1"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Shaltynov A et al</w:t>
            </w:r>
          </w:p>
        </w:tc>
        <w:tc>
          <w:tcPr>
            <w:tcW w:w="1219" w:type="dxa"/>
            <w:shd w:val="clear" w:color="auto" w:fill="auto"/>
            <w:noWrap/>
            <w:vAlign w:val="bottom"/>
          </w:tcPr>
          <w:p w14:paraId="11BC3555" w14:textId="177F9D68" w:rsidR="00BB7766" w:rsidRPr="00842933" w:rsidRDefault="00F21CBC"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2022</w:t>
            </w:r>
          </w:p>
        </w:tc>
        <w:tc>
          <w:tcPr>
            <w:tcW w:w="1395" w:type="dxa"/>
            <w:shd w:val="clear" w:color="auto" w:fill="auto"/>
            <w:noWrap/>
            <w:vAlign w:val="bottom"/>
          </w:tcPr>
          <w:p w14:paraId="7C56BD7D" w14:textId="0BC3AC2F" w:rsidR="00BB7766" w:rsidRPr="00842933" w:rsidRDefault="00F21CBC"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Kazakhstan</w:t>
            </w:r>
          </w:p>
        </w:tc>
        <w:tc>
          <w:tcPr>
            <w:tcW w:w="1465" w:type="dxa"/>
            <w:shd w:val="clear" w:color="auto" w:fill="auto"/>
            <w:noWrap/>
            <w:vAlign w:val="bottom"/>
          </w:tcPr>
          <w:p w14:paraId="26B06CC8" w14:textId="626D310E" w:rsidR="00BB7766" w:rsidRPr="00842933" w:rsidRDefault="00A405F1"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Quantitative</w:t>
            </w:r>
          </w:p>
        </w:tc>
        <w:tc>
          <w:tcPr>
            <w:tcW w:w="2216" w:type="dxa"/>
            <w:shd w:val="clear" w:color="auto" w:fill="auto"/>
            <w:noWrap/>
            <w:vAlign w:val="bottom"/>
          </w:tcPr>
          <w:p w14:paraId="5949FE9C" w14:textId="4A64701F" w:rsidR="00BB7766" w:rsidRPr="00842933" w:rsidRDefault="006A0D7B"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Records/seco</w:t>
            </w:r>
            <w:r w:rsidR="00D54B54" w:rsidRPr="00842933">
              <w:rPr>
                <w:rFonts w:ascii="Times New Roman" w:hAnsi="Times New Roman" w:cs="Times New Roman"/>
                <w:sz w:val="24"/>
                <w:szCs w:val="24"/>
              </w:rPr>
              <w:t>ndary data</w:t>
            </w:r>
          </w:p>
        </w:tc>
        <w:tc>
          <w:tcPr>
            <w:tcW w:w="2245" w:type="dxa"/>
            <w:shd w:val="clear" w:color="auto" w:fill="auto"/>
            <w:noWrap/>
            <w:vAlign w:val="bottom"/>
          </w:tcPr>
          <w:p w14:paraId="06B98B3B" w14:textId="530F51F2" w:rsidR="00BB7766" w:rsidRPr="00842933" w:rsidRDefault="00012A0E"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Accessibility and inequality</w:t>
            </w:r>
          </w:p>
        </w:tc>
        <w:tc>
          <w:tcPr>
            <w:tcW w:w="4957" w:type="dxa"/>
            <w:vAlign w:val="bottom"/>
          </w:tcPr>
          <w:p w14:paraId="171F00C5" w14:textId="492DD39E" w:rsidR="00F96DAB" w:rsidRPr="00842933" w:rsidRDefault="00012A0E" w:rsidP="005224F6">
            <w:pPr>
              <w:jc w:val="both"/>
              <w:rPr>
                <w:rFonts w:ascii="Times New Roman" w:hAnsi="Times New Roman" w:cs="Times New Roman"/>
                <w:sz w:val="24"/>
                <w:szCs w:val="24"/>
              </w:rPr>
            </w:pPr>
            <w:r w:rsidRPr="00842933">
              <w:rPr>
                <w:rFonts w:ascii="Times New Roman" w:hAnsi="Times New Roman" w:cs="Times New Roman"/>
                <w:sz w:val="24"/>
                <w:szCs w:val="24"/>
              </w:rPr>
              <w:t>Assessment of primary healthcare accessibility and inequality in north-eastern Kazakhstan</w:t>
            </w:r>
          </w:p>
        </w:tc>
      </w:tr>
      <w:tr w:rsidR="00BB7766" w:rsidRPr="001D148E" w14:paraId="333D7ECF" w14:textId="77777777" w:rsidTr="009A37D3">
        <w:trPr>
          <w:trHeight w:val="716"/>
        </w:trPr>
        <w:tc>
          <w:tcPr>
            <w:tcW w:w="1504" w:type="dxa"/>
            <w:shd w:val="clear" w:color="auto" w:fill="auto"/>
            <w:noWrap/>
            <w:vAlign w:val="bottom"/>
          </w:tcPr>
          <w:p w14:paraId="17271E00" w14:textId="2B03A6A4" w:rsidR="00BB7766" w:rsidRPr="00842933" w:rsidRDefault="00805FC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lang w:val="en-AU"/>
              </w:rPr>
              <w:t>Alshowair A et al</w:t>
            </w:r>
          </w:p>
        </w:tc>
        <w:tc>
          <w:tcPr>
            <w:tcW w:w="1219" w:type="dxa"/>
            <w:shd w:val="clear" w:color="auto" w:fill="auto"/>
            <w:noWrap/>
            <w:vAlign w:val="bottom"/>
          </w:tcPr>
          <w:p w14:paraId="52B6ABE8" w14:textId="29196956" w:rsidR="00BB7766" w:rsidRPr="00842933" w:rsidRDefault="00805FC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2022</w:t>
            </w:r>
          </w:p>
        </w:tc>
        <w:tc>
          <w:tcPr>
            <w:tcW w:w="1395" w:type="dxa"/>
            <w:shd w:val="clear" w:color="auto" w:fill="auto"/>
            <w:noWrap/>
            <w:vAlign w:val="bottom"/>
          </w:tcPr>
          <w:p w14:paraId="44EDCF2E" w14:textId="7DF6F67C" w:rsidR="00BB7766" w:rsidRPr="00842933" w:rsidRDefault="00805FC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Saudi Arabia</w:t>
            </w:r>
          </w:p>
        </w:tc>
        <w:tc>
          <w:tcPr>
            <w:tcW w:w="1465" w:type="dxa"/>
            <w:shd w:val="clear" w:color="auto" w:fill="auto"/>
            <w:noWrap/>
            <w:vAlign w:val="bottom"/>
          </w:tcPr>
          <w:p w14:paraId="7231E0C3" w14:textId="66116F69" w:rsidR="00BB7766" w:rsidRPr="00842933" w:rsidRDefault="00805FC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Quantitative</w:t>
            </w:r>
          </w:p>
        </w:tc>
        <w:tc>
          <w:tcPr>
            <w:tcW w:w="2216" w:type="dxa"/>
            <w:shd w:val="clear" w:color="auto" w:fill="auto"/>
            <w:noWrap/>
            <w:vAlign w:val="bottom"/>
          </w:tcPr>
          <w:p w14:paraId="7E889CDC" w14:textId="6F728B69" w:rsidR="00BB7766" w:rsidRPr="00842933" w:rsidRDefault="00805FC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Patients</w:t>
            </w:r>
            <w:r w:rsidR="008F22E5" w:rsidRPr="00842933">
              <w:rPr>
                <w:rFonts w:ascii="Times New Roman" w:hAnsi="Times New Roman" w:cs="Times New Roman"/>
                <w:sz w:val="24"/>
                <w:szCs w:val="24"/>
              </w:rPr>
              <w:t xml:space="preserve">, </w:t>
            </w:r>
            <w:r w:rsidR="00C62291" w:rsidRPr="00842933">
              <w:rPr>
                <w:rFonts w:ascii="Times New Roman" w:hAnsi="Times New Roman" w:cs="Times New Roman"/>
                <w:sz w:val="24"/>
                <w:szCs w:val="24"/>
                <w:lang w:val="en-AU"/>
              </w:rPr>
              <w:t>health</w:t>
            </w:r>
            <w:r w:rsidR="008F22E5" w:rsidRPr="00842933">
              <w:rPr>
                <w:rFonts w:ascii="Times New Roman" w:hAnsi="Times New Roman" w:cs="Times New Roman"/>
                <w:sz w:val="24"/>
                <w:szCs w:val="24"/>
                <w:lang w:val="en-AU"/>
              </w:rPr>
              <w:t xml:space="preserve"> care provider</w:t>
            </w:r>
          </w:p>
        </w:tc>
        <w:tc>
          <w:tcPr>
            <w:tcW w:w="2245" w:type="dxa"/>
            <w:shd w:val="clear" w:color="auto" w:fill="auto"/>
            <w:noWrap/>
            <w:vAlign w:val="bottom"/>
          </w:tcPr>
          <w:p w14:paraId="59F6A639" w14:textId="04637A47" w:rsidR="00BB7766" w:rsidRPr="00842933" w:rsidRDefault="00805FC4" w:rsidP="005224F6">
            <w:pPr>
              <w:spacing w:after="0" w:line="240" w:lineRule="auto"/>
              <w:rPr>
                <w:rFonts w:ascii="Times New Roman" w:hAnsi="Times New Roman" w:cs="Times New Roman"/>
                <w:sz w:val="24"/>
                <w:szCs w:val="24"/>
                <w:shd w:val="clear" w:color="auto" w:fill="FFFFFF"/>
              </w:rPr>
            </w:pPr>
            <w:r w:rsidRPr="00842933">
              <w:rPr>
                <w:rFonts w:ascii="Times New Roman" w:hAnsi="Times New Roman" w:cs="Times New Roman"/>
                <w:sz w:val="24"/>
                <w:szCs w:val="24"/>
                <w:shd w:val="clear" w:color="auto" w:fill="FFFFFF"/>
              </w:rPr>
              <w:t xml:space="preserve">Effectiveness and cost </w:t>
            </w:r>
            <w:r w:rsidR="0014759E" w:rsidRPr="00842933">
              <w:rPr>
                <w:rFonts w:ascii="Times New Roman" w:hAnsi="Times New Roman" w:cs="Times New Roman"/>
                <w:sz w:val="24"/>
                <w:szCs w:val="24"/>
                <w:shd w:val="clear" w:color="auto" w:fill="FFFFFF"/>
              </w:rPr>
              <w:t>effectiveness</w:t>
            </w:r>
          </w:p>
        </w:tc>
        <w:tc>
          <w:tcPr>
            <w:tcW w:w="4957" w:type="dxa"/>
            <w:vAlign w:val="bottom"/>
          </w:tcPr>
          <w:p w14:paraId="6653ADC0" w14:textId="344D3ADE" w:rsidR="000F0F07" w:rsidRPr="00842933" w:rsidRDefault="007335A9" w:rsidP="005224F6">
            <w:pPr>
              <w:jc w:val="both"/>
              <w:rPr>
                <w:rFonts w:ascii="Times New Roman" w:hAnsi="Times New Roman" w:cs="Times New Roman"/>
                <w:sz w:val="24"/>
                <w:szCs w:val="24"/>
                <w:lang w:val="en-AU"/>
              </w:rPr>
            </w:pPr>
            <w:r w:rsidRPr="00842933">
              <w:rPr>
                <w:rFonts w:ascii="Times New Roman" w:hAnsi="Times New Roman" w:cs="Times New Roman"/>
                <w:sz w:val="24"/>
                <w:szCs w:val="24"/>
                <w:lang w:val="en-AU"/>
              </w:rPr>
              <w:t xml:space="preserve">Assessment of Primary Health Care Specialized Reference Clinics in Riyadh First Health Cluster: </w:t>
            </w:r>
          </w:p>
        </w:tc>
      </w:tr>
      <w:tr w:rsidR="00842933" w:rsidRPr="00842933" w14:paraId="37E7E806" w14:textId="77777777" w:rsidTr="009A37D3">
        <w:trPr>
          <w:trHeight w:val="716"/>
        </w:trPr>
        <w:tc>
          <w:tcPr>
            <w:tcW w:w="1504" w:type="dxa"/>
            <w:shd w:val="clear" w:color="auto" w:fill="auto"/>
            <w:noWrap/>
            <w:vAlign w:val="bottom"/>
          </w:tcPr>
          <w:p w14:paraId="755B4312" w14:textId="5C89BC24" w:rsidR="00BB7766" w:rsidRPr="00842933" w:rsidRDefault="00C670AB"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lang w:val="en-AU"/>
              </w:rPr>
              <w:t>Chauhan AS et al</w:t>
            </w:r>
          </w:p>
        </w:tc>
        <w:tc>
          <w:tcPr>
            <w:tcW w:w="1219" w:type="dxa"/>
            <w:shd w:val="clear" w:color="auto" w:fill="auto"/>
            <w:noWrap/>
            <w:vAlign w:val="bottom"/>
          </w:tcPr>
          <w:p w14:paraId="49290E63" w14:textId="12D3449B" w:rsidR="00BB7766" w:rsidRPr="00842933" w:rsidRDefault="00C670AB"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2022</w:t>
            </w:r>
          </w:p>
        </w:tc>
        <w:tc>
          <w:tcPr>
            <w:tcW w:w="1395" w:type="dxa"/>
            <w:shd w:val="clear" w:color="auto" w:fill="auto"/>
            <w:noWrap/>
            <w:vAlign w:val="bottom"/>
          </w:tcPr>
          <w:p w14:paraId="4719C7C0" w14:textId="042ED7F3" w:rsidR="00BB7766" w:rsidRPr="00842933" w:rsidRDefault="00C62291"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India</w:t>
            </w:r>
          </w:p>
        </w:tc>
        <w:tc>
          <w:tcPr>
            <w:tcW w:w="1465" w:type="dxa"/>
            <w:shd w:val="clear" w:color="auto" w:fill="auto"/>
            <w:noWrap/>
            <w:vAlign w:val="bottom"/>
          </w:tcPr>
          <w:p w14:paraId="4310FE25" w14:textId="37DF5793" w:rsidR="00BB7766" w:rsidRPr="00842933" w:rsidRDefault="0014759E"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Quantitative</w:t>
            </w:r>
          </w:p>
        </w:tc>
        <w:tc>
          <w:tcPr>
            <w:tcW w:w="2216" w:type="dxa"/>
            <w:shd w:val="clear" w:color="auto" w:fill="auto"/>
            <w:noWrap/>
            <w:vAlign w:val="bottom"/>
          </w:tcPr>
          <w:p w14:paraId="7DF2B2C5" w14:textId="684A8D97" w:rsidR="00BB7766" w:rsidRPr="00842933" w:rsidRDefault="0014759E"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PHC institutions</w:t>
            </w:r>
          </w:p>
        </w:tc>
        <w:tc>
          <w:tcPr>
            <w:tcW w:w="2245" w:type="dxa"/>
            <w:shd w:val="clear" w:color="auto" w:fill="auto"/>
            <w:noWrap/>
            <w:vAlign w:val="bottom"/>
          </w:tcPr>
          <w:p w14:paraId="62C12DE5" w14:textId="42B16F03" w:rsidR="00BB7766" w:rsidRPr="00842933" w:rsidRDefault="0014759E" w:rsidP="005224F6">
            <w:pPr>
              <w:spacing w:after="0" w:line="240" w:lineRule="auto"/>
              <w:rPr>
                <w:rFonts w:ascii="Times New Roman" w:hAnsi="Times New Roman" w:cs="Times New Roman"/>
                <w:sz w:val="24"/>
                <w:szCs w:val="24"/>
                <w:shd w:val="clear" w:color="auto" w:fill="FFFFFF"/>
              </w:rPr>
            </w:pPr>
            <w:r w:rsidRPr="00842933">
              <w:rPr>
                <w:rFonts w:ascii="Times New Roman" w:hAnsi="Times New Roman" w:cs="Times New Roman"/>
                <w:sz w:val="24"/>
                <w:szCs w:val="24"/>
                <w:shd w:val="clear" w:color="auto" w:fill="FFFFFF"/>
              </w:rPr>
              <w:t>Cost</w:t>
            </w:r>
            <w:r w:rsidR="001B4203" w:rsidRPr="00842933">
              <w:rPr>
                <w:rFonts w:ascii="Times New Roman" w:hAnsi="Times New Roman" w:cs="Times New Roman"/>
                <w:sz w:val="24"/>
                <w:szCs w:val="24"/>
                <w:shd w:val="clear" w:color="auto" w:fill="FFFFFF"/>
              </w:rPr>
              <w:t xml:space="preserve"> </w:t>
            </w:r>
            <w:r w:rsidR="003E030F" w:rsidRPr="00842933">
              <w:rPr>
                <w:rFonts w:ascii="Times New Roman" w:hAnsi="Times New Roman" w:cs="Times New Roman"/>
                <w:sz w:val="24"/>
                <w:szCs w:val="24"/>
                <w:shd w:val="clear" w:color="auto" w:fill="FFFFFF"/>
              </w:rPr>
              <w:t>effectiveness</w:t>
            </w:r>
          </w:p>
        </w:tc>
        <w:tc>
          <w:tcPr>
            <w:tcW w:w="4957" w:type="dxa"/>
            <w:vAlign w:val="bottom"/>
          </w:tcPr>
          <w:p w14:paraId="280A8D9F" w14:textId="0B6E9C20" w:rsidR="00092E94" w:rsidRPr="00842933" w:rsidRDefault="00C62291" w:rsidP="00C032C1">
            <w:pPr>
              <w:jc w:val="both"/>
              <w:rPr>
                <w:rFonts w:ascii="Times New Roman" w:hAnsi="Times New Roman" w:cs="Times New Roman"/>
                <w:sz w:val="24"/>
                <w:szCs w:val="24"/>
                <w:lang w:val="en-AU"/>
              </w:rPr>
            </w:pPr>
            <w:r w:rsidRPr="00842933">
              <w:rPr>
                <w:rFonts w:ascii="Times New Roman" w:hAnsi="Times New Roman" w:cs="Times New Roman"/>
                <w:sz w:val="24"/>
                <w:szCs w:val="24"/>
                <w:lang w:val="en-AU"/>
              </w:rPr>
              <w:t>Estimate the cost of providing healthcare services at sub centre (SC) and primary health centre (PHC) level in four selected States of India</w:t>
            </w:r>
          </w:p>
        </w:tc>
      </w:tr>
      <w:tr w:rsidR="00842933" w:rsidRPr="00842933" w14:paraId="4EACCB61" w14:textId="77777777" w:rsidTr="009A37D3">
        <w:trPr>
          <w:trHeight w:val="716"/>
        </w:trPr>
        <w:tc>
          <w:tcPr>
            <w:tcW w:w="1504" w:type="dxa"/>
            <w:shd w:val="clear" w:color="auto" w:fill="auto"/>
            <w:noWrap/>
            <w:vAlign w:val="bottom"/>
          </w:tcPr>
          <w:p w14:paraId="25F905C1" w14:textId="16E8A59E" w:rsidR="00BB7766" w:rsidRPr="00842933" w:rsidRDefault="009B0477"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Jia P et al</w:t>
            </w:r>
          </w:p>
        </w:tc>
        <w:tc>
          <w:tcPr>
            <w:tcW w:w="1219" w:type="dxa"/>
            <w:shd w:val="clear" w:color="auto" w:fill="auto"/>
            <w:noWrap/>
            <w:vAlign w:val="bottom"/>
          </w:tcPr>
          <w:p w14:paraId="5D5E7A7A" w14:textId="04BB0CD9" w:rsidR="00BB7766" w:rsidRPr="00842933" w:rsidRDefault="009B0477"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2022</w:t>
            </w:r>
          </w:p>
        </w:tc>
        <w:tc>
          <w:tcPr>
            <w:tcW w:w="1395" w:type="dxa"/>
            <w:shd w:val="clear" w:color="auto" w:fill="auto"/>
            <w:noWrap/>
            <w:vAlign w:val="bottom"/>
          </w:tcPr>
          <w:p w14:paraId="0C8D9176" w14:textId="108FA588" w:rsidR="00BB7766" w:rsidRPr="00842933" w:rsidRDefault="009B0477"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China</w:t>
            </w:r>
          </w:p>
        </w:tc>
        <w:tc>
          <w:tcPr>
            <w:tcW w:w="1465" w:type="dxa"/>
            <w:shd w:val="clear" w:color="auto" w:fill="auto"/>
            <w:noWrap/>
            <w:vAlign w:val="bottom"/>
          </w:tcPr>
          <w:p w14:paraId="2E120800" w14:textId="50A7EFE2" w:rsidR="00BB7766" w:rsidRPr="00842933" w:rsidRDefault="00426B63"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Quantitative</w:t>
            </w:r>
          </w:p>
        </w:tc>
        <w:tc>
          <w:tcPr>
            <w:tcW w:w="2216" w:type="dxa"/>
            <w:shd w:val="clear" w:color="auto" w:fill="auto"/>
            <w:noWrap/>
            <w:vAlign w:val="bottom"/>
          </w:tcPr>
          <w:p w14:paraId="04C9C152" w14:textId="7EFFBCF8" w:rsidR="00BB7766" w:rsidRPr="00842933" w:rsidRDefault="00426B63"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PHC institutions</w:t>
            </w:r>
          </w:p>
        </w:tc>
        <w:tc>
          <w:tcPr>
            <w:tcW w:w="2245" w:type="dxa"/>
            <w:shd w:val="clear" w:color="auto" w:fill="auto"/>
            <w:noWrap/>
            <w:vAlign w:val="bottom"/>
          </w:tcPr>
          <w:p w14:paraId="4B0A07AF" w14:textId="14D96CE6" w:rsidR="00BB7766" w:rsidRPr="00842933" w:rsidRDefault="003E030F"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Accessibility</w:t>
            </w:r>
          </w:p>
        </w:tc>
        <w:tc>
          <w:tcPr>
            <w:tcW w:w="4957" w:type="dxa"/>
            <w:vAlign w:val="bottom"/>
          </w:tcPr>
          <w:p w14:paraId="5AD59472" w14:textId="61920B5A" w:rsidR="00B90AF3" w:rsidRPr="00842933" w:rsidRDefault="00426B63" w:rsidP="005224F6">
            <w:pPr>
              <w:jc w:val="both"/>
              <w:rPr>
                <w:rFonts w:ascii="Times New Roman" w:hAnsi="Times New Roman" w:cs="Times New Roman"/>
                <w:sz w:val="24"/>
                <w:szCs w:val="24"/>
                <w:lang w:val="en-AU"/>
              </w:rPr>
            </w:pPr>
            <w:r w:rsidRPr="00842933">
              <w:rPr>
                <w:rFonts w:ascii="Times New Roman" w:hAnsi="Times New Roman" w:cs="Times New Roman"/>
                <w:sz w:val="24"/>
                <w:szCs w:val="24"/>
                <w:lang w:val="en-AU"/>
              </w:rPr>
              <w:t>Inequalities of spatial primary healthcare accessibility in China</w:t>
            </w:r>
          </w:p>
        </w:tc>
      </w:tr>
      <w:tr w:rsidR="00842933" w:rsidRPr="00842933" w14:paraId="1C550C6F" w14:textId="77777777" w:rsidTr="009A37D3">
        <w:trPr>
          <w:trHeight w:val="716"/>
        </w:trPr>
        <w:tc>
          <w:tcPr>
            <w:tcW w:w="1504" w:type="dxa"/>
            <w:shd w:val="clear" w:color="auto" w:fill="auto"/>
            <w:noWrap/>
            <w:vAlign w:val="bottom"/>
          </w:tcPr>
          <w:p w14:paraId="0169B5EE" w14:textId="75EED5ED" w:rsidR="00BB7766" w:rsidRPr="00842933" w:rsidRDefault="00EA52D2"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Pope S et al</w:t>
            </w:r>
          </w:p>
        </w:tc>
        <w:tc>
          <w:tcPr>
            <w:tcW w:w="1219" w:type="dxa"/>
            <w:shd w:val="clear" w:color="auto" w:fill="auto"/>
            <w:noWrap/>
            <w:vAlign w:val="bottom"/>
          </w:tcPr>
          <w:p w14:paraId="4F750E27" w14:textId="0F1AFF68" w:rsidR="00BB7766" w:rsidRPr="00842933" w:rsidRDefault="00641D62"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2022</w:t>
            </w:r>
          </w:p>
        </w:tc>
        <w:tc>
          <w:tcPr>
            <w:tcW w:w="1395" w:type="dxa"/>
            <w:shd w:val="clear" w:color="auto" w:fill="auto"/>
            <w:noWrap/>
            <w:vAlign w:val="bottom"/>
          </w:tcPr>
          <w:p w14:paraId="58ACCBD4" w14:textId="138E92AC" w:rsidR="00BB7766" w:rsidRPr="00842933" w:rsidRDefault="00641D62"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Mozambique</w:t>
            </w:r>
          </w:p>
        </w:tc>
        <w:tc>
          <w:tcPr>
            <w:tcW w:w="1465" w:type="dxa"/>
            <w:shd w:val="clear" w:color="auto" w:fill="auto"/>
            <w:noWrap/>
            <w:vAlign w:val="bottom"/>
          </w:tcPr>
          <w:p w14:paraId="78146B44" w14:textId="77E47CA4" w:rsidR="00BB7766" w:rsidRPr="00842933" w:rsidRDefault="00641D62"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Quantitative</w:t>
            </w:r>
          </w:p>
        </w:tc>
        <w:tc>
          <w:tcPr>
            <w:tcW w:w="2216" w:type="dxa"/>
            <w:shd w:val="clear" w:color="auto" w:fill="auto"/>
            <w:noWrap/>
            <w:vAlign w:val="bottom"/>
          </w:tcPr>
          <w:p w14:paraId="4263F515" w14:textId="6D09E68C" w:rsidR="00BB7766" w:rsidRPr="00842933" w:rsidRDefault="00641D62"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PHC institutions</w:t>
            </w:r>
          </w:p>
        </w:tc>
        <w:tc>
          <w:tcPr>
            <w:tcW w:w="2245" w:type="dxa"/>
            <w:shd w:val="clear" w:color="auto" w:fill="auto"/>
            <w:noWrap/>
            <w:vAlign w:val="bottom"/>
          </w:tcPr>
          <w:p w14:paraId="0FBDF754" w14:textId="19C371E6" w:rsidR="00BB7766" w:rsidRPr="00842933" w:rsidRDefault="00A96EE7"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Effectiveness</w:t>
            </w:r>
          </w:p>
        </w:tc>
        <w:tc>
          <w:tcPr>
            <w:tcW w:w="4957" w:type="dxa"/>
            <w:vAlign w:val="bottom"/>
          </w:tcPr>
          <w:p w14:paraId="05C61D0C" w14:textId="5D10E197" w:rsidR="00641D62" w:rsidRPr="00842933" w:rsidRDefault="00EE1D3C" w:rsidP="005224F6">
            <w:pPr>
              <w:jc w:val="both"/>
              <w:rPr>
                <w:rFonts w:ascii="Times New Roman" w:hAnsi="Times New Roman" w:cs="Times New Roman"/>
                <w:sz w:val="24"/>
                <w:szCs w:val="24"/>
                <w:lang w:val="en-AU"/>
              </w:rPr>
            </w:pPr>
            <w:r w:rsidRPr="00842933">
              <w:rPr>
                <w:rFonts w:ascii="Times New Roman" w:hAnsi="Times New Roman" w:cs="Times New Roman"/>
                <w:sz w:val="24"/>
                <w:szCs w:val="24"/>
                <w:lang w:val="en-AU"/>
              </w:rPr>
              <w:t>Primary Health Care Management Effectiveness as a Driver of Family Planning Service Readiness</w:t>
            </w:r>
          </w:p>
        </w:tc>
      </w:tr>
      <w:tr w:rsidR="00842933" w:rsidRPr="00842933" w14:paraId="16E95F07" w14:textId="77777777" w:rsidTr="009A37D3">
        <w:trPr>
          <w:trHeight w:val="716"/>
        </w:trPr>
        <w:tc>
          <w:tcPr>
            <w:tcW w:w="1504" w:type="dxa"/>
            <w:shd w:val="clear" w:color="auto" w:fill="auto"/>
            <w:noWrap/>
            <w:vAlign w:val="bottom"/>
          </w:tcPr>
          <w:p w14:paraId="26380278" w14:textId="3FBDE3B7" w:rsidR="00F87BB0" w:rsidRPr="00842933" w:rsidRDefault="00A96EE7"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Gizaw Z</w:t>
            </w:r>
            <w:r w:rsidR="005D2554" w:rsidRPr="00842933">
              <w:rPr>
                <w:rFonts w:ascii="Times New Roman" w:hAnsi="Times New Roman" w:cs="Times New Roman"/>
                <w:sz w:val="24"/>
                <w:szCs w:val="24"/>
              </w:rPr>
              <w:t xml:space="preserve"> et al</w:t>
            </w:r>
          </w:p>
          <w:p w14:paraId="36A33DC8" w14:textId="11EF590D" w:rsidR="00F87BB0" w:rsidRPr="00842933" w:rsidRDefault="00F87BB0" w:rsidP="005224F6">
            <w:pPr>
              <w:spacing w:after="0" w:line="240" w:lineRule="auto"/>
              <w:rPr>
                <w:rFonts w:ascii="Times New Roman" w:hAnsi="Times New Roman" w:cs="Times New Roman"/>
                <w:sz w:val="24"/>
                <w:szCs w:val="24"/>
              </w:rPr>
            </w:pPr>
          </w:p>
        </w:tc>
        <w:tc>
          <w:tcPr>
            <w:tcW w:w="1219" w:type="dxa"/>
            <w:shd w:val="clear" w:color="auto" w:fill="auto"/>
            <w:noWrap/>
            <w:vAlign w:val="bottom"/>
          </w:tcPr>
          <w:p w14:paraId="2F85E7CA" w14:textId="29ABC1B5" w:rsidR="00F87BB0" w:rsidRPr="00842933" w:rsidRDefault="005D2554"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2022</w:t>
            </w:r>
          </w:p>
        </w:tc>
        <w:tc>
          <w:tcPr>
            <w:tcW w:w="1395" w:type="dxa"/>
            <w:shd w:val="clear" w:color="auto" w:fill="auto"/>
            <w:noWrap/>
            <w:vAlign w:val="bottom"/>
          </w:tcPr>
          <w:p w14:paraId="3F1A0AD2" w14:textId="1D568B0E" w:rsidR="00F87BB0" w:rsidRPr="00842933" w:rsidRDefault="00351AD6" w:rsidP="005224F6">
            <w:pPr>
              <w:spacing w:after="0" w:line="240" w:lineRule="auto"/>
              <w:rPr>
                <w:rFonts w:ascii="Times New Roman" w:hAnsi="Times New Roman" w:cs="Times New Roman"/>
                <w:sz w:val="24"/>
                <w:szCs w:val="24"/>
                <w:lang w:val="en-AU"/>
              </w:rPr>
            </w:pPr>
            <w:r w:rsidRPr="00842933">
              <w:rPr>
                <w:rFonts w:ascii="Times New Roman" w:hAnsi="Times New Roman" w:cs="Times New Roman"/>
                <w:sz w:val="24"/>
                <w:szCs w:val="24"/>
                <w:lang w:val="en-AU"/>
              </w:rPr>
              <w:t>Not specific settings</w:t>
            </w:r>
          </w:p>
        </w:tc>
        <w:tc>
          <w:tcPr>
            <w:tcW w:w="1465" w:type="dxa"/>
            <w:shd w:val="clear" w:color="auto" w:fill="auto"/>
            <w:noWrap/>
            <w:vAlign w:val="bottom"/>
          </w:tcPr>
          <w:p w14:paraId="651DFD58" w14:textId="13EC6A45" w:rsidR="00F87BB0" w:rsidRPr="00842933" w:rsidRDefault="001E186C"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Systematic review</w:t>
            </w:r>
          </w:p>
        </w:tc>
        <w:tc>
          <w:tcPr>
            <w:tcW w:w="2216" w:type="dxa"/>
            <w:shd w:val="clear" w:color="auto" w:fill="auto"/>
            <w:noWrap/>
            <w:vAlign w:val="bottom"/>
          </w:tcPr>
          <w:p w14:paraId="4A8CF7C1" w14:textId="017358A5" w:rsidR="00F87BB0" w:rsidRPr="00842933" w:rsidRDefault="001E186C" w:rsidP="005224F6">
            <w:pPr>
              <w:spacing w:after="0" w:line="240" w:lineRule="auto"/>
              <w:rPr>
                <w:rFonts w:ascii="Times New Roman" w:hAnsi="Times New Roman" w:cs="Times New Roman"/>
                <w:sz w:val="24"/>
                <w:szCs w:val="24"/>
              </w:rPr>
            </w:pPr>
            <w:r w:rsidRPr="00842933">
              <w:rPr>
                <w:rFonts w:ascii="Times New Roman" w:hAnsi="Times New Roman" w:cs="Times New Roman"/>
                <w:sz w:val="24"/>
                <w:szCs w:val="24"/>
              </w:rPr>
              <w:t>Secondary data (articles)</w:t>
            </w:r>
          </w:p>
        </w:tc>
        <w:tc>
          <w:tcPr>
            <w:tcW w:w="2245" w:type="dxa"/>
            <w:shd w:val="clear" w:color="auto" w:fill="auto"/>
            <w:noWrap/>
            <w:vAlign w:val="bottom"/>
          </w:tcPr>
          <w:p w14:paraId="1D097857" w14:textId="6D0913FC" w:rsidR="00F87BB0" w:rsidRPr="00842933" w:rsidRDefault="00A96EE7" w:rsidP="005224F6">
            <w:pPr>
              <w:spacing w:after="0" w:line="240" w:lineRule="auto"/>
              <w:rPr>
                <w:rFonts w:ascii="Times New Roman" w:hAnsi="Times New Roman" w:cs="Times New Roman"/>
                <w:sz w:val="24"/>
                <w:szCs w:val="24"/>
                <w:shd w:val="clear" w:color="auto" w:fill="FFFFFF"/>
              </w:rPr>
            </w:pPr>
            <w:r w:rsidRPr="00842933">
              <w:rPr>
                <w:rFonts w:ascii="Times New Roman" w:hAnsi="Times New Roman" w:cs="Times New Roman"/>
                <w:sz w:val="24"/>
                <w:szCs w:val="24"/>
                <w:shd w:val="clear" w:color="auto" w:fill="FFFFFF"/>
              </w:rPr>
              <w:t>Accessibility</w:t>
            </w:r>
          </w:p>
        </w:tc>
        <w:tc>
          <w:tcPr>
            <w:tcW w:w="4957" w:type="dxa"/>
            <w:vAlign w:val="bottom"/>
          </w:tcPr>
          <w:p w14:paraId="0F5A5130" w14:textId="04D9A375" w:rsidR="0099578D" w:rsidRPr="00842933" w:rsidRDefault="00A7529B" w:rsidP="005224F6">
            <w:pPr>
              <w:jc w:val="both"/>
              <w:rPr>
                <w:rFonts w:ascii="Times New Roman" w:hAnsi="Times New Roman" w:cs="Times New Roman"/>
                <w:sz w:val="24"/>
                <w:szCs w:val="24"/>
                <w:lang w:val="en-AU"/>
              </w:rPr>
            </w:pPr>
            <w:r w:rsidRPr="00842933">
              <w:rPr>
                <w:rFonts w:ascii="Times New Roman" w:hAnsi="Times New Roman" w:cs="Times New Roman"/>
                <w:sz w:val="24"/>
                <w:szCs w:val="24"/>
                <w:lang w:val="en-AU"/>
              </w:rPr>
              <w:t xml:space="preserve">To </w:t>
            </w:r>
            <w:r w:rsidR="00083BC2" w:rsidRPr="00842933">
              <w:rPr>
                <w:rFonts w:ascii="Times New Roman" w:hAnsi="Times New Roman" w:cs="Times New Roman"/>
                <w:sz w:val="24"/>
                <w:szCs w:val="24"/>
                <w:lang w:val="en-AU"/>
              </w:rPr>
              <w:t xml:space="preserve">identify key approaches from international experiences to enhance access to PHC services in rural communities </w:t>
            </w:r>
          </w:p>
        </w:tc>
      </w:tr>
    </w:tbl>
    <w:p w14:paraId="3DD1DEFE" w14:textId="77777777" w:rsidR="001A6740" w:rsidRPr="00842933" w:rsidRDefault="001A6740" w:rsidP="00507E8D"/>
    <w:sectPr w:rsidR="001A6740" w:rsidRPr="00842933" w:rsidSect="0028286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F83C4" w14:textId="77777777" w:rsidR="00772372" w:rsidRDefault="00772372" w:rsidP="00282860">
      <w:pPr>
        <w:spacing w:after="0" w:line="240" w:lineRule="auto"/>
      </w:pPr>
      <w:r>
        <w:separator/>
      </w:r>
    </w:p>
  </w:endnote>
  <w:endnote w:type="continuationSeparator" w:id="0">
    <w:p w14:paraId="6678D2CA" w14:textId="77777777" w:rsidR="00772372" w:rsidRDefault="00772372" w:rsidP="00282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D3E1F" w14:textId="77777777" w:rsidR="00772372" w:rsidRDefault="00772372" w:rsidP="00282860">
      <w:pPr>
        <w:spacing w:after="0" w:line="240" w:lineRule="auto"/>
      </w:pPr>
      <w:r>
        <w:separator/>
      </w:r>
    </w:p>
  </w:footnote>
  <w:footnote w:type="continuationSeparator" w:id="0">
    <w:p w14:paraId="312602A2" w14:textId="77777777" w:rsidR="00772372" w:rsidRDefault="00772372" w:rsidP="002828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4089"/>
    <w:multiLevelType w:val="hybridMultilevel"/>
    <w:tmpl w:val="FD682854"/>
    <w:lvl w:ilvl="0" w:tplc="0C090001">
      <w:start w:val="1"/>
      <w:numFmt w:val="bullet"/>
      <w:lvlText w:val=""/>
      <w:lvlJc w:val="left"/>
      <w:pPr>
        <w:ind w:left="-218" w:hanging="360"/>
      </w:pPr>
      <w:rPr>
        <w:rFonts w:ascii="Symbol" w:hAnsi="Symbol" w:hint="default"/>
      </w:rPr>
    </w:lvl>
    <w:lvl w:ilvl="1" w:tplc="0C090003" w:tentative="1">
      <w:start w:val="1"/>
      <w:numFmt w:val="bullet"/>
      <w:lvlText w:val="o"/>
      <w:lvlJc w:val="left"/>
      <w:pPr>
        <w:ind w:left="502" w:hanging="360"/>
      </w:pPr>
      <w:rPr>
        <w:rFonts w:ascii="Courier New" w:hAnsi="Courier New" w:cs="Courier New" w:hint="default"/>
      </w:rPr>
    </w:lvl>
    <w:lvl w:ilvl="2" w:tplc="0C090005" w:tentative="1">
      <w:start w:val="1"/>
      <w:numFmt w:val="bullet"/>
      <w:lvlText w:val=""/>
      <w:lvlJc w:val="left"/>
      <w:pPr>
        <w:ind w:left="1222" w:hanging="360"/>
      </w:pPr>
      <w:rPr>
        <w:rFonts w:ascii="Wingdings" w:hAnsi="Wingdings" w:hint="default"/>
      </w:rPr>
    </w:lvl>
    <w:lvl w:ilvl="3" w:tplc="0C090001" w:tentative="1">
      <w:start w:val="1"/>
      <w:numFmt w:val="bullet"/>
      <w:lvlText w:val=""/>
      <w:lvlJc w:val="left"/>
      <w:pPr>
        <w:ind w:left="1942" w:hanging="360"/>
      </w:pPr>
      <w:rPr>
        <w:rFonts w:ascii="Symbol" w:hAnsi="Symbol" w:hint="default"/>
      </w:rPr>
    </w:lvl>
    <w:lvl w:ilvl="4" w:tplc="0C090003" w:tentative="1">
      <w:start w:val="1"/>
      <w:numFmt w:val="bullet"/>
      <w:lvlText w:val="o"/>
      <w:lvlJc w:val="left"/>
      <w:pPr>
        <w:ind w:left="2662" w:hanging="360"/>
      </w:pPr>
      <w:rPr>
        <w:rFonts w:ascii="Courier New" w:hAnsi="Courier New" w:cs="Courier New" w:hint="default"/>
      </w:rPr>
    </w:lvl>
    <w:lvl w:ilvl="5" w:tplc="0C090005" w:tentative="1">
      <w:start w:val="1"/>
      <w:numFmt w:val="bullet"/>
      <w:lvlText w:val=""/>
      <w:lvlJc w:val="left"/>
      <w:pPr>
        <w:ind w:left="3382" w:hanging="360"/>
      </w:pPr>
      <w:rPr>
        <w:rFonts w:ascii="Wingdings" w:hAnsi="Wingdings" w:hint="default"/>
      </w:rPr>
    </w:lvl>
    <w:lvl w:ilvl="6" w:tplc="0C090001" w:tentative="1">
      <w:start w:val="1"/>
      <w:numFmt w:val="bullet"/>
      <w:lvlText w:val=""/>
      <w:lvlJc w:val="left"/>
      <w:pPr>
        <w:ind w:left="4102" w:hanging="360"/>
      </w:pPr>
      <w:rPr>
        <w:rFonts w:ascii="Symbol" w:hAnsi="Symbol" w:hint="default"/>
      </w:rPr>
    </w:lvl>
    <w:lvl w:ilvl="7" w:tplc="0C090003" w:tentative="1">
      <w:start w:val="1"/>
      <w:numFmt w:val="bullet"/>
      <w:lvlText w:val="o"/>
      <w:lvlJc w:val="left"/>
      <w:pPr>
        <w:ind w:left="4822" w:hanging="360"/>
      </w:pPr>
      <w:rPr>
        <w:rFonts w:ascii="Courier New" w:hAnsi="Courier New" w:cs="Courier New" w:hint="default"/>
      </w:rPr>
    </w:lvl>
    <w:lvl w:ilvl="8" w:tplc="0C090005" w:tentative="1">
      <w:start w:val="1"/>
      <w:numFmt w:val="bullet"/>
      <w:lvlText w:val=""/>
      <w:lvlJc w:val="left"/>
      <w:pPr>
        <w:ind w:left="5542" w:hanging="360"/>
      </w:pPr>
      <w:rPr>
        <w:rFonts w:ascii="Wingdings" w:hAnsi="Wingdings" w:hint="default"/>
      </w:rPr>
    </w:lvl>
  </w:abstractNum>
  <w:abstractNum w:abstractNumId="1" w15:restartNumberingAfterBreak="0">
    <w:nsid w:val="04E5064D"/>
    <w:multiLevelType w:val="hybridMultilevel"/>
    <w:tmpl w:val="A606BD0C"/>
    <w:lvl w:ilvl="0" w:tplc="A614C8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122B3D"/>
    <w:multiLevelType w:val="hybridMultilevel"/>
    <w:tmpl w:val="7CBEF8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D1086"/>
    <w:multiLevelType w:val="hybridMultilevel"/>
    <w:tmpl w:val="C4241E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726EF0"/>
    <w:multiLevelType w:val="hybridMultilevel"/>
    <w:tmpl w:val="51C8DC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75395C"/>
    <w:multiLevelType w:val="hybridMultilevel"/>
    <w:tmpl w:val="803E64A4"/>
    <w:lvl w:ilvl="0" w:tplc="0C090001">
      <w:start w:val="1"/>
      <w:numFmt w:val="bullet"/>
      <w:lvlText w:val=""/>
      <w:lvlJc w:val="left"/>
      <w:pPr>
        <w:ind w:left="-3524" w:hanging="360"/>
      </w:pPr>
      <w:rPr>
        <w:rFonts w:ascii="Symbol" w:hAnsi="Symbol"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1364" w:hanging="360"/>
      </w:pPr>
      <w:rPr>
        <w:rFonts w:ascii="Symbol" w:hAnsi="Symbol" w:hint="default"/>
      </w:rPr>
    </w:lvl>
    <w:lvl w:ilvl="4" w:tplc="0C090003" w:tentative="1">
      <w:start w:val="1"/>
      <w:numFmt w:val="bullet"/>
      <w:lvlText w:val="o"/>
      <w:lvlJc w:val="left"/>
      <w:pPr>
        <w:ind w:left="-644" w:hanging="360"/>
      </w:pPr>
      <w:rPr>
        <w:rFonts w:ascii="Courier New" w:hAnsi="Courier New" w:cs="Courier New" w:hint="default"/>
      </w:rPr>
    </w:lvl>
    <w:lvl w:ilvl="5" w:tplc="0C090005" w:tentative="1">
      <w:start w:val="1"/>
      <w:numFmt w:val="bullet"/>
      <w:lvlText w:val=""/>
      <w:lvlJc w:val="left"/>
      <w:pPr>
        <w:ind w:left="76" w:hanging="360"/>
      </w:pPr>
      <w:rPr>
        <w:rFonts w:ascii="Wingdings" w:hAnsi="Wingdings" w:hint="default"/>
      </w:rPr>
    </w:lvl>
    <w:lvl w:ilvl="6" w:tplc="0C090001" w:tentative="1">
      <w:start w:val="1"/>
      <w:numFmt w:val="bullet"/>
      <w:lvlText w:val=""/>
      <w:lvlJc w:val="left"/>
      <w:pPr>
        <w:ind w:left="796" w:hanging="360"/>
      </w:pPr>
      <w:rPr>
        <w:rFonts w:ascii="Symbol" w:hAnsi="Symbol" w:hint="default"/>
      </w:rPr>
    </w:lvl>
    <w:lvl w:ilvl="7" w:tplc="0C090003" w:tentative="1">
      <w:start w:val="1"/>
      <w:numFmt w:val="bullet"/>
      <w:lvlText w:val="o"/>
      <w:lvlJc w:val="left"/>
      <w:pPr>
        <w:ind w:left="1516" w:hanging="360"/>
      </w:pPr>
      <w:rPr>
        <w:rFonts w:ascii="Courier New" w:hAnsi="Courier New" w:cs="Courier New" w:hint="default"/>
      </w:rPr>
    </w:lvl>
    <w:lvl w:ilvl="8" w:tplc="0C090005" w:tentative="1">
      <w:start w:val="1"/>
      <w:numFmt w:val="bullet"/>
      <w:lvlText w:val=""/>
      <w:lvlJc w:val="left"/>
      <w:pPr>
        <w:ind w:left="2236" w:hanging="360"/>
      </w:pPr>
      <w:rPr>
        <w:rFonts w:ascii="Wingdings" w:hAnsi="Wingdings" w:hint="default"/>
      </w:rPr>
    </w:lvl>
  </w:abstractNum>
  <w:abstractNum w:abstractNumId="6" w15:restartNumberingAfterBreak="0">
    <w:nsid w:val="2D2A502F"/>
    <w:multiLevelType w:val="hybridMultilevel"/>
    <w:tmpl w:val="25D23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CA2D9D"/>
    <w:multiLevelType w:val="hybridMultilevel"/>
    <w:tmpl w:val="2B64E3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2F324DA"/>
    <w:multiLevelType w:val="hybridMultilevel"/>
    <w:tmpl w:val="3C38AC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8181600"/>
    <w:multiLevelType w:val="hybridMultilevel"/>
    <w:tmpl w:val="89866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96902C9"/>
    <w:multiLevelType w:val="hybridMultilevel"/>
    <w:tmpl w:val="3A1CA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E61140F"/>
    <w:multiLevelType w:val="hybridMultilevel"/>
    <w:tmpl w:val="6DC0E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7615DD"/>
    <w:multiLevelType w:val="hybridMultilevel"/>
    <w:tmpl w:val="EE944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A32E5C"/>
    <w:multiLevelType w:val="hybridMultilevel"/>
    <w:tmpl w:val="F7F4E8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95E633F"/>
    <w:multiLevelType w:val="hybridMultilevel"/>
    <w:tmpl w:val="6AC0D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9FC02D3"/>
    <w:multiLevelType w:val="hybridMultilevel"/>
    <w:tmpl w:val="32A0A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AB67B36"/>
    <w:multiLevelType w:val="hybridMultilevel"/>
    <w:tmpl w:val="19CE3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C962A0"/>
    <w:multiLevelType w:val="hybridMultilevel"/>
    <w:tmpl w:val="68DAF794"/>
    <w:lvl w:ilvl="0" w:tplc="9920E4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13"/>
  </w:num>
  <w:num w:numId="3">
    <w:abstractNumId w:val="6"/>
  </w:num>
  <w:num w:numId="4">
    <w:abstractNumId w:val="5"/>
  </w:num>
  <w:num w:numId="5">
    <w:abstractNumId w:val="7"/>
  </w:num>
  <w:num w:numId="6">
    <w:abstractNumId w:val="10"/>
  </w:num>
  <w:num w:numId="7">
    <w:abstractNumId w:val="14"/>
  </w:num>
  <w:num w:numId="8">
    <w:abstractNumId w:val="9"/>
  </w:num>
  <w:num w:numId="9">
    <w:abstractNumId w:val="12"/>
  </w:num>
  <w:num w:numId="10">
    <w:abstractNumId w:val="8"/>
  </w:num>
  <w:num w:numId="11">
    <w:abstractNumId w:val="11"/>
  </w:num>
  <w:num w:numId="12">
    <w:abstractNumId w:val="0"/>
  </w:num>
  <w:num w:numId="13">
    <w:abstractNumId w:val="4"/>
  </w:num>
  <w:num w:numId="14">
    <w:abstractNumId w:val="2"/>
  </w:num>
  <w:num w:numId="15">
    <w:abstractNumId w:val="3"/>
  </w:num>
  <w:num w:numId="16">
    <w:abstractNumId w:val="16"/>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844"/>
    <w:rsid w:val="000038A8"/>
    <w:rsid w:val="00012A0E"/>
    <w:rsid w:val="00016FA0"/>
    <w:rsid w:val="00027D6E"/>
    <w:rsid w:val="0005191A"/>
    <w:rsid w:val="0007643C"/>
    <w:rsid w:val="00083BC2"/>
    <w:rsid w:val="00092E94"/>
    <w:rsid w:val="000C420A"/>
    <w:rsid w:val="000E0952"/>
    <w:rsid w:val="000E30E8"/>
    <w:rsid w:val="000F0F07"/>
    <w:rsid w:val="001005C7"/>
    <w:rsid w:val="0011074E"/>
    <w:rsid w:val="00134AFE"/>
    <w:rsid w:val="0014759E"/>
    <w:rsid w:val="001775D2"/>
    <w:rsid w:val="001A6740"/>
    <w:rsid w:val="001B4203"/>
    <w:rsid w:val="001D148E"/>
    <w:rsid w:val="001D3C67"/>
    <w:rsid w:val="001E186C"/>
    <w:rsid w:val="00232640"/>
    <w:rsid w:val="00246298"/>
    <w:rsid w:val="002769AE"/>
    <w:rsid w:val="00282860"/>
    <w:rsid w:val="002B5B50"/>
    <w:rsid w:val="002C4D54"/>
    <w:rsid w:val="00321DCC"/>
    <w:rsid w:val="00330CD6"/>
    <w:rsid w:val="00334BBE"/>
    <w:rsid w:val="00343319"/>
    <w:rsid w:val="00351AD6"/>
    <w:rsid w:val="003A0F73"/>
    <w:rsid w:val="003E030F"/>
    <w:rsid w:val="004051F3"/>
    <w:rsid w:val="00405C60"/>
    <w:rsid w:val="00426B63"/>
    <w:rsid w:val="00434A84"/>
    <w:rsid w:val="004724D4"/>
    <w:rsid w:val="00493230"/>
    <w:rsid w:val="004E4F25"/>
    <w:rsid w:val="004F0023"/>
    <w:rsid w:val="004F03F5"/>
    <w:rsid w:val="004F6171"/>
    <w:rsid w:val="00507E8D"/>
    <w:rsid w:val="005178A3"/>
    <w:rsid w:val="0054105E"/>
    <w:rsid w:val="0055693E"/>
    <w:rsid w:val="00592D57"/>
    <w:rsid w:val="005C7661"/>
    <w:rsid w:val="005D2554"/>
    <w:rsid w:val="005F00CE"/>
    <w:rsid w:val="00604BC7"/>
    <w:rsid w:val="006122C0"/>
    <w:rsid w:val="00633A78"/>
    <w:rsid w:val="00641D62"/>
    <w:rsid w:val="00696BAA"/>
    <w:rsid w:val="006A0D7B"/>
    <w:rsid w:val="0072022C"/>
    <w:rsid w:val="007335A9"/>
    <w:rsid w:val="00756576"/>
    <w:rsid w:val="00772372"/>
    <w:rsid w:val="007875C6"/>
    <w:rsid w:val="00787833"/>
    <w:rsid w:val="007964BD"/>
    <w:rsid w:val="007A0D30"/>
    <w:rsid w:val="007A6F83"/>
    <w:rsid w:val="00805FC4"/>
    <w:rsid w:val="008256EA"/>
    <w:rsid w:val="008278E2"/>
    <w:rsid w:val="00842933"/>
    <w:rsid w:val="00843AF8"/>
    <w:rsid w:val="00870218"/>
    <w:rsid w:val="00885E66"/>
    <w:rsid w:val="008860CF"/>
    <w:rsid w:val="008B7BBD"/>
    <w:rsid w:val="008F22E5"/>
    <w:rsid w:val="00910121"/>
    <w:rsid w:val="009116A8"/>
    <w:rsid w:val="00925DE3"/>
    <w:rsid w:val="0094684D"/>
    <w:rsid w:val="009531F3"/>
    <w:rsid w:val="00953A1C"/>
    <w:rsid w:val="00962577"/>
    <w:rsid w:val="00963CB4"/>
    <w:rsid w:val="0099578D"/>
    <w:rsid w:val="009A303E"/>
    <w:rsid w:val="009A37D3"/>
    <w:rsid w:val="009A38ED"/>
    <w:rsid w:val="009B0392"/>
    <w:rsid w:val="009B0477"/>
    <w:rsid w:val="009C157E"/>
    <w:rsid w:val="009D6606"/>
    <w:rsid w:val="009E63BE"/>
    <w:rsid w:val="00A24E7C"/>
    <w:rsid w:val="00A405F1"/>
    <w:rsid w:val="00A45E66"/>
    <w:rsid w:val="00A559D0"/>
    <w:rsid w:val="00A7529B"/>
    <w:rsid w:val="00A96EE7"/>
    <w:rsid w:val="00AA7FF1"/>
    <w:rsid w:val="00AC2A45"/>
    <w:rsid w:val="00AE2752"/>
    <w:rsid w:val="00AF3703"/>
    <w:rsid w:val="00AF77B2"/>
    <w:rsid w:val="00B00844"/>
    <w:rsid w:val="00B62FA4"/>
    <w:rsid w:val="00B81FDF"/>
    <w:rsid w:val="00B90AF3"/>
    <w:rsid w:val="00B93CA8"/>
    <w:rsid w:val="00B9798C"/>
    <w:rsid w:val="00BA5D37"/>
    <w:rsid w:val="00BB7766"/>
    <w:rsid w:val="00BC366D"/>
    <w:rsid w:val="00BD131B"/>
    <w:rsid w:val="00C032C1"/>
    <w:rsid w:val="00C07337"/>
    <w:rsid w:val="00C23432"/>
    <w:rsid w:val="00C3235F"/>
    <w:rsid w:val="00C62291"/>
    <w:rsid w:val="00C670AB"/>
    <w:rsid w:val="00C810D0"/>
    <w:rsid w:val="00C81119"/>
    <w:rsid w:val="00CB39E8"/>
    <w:rsid w:val="00CB52C3"/>
    <w:rsid w:val="00CE132F"/>
    <w:rsid w:val="00CF7AA2"/>
    <w:rsid w:val="00D13AD8"/>
    <w:rsid w:val="00D41549"/>
    <w:rsid w:val="00D54B54"/>
    <w:rsid w:val="00D55F33"/>
    <w:rsid w:val="00D602DA"/>
    <w:rsid w:val="00D61A89"/>
    <w:rsid w:val="00D9590C"/>
    <w:rsid w:val="00D9703E"/>
    <w:rsid w:val="00DB3E49"/>
    <w:rsid w:val="00DF31F7"/>
    <w:rsid w:val="00E55816"/>
    <w:rsid w:val="00EA52D2"/>
    <w:rsid w:val="00EC3FE7"/>
    <w:rsid w:val="00EE1D3C"/>
    <w:rsid w:val="00F118BF"/>
    <w:rsid w:val="00F21CBC"/>
    <w:rsid w:val="00F35744"/>
    <w:rsid w:val="00F35762"/>
    <w:rsid w:val="00F774A4"/>
    <w:rsid w:val="00F87BB0"/>
    <w:rsid w:val="00F96DAB"/>
    <w:rsid w:val="00FA6DF3"/>
    <w:rsid w:val="00FD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1DAFE"/>
  <w15:docId w15:val="{E56B89A8-979D-4598-860C-44377968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2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860"/>
  </w:style>
  <w:style w:type="paragraph" w:styleId="Footer">
    <w:name w:val="footer"/>
    <w:basedOn w:val="Normal"/>
    <w:link w:val="FooterChar"/>
    <w:uiPriority w:val="99"/>
    <w:unhideWhenUsed/>
    <w:rsid w:val="00282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860"/>
  </w:style>
  <w:style w:type="paragraph" w:customStyle="1" w:styleId="EndNoteBibliographyTitle">
    <w:name w:val="EndNote Bibliography Title"/>
    <w:basedOn w:val="Normal"/>
    <w:link w:val="EndNoteBibliographyTitleChar"/>
    <w:rsid w:val="00507E8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07E8D"/>
    <w:rPr>
      <w:rFonts w:ascii="Calibri" w:hAnsi="Calibri" w:cs="Calibri"/>
      <w:noProof/>
    </w:rPr>
  </w:style>
  <w:style w:type="paragraph" w:customStyle="1" w:styleId="EndNoteBibliography">
    <w:name w:val="EndNote Bibliography"/>
    <w:basedOn w:val="Normal"/>
    <w:link w:val="EndNoteBibliographyChar"/>
    <w:rsid w:val="00507E8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07E8D"/>
    <w:rPr>
      <w:rFonts w:ascii="Calibri" w:hAnsi="Calibri" w:cs="Calibri"/>
      <w:noProof/>
    </w:rPr>
  </w:style>
  <w:style w:type="table" w:styleId="TableGrid">
    <w:name w:val="Table Grid"/>
    <w:basedOn w:val="TableNormal"/>
    <w:uiPriority w:val="59"/>
    <w:rsid w:val="00507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7E8D"/>
    <w:pPr>
      <w:ind w:left="720"/>
      <w:contextualSpacing/>
    </w:pPr>
  </w:style>
  <w:style w:type="character" w:styleId="Hyperlink">
    <w:name w:val="Hyperlink"/>
    <w:basedOn w:val="DefaultParagraphFont"/>
    <w:uiPriority w:val="99"/>
    <w:unhideWhenUsed/>
    <w:rsid w:val="00507E8D"/>
    <w:rPr>
      <w:color w:val="0000FF"/>
      <w:u w:val="single"/>
    </w:rPr>
  </w:style>
  <w:style w:type="character" w:styleId="FollowedHyperlink">
    <w:name w:val="FollowedHyperlink"/>
    <w:basedOn w:val="DefaultParagraphFont"/>
    <w:uiPriority w:val="99"/>
    <w:semiHidden/>
    <w:unhideWhenUsed/>
    <w:rsid w:val="00507E8D"/>
    <w:rPr>
      <w:color w:val="800080" w:themeColor="followedHyperlink"/>
      <w:u w:val="single"/>
    </w:rPr>
  </w:style>
  <w:style w:type="character" w:customStyle="1" w:styleId="UnresolvedMention">
    <w:name w:val="Unresolved Mention"/>
    <w:basedOn w:val="DefaultParagraphFont"/>
    <w:uiPriority w:val="99"/>
    <w:semiHidden/>
    <w:unhideWhenUsed/>
    <w:rsid w:val="00507E8D"/>
    <w:rPr>
      <w:color w:val="605E5C"/>
      <w:shd w:val="clear" w:color="auto" w:fill="E1DFDD"/>
    </w:rPr>
  </w:style>
  <w:style w:type="paragraph" w:styleId="Revision">
    <w:name w:val="Revision"/>
    <w:hidden/>
    <w:uiPriority w:val="99"/>
    <w:semiHidden/>
    <w:rsid w:val="00507E8D"/>
    <w:pPr>
      <w:spacing w:after="0" w:line="240" w:lineRule="auto"/>
    </w:pPr>
  </w:style>
  <w:style w:type="character" w:styleId="CommentReference">
    <w:name w:val="annotation reference"/>
    <w:basedOn w:val="DefaultParagraphFont"/>
    <w:uiPriority w:val="99"/>
    <w:semiHidden/>
    <w:unhideWhenUsed/>
    <w:rsid w:val="00507E8D"/>
    <w:rPr>
      <w:sz w:val="16"/>
      <w:szCs w:val="16"/>
    </w:rPr>
  </w:style>
  <w:style w:type="paragraph" w:styleId="CommentText">
    <w:name w:val="annotation text"/>
    <w:basedOn w:val="Normal"/>
    <w:link w:val="CommentTextChar"/>
    <w:uiPriority w:val="99"/>
    <w:unhideWhenUsed/>
    <w:rsid w:val="00507E8D"/>
    <w:pPr>
      <w:spacing w:line="240" w:lineRule="auto"/>
    </w:pPr>
    <w:rPr>
      <w:sz w:val="20"/>
      <w:szCs w:val="20"/>
    </w:rPr>
  </w:style>
  <w:style w:type="character" w:customStyle="1" w:styleId="CommentTextChar">
    <w:name w:val="Comment Text Char"/>
    <w:basedOn w:val="DefaultParagraphFont"/>
    <w:link w:val="CommentText"/>
    <w:uiPriority w:val="99"/>
    <w:rsid w:val="00507E8D"/>
    <w:rPr>
      <w:sz w:val="20"/>
      <w:szCs w:val="20"/>
    </w:rPr>
  </w:style>
  <w:style w:type="paragraph" w:styleId="CommentSubject">
    <w:name w:val="annotation subject"/>
    <w:basedOn w:val="CommentText"/>
    <w:next w:val="CommentText"/>
    <w:link w:val="CommentSubjectChar"/>
    <w:uiPriority w:val="99"/>
    <w:semiHidden/>
    <w:unhideWhenUsed/>
    <w:rsid w:val="00507E8D"/>
    <w:rPr>
      <w:b/>
      <w:bCs/>
    </w:rPr>
  </w:style>
  <w:style w:type="character" w:customStyle="1" w:styleId="CommentSubjectChar">
    <w:name w:val="Comment Subject Char"/>
    <w:basedOn w:val="CommentTextChar"/>
    <w:link w:val="CommentSubject"/>
    <w:uiPriority w:val="99"/>
    <w:semiHidden/>
    <w:rsid w:val="00507E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21</Pages>
  <Words>4254</Words>
  <Characters>24251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Tinambacan, Rizza</cp:lastModifiedBy>
  <cp:revision>144</cp:revision>
  <dcterms:created xsi:type="dcterms:W3CDTF">2022-06-06T01:59:00Z</dcterms:created>
  <dcterms:modified xsi:type="dcterms:W3CDTF">2023-06-02T00:43:00Z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2023-05-02T12:42:47Z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cb3b34a1-bc9e-4fca-9aba-da64ff576cf4</vt:lpwstr>
  </property>
  <property fmtid="{D5CDD505-2E9C-101B-9397-08002B2CF9AE}" pid="8" name="MSIP_Label_0f488380-630a-4f55-a077-a19445e3f360_ContentBits">
    <vt:lpwstr>0</vt:lpwstr>
  </property>
</Properties>
</file>