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5F118F" w14:textId="77777777" w:rsidR="00AC6306" w:rsidRDefault="00AC6306" w:rsidP="00AC6306">
      <w:pPr>
        <w:pStyle w:val="PlainText"/>
        <w:ind w:left="360"/>
        <w:rPr>
          <w:rFonts w:ascii="Times New Roman" w:hAnsi="Times New Roman" w:cs="Times New Roman"/>
          <w:b/>
          <w:sz w:val="24"/>
          <w:szCs w:val="24"/>
        </w:rPr>
      </w:pPr>
      <w:r>
        <w:rPr>
          <w:rFonts w:ascii="Times New Roman" w:hAnsi="Times New Roman" w:cs="Times New Roman"/>
          <w:b/>
          <w:sz w:val="24"/>
          <w:szCs w:val="24"/>
        </w:rPr>
        <w:t>Aims and Scope statement</w:t>
      </w:r>
    </w:p>
    <w:p w14:paraId="49316E45" w14:textId="77777777" w:rsidR="00AC6306" w:rsidRDefault="00AC6306" w:rsidP="00AC6306">
      <w:pPr>
        <w:pStyle w:val="PlainText"/>
        <w:ind w:left="360"/>
        <w:rPr>
          <w:rFonts w:ascii="Times New Roman" w:hAnsi="Times New Roman" w:cs="Times New Roman"/>
          <w:b/>
          <w:sz w:val="24"/>
          <w:szCs w:val="24"/>
        </w:rPr>
      </w:pPr>
    </w:p>
    <w:p w14:paraId="2907A6C2" w14:textId="274FA64B" w:rsidR="00AC6306" w:rsidRDefault="00AC6306" w:rsidP="00AC6306">
      <w:pPr>
        <w:pStyle w:val="PlainText"/>
        <w:numPr>
          <w:ilvl w:val="0"/>
          <w:numId w:val="1"/>
        </w:numPr>
        <w:rPr>
          <w:rFonts w:ascii="Times New Roman" w:hAnsi="Times New Roman" w:cs="Times New Roman"/>
          <w:sz w:val="24"/>
          <w:szCs w:val="24"/>
        </w:rPr>
      </w:pPr>
      <w:r>
        <w:rPr>
          <w:rFonts w:ascii="Times New Roman" w:hAnsi="Times New Roman" w:cs="Times New Roman"/>
          <w:sz w:val="24"/>
          <w:szCs w:val="24"/>
        </w:rPr>
        <w:t>What is known?</w:t>
      </w:r>
    </w:p>
    <w:p w14:paraId="35AB4744" w14:textId="06D9D924" w:rsidR="00AC6306" w:rsidRDefault="00AC6306" w:rsidP="00AC6306">
      <w:pPr>
        <w:pStyle w:val="PlainText"/>
        <w:rPr>
          <w:rFonts w:ascii="Times New Roman" w:hAnsi="Times New Roman" w:cs="Times New Roman"/>
          <w:sz w:val="24"/>
          <w:szCs w:val="24"/>
        </w:rPr>
      </w:pPr>
    </w:p>
    <w:p w14:paraId="755BB20B" w14:textId="6D7A861F" w:rsidR="00AC6306" w:rsidRPr="00AC6306" w:rsidRDefault="00AC6306" w:rsidP="00AC6306">
      <w:pPr>
        <w:pStyle w:val="PlainText"/>
        <w:jc w:val="both"/>
        <w:rPr>
          <w:rFonts w:ascii="Times New Roman" w:hAnsi="Times New Roman" w:cs="Times New Roman"/>
          <w:sz w:val="24"/>
          <w:szCs w:val="24"/>
          <w:lang w:val="en-AU"/>
        </w:rPr>
      </w:pPr>
      <w:r w:rsidRPr="00AC6306">
        <w:rPr>
          <w:rFonts w:ascii="Times New Roman" w:hAnsi="Times New Roman" w:cs="Times New Roman"/>
          <w:sz w:val="24"/>
          <w:szCs w:val="24"/>
          <w:lang w:val="en-AU"/>
        </w:rPr>
        <w:t>South Asia continues to host triple burden of child malnutrition with high levels of child undernutrition, hidden hunger (micronutrient deficiencies) and childhood overweight/obesity. To combat malnutrition the international community along with the National governments have launched initiatives to track the country’s progress towards achieving the Global Nutrition targets by 2025. While existing literature focuses on the progress towards achieving these targets in South Asia</w:t>
      </w:r>
      <w:r w:rsidR="0027615B">
        <w:rPr>
          <w:rFonts w:ascii="Times New Roman" w:hAnsi="Times New Roman" w:cs="Times New Roman"/>
          <w:sz w:val="24"/>
          <w:szCs w:val="24"/>
          <w:lang w:val="en-AU"/>
        </w:rPr>
        <w:t>,</w:t>
      </w:r>
      <w:r w:rsidRPr="00AC6306">
        <w:rPr>
          <w:rFonts w:ascii="Times New Roman" w:hAnsi="Times New Roman" w:cs="Times New Roman"/>
          <w:sz w:val="24"/>
          <w:szCs w:val="24"/>
          <w:lang w:val="en-AU"/>
        </w:rPr>
        <w:t xml:space="preserve"> there is little evidence that </w:t>
      </w:r>
      <w:bookmarkStart w:id="0" w:name="_Hlk125973025"/>
      <w:r w:rsidRPr="00AC6306">
        <w:rPr>
          <w:rFonts w:ascii="Times New Roman" w:hAnsi="Times New Roman" w:cs="Times New Roman"/>
          <w:sz w:val="24"/>
          <w:szCs w:val="24"/>
          <w:lang w:val="en-AU"/>
        </w:rPr>
        <w:t>captures a country’s efforts and initiatives towards achieving the Global Nutrition targets. There is a need to map the existing efforts of nutrition-specific and nutrition-related sectoral programs and policies in South Asia</w:t>
      </w:r>
      <w:bookmarkEnd w:id="0"/>
      <w:r w:rsidR="0027615B">
        <w:rPr>
          <w:rFonts w:ascii="Times New Roman" w:hAnsi="Times New Roman" w:cs="Times New Roman"/>
          <w:sz w:val="24"/>
          <w:szCs w:val="24"/>
          <w:lang w:val="en-AU"/>
        </w:rPr>
        <w:t xml:space="preserve">. </w:t>
      </w:r>
    </w:p>
    <w:p w14:paraId="6E6C00F5" w14:textId="0D96B933" w:rsidR="00AC6306" w:rsidRDefault="00AC6306" w:rsidP="00AC6306">
      <w:pPr>
        <w:pStyle w:val="PlainText"/>
        <w:jc w:val="both"/>
        <w:rPr>
          <w:rFonts w:ascii="Times New Roman" w:hAnsi="Times New Roman" w:cs="Times New Roman"/>
          <w:sz w:val="24"/>
          <w:szCs w:val="24"/>
        </w:rPr>
      </w:pPr>
    </w:p>
    <w:p w14:paraId="6A4BA221" w14:textId="77777777" w:rsidR="00764264" w:rsidRDefault="00764264" w:rsidP="00AC6306">
      <w:pPr>
        <w:pStyle w:val="PlainText"/>
        <w:jc w:val="both"/>
        <w:rPr>
          <w:rFonts w:ascii="Times New Roman" w:hAnsi="Times New Roman" w:cs="Times New Roman"/>
          <w:sz w:val="24"/>
          <w:szCs w:val="24"/>
        </w:rPr>
      </w:pPr>
    </w:p>
    <w:p w14:paraId="570ACA42" w14:textId="7BCA75C6" w:rsidR="00AC6306" w:rsidRDefault="00AC6306" w:rsidP="00AC6306">
      <w:pPr>
        <w:pStyle w:val="PlainText"/>
        <w:numPr>
          <w:ilvl w:val="0"/>
          <w:numId w:val="1"/>
        </w:numPr>
        <w:rPr>
          <w:rFonts w:ascii="Times New Roman" w:hAnsi="Times New Roman" w:cs="Times New Roman"/>
          <w:sz w:val="24"/>
          <w:szCs w:val="24"/>
        </w:rPr>
      </w:pPr>
      <w:r w:rsidRPr="00AC6306">
        <w:rPr>
          <w:rFonts w:ascii="Times New Roman" w:hAnsi="Times New Roman" w:cs="Times New Roman"/>
          <w:sz w:val="24"/>
          <w:szCs w:val="24"/>
        </w:rPr>
        <w:t>What does the study add?</w:t>
      </w:r>
    </w:p>
    <w:p w14:paraId="21152A5D" w14:textId="4406E7F5" w:rsidR="00AC6306" w:rsidRDefault="00AC6306" w:rsidP="00AC6306">
      <w:pPr>
        <w:pStyle w:val="PlainText"/>
        <w:rPr>
          <w:rFonts w:ascii="Times New Roman" w:hAnsi="Times New Roman" w:cs="Times New Roman"/>
          <w:sz w:val="24"/>
          <w:szCs w:val="24"/>
        </w:rPr>
      </w:pPr>
    </w:p>
    <w:p w14:paraId="082E9EB9" w14:textId="44C19C8B" w:rsidR="0027615B" w:rsidRPr="00AC6306" w:rsidRDefault="00AC6306" w:rsidP="0027615B">
      <w:pPr>
        <w:pStyle w:val="PlainText"/>
        <w:jc w:val="both"/>
        <w:rPr>
          <w:rFonts w:ascii="Times New Roman" w:hAnsi="Times New Roman" w:cs="Times New Roman"/>
          <w:sz w:val="24"/>
          <w:szCs w:val="24"/>
        </w:rPr>
      </w:pPr>
      <w:r>
        <w:rPr>
          <w:rFonts w:ascii="Times New Roman" w:hAnsi="Times New Roman" w:cs="Times New Roman"/>
          <w:sz w:val="24"/>
          <w:szCs w:val="24"/>
          <w:lang w:val="en-AU"/>
        </w:rPr>
        <w:t>This is t</w:t>
      </w:r>
      <w:r w:rsidRPr="00312B93">
        <w:rPr>
          <w:rFonts w:ascii="Times New Roman" w:hAnsi="Times New Roman" w:cs="Times New Roman"/>
          <w:sz w:val="24"/>
          <w:szCs w:val="24"/>
        </w:rPr>
        <w:t>he first study that brings together nutrition</w:t>
      </w:r>
      <w:r>
        <w:rPr>
          <w:rFonts w:ascii="Times New Roman" w:hAnsi="Times New Roman" w:cs="Times New Roman"/>
          <w:sz w:val="24"/>
          <w:szCs w:val="24"/>
        </w:rPr>
        <w:t>-specific</w:t>
      </w:r>
      <w:r w:rsidRPr="00312B93">
        <w:rPr>
          <w:rFonts w:ascii="Times New Roman" w:hAnsi="Times New Roman" w:cs="Times New Roman"/>
          <w:sz w:val="24"/>
          <w:szCs w:val="24"/>
        </w:rPr>
        <w:t xml:space="preserve"> and nutritional</w:t>
      </w:r>
      <w:r>
        <w:rPr>
          <w:rFonts w:ascii="Times New Roman" w:hAnsi="Times New Roman" w:cs="Times New Roman"/>
          <w:sz w:val="24"/>
          <w:szCs w:val="24"/>
        </w:rPr>
        <w:t>-</w:t>
      </w:r>
      <w:r w:rsidRPr="00312B93">
        <w:rPr>
          <w:rFonts w:ascii="Times New Roman" w:hAnsi="Times New Roman" w:cs="Times New Roman"/>
          <w:sz w:val="24"/>
          <w:szCs w:val="24"/>
        </w:rPr>
        <w:t xml:space="preserve">related sectoral government policies and programs across the eight South Asian countries. It allows </w:t>
      </w:r>
      <w:bookmarkStart w:id="1" w:name="_Hlk125974721"/>
      <w:r w:rsidRPr="00312B93">
        <w:rPr>
          <w:rFonts w:ascii="Times New Roman" w:hAnsi="Times New Roman" w:cs="Times New Roman"/>
          <w:sz w:val="24"/>
          <w:szCs w:val="24"/>
        </w:rPr>
        <w:t>mapping the national initiatives by the South Asia</w:t>
      </w:r>
      <w:r>
        <w:rPr>
          <w:rFonts w:ascii="Times New Roman" w:hAnsi="Times New Roman" w:cs="Times New Roman"/>
          <w:sz w:val="24"/>
          <w:szCs w:val="24"/>
        </w:rPr>
        <w:t>n</w:t>
      </w:r>
      <w:r w:rsidRPr="00312B93">
        <w:rPr>
          <w:rFonts w:ascii="Times New Roman" w:hAnsi="Times New Roman" w:cs="Times New Roman"/>
          <w:sz w:val="24"/>
          <w:szCs w:val="24"/>
        </w:rPr>
        <w:t xml:space="preserve"> governments to achieve the Global Nutrition targets</w:t>
      </w:r>
      <w:bookmarkEnd w:id="1"/>
      <w:r w:rsidRPr="00312B93">
        <w:rPr>
          <w:rFonts w:ascii="Times New Roman" w:hAnsi="Times New Roman" w:cs="Times New Roman"/>
          <w:sz w:val="24"/>
          <w:szCs w:val="24"/>
        </w:rPr>
        <w:t xml:space="preserve"> </w:t>
      </w:r>
      <w:r>
        <w:rPr>
          <w:rFonts w:ascii="Times New Roman" w:hAnsi="Times New Roman" w:cs="Times New Roman"/>
          <w:sz w:val="24"/>
          <w:szCs w:val="24"/>
        </w:rPr>
        <w:t xml:space="preserve">by 2025. </w:t>
      </w:r>
      <w:r w:rsidR="0027615B">
        <w:rPr>
          <w:rFonts w:ascii="Times New Roman" w:hAnsi="Times New Roman" w:cs="Times New Roman"/>
          <w:sz w:val="24"/>
          <w:szCs w:val="24"/>
        </w:rPr>
        <w:t xml:space="preserve"> The </w:t>
      </w:r>
      <w:bookmarkStart w:id="2" w:name="_Hlk125973495"/>
      <w:r w:rsidR="0027615B" w:rsidRPr="00312B93">
        <w:rPr>
          <w:rFonts w:ascii="Times New Roman" w:hAnsi="Times New Roman" w:cs="Times New Roman"/>
          <w:sz w:val="24"/>
          <w:szCs w:val="24"/>
        </w:rPr>
        <w:t>authors</w:t>
      </w:r>
      <w:r w:rsidR="0027615B">
        <w:rPr>
          <w:rFonts w:ascii="Times New Roman" w:hAnsi="Times New Roman" w:cs="Times New Roman"/>
          <w:sz w:val="24"/>
          <w:szCs w:val="24"/>
        </w:rPr>
        <w:t xml:space="preserve"> </w:t>
      </w:r>
      <w:r w:rsidR="0027615B" w:rsidRPr="00312B93">
        <w:rPr>
          <w:rFonts w:ascii="Times New Roman" w:hAnsi="Times New Roman" w:cs="Times New Roman"/>
          <w:sz w:val="24"/>
          <w:szCs w:val="24"/>
        </w:rPr>
        <w:t>developed a template to map the existing national policies and programs that directly and indirectly impact child malnutrition</w:t>
      </w:r>
      <w:bookmarkEnd w:id="2"/>
      <w:r w:rsidR="0027615B">
        <w:rPr>
          <w:rFonts w:ascii="Times New Roman" w:hAnsi="Times New Roman" w:cs="Times New Roman"/>
          <w:sz w:val="24"/>
          <w:szCs w:val="24"/>
        </w:rPr>
        <w:t xml:space="preserve">. This template is adapted to align </w:t>
      </w:r>
      <w:r w:rsidR="0027615B" w:rsidRPr="00312B93">
        <w:rPr>
          <w:rFonts w:ascii="Times New Roman" w:hAnsi="Times New Roman" w:cs="Times New Roman"/>
          <w:sz w:val="24"/>
          <w:szCs w:val="24"/>
        </w:rPr>
        <w:t>within the nutrition</w:t>
      </w:r>
      <w:r w:rsidR="0027615B">
        <w:rPr>
          <w:rFonts w:ascii="Times New Roman" w:hAnsi="Times New Roman" w:cs="Times New Roman"/>
          <w:sz w:val="24"/>
          <w:szCs w:val="24"/>
        </w:rPr>
        <w:t>-</w:t>
      </w:r>
      <w:r w:rsidR="0027615B" w:rsidRPr="00312B93">
        <w:rPr>
          <w:rFonts w:ascii="Times New Roman" w:hAnsi="Times New Roman" w:cs="Times New Roman"/>
          <w:sz w:val="24"/>
          <w:szCs w:val="24"/>
        </w:rPr>
        <w:t>specific and nutrition sensitive</w:t>
      </w:r>
      <w:r w:rsidR="0027615B">
        <w:rPr>
          <w:rFonts w:ascii="Times New Roman" w:hAnsi="Times New Roman" w:cs="Times New Roman"/>
          <w:sz w:val="24"/>
          <w:szCs w:val="24"/>
        </w:rPr>
        <w:t>-</w:t>
      </w:r>
      <w:r w:rsidR="0027615B" w:rsidRPr="00312B93">
        <w:rPr>
          <w:rFonts w:ascii="Times New Roman" w:hAnsi="Times New Roman" w:cs="Times New Roman"/>
          <w:sz w:val="24"/>
          <w:szCs w:val="24"/>
        </w:rPr>
        <w:t xml:space="preserve">interventions, as specified by </w:t>
      </w:r>
      <w:r w:rsidR="0027615B">
        <w:rPr>
          <w:rFonts w:ascii="Times New Roman" w:hAnsi="Times New Roman" w:cs="Times New Roman"/>
          <w:sz w:val="24"/>
          <w:szCs w:val="24"/>
        </w:rPr>
        <w:t xml:space="preserve">the </w:t>
      </w:r>
      <w:r w:rsidR="0027615B" w:rsidRPr="00312B93">
        <w:rPr>
          <w:rFonts w:ascii="Times New Roman" w:hAnsi="Times New Roman" w:cs="Times New Roman"/>
          <w:sz w:val="24"/>
          <w:szCs w:val="24"/>
        </w:rPr>
        <w:t>W</w:t>
      </w:r>
      <w:r w:rsidR="0027615B">
        <w:rPr>
          <w:rFonts w:ascii="Times New Roman" w:hAnsi="Times New Roman" w:cs="Times New Roman"/>
          <w:sz w:val="24"/>
          <w:szCs w:val="24"/>
        </w:rPr>
        <w:t xml:space="preserve">orld </w:t>
      </w:r>
      <w:r w:rsidR="0027615B" w:rsidRPr="00312B93">
        <w:rPr>
          <w:rFonts w:ascii="Times New Roman" w:hAnsi="Times New Roman" w:cs="Times New Roman"/>
          <w:sz w:val="24"/>
          <w:szCs w:val="24"/>
        </w:rPr>
        <w:t>H</w:t>
      </w:r>
      <w:r w:rsidR="0027615B">
        <w:rPr>
          <w:rFonts w:ascii="Times New Roman" w:hAnsi="Times New Roman" w:cs="Times New Roman"/>
          <w:sz w:val="24"/>
          <w:szCs w:val="24"/>
        </w:rPr>
        <w:t>ealth Organization (WH</w:t>
      </w:r>
      <w:r w:rsidR="0027615B" w:rsidRPr="00312B93">
        <w:rPr>
          <w:rFonts w:ascii="Times New Roman" w:hAnsi="Times New Roman" w:cs="Times New Roman"/>
          <w:sz w:val="24"/>
          <w:szCs w:val="24"/>
        </w:rPr>
        <w:t>O</w:t>
      </w:r>
      <w:r w:rsidR="0027615B">
        <w:rPr>
          <w:rFonts w:ascii="Times New Roman" w:hAnsi="Times New Roman" w:cs="Times New Roman"/>
          <w:sz w:val="24"/>
          <w:szCs w:val="24"/>
        </w:rPr>
        <w:t>)</w:t>
      </w:r>
      <w:r w:rsidR="0027615B" w:rsidRPr="00312B93">
        <w:rPr>
          <w:rFonts w:ascii="Times New Roman" w:hAnsi="Times New Roman" w:cs="Times New Roman"/>
          <w:sz w:val="24"/>
          <w:szCs w:val="24"/>
        </w:rPr>
        <w:t xml:space="preserve"> and </w:t>
      </w:r>
      <w:r w:rsidR="0027615B">
        <w:rPr>
          <w:rFonts w:ascii="Times New Roman" w:hAnsi="Times New Roman" w:cs="Times New Roman"/>
          <w:sz w:val="24"/>
          <w:szCs w:val="24"/>
        </w:rPr>
        <w:t xml:space="preserve">the </w:t>
      </w:r>
      <w:r w:rsidR="0027615B" w:rsidRPr="00312B93">
        <w:rPr>
          <w:rFonts w:ascii="Times New Roman" w:hAnsi="Times New Roman" w:cs="Times New Roman"/>
          <w:sz w:val="24"/>
          <w:szCs w:val="24"/>
        </w:rPr>
        <w:t>United Nations and the priority action</w:t>
      </w:r>
      <w:r w:rsidR="00B2538D">
        <w:rPr>
          <w:rFonts w:ascii="Times New Roman" w:hAnsi="Times New Roman" w:cs="Times New Roman"/>
          <w:sz w:val="24"/>
          <w:szCs w:val="24"/>
        </w:rPr>
        <w:t>s</w:t>
      </w:r>
      <w:r w:rsidR="0027615B" w:rsidRPr="00312B93">
        <w:rPr>
          <w:rFonts w:ascii="Times New Roman" w:hAnsi="Times New Roman" w:cs="Times New Roman"/>
          <w:sz w:val="24"/>
          <w:szCs w:val="24"/>
        </w:rPr>
        <w:t xml:space="preserve"> list of recommended activities by the WHO.</w:t>
      </w:r>
      <w:r w:rsidR="0027615B">
        <w:rPr>
          <w:rFonts w:ascii="Times New Roman" w:hAnsi="Times New Roman" w:cs="Times New Roman"/>
          <w:sz w:val="24"/>
          <w:szCs w:val="24"/>
        </w:rPr>
        <w:t xml:space="preserve"> Study </w:t>
      </w:r>
      <w:r w:rsidR="0027615B" w:rsidRPr="00AC6306">
        <w:rPr>
          <w:rFonts w:ascii="Times New Roman" w:hAnsi="Times New Roman" w:cs="Times New Roman"/>
          <w:sz w:val="24"/>
          <w:szCs w:val="24"/>
          <w:lang w:val="en-AU"/>
        </w:rPr>
        <w:t xml:space="preserve">findings suggest that while all South Asian countries had an agenda to address malnutrition in all its forms, major challenges of implementation, monitoring, evaluation and quality persisted- with increased dependency on international donors and organisations for funding and/or implementation of nutrition plans. </w:t>
      </w:r>
      <w:r w:rsidR="0027615B">
        <w:rPr>
          <w:rFonts w:ascii="Times New Roman" w:hAnsi="Times New Roman" w:cs="Times New Roman"/>
          <w:sz w:val="24"/>
          <w:szCs w:val="24"/>
          <w:lang w:val="en-AU"/>
        </w:rPr>
        <w:t xml:space="preserve"> </w:t>
      </w:r>
      <w:r w:rsidR="0027615B" w:rsidRPr="00AC6306">
        <w:rPr>
          <w:rFonts w:ascii="Times New Roman" w:hAnsi="Times New Roman" w:cs="Times New Roman"/>
          <w:sz w:val="24"/>
          <w:szCs w:val="24"/>
          <w:lang w:val="en-AU"/>
        </w:rPr>
        <w:t xml:space="preserve">Findings highlight the need to contextualise efforts designated to donors and governments to improve the tracking of efforts that impact nutrition.  Additionally, countries need to mainstream context-specific nutrition behavioural change along with nutrition-specific and sensitive interventions aimed at targeting gender and socio-cultural factors that act as barriers to child undernutrition. </w:t>
      </w:r>
    </w:p>
    <w:p w14:paraId="57FD885B" w14:textId="3BE70597" w:rsidR="00AC6306" w:rsidRDefault="00AC6306" w:rsidP="00AC6306">
      <w:pPr>
        <w:pStyle w:val="PlainText"/>
        <w:rPr>
          <w:rFonts w:ascii="Times New Roman" w:hAnsi="Times New Roman" w:cs="Times New Roman"/>
          <w:sz w:val="24"/>
          <w:szCs w:val="24"/>
        </w:rPr>
      </w:pPr>
    </w:p>
    <w:p w14:paraId="28CE4E18" w14:textId="77777777" w:rsidR="00764264" w:rsidRDefault="00764264" w:rsidP="00AC6306">
      <w:pPr>
        <w:pStyle w:val="PlainText"/>
        <w:rPr>
          <w:rFonts w:ascii="Times New Roman" w:hAnsi="Times New Roman" w:cs="Times New Roman"/>
          <w:sz w:val="24"/>
          <w:szCs w:val="24"/>
        </w:rPr>
      </w:pPr>
    </w:p>
    <w:p w14:paraId="4158E059" w14:textId="77777777" w:rsidR="00AC6306" w:rsidRDefault="00AC6306" w:rsidP="00AC6306">
      <w:pPr>
        <w:pStyle w:val="PlainText"/>
        <w:numPr>
          <w:ilvl w:val="0"/>
          <w:numId w:val="1"/>
        </w:numPr>
        <w:rPr>
          <w:rFonts w:ascii="Times New Roman" w:hAnsi="Times New Roman" w:cs="Times New Roman"/>
          <w:sz w:val="24"/>
          <w:szCs w:val="24"/>
        </w:rPr>
      </w:pPr>
      <w:r>
        <w:rPr>
          <w:rFonts w:ascii="Times New Roman" w:hAnsi="Times New Roman" w:cs="Times New Roman"/>
          <w:sz w:val="24"/>
          <w:szCs w:val="24"/>
        </w:rPr>
        <w:t>What are implications for clinical practice, public health and / or research?</w:t>
      </w:r>
    </w:p>
    <w:p w14:paraId="65C62B4F" w14:textId="77777777" w:rsidR="00AC6306" w:rsidRPr="00AC6306" w:rsidRDefault="00AC6306" w:rsidP="00AC6306">
      <w:pPr>
        <w:pStyle w:val="PlainText"/>
        <w:ind w:left="360"/>
        <w:rPr>
          <w:rFonts w:ascii="Times New Roman" w:hAnsi="Times New Roman" w:cs="Times New Roman"/>
          <w:sz w:val="24"/>
          <w:szCs w:val="24"/>
        </w:rPr>
      </w:pPr>
    </w:p>
    <w:p w14:paraId="1A9F652E" w14:textId="01FE3A7A" w:rsidR="0027615B" w:rsidRDefault="00AC6306" w:rsidP="0027615B">
      <w:pPr>
        <w:jc w:val="both"/>
        <w:rPr>
          <w:rFonts w:ascii="Times New Roman" w:hAnsi="Times New Roman" w:cs="Times New Roman"/>
          <w:sz w:val="24"/>
          <w:szCs w:val="24"/>
        </w:rPr>
      </w:pPr>
      <w:r>
        <w:rPr>
          <w:rFonts w:ascii="Times New Roman" w:hAnsi="Times New Roman" w:cs="Times New Roman"/>
          <w:sz w:val="24"/>
          <w:szCs w:val="24"/>
        </w:rPr>
        <w:t xml:space="preserve">This study brings together nutrition program and policy related data for eight South Asian countries. It generates evidence to inform country wise efforts towards the Global Nutrition Targets in 2025 and the Sustainable Development Goals in 2030. </w:t>
      </w:r>
      <w:r w:rsidR="0027615B">
        <w:rPr>
          <w:rFonts w:ascii="Times New Roman" w:hAnsi="Times New Roman" w:cs="Times New Roman"/>
          <w:sz w:val="24"/>
          <w:szCs w:val="24"/>
        </w:rPr>
        <w:t xml:space="preserve">It highlights the challenges of program and policy </w:t>
      </w:r>
      <w:r w:rsidR="0027615B" w:rsidRPr="00AC6306">
        <w:rPr>
          <w:rFonts w:ascii="Times New Roman" w:hAnsi="Times New Roman" w:cs="Times New Roman"/>
          <w:sz w:val="24"/>
          <w:szCs w:val="24"/>
          <w:lang w:val="en-US"/>
        </w:rPr>
        <w:t>implementation</w:t>
      </w:r>
      <w:r w:rsidR="0027615B">
        <w:rPr>
          <w:rFonts w:ascii="Times New Roman" w:hAnsi="Times New Roman" w:cs="Times New Roman"/>
          <w:sz w:val="24"/>
          <w:szCs w:val="24"/>
        </w:rPr>
        <w:t xml:space="preserve">. The study points the need </w:t>
      </w:r>
      <w:r w:rsidR="0027615B" w:rsidRPr="00AC6306">
        <w:rPr>
          <w:rFonts w:ascii="Times New Roman" w:hAnsi="Times New Roman" w:cs="Times New Roman"/>
          <w:sz w:val="24"/>
          <w:szCs w:val="24"/>
          <w:lang w:val="en-US"/>
        </w:rPr>
        <w:t xml:space="preserve">for countries to mainstream context-specific nutrition </w:t>
      </w:r>
      <w:proofErr w:type="spellStart"/>
      <w:r w:rsidR="0027615B" w:rsidRPr="00AC6306">
        <w:rPr>
          <w:rFonts w:ascii="Times New Roman" w:hAnsi="Times New Roman" w:cs="Times New Roman"/>
          <w:sz w:val="24"/>
          <w:szCs w:val="24"/>
          <w:lang w:val="en-US"/>
        </w:rPr>
        <w:t>behavioural</w:t>
      </w:r>
      <w:proofErr w:type="spellEnd"/>
      <w:r w:rsidR="0027615B" w:rsidRPr="00AC6306">
        <w:rPr>
          <w:rFonts w:ascii="Times New Roman" w:hAnsi="Times New Roman" w:cs="Times New Roman"/>
          <w:sz w:val="24"/>
          <w:szCs w:val="24"/>
          <w:lang w:val="en-US"/>
        </w:rPr>
        <w:t xml:space="preserve"> change along with nutrition-specific and sensitive interventions</w:t>
      </w:r>
      <w:r w:rsidR="0027615B">
        <w:rPr>
          <w:rFonts w:ascii="Times New Roman" w:hAnsi="Times New Roman" w:cs="Times New Roman"/>
          <w:sz w:val="24"/>
          <w:szCs w:val="24"/>
        </w:rPr>
        <w:t xml:space="preserve"> </w:t>
      </w:r>
      <w:r w:rsidR="0027615B" w:rsidRPr="00AC6306">
        <w:rPr>
          <w:rFonts w:ascii="Times New Roman" w:hAnsi="Times New Roman" w:cs="Times New Roman"/>
          <w:sz w:val="24"/>
          <w:szCs w:val="24"/>
          <w:lang w:val="en-US"/>
        </w:rPr>
        <w:t>and consider the role of gender inequality that act</w:t>
      </w:r>
      <w:r w:rsidR="00B2538D">
        <w:rPr>
          <w:rFonts w:ascii="Times New Roman" w:hAnsi="Times New Roman" w:cs="Times New Roman"/>
          <w:sz w:val="24"/>
          <w:szCs w:val="24"/>
          <w:lang w:val="en-US"/>
        </w:rPr>
        <w:t>s</w:t>
      </w:r>
      <w:r w:rsidR="0027615B" w:rsidRPr="00AC6306">
        <w:rPr>
          <w:rFonts w:ascii="Times New Roman" w:hAnsi="Times New Roman" w:cs="Times New Roman"/>
          <w:sz w:val="24"/>
          <w:szCs w:val="24"/>
          <w:lang w:val="en-US"/>
        </w:rPr>
        <w:t xml:space="preserve"> as barriers to child </w:t>
      </w:r>
      <w:r w:rsidR="00627ED0">
        <w:rPr>
          <w:rFonts w:ascii="Times New Roman" w:hAnsi="Times New Roman" w:cs="Times New Roman"/>
          <w:sz w:val="24"/>
          <w:szCs w:val="24"/>
          <w:lang w:val="en-US"/>
        </w:rPr>
        <w:t>mal</w:t>
      </w:r>
      <w:r w:rsidR="00627ED0" w:rsidRPr="00AC6306">
        <w:rPr>
          <w:rFonts w:ascii="Times New Roman" w:hAnsi="Times New Roman" w:cs="Times New Roman"/>
          <w:sz w:val="24"/>
          <w:szCs w:val="24"/>
          <w:lang w:val="en-US"/>
        </w:rPr>
        <w:t>nutrition</w:t>
      </w:r>
      <w:r w:rsidR="0027615B" w:rsidRPr="00AC6306">
        <w:rPr>
          <w:rFonts w:ascii="Times New Roman" w:hAnsi="Times New Roman" w:cs="Times New Roman"/>
          <w:sz w:val="24"/>
          <w:szCs w:val="24"/>
          <w:lang w:val="en-US"/>
        </w:rPr>
        <w:t xml:space="preserve">. </w:t>
      </w:r>
      <w:r w:rsidR="0027615B">
        <w:rPr>
          <w:rFonts w:ascii="Times New Roman" w:hAnsi="Times New Roman" w:cs="Times New Roman"/>
          <w:sz w:val="24"/>
          <w:szCs w:val="24"/>
          <w:lang w:val="en-US"/>
        </w:rPr>
        <w:t xml:space="preserve">Finally, it </w:t>
      </w:r>
      <w:r w:rsidR="0027615B">
        <w:rPr>
          <w:rFonts w:ascii="Times New Roman" w:hAnsi="Times New Roman" w:cs="Times New Roman"/>
          <w:sz w:val="24"/>
          <w:szCs w:val="24"/>
        </w:rPr>
        <w:t xml:space="preserve">provides a template that can be a useful tool for public health researchers to track a country’s efforts in nutrition policy and practice. </w:t>
      </w:r>
    </w:p>
    <w:p w14:paraId="311F58D3" w14:textId="77777777" w:rsidR="0027615B" w:rsidRDefault="0027615B" w:rsidP="00AC6306">
      <w:pPr>
        <w:jc w:val="both"/>
        <w:rPr>
          <w:rFonts w:ascii="Times New Roman" w:hAnsi="Times New Roman" w:cs="Times New Roman"/>
          <w:sz w:val="24"/>
          <w:szCs w:val="24"/>
          <w:lang w:val="en-US"/>
        </w:rPr>
      </w:pPr>
    </w:p>
    <w:p w14:paraId="67AA09E0" w14:textId="77777777" w:rsidR="00AC6306" w:rsidRPr="00AC6306" w:rsidRDefault="00AC6306">
      <w:pPr>
        <w:rPr>
          <w:rFonts w:ascii="Times New Roman" w:hAnsi="Times New Roman" w:cs="Times New Roman"/>
          <w:sz w:val="24"/>
          <w:szCs w:val="24"/>
          <w:lang w:val="en-US"/>
        </w:rPr>
      </w:pPr>
    </w:p>
    <w:sectPr w:rsidR="00AC6306" w:rsidRPr="00AC63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CC2AF4"/>
    <w:multiLevelType w:val="hybridMultilevel"/>
    <w:tmpl w:val="1486C80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306"/>
    <w:rsid w:val="0027615B"/>
    <w:rsid w:val="003749F2"/>
    <w:rsid w:val="00627ED0"/>
    <w:rsid w:val="00764264"/>
    <w:rsid w:val="00AC6306"/>
    <w:rsid w:val="00AE609C"/>
    <w:rsid w:val="00B253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E6978"/>
  <w15:chartTrackingRefBased/>
  <w15:docId w15:val="{56E5BC9E-5F38-421A-AFC8-2AF1E0EB5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1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C6306"/>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semiHidden/>
    <w:rsid w:val="00AC6306"/>
    <w:rPr>
      <w:rFonts w:ascii="Calibri" w:hAnsi="Calibri"/>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359496">
      <w:bodyDiv w:val="1"/>
      <w:marLeft w:val="0"/>
      <w:marRight w:val="0"/>
      <w:marTop w:val="0"/>
      <w:marBottom w:val="0"/>
      <w:divBdr>
        <w:top w:val="none" w:sz="0" w:space="0" w:color="auto"/>
        <w:left w:val="none" w:sz="0" w:space="0" w:color="auto"/>
        <w:bottom w:val="none" w:sz="0" w:space="0" w:color="auto"/>
        <w:right w:val="none" w:sz="0" w:space="0" w:color="auto"/>
      </w:divBdr>
    </w:div>
    <w:div w:id="668101887">
      <w:bodyDiv w:val="1"/>
      <w:marLeft w:val="0"/>
      <w:marRight w:val="0"/>
      <w:marTop w:val="0"/>
      <w:marBottom w:val="0"/>
      <w:divBdr>
        <w:top w:val="none" w:sz="0" w:space="0" w:color="auto"/>
        <w:left w:val="none" w:sz="0" w:space="0" w:color="auto"/>
        <w:bottom w:val="none" w:sz="0" w:space="0" w:color="auto"/>
        <w:right w:val="none" w:sz="0" w:space="0" w:color="auto"/>
      </w:divBdr>
    </w:div>
    <w:div w:id="95140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1164</TotalTime>
  <Pages>1</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 Wali</dc:creator>
  <cp:keywords/>
  <dc:description/>
  <cp:lastModifiedBy>Nidhi Wali</cp:lastModifiedBy>
  <cp:revision>6</cp:revision>
  <dcterms:created xsi:type="dcterms:W3CDTF">2023-02-01T03:26:00Z</dcterms:created>
  <dcterms:modified xsi:type="dcterms:W3CDTF">2023-02-02T00:45:00Z</dcterms:modified>
</cp:coreProperties>
</file>