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2.xml" ContentType="application/vnd.openxmlformats-officedocument.customXmlProperties+xml"/>
  <Override PartName="/customXml/item4.xml" ContentType="application/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Grid1"/>
        <w:tblpPr w:bottomFromText="0" w:horzAnchor="margin" w:leftFromText="142" w:rightFromText="142" w:tblpX="0" w:tblpXSpec="center" w:tblpY="1" w:topFromText="0" w:vertAnchor="text"/>
        <w:tblW w:w="5000" w:type="pct"/>
        <w:jc w:val="center"/>
        <w:tblInd w:w="0" w:type="dxa"/>
        <w:tblLayout w:type="fixed"/>
        <w:tblCellMar>
          <w:top w:w="48" w:type="dxa"/>
          <w:left w:w="5" w:type="dxa"/>
          <w:bottom w:w="0" w:type="dxa"/>
          <w:right w:w="54" w:type="dxa"/>
        </w:tblCellMar>
        <w:tblLook w:firstRow="1" w:noVBand="1" w:lastRow="0" w:firstColumn="1" w:lastColumn="0" w:noHBand="0" w:val="04a0"/>
      </w:tblPr>
      <w:tblGrid>
        <w:gridCol w:w="1293"/>
        <w:gridCol w:w="3660"/>
        <w:gridCol w:w="3077"/>
        <w:gridCol w:w="1041"/>
      </w:tblGrid>
      <w:tr>
        <w:trPr>
          <w:trHeight w:val="299" w:hRule="atLeast"/>
        </w:trPr>
        <w:tc>
          <w:tcPr>
            <w:tcW w:w="90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3" w:hanging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sk-SK" w:eastAsia="sk-SK" w:bidi="ar-SA"/>
              </w:rPr>
              <w:t xml:space="preserve">Additional table </w:t>
            </w: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sk-SK" w:eastAsia="sk-SK" w:bidi="ar-SA"/>
              </w:rPr>
              <w:t>2</w:t>
            </w: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sk-SK" w:eastAsia="sk-SK" w:bidi="ar-SA"/>
              </w:rPr>
              <w:t>.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sk-SK" w:eastAsia="sk-SK" w:bidi="ar-SA"/>
              </w:rPr>
              <w:t xml:space="preserve"> G</w:t>
            </w:r>
            <w:bookmarkStart w:id="0" w:name="_Hlk152771984"/>
            <w:r>
              <w:rPr>
                <w:rFonts w:eastAsia="Times New Roman" w:cs="Calibri" w:cstheme="minorHAnsi"/>
                <w:kern w:val="0"/>
                <w:sz w:val="24"/>
                <w:szCs w:val="24"/>
                <w:lang w:val="sk-SK" w:eastAsia="sk-SK" w:bidi="ar-SA"/>
              </w:rPr>
              <w:t>lobal Matrix 4.0 indicators, definitions, and benchmarks used to guide the grade assignment process</w:t>
            </w:r>
            <w:bookmarkEnd w:id="0"/>
          </w:p>
          <w:p>
            <w:pPr>
              <w:pStyle w:val="Normal"/>
              <w:widowControl/>
              <w:spacing w:lineRule="auto" w:line="240" w:before="0" w:after="0"/>
              <w:ind w:left="143" w:hanging="0"/>
              <w:jc w:val="left"/>
              <w:rPr>
                <w:rFonts w:ascii="Calibri" w:hAnsi="Calibri" w:eastAsia="Calibri" w:cs="Calibri"/>
                <w:b/>
                <w:b/>
                <w:sz w:val="18"/>
                <w:lang w:val="en-GB"/>
              </w:rPr>
            </w:pPr>
            <w:r>
              <w:rPr>
                <w:rFonts w:eastAsia="Calibri" w:cs="Calibri"/>
                <w:b/>
                <w:kern w:val="0"/>
                <w:sz w:val="22"/>
                <w:szCs w:val="22"/>
                <w:lang w:val="sk-SK" w:eastAsia="sk-SK" w:bidi="ar-SA"/>
              </w:rPr>
            </w:r>
          </w:p>
        </w:tc>
      </w:tr>
      <w:tr>
        <w:trPr>
          <w:trHeight w:val="299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right="243" w:hanging="0"/>
              <w:jc w:val="left"/>
              <w:rPr>
                <w:rFonts w:ascii="Calibri" w:hAnsi="Calibri" w:cs="Times New Roman"/>
                <w:b/>
                <w:b/>
                <w:lang w:val="en-GB"/>
              </w:rPr>
            </w:pPr>
            <w:r>
              <w:rPr>
                <w:rFonts w:eastAsia="Calibri" w:cs="Calibri"/>
                <w:b/>
                <w:kern w:val="0"/>
                <w:sz w:val="18"/>
                <w:szCs w:val="22"/>
                <w:lang w:val="en-GB" w:eastAsia="sk-SK" w:bidi="ar-SA"/>
              </w:rPr>
              <w:t>Indicator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hanging="0"/>
              <w:jc w:val="left"/>
              <w:rPr>
                <w:rFonts w:ascii="Calibri" w:hAnsi="Calibri" w:cs="Times New Roman"/>
                <w:b/>
                <w:b/>
                <w:lang w:val="en-GB"/>
              </w:rPr>
            </w:pPr>
            <w:r>
              <w:rPr>
                <w:rFonts w:eastAsia="Calibri" w:cs="Calibri"/>
                <w:b/>
                <w:kern w:val="0"/>
                <w:sz w:val="18"/>
                <w:szCs w:val="22"/>
                <w:lang w:val="en-GB" w:eastAsia="sk-SK" w:bidi="ar-SA"/>
              </w:rPr>
              <w:t>Definition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3" w:hanging="0"/>
              <w:jc w:val="left"/>
              <w:rPr>
                <w:rFonts w:ascii="Calibri" w:hAnsi="Calibri" w:cs="Times New Roman"/>
                <w:b/>
                <w:b/>
                <w:lang w:val="en-GB"/>
              </w:rPr>
            </w:pPr>
            <w:r>
              <w:rPr>
                <w:rFonts w:eastAsia="Calibri" w:cs="Calibri"/>
                <w:b/>
                <w:kern w:val="0"/>
                <w:sz w:val="18"/>
                <w:szCs w:val="22"/>
                <w:lang w:val="en-GB" w:eastAsia="sk-SK" w:bidi="ar-SA"/>
              </w:rPr>
              <w:t>Benchmark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3" w:hanging="0"/>
              <w:jc w:val="left"/>
              <w:rPr>
                <w:rFonts w:ascii="Calibri" w:hAnsi="Calibri" w:eastAsia="Calibri" w:cs="Calibri"/>
                <w:b/>
                <w:b/>
                <w:sz w:val="18"/>
                <w:lang w:val="en-GB"/>
              </w:rPr>
            </w:pPr>
            <w:r>
              <w:rPr>
                <w:rFonts w:eastAsia="Calibri" w:cs="Calibri"/>
                <w:b/>
                <w:kern w:val="0"/>
                <w:sz w:val="18"/>
                <w:szCs w:val="22"/>
                <w:lang w:val="en-GB" w:eastAsia="sk-SK" w:bidi="ar-SA"/>
              </w:rPr>
              <w:t xml:space="preserve">Data Availability </w:t>
            </w:r>
          </w:p>
        </w:tc>
      </w:tr>
      <w:tr>
        <w:trPr>
          <w:trHeight w:val="960" w:hRule="atLeast"/>
        </w:trPr>
        <w:tc>
          <w:tcPr>
            <w:tcW w:w="1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i/>
                <w:i/>
                <w:lang w:val="en-GB"/>
              </w:rPr>
            </w:pPr>
            <w:r>
              <w:rPr>
                <w:rFonts w:eastAsia="Times New Roman" w:cs="Times New Roman"/>
                <w:i/>
                <w:kern w:val="0"/>
                <w:sz w:val="18"/>
                <w:szCs w:val="22"/>
                <w:lang w:val="en-GB" w:eastAsia="sk-SK" w:bidi="ar-SA"/>
              </w:rPr>
              <w:t>Overall Physical Activity</w:t>
            </w:r>
          </w:p>
        </w:tc>
        <w:tc>
          <w:tcPr>
            <w:tcW w:w="3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hanging="0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Any bodily movement produced by skeletal muscles that requires energy expenditure.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28" w:before="0" w:after="1"/>
              <w:ind w:left="142" w:right="1" w:firstLine="1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Percentage of children and adolescents who met the Global Recommendations on Physical Activity for Health, such as the accumulation of an average of at least 60 minutes of moderate-to vigorous intensity PA per day.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28" w:before="0" w:after="1"/>
              <w:ind w:left="142" w:right="1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No</w:t>
            </w:r>
          </w:p>
        </w:tc>
      </w:tr>
      <w:tr>
        <w:trPr>
          <w:trHeight w:val="689" w:hRule="atLeast"/>
        </w:trPr>
        <w:tc>
          <w:tcPr>
            <w:tcW w:w="1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28" w:before="0" w:after="1"/>
              <w:ind w:left="142" w:right="1" w:firstLine="1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Percentage of children and adolescents who met the guidelines for at least 4 days/week (when the average cannot be estimated).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28" w:before="0" w:after="1"/>
              <w:ind w:left="142" w:right="1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Yes</w:t>
            </w:r>
          </w:p>
        </w:tc>
      </w:tr>
      <w:tr>
        <w:trPr>
          <w:trHeight w:val="658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i/>
                <w:i/>
                <w:lang w:val="en-GB"/>
              </w:rPr>
            </w:pPr>
            <w:r>
              <w:rPr>
                <w:rFonts w:eastAsia="Times New Roman" w:cs="Times New Roman"/>
                <w:i/>
                <w:kern w:val="0"/>
                <w:sz w:val="18"/>
                <w:szCs w:val="22"/>
                <w:lang w:val="en-GB" w:eastAsia="sk-SK" w:bidi="ar-SA"/>
              </w:rPr>
              <w:t>Organised Sports and Physical Activity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hanging="0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A subset of PA that is structured, goal oriented, competitive, and contest based.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firstLine="1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Percentage of children and adolescents who participated in organised sports and/or PA programs.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Yes</w:t>
            </w:r>
          </w:p>
        </w:tc>
      </w:tr>
      <w:tr>
        <w:trPr>
          <w:trHeight w:val="915" w:hRule="atLeast"/>
        </w:trPr>
        <w:tc>
          <w:tcPr>
            <w:tcW w:w="1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i/>
                <w:i/>
                <w:lang w:val="en-GB"/>
              </w:rPr>
            </w:pPr>
            <w:r>
              <w:rPr>
                <w:rFonts w:eastAsia="Times New Roman" w:cs="Times New Roman"/>
                <w:i/>
                <w:kern w:val="0"/>
                <w:sz w:val="18"/>
                <w:szCs w:val="22"/>
                <w:lang w:val="en-GB" w:eastAsia="sk-SK" w:bidi="ar-SA"/>
              </w:rPr>
              <w:t>Active Play</w:t>
            </w:r>
          </w:p>
        </w:tc>
        <w:tc>
          <w:tcPr>
            <w:tcW w:w="3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Active play may involve symbolic activity or games with or without clearly de</w:t>
            </w:r>
            <w:r>
              <w:rPr>
                <w:rFonts w:eastAsia="Times New Roman" w:cs="Calibri"/>
                <w:kern w:val="0"/>
                <w:sz w:val="18"/>
                <w:szCs w:val="22"/>
                <w:lang w:val="en-GB" w:eastAsia="sk-SK" w:bidi="ar-SA"/>
              </w:rPr>
              <w:t>fi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ned rules; the activity may be unstructured, unorganised, social, or solitary, although the distinguishing features are a playful context, combined with activity </w:t>
            </w:r>
            <w:r>
              <w:rPr>
                <w:rFonts w:eastAsia="Times New Roman" w:cs="Calibri" w:cstheme="minorHAnsi"/>
                <w:kern w:val="0"/>
                <w:sz w:val="18"/>
                <w:szCs w:val="22"/>
                <w:lang w:val="en-GB" w:eastAsia="sk-SK" w:bidi="ar-SA"/>
              </w:rPr>
              <w:t>that</w:t>
            </w:r>
            <w:r>
              <w:rPr>
                <w:rFonts w:eastAsia="Times New Roman" w:cs="Calibri" w:cstheme="minorHAnsi"/>
                <w:kern w:val="0"/>
                <w:sz w:val="14"/>
                <w:szCs w:val="22"/>
                <w:lang w:val="en-GB" w:eastAsia="sk-SK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is significantly above resting metabolic rate. Active play tends to occur sporadically, with frequent rest periods, making it dif</w:t>
            </w:r>
            <w:r>
              <w:rPr>
                <w:rFonts w:eastAsia="Times New Roman" w:cs="Calibri"/>
                <w:kern w:val="0"/>
                <w:sz w:val="18"/>
                <w:szCs w:val="22"/>
                <w:lang w:val="en-GB" w:eastAsia="sk-SK" w:bidi="ar-SA"/>
              </w:rPr>
              <w:t>fi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cult to record.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firstLine="1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Percentage of children and adolescents who engaged in unstructured/unorganised active play at any intensity level for more than 2 hours/day.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No</w:t>
            </w:r>
          </w:p>
        </w:tc>
      </w:tr>
      <w:tr>
        <w:trPr>
          <w:trHeight w:val="870" w:hRule="atLeast"/>
        </w:trPr>
        <w:tc>
          <w:tcPr>
            <w:tcW w:w="1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firstLine="1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Percentage of children and adolescents who reported being outdoors for more than 2 hours/day.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Yes</w:t>
            </w:r>
          </w:p>
        </w:tc>
      </w:tr>
      <w:tr>
        <w:trPr>
          <w:trHeight w:val="637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i/>
                <w:i/>
                <w:lang w:val="en-GB"/>
              </w:rPr>
            </w:pPr>
            <w:r>
              <w:rPr>
                <w:rFonts w:eastAsia="Times New Roman" w:cs="Times New Roman"/>
                <w:i/>
                <w:kern w:val="0"/>
                <w:sz w:val="18"/>
                <w:szCs w:val="22"/>
                <w:lang w:val="en-GB" w:eastAsia="sk-SK" w:bidi="ar-SA"/>
              </w:rPr>
              <w:t>Active</w:t>
            </w:r>
          </w:p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 w:cs="Times New Roman"/>
                <w:i/>
                <w:kern w:val="0"/>
                <w:sz w:val="18"/>
                <w:szCs w:val="22"/>
                <w:lang w:val="en-GB" w:eastAsia="sk-SK" w:bidi="ar-SA"/>
              </w:rPr>
              <w:t>Transportation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8" w:hanging="0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Active transportation refers to any form of human-powered transportation</w:t>
            </w:r>
            <w:r>
              <w:rPr>
                <w:rFonts w:eastAsia="Times New Roman" w:cs="Calibri"/>
                <w:kern w:val="0"/>
                <w:sz w:val="18"/>
                <w:szCs w:val="22"/>
                <w:lang w:val="en-GB" w:eastAsia="sk-SK" w:bidi="ar-SA"/>
              </w:rPr>
              <w:t xml:space="preserve"> such as 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walking, cycling, using a wheelchair, in-line skating, or skateboarding.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right="1" w:firstLine="1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Percentage of children and adolescents who used active transportation (e.g. to school, park, mall, or friend</w:t>
            </w:r>
            <w:r>
              <w:rPr>
                <w:rFonts w:eastAsia="Times New Roman" w:cs="Calibri"/>
                <w:kern w:val="0"/>
                <w:sz w:val="18"/>
                <w:szCs w:val="22"/>
                <w:lang w:val="en-GB" w:eastAsia="sk-SK" w:bidi="ar-SA"/>
              </w:rPr>
              <w:t>’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s house).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right="1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Yes</w:t>
            </w:r>
          </w:p>
        </w:tc>
      </w:tr>
      <w:tr>
        <w:trPr>
          <w:trHeight w:val="1278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right="12" w:hanging="0"/>
              <w:jc w:val="left"/>
              <w:rPr>
                <w:rFonts w:ascii="Calibri" w:hAnsi="Calibri" w:cs="Times New Roman"/>
                <w:i/>
                <w:i/>
                <w:lang w:val="en-GB"/>
              </w:rPr>
            </w:pPr>
            <w:r>
              <w:rPr>
                <w:rFonts w:eastAsia="Times New Roman" w:cs="Times New Roman"/>
                <w:i/>
                <w:kern w:val="0"/>
                <w:sz w:val="18"/>
                <w:szCs w:val="22"/>
                <w:lang w:val="en-GB" w:eastAsia="sk-SK" w:bidi="ar-SA"/>
              </w:rPr>
              <w:t>Sedentary Behaviour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hanging="0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Any waking behaviour characterised by energy expenditure </w:t>
            </w:r>
            <w:r>
              <w:rPr>
                <w:rFonts w:eastAsia="Times New Roman" w:cs="Calibri"/>
                <w:kern w:val="0"/>
                <w:sz w:val="18"/>
                <w:szCs w:val="22"/>
                <w:lang w:val="en-GB" w:eastAsia="sk-SK" w:bidi="ar-SA"/>
              </w:rPr>
              <w:t xml:space="preserve">≤ 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1.5 metabolic equivalents while in a sitting, reclining, or lying posture.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firstLine="1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Percentage of children and adolescents who met the Canadian sedentary behaviour guidelines (5</w:t>
            </w:r>
            <w:r>
              <w:rPr>
                <w:rFonts w:eastAsia="Times New Roman" w:cs="Calibri"/>
                <w:kern w:val="0"/>
                <w:sz w:val="18"/>
                <w:szCs w:val="22"/>
                <w:lang w:val="en-GB" w:eastAsia="sk-SK" w:bidi="ar-SA"/>
              </w:rPr>
              <w:t>–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17-year-olds: no more than 2 hours of recreational screen time per day). Note: The Guidelines currently recommend a limit for screen-related pursuits, although not for non-screen-related pursuits.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Yes</w:t>
            </w:r>
          </w:p>
        </w:tc>
      </w:tr>
      <w:tr>
        <w:trPr>
          <w:trHeight w:val="658" w:hRule="atLeast"/>
        </w:trPr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i/>
                <w:i/>
                <w:lang w:val="en-GB"/>
              </w:rPr>
            </w:pPr>
            <w:r>
              <w:rPr>
                <w:rFonts w:eastAsia="Times New Roman" w:cs="Times New Roman"/>
                <w:i/>
                <w:kern w:val="0"/>
                <w:sz w:val="18"/>
                <w:szCs w:val="22"/>
                <w:lang w:val="en-GB" w:eastAsia="sk-SK" w:bidi="ar-SA"/>
              </w:rPr>
              <w:t>Physical Fitness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hanging="0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Characteristics that permit good performance of a given physical task in a speci</w:t>
            </w:r>
            <w:r>
              <w:rPr>
                <w:rFonts w:eastAsia="Times New Roman" w:cs="Calibri"/>
                <w:kern w:val="0"/>
                <w:sz w:val="18"/>
                <w:szCs w:val="22"/>
                <w:lang w:val="en-GB" w:eastAsia="sk-SK" w:bidi="ar-SA"/>
              </w:rPr>
              <w:t>fi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ed physical, social, and psychological environment.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firstLine="1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Average percentile achieved on certain physical </w:t>
            </w:r>
            <w:r>
              <w:rPr>
                <w:rFonts w:eastAsia="Times New Roman" w:cs="Calibri"/>
                <w:kern w:val="0"/>
                <w:sz w:val="18"/>
                <w:szCs w:val="22"/>
                <w:lang w:val="en-GB" w:eastAsia="sk-SK" w:bidi="ar-SA"/>
              </w:rPr>
              <w:t>fi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tness indicators based on the normative values published by Tomkinson et al. (2018</w:t>
            </w:r>
            <w:bookmarkStart w:id="1" w:name="_GoBack"/>
            <w:bookmarkEnd w:id="1"/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)*.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Yes</w:t>
            </w:r>
          </w:p>
        </w:tc>
      </w:tr>
      <w:tr>
        <w:trPr>
          <w:trHeight w:val="984" w:hRule="atLeast"/>
        </w:trPr>
        <w:tc>
          <w:tcPr>
            <w:tcW w:w="1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i/>
                <w:i/>
                <w:lang w:val="en-GB"/>
              </w:rPr>
            </w:pPr>
            <w:r>
              <w:rPr>
                <w:rFonts w:eastAsia="Times New Roman" w:cs="Times New Roman"/>
                <w:i/>
                <w:kern w:val="0"/>
                <w:sz w:val="18"/>
                <w:szCs w:val="22"/>
                <w:lang w:val="en-GB" w:eastAsia="sk-SK" w:bidi="ar-SA"/>
              </w:rPr>
              <w:t>Family and Peers</w:t>
            </w:r>
          </w:p>
        </w:tc>
        <w:tc>
          <w:tcPr>
            <w:tcW w:w="3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8" w:hanging="0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Any member within the family who can control or in</w:t>
            </w:r>
            <w:r>
              <w:rPr>
                <w:rFonts w:eastAsia="Times New Roman" w:cs="Calibri"/>
                <w:kern w:val="0"/>
                <w:sz w:val="18"/>
                <w:szCs w:val="22"/>
                <w:lang w:val="en-GB" w:eastAsia="sk-SK" w:bidi="ar-SA"/>
              </w:rPr>
              <w:t>fl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uence the opportunities for and participation in PA by children and adolescents in this environment.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firstLine="1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Percentage of family members (e.g. parents, guardians) who facilitated PA and sports opportunities for their children</w:t>
            </w:r>
          </w:p>
          <w:p>
            <w:pPr>
              <w:pStyle w:val="Normal"/>
              <w:widowControl/>
              <w:spacing w:lineRule="auto" w:line="228" w:before="0" w:after="0"/>
              <w:ind w:left="142" w:firstLine="1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(e.g. volunteering, coaching, driving, paying for membership fees and equipment).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No</w:t>
            </w:r>
          </w:p>
        </w:tc>
      </w:tr>
      <w:tr>
        <w:trPr>
          <w:trHeight w:val="984" w:hRule="atLeast"/>
        </w:trPr>
        <w:tc>
          <w:tcPr>
            <w:tcW w:w="1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8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142" w:firstLine="1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Percentage of parents who met the Global Recommendations on Physical Activity for Health, which recommend that adults accumulate at least 150 minutes of moderate-intensity aerobic PA throughout the week or to perform at least 75 minutes of vigorous-intensity aerobic PA throughout the week or an equivalent combination of moderate- and vigorous-intensity PA.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No</w:t>
            </w:r>
          </w:p>
        </w:tc>
      </w:tr>
      <w:tr>
        <w:trPr>
          <w:trHeight w:val="676" w:hRule="atLeast"/>
        </w:trPr>
        <w:tc>
          <w:tcPr>
            <w:tcW w:w="1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8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142" w:firstLine="1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/>
                <w:kern w:val="0"/>
                <w:sz w:val="18"/>
                <w:szCs w:val="22"/>
                <w:lang w:val="en-GB" w:eastAsia="sk-SK" w:bidi="ar-SA"/>
              </w:rPr>
              <w:t>Percentage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 of family members (e.g. parents, guardians) who were physically active with their kids.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Yes</w:t>
            </w:r>
          </w:p>
        </w:tc>
      </w:tr>
      <w:tr>
        <w:trPr>
          <w:trHeight w:val="644" w:hRule="atLeast"/>
        </w:trPr>
        <w:tc>
          <w:tcPr>
            <w:tcW w:w="1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8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firstLine="1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/>
                <w:kern w:val="0"/>
                <w:sz w:val="18"/>
                <w:szCs w:val="22"/>
                <w:lang w:val="en-GB" w:eastAsia="sk-SK" w:bidi="ar-SA"/>
              </w:rPr>
              <w:t>Percentage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 of children and adolescents with friends and peers who encouraged and supported them to be physically active.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No</w:t>
            </w:r>
          </w:p>
        </w:tc>
      </w:tr>
      <w:tr>
        <w:trPr>
          <w:trHeight w:val="640" w:hRule="atLeast"/>
        </w:trPr>
        <w:tc>
          <w:tcPr>
            <w:tcW w:w="1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8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firstLine="1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/>
                <w:kern w:val="0"/>
                <w:sz w:val="18"/>
                <w:szCs w:val="22"/>
                <w:lang w:val="en-GB" w:eastAsia="sk-SK" w:bidi="ar-SA"/>
              </w:rPr>
              <w:t>Percentage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 of children and adolescents who encouraged and supported their friends and peers to be physically active.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No</w:t>
            </w:r>
          </w:p>
        </w:tc>
      </w:tr>
      <w:tr>
        <w:trPr>
          <w:trHeight w:val="760" w:hRule="atLeast"/>
        </w:trPr>
        <w:tc>
          <w:tcPr>
            <w:tcW w:w="1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i/>
                <w:i/>
                <w:lang w:val="en-GB"/>
              </w:rPr>
            </w:pPr>
            <w:r>
              <w:rPr>
                <w:rFonts w:eastAsia="Times New Roman" w:cs="Times New Roman"/>
                <w:i/>
                <w:kern w:val="0"/>
                <w:sz w:val="18"/>
                <w:szCs w:val="22"/>
                <w:lang w:val="en-GB" w:eastAsia="sk-SK" w:bidi="ar-SA"/>
              </w:rPr>
              <w:t>School</w:t>
            </w:r>
          </w:p>
        </w:tc>
        <w:tc>
          <w:tcPr>
            <w:tcW w:w="3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Any policies, organisational factors (e.g. infrastructure, accountability for policy implementation), or student factors (e.g. PA options based on age, sex, or ethnicity) in the school environment that can in</w:t>
            </w:r>
            <w:r>
              <w:rPr>
                <w:rFonts w:eastAsia="Times New Roman" w:cs="Calibri"/>
                <w:kern w:val="0"/>
                <w:sz w:val="18"/>
                <w:szCs w:val="22"/>
                <w:lang w:val="en-GB" w:eastAsia="sk-SK" w:bidi="ar-SA"/>
              </w:rPr>
              <w:t>fl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uence the opportunities for and participation in physical activity by children and adolescents in this environment.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31"/>
              <w:ind w:left="142" w:right="1" w:firstLine="1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/>
                <w:kern w:val="0"/>
                <w:sz w:val="18"/>
                <w:szCs w:val="22"/>
                <w:lang w:val="en-GB" w:eastAsia="sk-SK" w:bidi="ar-SA"/>
              </w:rPr>
              <w:t>Percentage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 of schools with active school policies (e.g. daily PE, daily PA, recess, </w:t>
            </w:r>
            <w:r>
              <w:rPr>
                <w:rFonts w:eastAsia="Times New Roman" w:cs="Calibri"/>
                <w:kern w:val="0"/>
                <w:sz w:val="18"/>
                <w:szCs w:val="22"/>
                <w:lang w:val="en-GB" w:eastAsia="sk-SK" w:bidi="ar-SA"/>
              </w:rPr>
              <w:t>‘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everyone plays</w:t>
            </w:r>
            <w:r>
              <w:rPr>
                <w:rFonts w:eastAsia="Times New Roman" w:cs="Calibri"/>
                <w:kern w:val="0"/>
                <w:sz w:val="18"/>
                <w:szCs w:val="22"/>
                <w:lang w:val="en-GB" w:eastAsia="sk-SK" w:bidi="ar-SA"/>
              </w:rPr>
              <w:t xml:space="preserve">’ 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approach, bike racks at school, traf</w:t>
            </w:r>
            <w:r>
              <w:rPr>
                <w:rFonts w:eastAsia="Times New Roman" w:cs="Calibri"/>
                <w:kern w:val="0"/>
                <w:sz w:val="18"/>
                <w:szCs w:val="22"/>
                <w:lang w:val="en-GB" w:eastAsia="sk-SK" w:bidi="ar-SA"/>
              </w:rPr>
              <w:t>fi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c calming on school property, outdoor time).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31"/>
              <w:ind w:left="142" w:right="1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No</w:t>
            </w:r>
          </w:p>
        </w:tc>
      </w:tr>
      <w:tr>
        <w:trPr>
          <w:trHeight w:val="509" w:hRule="atLeast"/>
        </w:trPr>
        <w:tc>
          <w:tcPr>
            <w:tcW w:w="1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31"/>
              <w:ind w:left="142" w:right="1" w:firstLine="1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/>
                <w:kern w:val="0"/>
                <w:sz w:val="18"/>
                <w:szCs w:val="22"/>
                <w:lang w:val="en-GB" w:eastAsia="sk-SK" w:bidi="ar-SA"/>
              </w:rPr>
              <w:t>Percentage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 of schools where the majority (</w:t>
            </w:r>
            <w:r>
              <w:rPr>
                <w:rFonts w:eastAsia="Times New Roman" w:cs="Calibri"/>
                <w:kern w:val="0"/>
                <w:sz w:val="18"/>
                <w:szCs w:val="22"/>
                <w:lang w:val="en-GB" w:eastAsia="sk-SK" w:bidi="ar-SA"/>
              </w:rPr>
              <w:t xml:space="preserve">≥ 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80%) of students were taught by a PE specialist.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31"/>
              <w:ind w:left="142" w:right="1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Yes</w:t>
            </w:r>
          </w:p>
        </w:tc>
      </w:tr>
      <w:tr>
        <w:trPr>
          <w:trHeight w:val="760" w:hRule="atLeast"/>
        </w:trPr>
        <w:tc>
          <w:tcPr>
            <w:tcW w:w="1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30" w:before="0" w:after="0"/>
              <w:ind w:left="142" w:firstLine="1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/>
                <w:kern w:val="0"/>
                <w:sz w:val="18"/>
                <w:szCs w:val="22"/>
                <w:lang w:val="en-GB" w:eastAsia="sk-SK" w:bidi="ar-SA"/>
              </w:rPr>
              <w:t>Percentage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 of schools where the majority (</w:t>
            </w:r>
            <w:r>
              <w:rPr>
                <w:rFonts w:eastAsia="Times New Roman" w:cs="Calibri"/>
                <w:kern w:val="0"/>
                <w:sz w:val="18"/>
                <w:szCs w:val="22"/>
                <w:lang w:val="en-GB" w:eastAsia="sk-SK" w:bidi="ar-SA"/>
              </w:rPr>
              <w:t xml:space="preserve">≥ 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80%) of students were offered the mandated amount of PE (for the given state/ territory/region/country).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31"/>
              <w:ind w:left="142" w:right="1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Yes</w:t>
            </w:r>
          </w:p>
        </w:tc>
      </w:tr>
      <w:tr>
        <w:trPr>
          <w:trHeight w:val="601" w:hRule="atLeast"/>
        </w:trPr>
        <w:tc>
          <w:tcPr>
            <w:tcW w:w="1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20" w:before="0" w:after="9"/>
              <w:ind w:left="142" w:firstLine="1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/>
                <w:kern w:val="0"/>
                <w:sz w:val="18"/>
                <w:szCs w:val="22"/>
                <w:lang w:val="en-GB" w:eastAsia="sk-SK" w:bidi="ar-SA"/>
              </w:rPr>
              <w:t>Percentage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 of schools that offered PA opportunities (excluding PE) to the majority (</w:t>
            </w:r>
            <w:r>
              <w:rPr>
                <w:rFonts w:eastAsia="Times New Roman" w:cs="Calibri"/>
                <w:kern w:val="0"/>
                <w:sz w:val="18"/>
                <w:szCs w:val="22"/>
                <w:lang w:val="en-GB" w:eastAsia="sk-SK" w:bidi="ar-SA"/>
              </w:rPr>
              <w:t xml:space="preserve">&gt; 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80%) of their students.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31"/>
              <w:ind w:left="142" w:right="1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Yes</w:t>
            </w:r>
          </w:p>
        </w:tc>
      </w:tr>
      <w:tr>
        <w:trPr>
          <w:trHeight w:val="624" w:hRule="atLeast"/>
        </w:trPr>
        <w:tc>
          <w:tcPr>
            <w:tcW w:w="1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142" w:firstLine="1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/>
                <w:kern w:val="0"/>
                <w:sz w:val="18"/>
                <w:szCs w:val="22"/>
                <w:lang w:val="en-GB" w:eastAsia="sk-SK" w:bidi="ar-SA"/>
              </w:rPr>
              <w:t>Percentage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 of parents who reported their children and adolescents had access to PA opportunities at school in addition to PE classes.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31"/>
              <w:ind w:left="142" w:right="1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No</w:t>
            </w:r>
          </w:p>
        </w:tc>
      </w:tr>
      <w:tr>
        <w:trPr>
          <w:trHeight w:val="760" w:hRule="atLeast"/>
        </w:trPr>
        <w:tc>
          <w:tcPr>
            <w:tcW w:w="1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31"/>
              <w:ind w:left="142" w:right="1" w:firstLine="1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/>
                <w:kern w:val="0"/>
                <w:sz w:val="18"/>
                <w:szCs w:val="22"/>
                <w:lang w:val="en-GB" w:eastAsia="sk-SK" w:bidi="ar-SA"/>
              </w:rPr>
              <w:t>Percentage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 of schools with students who had regular access to facilities and equipment that support PA (e.g. gymnasium, outdoor playgrounds, sporting </w:t>
            </w:r>
            <w:r>
              <w:rPr>
                <w:rFonts w:eastAsia="Times New Roman" w:cs="Calibri"/>
                <w:kern w:val="0"/>
                <w:sz w:val="18"/>
                <w:szCs w:val="22"/>
                <w:lang w:val="en-GB" w:eastAsia="sk-SK" w:bidi="ar-SA"/>
              </w:rPr>
              <w:t>fi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elds, multipurpose space for PA, equipment in good condition).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31"/>
              <w:ind w:left="142" w:right="1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Yes</w:t>
            </w:r>
          </w:p>
        </w:tc>
      </w:tr>
      <w:tr>
        <w:trPr>
          <w:trHeight w:val="722" w:hRule="atLeast"/>
        </w:trPr>
        <w:tc>
          <w:tcPr>
            <w:tcW w:w="1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i/>
                <w:i/>
                <w:sz w:val="18"/>
                <w:lang w:val="en-GB"/>
              </w:rPr>
            </w:pPr>
            <w:r>
              <w:rPr>
                <w:rFonts w:eastAsia="Times New Roman" w:cs="Times New Roman"/>
                <w:i/>
                <w:kern w:val="0"/>
                <w:sz w:val="18"/>
                <w:szCs w:val="22"/>
                <w:lang w:val="en-GB" w:eastAsia="sk-SK" w:bidi="ar-SA"/>
              </w:rPr>
              <w:t>Community and Environment</w:t>
            </w:r>
          </w:p>
        </w:tc>
        <w:tc>
          <w:tcPr>
            <w:tcW w:w="3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Any policies or organisational factors (e.g. infrastructure, accountability for policy implementation) in the municipal environment that can in</w:t>
            </w:r>
            <w:r>
              <w:rPr>
                <w:rFonts w:eastAsia="Times New Roman" w:cs="Calibri"/>
                <w:kern w:val="0"/>
                <w:sz w:val="18"/>
                <w:szCs w:val="22"/>
                <w:lang w:val="en-GB" w:eastAsia="sk-SK" w:bidi="ar-SA"/>
              </w:rPr>
              <w:t>fl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uence opportunities for and participation in physical activity by children and adolescents in this environment.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142" w:firstLine="1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/>
                <w:kern w:val="0"/>
                <w:sz w:val="18"/>
                <w:szCs w:val="22"/>
                <w:lang w:val="en-GB" w:eastAsia="sk-SK" w:bidi="ar-SA"/>
              </w:rPr>
              <w:t>Percentage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 of children or parents who perceived their community/ municipality as doing a good job at promoting physical activity (e.g. variety, location, cost, quality).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142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No</w:t>
            </w:r>
          </w:p>
        </w:tc>
      </w:tr>
      <w:tr>
        <w:trPr>
          <w:trHeight w:val="339" w:hRule="atLeast"/>
        </w:trPr>
        <w:tc>
          <w:tcPr>
            <w:tcW w:w="1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28" w:before="0" w:after="1"/>
              <w:ind w:left="142" w:firstLine="1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/>
                <w:kern w:val="0"/>
                <w:sz w:val="18"/>
                <w:szCs w:val="22"/>
                <w:lang w:val="en-GB" w:eastAsia="sk-SK" w:bidi="ar-SA"/>
              </w:rPr>
              <w:t>Percentage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 of communities/municipalities that reported the presence of existing policies that promote PA.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142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No</w:t>
            </w:r>
          </w:p>
        </w:tc>
      </w:tr>
      <w:tr>
        <w:trPr>
          <w:trHeight w:val="368" w:hRule="atLeast"/>
        </w:trPr>
        <w:tc>
          <w:tcPr>
            <w:tcW w:w="1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25" w:before="0" w:after="0"/>
              <w:ind w:left="142" w:firstLine="1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/>
                <w:kern w:val="0"/>
                <w:sz w:val="18"/>
                <w:szCs w:val="22"/>
                <w:lang w:val="en-GB" w:eastAsia="sk-SK" w:bidi="ar-SA"/>
              </w:rPr>
              <w:t>Percentage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 of communities/municipalities that reported the presence of infrastructure (e.g. sidewalks, trails, paths, bike lanes) speci</w:t>
            </w:r>
            <w:r>
              <w:rPr>
                <w:rFonts w:eastAsia="Times New Roman" w:cs="Calibri"/>
                <w:kern w:val="0"/>
                <w:sz w:val="18"/>
                <w:szCs w:val="22"/>
                <w:lang w:val="en-GB" w:eastAsia="sk-SK" w:bidi="ar-SA"/>
              </w:rPr>
              <w:t>fi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cally geared toward the promotion of PA.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142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No</w:t>
            </w:r>
          </w:p>
        </w:tc>
      </w:tr>
      <w:tr>
        <w:trPr>
          <w:trHeight w:val="528" w:hRule="atLeast"/>
        </w:trPr>
        <w:tc>
          <w:tcPr>
            <w:tcW w:w="1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142" w:right="1" w:firstLine="1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/>
                <w:kern w:val="0"/>
                <w:sz w:val="18"/>
                <w:szCs w:val="22"/>
                <w:lang w:val="en-GB" w:eastAsia="sk-SK" w:bidi="ar-SA"/>
              </w:rPr>
              <w:t>Percentage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 of children or parents who reported having facilities, programs, parks, and playgrounds in their community.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142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Yes</w:t>
            </w:r>
          </w:p>
        </w:tc>
      </w:tr>
      <w:tr>
        <w:trPr>
          <w:trHeight w:val="722" w:hRule="atLeast"/>
        </w:trPr>
        <w:tc>
          <w:tcPr>
            <w:tcW w:w="1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31"/>
              <w:ind w:left="142" w:right="1" w:firstLine="1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/>
                <w:kern w:val="0"/>
                <w:sz w:val="18"/>
                <w:szCs w:val="22"/>
                <w:lang w:val="en-GB" w:eastAsia="sk-SK" w:bidi="ar-SA"/>
              </w:rPr>
              <w:t>Percentage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 of children or parents who reported living in a safe neighbourhood in which they can be physically active.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142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Yes</w:t>
            </w:r>
          </w:p>
        </w:tc>
      </w:tr>
      <w:tr>
        <w:trPr>
          <w:trHeight w:val="722" w:hRule="atLeast"/>
        </w:trPr>
        <w:tc>
          <w:tcPr>
            <w:tcW w:w="1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142" w:firstLine="1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/>
                <w:kern w:val="0"/>
                <w:sz w:val="18"/>
                <w:szCs w:val="22"/>
                <w:lang w:val="en-GB" w:eastAsia="sk-SK" w:bidi="ar-SA"/>
              </w:rPr>
              <w:t>Percentage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 of children or parents who reported having safe, well-maintained facilities, parks, and playgrounds in their community.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142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No</w:t>
            </w:r>
          </w:p>
        </w:tc>
      </w:tr>
      <w:tr>
        <w:trPr>
          <w:trHeight w:val="826" w:hRule="atLeast"/>
        </w:trPr>
        <w:tc>
          <w:tcPr>
            <w:tcW w:w="1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i/>
                <w:i/>
                <w:sz w:val="18"/>
                <w:lang w:val="en-GB"/>
              </w:rPr>
            </w:pPr>
            <w:r>
              <w:rPr>
                <w:rFonts w:eastAsia="Times New Roman" w:cs="Times New Roman"/>
                <w:i/>
                <w:kern w:val="0"/>
                <w:sz w:val="18"/>
                <w:szCs w:val="22"/>
                <w:lang w:val="en-GB" w:eastAsia="sk-SK" w:bidi="ar-SA"/>
              </w:rPr>
              <w:t>Government</w:t>
            </w:r>
          </w:p>
        </w:tc>
        <w:tc>
          <w:tcPr>
            <w:tcW w:w="3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Any governmental body with the authority to in</w:t>
            </w:r>
            <w:r>
              <w:rPr>
                <w:rFonts w:eastAsia="Times New Roman" w:cs="Calibri"/>
                <w:kern w:val="0"/>
                <w:sz w:val="18"/>
                <w:szCs w:val="22"/>
                <w:lang w:val="en-GB" w:eastAsia="sk-SK" w:bidi="ar-SA"/>
              </w:rPr>
              <w:t>fl</w:t>
            </w: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uence opportunities for or participation in physical activity by children and adolescents through policy, legislation, or regulations.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30" w:before="0" w:after="0"/>
              <w:ind w:left="142" w:firstLine="1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Evidence of leadership and commitment in providing PA opportunities for all children and adolescents.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30" w:before="0" w:after="0"/>
              <w:ind w:left="142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Yes</w:t>
            </w:r>
          </w:p>
        </w:tc>
      </w:tr>
      <w:tr>
        <w:trPr>
          <w:trHeight w:val="824" w:hRule="atLeast"/>
        </w:trPr>
        <w:tc>
          <w:tcPr>
            <w:tcW w:w="1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142" w:firstLine="1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Allocated funds and resources for the implementation of PA promotion strategies and initiatives for all children and adolescents.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30" w:before="0" w:after="0"/>
              <w:ind w:left="142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Yes</w:t>
            </w:r>
          </w:p>
        </w:tc>
      </w:tr>
      <w:tr>
        <w:trPr>
          <w:trHeight w:val="824" w:hRule="atLeast"/>
        </w:trPr>
        <w:tc>
          <w:tcPr>
            <w:tcW w:w="1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28" w:before="0" w:after="0"/>
              <w:ind w:left="142" w:firstLine="1"/>
              <w:jc w:val="both"/>
              <w:rPr>
                <w:rFonts w:ascii="Calibri" w:hAnsi="Calibri" w:cs="Times New Roman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Demonstrated progress through the key stages of public policy making (i.e. policy agenda, formation, implementation, and evaluation and decisions about the future).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30" w:before="0" w:after="0"/>
              <w:ind w:left="142" w:firstLine="1"/>
              <w:jc w:val="center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Yes</w:t>
            </w:r>
          </w:p>
        </w:tc>
      </w:tr>
      <w:tr>
        <w:trPr>
          <w:trHeight w:val="704" w:hRule="atLeast"/>
        </w:trPr>
        <w:tc>
          <w:tcPr>
            <w:tcW w:w="1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i/>
                <w:i/>
                <w:sz w:val="18"/>
                <w:lang w:val="en-GB"/>
              </w:rPr>
            </w:pPr>
            <w:r>
              <w:rPr>
                <w:rFonts w:eastAsia="Times New Roman" w:cs="Times New Roman"/>
                <w:i/>
                <w:kern w:val="0"/>
                <w:sz w:val="18"/>
                <w:szCs w:val="22"/>
                <w:lang w:val="en-GB" w:eastAsia="sk-SK" w:bidi="ar-SA"/>
              </w:rPr>
              <w:t>Sleep</w:t>
            </w:r>
          </w:p>
        </w:tc>
        <w:tc>
          <w:tcPr>
            <w:tcW w:w="3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30" w:before="0" w:after="0"/>
              <w:ind w:left="142" w:firstLine="1"/>
              <w:jc w:val="both"/>
              <w:rPr>
                <w:sz w:val="18"/>
                <w:lang w:val="en-GB"/>
              </w:rPr>
            </w:pPr>
            <w:r>
              <w:rPr>
                <w:rFonts w:eastAsia="Times New Roman" w:cs=""/>
                <w:kern w:val="0"/>
                <w:sz w:val="18"/>
                <w:szCs w:val="22"/>
                <w:lang w:val="en-GB" w:eastAsia="sk-SK" w:bidi="ar-SA"/>
              </w:rPr>
              <w:t xml:space="preserve">Percentage of children and adolescents who met the recommended number of sleep hours per night according to the </w:t>
            </w:r>
            <w:bookmarkStart w:id="2" w:name="_Hlk134183800"/>
            <w:r>
              <w:rPr>
                <w:rFonts w:eastAsia="Times New Roman" w:cs=""/>
                <w:kern w:val="0"/>
                <w:sz w:val="18"/>
                <w:szCs w:val="22"/>
                <w:lang w:val="en-GB" w:eastAsia="sk-SK" w:bidi="ar-SA"/>
              </w:rPr>
              <w:t xml:space="preserve">National Sleep Foundation guidelines (9–11 hours for children, 8–10 hours for adolescents) </w:t>
            </w:r>
            <w:r>
              <w:rPr>
                <w:rFonts w:eastAsia="Times New Roman" w:cs="Calibri" w:cstheme="minorHAnsi"/>
                <w:kern w:val="0"/>
                <w:sz w:val="18"/>
                <w:szCs w:val="22"/>
                <w:lang w:val="en-GB" w:eastAsia="sk-SK" w:bidi="ar-SA"/>
              </w:rPr>
              <w:t>[23</w:t>
            </w:r>
            <w:r>
              <w:rPr>
                <w:rFonts w:eastAsia="Times New Roman" w:cs="Calibri"/>
                <w:kern w:val="0"/>
                <w:sz w:val="18"/>
                <w:szCs w:val="22"/>
                <w:lang w:val="en-GB" w:eastAsia="sk-SK" w:bidi="ar-SA"/>
              </w:rPr>
              <w:t>]</w:t>
            </w:r>
            <w:r>
              <w:rPr>
                <w:rFonts w:eastAsia="Times New Roman" w:cs=""/>
                <w:kern w:val="0"/>
                <w:sz w:val="18"/>
                <w:szCs w:val="22"/>
                <w:lang w:val="en-GB" w:eastAsia="sk-SK" w:bidi="ar-SA"/>
              </w:rPr>
              <w:t>.</w:t>
            </w:r>
            <w:bookmarkEnd w:id="2"/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30" w:before="0" w:after="0"/>
              <w:ind w:left="142" w:firstLine="1"/>
              <w:jc w:val="center"/>
              <w:rPr>
                <w:sz w:val="18"/>
                <w:lang w:val="en-GB"/>
              </w:rPr>
            </w:pPr>
            <w:r>
              <w:rPr>
                <w:rFonts w:eastAsia="Times New Roman" w:cs=""/>
                <w:kern w:val="0"/>
                <w:sz w:val="18"/>
                <w:szCs w:val="22"/>
                <w:lang w:val="en-GB" w:eastAsia="sk-SK" w:bidi="ar-SA"/>
              </w:rPr>
              <w:t>Yes</w:t>
            </w:r>
          </w:p>
        </w:tc>
      </w:tr>
      <w:tr>
        <w:trPr>
          <w:trHeight w:val="451" w:hRule="atLeast"/>
        </w:trPr>
        <w:tc>
          <w:tcPr>
            <w:tcW w:w="1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30" w:before="0" w:after="0"/>
              <w:ind w:left="142" w:firstLine="1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 xml:space="preserve">Percentage of children and adolescents with poor sleep quality. 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30" w:before="0" w:after="0"/>
              <w:ind w:left="142" w:firstLine="1"/>
              <w:jc w:val="center"/>
              <w:rPr>
                <w:sz w:val="18"/>
                <w:lang w:val="en-GB"/>
              </w:rPr>
            </w:pPr>
            <w:r>
              <w:rPr>
                <w:rFonts w:eastAsia="Times New Roman" w:cs=""/>
                <w:kern w:val="0"/>
                <w:sz w:val="18"/>
                <w:szCs w:val="22"/>
                <w:lang w:val="en-GB" w:eastAsia="sk-SK" w:bidi="ar-SA"/>
              </w:rPr>
              <w:t>No</w:t>
            </w:r>
          </w:p>
        </w:tc>
      </w:tr>
      <w:tr>
        <w:trPr>
          <w:trHeight w:val="501" w:hRule="atLeast"/>
        </w:trPr>
        <w:tc>
          <w:tcPr>
            <w:tcW w:w="12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42" w:hanging="0"/>
              <w:jc w:val="left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158" w:right="117" w:hanging="0"/>
              <w:jc w:val="both"/>
              <w:rPr>
                <w:rFonts w:ascii="Calibri" w:hAnsi="Calibri" w:cs="Times New Roman"/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sk-SK" w:eastAsia="sk-SK" w:bidi="ar-SA"/>
              </w:rPr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30" w:before="0" w:after="0"/>
              <w:ind w:left="142" w:firstLine="1"/>
              <w:jc w:val="both"/>
              <w:rPr>
                <w:sz w:val="18"/>
                <w:lang w:val="en-GB"/>
              </w:rPr>
            </w:pPr>
            <w:r>
              <w:rPr>
                <w:rFonts w:eastAsia="Times New Roman" w:cs="Times New Roman"/>
                <w:kern w:val="0"/>
                <w:sz w:val="18"/>
                <w:szCs w:val="22"/>
                <w:lang w:val="en-GB" w:eastAsia="sk-SK" w:bidi="ar-SA"/>
              </w:rPr>
              <w:t>Percentage of children and adolescents who reported sleep disturbances.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30" w:before="0" w:after="0"/>
              <w:ind w:left="142" w:firstLine="1"/>
              <w:jc w:val="center"/>
              <w:rPr>
                <w:sz w:val="18"/>
                <w:lang w:val="en-GB"/>
              </w:rPr>
            </w:pPr>
            <w:r>
              <w:rPr>
                <w:rFonts w:eastAsia="Times New Roman" w:cs=""/>
                <w:kern w:val="0"/>
                <w:sz w:val="18"/>
                <w:szCs w:val="22"/>
                <w:lang w:val="en-GB" w:eastAsia="sk-SK" w:bidi="ar-SA"/>
              </w:rPr>
              <w:t>No</w:t>
            </w:r>
            <w:bookmarkStart w:id="3" w:name="_Hlk152847866"/>
            <w:bookmarkEnd w:id="3"/>
          </w:p>
        </w:tc>
      </w:tr>
      <w:tr>
        <w:trPr>
          <w:trHeight w:val="305" w:hRule="atLeast"/>
        </w:trPr>
        <w:tc>
          <w:tcPr>
            <w:tcW w:w="90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0"/>
              <w:jc w:val="both"/>
              <w:rPr>
                <w:sz w:val="18"/>
              </w:rPr>
            </w:pPr>
            <w:r>
              <w:rPr>
                <w:rFonts w:eastAsia="Times New Roman" w:cs=""/>
                <w:kern w:val="0"/>
                <w:sz w:val="18"/>
                <w:szCs w:val="22"/>
                <w:lang w:val="en-GB" w:eastAsia="sk-SK" w:bidi="ar-SA"/>
              </w:rPr>
              <w:t xml:space="preserve">Note: The Sleep indicator is in addition to the 10 core indicators; PA – Physical Activity; PE – Physical Education; </w:t>
            </w:r>
            <w:r>
              <w:rPr>
                <w:rFonts w:eastAsia="Times New Roman" w:cs=""/>
                <w:kern w:val="0"/>
                <w:sz w:val="18"/>
                <w:szCs w:val="24"/>
                <w:lang w:val="en-GB" w:eastAsia="sk-SK" w:bidi="ar-SA"/>
              </w:rPr>
              <w:t>*</w:t>
            </w:r>
            <w:r>
              <w:rPr>
                <w:rFonts w:eastAsia="Times New Roman" w:cs=""/>
                <w:kern w:val="0"/>
                <w:sz w:val="18"/>
                <w:szCs w:val="22"/>
                <w:lang w:val="sk-SK" w:eastAsia="sk-SK" w:bidi="ar-SA"/>
              </w:rPr>
              <w:t xml:space="preserve">Tomkinson GR, Carver KD, Atkinson F, Daniell ND, Lewis LK, Fitzgerald JS, et al. European normative values for physical fitness in children and adolescents aged 9–17 </w:t>
            </w:r>
            <w:r>
              <w:rPr>
                <w:rFonts w:eastAsia="Times New Roman" w:cs=""/>
                <w:kern w:val="0"/>
                <w:sz w:val="18"/>
                <w:szCs w:val="24"/>
                <w:lang w:val="sk-SK" w:eastAsia="sk-SK" w:bidi="ar-SA"/>
              </w:rPr>
              <w:t>years: results from 2 779 165 Eurofit performances representing 30 countries. Br J Sports Med. 2018;52:1445–56.</w:t>
            </w:r>
          </w:p>
        </w:tc>
      </w:tr>
    </w:tbl>
    <w:p>
      <w:pPr>
        <w:pStyle w:val="Normal"/>
        <w:spacing w:before="0" w:after="160"/>
        <w:jc w:val="both"/>
        <w:rPr>
          <w:b/>
          <w:b/>
          <w:sz w:val="28"/>
          <w:szCs w:val="24"/>
          <w:lang w:val="en-GB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함초롬바탕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470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1" w:val="06a0"/>
    </w:tblPr>
    <w:tblGrid>
      <w:gridCol w:w="4900"/>
      <w:gridCol w:w="4900"/>
      <w:gridCol w:w="4900"/>
    </w:tblGrid>
    <w:tr>
      <w:trPr>
        <w:trHeight w:val="300" w:hRule="atLeast"/>
      </w:trPr>
      <w:tc>
        <w:tcPr>
          <w:tcW w:w="4900" w:type="dxa"/>
          <w:tcBorders/>
        </w:tcPr>
        <w:p>
          <w:pPr>
            <w:pStyle w:val="Header"/>
            <w:widowControl w:val="false"/>
            <w:ind w:left="-115" w:hanging="0"/>
            <w:rPr/>
          </w:pPr>
          <w:r>
            <w:rPr/>
          </w:r>
        </w:p>
      </w:tc>
      <w:tc>
        <w:tcPr>
          <w:tcW w:w="4900" w:type="dxa"/>
          <w:tcBorders/>
        </w:tcPr>
        <w:p>
          <w:pPr>
            <w:pStyle w:val="Header"/>
            <w:widowControl w:val="false"/>
            <w:jc w:val="center"/>
            <w:rPr/>
          </w:pP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3</w:t>
          </w:r>
          <w:r>
            <w:rPr/>
            <w:fldChar w:fldCharType="end"/>
          </w:r>
        </w:p>
      </w:tc>
      <w:tc>
        <w:tcPr>
          <w:tcW w:w="4900" w:type="dxa"/>
          <w:tcBorders/>
        </w:tcPr>
        <w:p>
          <w:pPr>
            <w:pStyle w:val="Header"/>
            <w:widowControl w:val="false"/>
            <w:ind w:right="-115" w:hanging="0"/>
            <w:jc w:val="right"/>
            <w:rPr/>
          </w:pPr>
          <w:r>
            <w:rPr/>
          </w:r>
        </w:p>
      </w:tc>
    </w:tr>
  </w:tbl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470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1" w:val="06a0"/>
    </w:tblPr>
    <w:tblGrid>
      <w:gridCol w:w="4900"/>
      <w:gridCol w:w="4900"/>
      <w:gridCol w:w="4900"/>
    </w:tblGrid>
    <w:tr>
      <w:trPr>
        <w:trHeight w:val="300" w:hRule="atLeast"/>
      </w:trPr>
      <w:tc>
        <w:tcPr>
          <w:tcW w:w="4900" w:type="dxa"/>
          <w:tcBorders/>
        </w:tcPr>
        <w:p>
          <w:pPr>
            <w:pStyle w:val="Header"/>
            <w:widowControl w:val="false"/>
            <w:ind w:left="-115" w:hanging="0"/>
            <w:rPr/>
          </w:pPr>
          <w:r>
            <w:rPr/>
          </w:r>
        </w:p>
      </w:tc>
      <w:tc>
        <w:tcPr>
          <w:tcW w:w="4900" w:type="dxa"/>
          <w:tcBorders/>
        </w:tcPr>
        <w:p>
          <w:pPr>
            <w:pStyle w:val="Header"/>
            <w:widowControl w:val="false"/>
            <w:jc w:val="center"/>
            <w:rPr/>
          </w:pP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3</w:t>
          </w:r>
          <w:r>
            <w:rPr/>
            <w:fldChar w:fldCharType="end"/>
          </w:r>
        </w:p>
      </w:tc>
      <w:tc>
        <w:tcPr>
          <w:tcW w:w="4900" w:type="dxa"/>
          <w:tcBorders/>
        </w:tcPr>
        <w:p>
          <w:pPr>
            <w:pStyle w:val="Header"/>
            <w:widowControl w:val="false"/>
            <w:ind w:right="-115" w:hanging="0"/>
            <w:jc w:val="right"/>
            <w:rPr/>
          </w:pPr>
          <w:r>
            <w:rPr/>
          </w:r>
        </w:p>
      </w:tc>
    </w:tr>
  </w:tbl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470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1" w:val="06a0"/>
    </w:tblPr>
    <w:tblGrid>
      <w:gridCol w:w="4900"/>
      <w:gridCol w:w="4900"/>
      <w:gridCol w:w="4900"/>
    </w:tblGrid>
    <w:tr>
      <w:trPr>
        <w:trHeight w:val="300" w:hRule="atLeast"/>
      </w:trPr>
      <w:tc>
        <w:tcPr>
          <w:tcW w:w="4900" w:type="dxa"/>
          <w:tcBorders/>
        </w:tcPr>
        <w:p>
          <w:pPr>
            <w:pStyle w:val="Header"/>
            <w:widowControl w:val="false"/>
            <w:ind w:left="-115" w:hanging="0"/>
            <w:rPr/>
          </w:pPr>
          <w:r>
            <w:rPr/>
          </w:r>
        </w:p>
      </w:tc>
      <w:tc>
        <w:tcPr>
          <w:tcW w:w="4900" w:type="dxa"/>
          <w:tcBorders/>
        </w:tcPr>
        <w:p>
          <w:pPr>
            <w:pStyle w:val="Header"/>
            <w:widowControl w:val="false"/>
            <w:jc w:val="center"/>
            <w:rPr/>
          </w:pPr>
          <w:r>
            <w:rPr/>
          </w:r>
        </w:p>
      </w:tc>
      <w:tc>
        <w:tcPr>
          <w:tcW w:w="4900" w:type="dxa"/>
          <w:tcBorders/>
        </w:tcPr>
        <w:p>
          <w:pPr>
            <w:pStyle w:val="Header"/>
            <w:widowControl w:val="false"/>
            <w:ind w:right="-115" w:hanging="0"/>
            <w:jc w:val="right"/>
            <w:rPr/>
          </w:pPr>
          <w:r>
            <w:rPr/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470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1" w:val="06a0"/>
    </w:tblPr>
    <w:tblGrid>
      <w:gridCol w:w="4900"/>
      <w:gridCol w:w="4900"/>
      <w:gridCol w:w="4900"/>
    </w:tblGrid>
    <w:tr>
      <w:trPr>
        <w:trHeight w:val="300" w:hRule="atLeast"/>
      </w:trPr>
      <w:tc>
        <w:tcPr>
          <w:tcW w:w="4900" w:type="dxa"/>
          <w:tcBorders/>
        </w:tcPr>
        <w:p>
          <w:pPr>
            <w:pStyle w:val="Header"/>
            <w:widowControl w:val="false"/>
            <w:ind w:left="-115" w:hanging="0"/>
            <w:rPr/>
          </w:pPr>
          <w:r>
            <w:rPr/>
          </w:r>
        </w:p>
      </w:tc>
      <w:tc>
        <w:tcPr>
          <w:tcW w:w="4900" w:type="dxa"/>
          <w:tcBorders/>
        </w:tcPr>
        <w:p>
          <w:pPr>
            <w:pStyle w:val="Header"/>
            <w:widowControl w:val="false"/>
            <w:jc w:val="center"/>
            <w:rPr/>
          </w:pPr>
          <w:r>
            <w:rPr/>
          </w:r>
        </w:p>
      </w:tc>
      <w:tc>
        <w:tcPr>
          <w:tcW w:w="4900" w:type="dxa"/>
          <w:tcBorders/>
        </w:tcPr>
        <w:p>
          <w:pPr>
            <w:pStyle w:val="Header"/>
            <w:widowControl w:val="false"/>
            <w:ind w:right="-115" w:hanging="0"/>
            <w:jc w:val="right"/>
            <w:rPr/>
          </w:pPr>
          <w:r>
            <w:rPr/>
          </w:r>
        </w:p>
      </w:tc>
    </w:tr>
  </w:tbl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2e21f4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paragraph" w:styleId="Heading1">
    <w:name w:val="Heading 1"/>
    <w:basedOn w:val="Normal"/>
    <w:next w:val="Normal"/>
    <w:link w:val="Nadpis1Char"/>
    <w:uiPriority w:val="9"/>
    <w:qFormat/>
    <w:rsid w:val="0ac49c91"/>
    <w:pPr>
      <w:keepNext w:val="true"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  <w:lang w:val="en-GB"/>
    </w:rPr>
  </w:style>
  <w:style w:type="paragraph" w:styleId="Heading2">
    <w:name w:val="Heading 2"/>
    <w:basedOn w:val="Normal"/>
    <w:next w:val="Normal"/>
    <w:link w:val="Nadpis2Char"/>
    <w:uiPriority w:val="9"/>
    <w:unhideWhenUsed/>
    <w:qFormat/>
    <w:rsid w:val="0ac49c91"/>
    <w:pPr>
      <w:keepNext w:val="true"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  <w:lang w:val="en-GB"/>
    </w:rPr>
  </w:style>
  <w:style w:type="paragraph" w:styleId="Heading3">
    <w:name w:val="Heading 3"/>
    <w:basedOn w:val="Normal"/>
    <w:next w:val="Normal"/>
    <w:link w:val="Nadpis3Char"/>
    <w:uiPriority w:val="9"/>
    <w:unhideWhenUsed/>
    <w:qFormat/>
    <w:rsid w:val="0ac49c91"/>
    <w:pPr>
      <w:keepNext w:val="true"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3763"/>
      <w:sz w:val="24"/>
      <w:szCs w:val="24"/>
      <w:lang w:val="en-GB"/>
    </w:rPr>
  </w:style>
  <w:style w:type="paragraph" w:styleId="Heading4">
    <w:name w:val="Heading 4"/>
    <w:basedOn w:val="Normal"/>
    <w:next w:val="Normal"/>
    <w:link w:val="Nadpis4Char"/>
    <w:uiPriority w:val="9"/>
    <w:unhideWhenUsed/>
    <w:qFormat/>
    <w:rsid w:val="0ac49c91"/>
    <w:pPr>
      <w:keepNext w:val="true"/>
      <w:spacing w:before="40" w:after="0"/>
      <w:outlineLvl w:val="3"/>
    </w:pPr>
    <w:rPr>
      <w:rFonts w:ascii="Calibri Light" w:hAnsi="Calibri Light" w:eastAsia="" w:cs="" w:asciiTheme="majorHAnsi" w:cstheme="majorBidi" w:eastAsiaTheme="majorEastAsia" w:hAnsiTheme="majorHAnsi"/>
      <w:i/>
      <w:iCs/>
      <w:color w:val="2F5496" w:themeColor="accent1" w:themeShade="bf"/>
      <w:lang w:val="en-GB"/>
    </w:rPr>
  </w:style>
  <w:style w:type="paragraph" w:styleId="Heading5">
    <w:name w:val="Heading 5"/>
    <w:basedOn w:val="Normal"/>
    <w:next w:val="Normal"/>
    <w:link w:val="Nadpis5Char"/>
    <w:uiPriority w:val="9"/>
    <w:unhideWhenUsed/>
    <w:qFormat/>
    <w:rsid w:val="0ac49c91"/>
    <w:pPr>
      <w:keepNext w:val="true"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lang w:val="en-GB"/>
    </w:rPr>
  </w:style>
  <w:style w:type="paragraph" w:styleId="Heading6">
    <w:name w:val="Heading 6"/>
    <w:basedOn w:val="Normal"/>
    <w:next w:val="Normal"/>
    <w:link w:val="Nadpis6Char"/>
    <w:uiPriority w:val="9"/>
    <w:unhideWhenUsed/>
    <w:qFormat/>
    <w:rsid w:val="0ac49c91"/>
    <w:pPr>
      <w:keepNext w:val="true"/>
      <w:spacing w:before="40" w:after="0"/>
      <w:outlineLvl w:val="5"/>
    </w:pPr>
    <w:rPr>
      <w:rFonts w:ascii="Calibri Light" w:hAnsi="Calibri Light" w:eastAsia="" w:cs="" w:asciiTheme="majorHAnsi" w:cstheme="majorBidi" w:eastAsiaTheme="majorEastAsia" w:hAnsiTheme="majorHAnsi"/>
      <w:color w:val="1F3763"/>
      <w:lang w:val="en-GB"/>
    </w:rPr>
  </w:style>
  <w:style w:type="paragraph" w:styleId="Heading7">
    <w:name w:val="Heading 7"/>
    <w:basedOn w:val="Normal"/>
    <w:next w:val="Normal"/>
    <w:link w:val="Nadpis7Char"/>
    <w:uiPriority w:val="9"/>
    <w:unhideWhenUsed/>
    <w:qFormat/>
    <w:rsid w:val="0ac49c91"/>
    <w:pPr>
      <w:keepNext w:val="true"/>
      <w:spacing w:before="40" w:after="0"/>
      <w:outlineLvl w:val="6"/>
    </w:pPr>
    <w:rPr>
      <w:rFonts w:ascii="Calibri Light" w:hAnsi="Calibri Light" w:eastAsia="" w:cs="" w:asciiTheme="majorHAnsi" w:cstheme="majorBidi" w:eastAsiaTheme="majorEastAsia" w:hAnsiTheme="majorHAnsi"/>
      <w:i/>
      <w:iCs/>
      <w:color w:val="1F3763"/>
      <w:lang w:val="en-GB"/>
    </w:rPr>
  </w:style>
  <w:style w:type="paragraph" w:styleId="Heading8">
    <w:name w:val="Heading 8"/>
    <w:basedOn w:val="Normal"/>
    <w:next w:val="Normal"/>
    <w:link w:val="Nadpis8Char"/>
    <w:uiPriority w:val="9"/>
    <w:unhideWhenUsed/>
    <w:qFormat/>
    <w:rsid w:val="0ac49c91"/>
    <w:pPr>
      <w:keepNext w:val="true"/>
      <w:spacing w:before="40" w:after="0"/>
      <w:outlineLvl w:val="7"/>
    </w:pPr>
    <w:rPr>
      <w:rFonts w:ascii="Calibri Light" w:hAnsi="Calibri Light" w:eastAsia="" w:cs="" w:asciiTheme="majorHAnsi" w:cstheme="majorBidi" w:eastAsiaTheme="majorEastAsia" w:hAnsiTheme="majorHAnsi"/>
      <w:color w:val="272727"/>
      <w:sz w:val="21"/>
      <w:szCs w:val="21"/>
      <w:lang w:val="en-GB"/>
    </w:rPr>
  </w:style>
  <w:style w:type="paragraph" w:styleId="Heading9">
    <w:name w:val="Heading 9"/>
    <w:basedOn w:val="Normal"/>
    <w:next w:val="Normal"/>
    <w:link w:val="Nadpis9Char"/>
    <w:uiPriority w:val="9"/>
    <w:unhideWhenUsed/>
    <w:qFormat/>
    <w:rsid w:val="0ac49c91"/>
    <w:pPr>
      <w:keepNext w:val="true"/>
      <w:spacing w:before="40" w:after="0"/>
      <w:outlineLvl w:val="8"/>
    </w:pPr>
    <w:rPr>
      <w:rFonts w:ascii="Calibri Light" w:hAnsi="Calibri Light" w:eastAsia="" w:cs="" w:asciiTheme="majorHAnsi" w:cstheme="majorBidi" w:eastAsiaTheme="majorEastAsia" w:hAnsiTheme="majorHAnsi"/>
      <w:i/>
      <w:iCs/>
      <w:color w:val="272727"/>
      <w:sz w:val="21"/>
      <w:szCs w:val="21"/>
      <w:lang w:val="en-GB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Internet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Nadpis1Char" w:customStyle="1">
    <w:name w:val="Nadpis 1 Char"/>
    <w:basedOn w:val="DefaultParagraphFont"/>
    <w:link w:val="Heading1"/>
    <w:uiPriority w:val="9"/>
    <w:qFormat/>
    <w:rsid w:val="0ac49c91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  <w:lang w:val="en-GB"/>
    </w:rPr>
  </w:style>
  <w:style w:type="character" w:styleId="Nadpis2Char" w:customStyle="1">
    <w:name w:val="Nadpis 2 Char"/>
    <w:basedOn w:val="DefaultParagraphFont"/>
    <w:link w:val="Heading2"/>
    <w:uiPriority w:val="9"/>
    <w:qFormat/>
    <w:rsid w:val="0ac49c91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  <w:lang w:val="en-GB"/>
    </w:rPr>
  </w:style>
  <w:style w:type="character" w:styleId="Nadpis3Char" w:customStyle="1">
    <w:name w:val="Nadpis 3 Char"/>
    <w:basedOn w:val="DefaultParagraphFont"/>
    <w:link w:val="Heading3"/>
    <w:uiPriority w:val="9"/>
    <w:qFormat/>
    <w:rsid w:val="0ac49c91"/>
    <w:rPr>
      <w:rFonts w:ascii="Calibri Light" w:hAnsi="Calibri Light" w:eastAsia="" w:cs="" w:asciiTheme="majorHAnsi" w:cstheme="majorBidi" w:eastAsiaTheme="majorEastAsia" w:hAnsiTheme="majorHAnsi"/>
      <w:color w:val="1F3763"/>
      <w:sz w:val="24"/>
      <w:szCs w:val="24"/>
      <w:lang w:val="en-GB"/>
    </w:rPr>
  </w:style>
  <w:style w:type="character" w:styleId="Nadpis4Char" w:customStyle="1">
    <w:name w:val="Nadpis 4 Char"/>
    <w:basedOn w:val="DefaultParagraphFont"/>
    <w:link w:val="Heading4"/>
    <w:uiPriority w:val="9"/>
    <w:qFormat/>
    <w:rsid w:val="0ac49c91"/>
    <w:rPr>
      <w:rFonts w:ascii="Calibri Light" w:hAnsi="Calibri Light" w:eastAsia="" w:cs="" w:asciiTheme="majorHAnsi" w:cstheme="majorBidi" w:eastAsiaTheme="majorEastAsia" w:hAnsiTheme="majorHAnsi"/>
      <w:i/>
      <w:iCs/>
      <w:color w:val="2F5496" w:themeColor="accent1" w:themeShade="bf"/>
      <w:lang w:val="en-GB"/>
    </w:rPr>
  </w:style>
  <w:style w:type="character" w:styleId="Nadpis5Char" w:customStyle="1">
    <w:name w:val="Nadpis 5 Char"/>
    <w:basedOn w:val="DefaultParagraphFont"/>
    <w:link w:val="Heading5"/>
    <w:uiPriority w:val="9"/>
    <w:qFormat/>
    <w:rsid w:val="0ac49c91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lang w:val="en-GB"/>
    </w:rPr>
  </w:style>
  <w:style w:type="character" w:styleId="Nadpis6Char" w:customStyle="1">
    <w:name w:val="Nadpis 6 Char"/>
    <w:basedOn w:val="DefaultParagraphFont"/>
    <w:link w:val="Heading6"/>
    <w:uiPriority w:val="9"/>
    <w:qFormat/>
    <w:rsid w:val="0ac49c91"/>
    <w:rPr>
      <w:rFonts w:ascii="Calibri Light" w:hAnsi="Calibri Light" w:eastAsia="" w:cs="" w:asciiTheme="majorHAnsi" w:cstheme="majorBidi" w:eastAsiaTheme="majorEastAsia" w:hAnsiTheme="majorHAnsi"/>
      <w:color w:val="1F3763"/>
      <w:lang w:val="en-GB"/>
    </w:rPr>
  </w:style>
  <w:style w:type="character" w:styleId="Nadpis7Char" w:customStyle="1">
    <w:name w:val="Nadpis 7 Char"/>
    <w:basedOn w:val="DefaultParagraphFont"/>
    <w:link w:val="Heading7"/>
    <w:uiPriority w:val="9"/>
    <w:qFormat/>
    <w:rsid w:val="0ac49c91"/>
    <w:rPr>
      <w:rFonts w:ascii="Calibri Light" w:hAnsi="Calibri Light" w:eastAsia="" w:cs="" w:asciiTheme="majorHAnsi" w:cstheme="majorBidi" w:eastAsiaTheme="majorEastAsia" w:hAnsiTheme="majorHAnsi"/>
      <w:i/>
      <w:iCs/>
      <w:color w:val="1F3763"/>
      <w:lang w:val="en-GB"/>
    </w:rPr>
  </w:style>
  <w:style w:type="character" w:styleId="Nadpis8Char" w:customStyle="1">
    <w:name w:val="Nadpis 8 Char"/>
    <w:basedOn w:val="DefaultParagraphFont"/>
    <w:link w:val="Heading8"/>
    <w:uiPriority w:val="9"/>
    <w:qFormat/>
    <w:rsid w:val="0ac49c91"/>
    <w:rPr>
      <w:rFonts w:ascii="Calibri Light" w:hAnsi="Calibri Light" w:eastAsia="" w:cs="" w:asciiTheme="majorHAnsi" w:cstheme="majorBidi" w:eastAsiaTheme="majorEastAsia" w:hAnsiTheme="majorHAnsi"/>
      <w:color w:val="272727"/>
      <w:sz w:val="21"/>
      <w:szCs w:val="21"/>
      <w:lang w:val="en-GB"/>
    </w:rPr>
  </w:style>
  <w:style w:type="character" w:styleId="Nadpis9Char" w:customStyle="1">
    <w:name w:val="Nadpis 9 Char"/>
    <w:basedOn w:val="DefaultParagraphFont"/>
    <w:link w:val="Heading9"/>
    <w:uiPriority w:val="9"/>
    <w:qFormat/>
    <w:rsid w:val="0ac49c91"/>
    <w:rPr>
      <w:rFonts w:ascii="Calibri Light" w:hAnsi="Calibri Light" w:eastAsia="" w:cs="" w:asciiTheme="majorHAnsi" w:cstheme="majorBidi" w:eastAsiaTheme="majorEastAsia" w:hAnsiTheme="majorHAnsi"/>
      <w:i/>
      <w:iCs/>
      <w:color w:val="272727"/>
      <w:sz w:val="21"/>
      <w:szCs w:val="21"/>
      <w:lang w:val="en-GB"/>
    </w:rPr>
  </w:style>
  <w:style w:type="character" w:styleId="NzovChar" w:customStyle="1">
    <w:name w:val="Názov Char"/>
    <w:basedOn w:val="DefaultParagraphFont"/>
    <w:link w:val="Title"/>
    <w:uiPriority w:val="10"/>
    <w:qFormat/>
    <w:rsid w:val="0ac49c91"/>
    <w:rPr>
      <w:rFonts w:ascii="Calibri Light" w:hAnsi="Calibri Light" w:eastAsia="" w:cs="" w:asciiTheme="majorHAnsi" w:cstheme="majorBidi" w:eastAsiaTheme="majorEastAsia" w:hAnsiTheme="majorHAnsi"/>
      <w:sz w:val="56"/>
      <w:szCs w:val="56"/>
      <w:lang w:val="en-GB"/>
    </w:rPr>
  </w:style>
  <w:style w:type="character" w:styleId="PodtitulChar" w:customStyle="1">
    <w:name w:val="Podtitul Char"/>
    <w:basedOn w:val="DefaultParagraphFont"/>
    <w:link w:val="Subtitle"/>
    <w:uiPriority w:val="11"/>
    <w:qFormat/>
    <w:rsid w:val="0ac49c91"/>
    <w:rPr>
      <w:rFonts w:ascii="Calibri" w:hAnsi="Calibri" w:eastAsia="" w:cs="" w:asciiTheme="minorHAnsi" w:cstheme="minorBidi" w:eastAsiaTheme="minorEastAsia" w:hAnsiTheme="minorHAnsi"/>
      <w:color w:val="5A5A5A"/>
      <w:lang w:val="en-GB"/>
    </w:rPr>
  </w:style>
  <w:style w:type="character" w:styleId="CitciaChar" w:customStyle="1">
    <w:name w:val="Citácia Char"/>
    <w:basedOn w:val="DefaultParagraphFont"/>
    <w:link w:val="Quote"/>
    <w:uiPriority w:val="29"/>
    <w:qFormat/>
    <w:rsid w:val="0ac49c91"/>
    <w:rPr>
      <w:i/>
      <w:iCs/>
      <w:color w:val="404040" w:themeColor="text1" w:themeTint="bf"/>
      <w:lang w:val="en-GB"/>
    </w:rPr>
  </w:style>
  <w:style w:type="character" w:styleId="ZvraznencitciaChar" w:customStyle="1">
    <w:name w:val="Zvýraznená citácia Char"/>
    <w:basedOn w:val="DefaultParagraphFont"/>
    <w:link w:val="IntenseQuote"/>
    <w:uiPriority w:val="30"/>
    <w:qFormat/>
    <w:rsid w:val="0ac49c91"/>
    <w:rPr>
      <w:i/>
      <w:iCs/>
      <w:color w:val="4472C4" w:themeColor="accent1"/>
      <w:lang w:val="en-GB"/>
    </w:rPr>
  </w:style>
  <w:style w:type="character" w:styleId="TextvysvetlivkyChar" w:customStyle="1">
    <w:name w:val="Text vysvetlivky Char"/>
    <w:basedOn w:val="DefaultParagraphFont"/>
    <w:link w:val="Endnote"/>
    <w:uiPriority w:val="99"/>
    <w:semiHidden/>
    <w:qFormat/>
    <w:rsid w:val="0ac49c91"/>
    <w:rPr>
      <w:sz w:val="20"/>
      <w:szCs w:val="20"/>
      <w:lang w:val="en-GB"/>
    </w:rPr>
  </w:style>
  <w:style w:type="character" w:styleId="PtaChar" w:customStyle="1">
    <w:name w:val="Päta Char"/>
    <w:basedOn w:val="DefaultParagraphFont"/>
    <w:link w:val="Footer"/>
    <w:uiPriority w:val="99"/>
    <w:qFormat/>
    <w:rsid w:val="0ac49c91"/>
    <w:rPr>
      <w:lang w:val="en-GB"/>
    </w:rPr>
  </w:style>
  <w:style w:type="character" w:styleId="TextpoznmkypodiarouChar" w:customStyle="1">
    <w:name w:val="Text poznámky pod čiarou Char"/>
    <w:basedOn w:val="DefaultParagraphFont"/>
    <w:link w:val="Footnote"/>
    <w:uiPriority w:val="99"/>
    <w:semiHidden/>
    <w:qFormat/>
    <w:rsid w:val="0ac49c91"/>
    <w:rPr>
      <w:sz w:val="20"/>
      <w:szCs w:val="20"/>
      <w:lang w:val="en-GB"/>
    </w:rPr>
  </w:style>
  <w:style w:type="character" w:styleId="HlavikaChar" w:customStyle="1">
    <w:name w:val="Hlavička Char"/>
    <w:basedOn w:val="DefaultParagraphFont"/>
    <w:link w:val="Header"/>
    <w:uiPriority w:val="99"/>
    <w:qFormat/>
    <w:rsid w:val="0ac49c91"/>
    <w:rPr>
      <w:lang w:val="en-GB"/>
    </w:rPr>
  </w:style>
  <w:style w:type="character" w:styleId="TextkomentraChar" w:customStyle="1">
    <w:name w:val="Text komentára Char"/>
    <w:basedOn w:val="DefaultParagraphFont"/>
    <w:link w:val="Annotationtext"/>
    <w:qFormat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a40500"/>
    <w:rPr>
      <w:rFonts w:ascii="Segoe UI" w:hAnsi="Segoe UI" w:cs="Segoe UI"/>
      <w:sz w:val="18"/>
      <w:szCs w:val="18"/>
    </w:rPr>
  </w:style>
  <w:style w:type="character" w:styleId="VisitedInternetLink">
    <w:name w:val="FollowedHyperlink"/>
    <w:basedOn w:val="DefaultParagraphFont"/>
    <w:uiPriority w:val="99"/>
    <w:semiHidden/>
    <w:unhideWhenUsed/>
    <w:rsid w:val="00e562db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5d187e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5d187e"/>
    <w:rPr>
      <w:color w:val="605E5C"/>
      <w:shd w:fill="E1DFDD" w:val="clear"/>
    </w:rPr>
  </w:style>
  <w:style w:type="character" w:styleId="PredmetkomentraChar" w:customStyle="1">
    <w:name w:val="Predmet komentára Char"/>
    <w:basedOn w:val="TextkomentraChar"/>
    <w:link w:val="Annotationsubject"/>
    <w:uiPriority w:val="99"/>
    <w:semiHidden/>
    <w:qFormat/>
    <w:rsid w:val="00896584"/>
    <w:rPr>
      <w:b/>
      <w:bCs/>
      <w:sz w:val="20"/>
      <w:szCs w:val="20"/>
    </w:rPr>
  </w:style>
  <w:style w:type="character" w:styleId="Normaltextrun" w:customStyle="1">
    <w:name w:val="normaltextrun"/>
    <w:basedOn w:val="DefaultParagraphFont"/>
    <w:qFormat/>
    <w:rsid w:val="00a531ec"/>
    <w:rPr/>
  </w:style>
  <w:style w:type="character" w:styleId="Eop" w:customStyle="1">
    <w:name w:val="eop"/>
    <w:basedOn w:val="DefaultParagraphFont"/>
    <w:qFormat/>
    <w:rsid w:val="00a531ec"/>
    <w:rPr/>
  </w:style>
  <w:style w:type="character" w:styleId="PlaceholderText">
    <w:name w:val="Placeholder Text"/>
    <w:basedOn w:val="DefaultParagraphFont"/>
    <w:uiPriority w:val="99"/>
    <w:semiHidden/>
    <w:qFormat/>
    <w:rsid w:val="001c5dd8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qFormat/>
    <w:rsid w:val="00820960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itle">
    <w:name w:val="Title"/>
    <w:basedOn w:val="Normal"/>
    <w:next w:val="Normal"/>
    <w:link w:val="NzovChar"/>
    <w:uiPriority w:val="10"/>
    <w:qFormat/>
    <w:rsid w:val="0ac49c91"/>
    <w:pPr>
      <w:spacing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z w:val="56"/>
      <w:szCs w:val="56"/>
      <w:lang w:val="en-GB"/>
    </w:rPr>
  </w:style>
  <w:style w:type="paragraph" w:styleId="Subtitle">
    <w:name w:val="Subtitle"/>
    <w:basedOn w:val="Normal"/>
    <w:next w:val="Normal"/>
    <w:link w:val="PodtitulChar"/>
    <w:uiPriority w:val="11"/>
    <w:qFormat/>
    <w:rsid w:val="0ac49c91"/>
    <w:pPr/>
    <w:rPr>
      <w:rFonts w:eastAsia="" w:eastAsiaTheme="minorEastAsia"/>
      <w:color w:val="5A5A5A"/>
      <w:lang w:val="en-GB"/>
    </w:rPr>
  </w:style>
  <w:style w:type="paragraph" w:styleId="Quote">
    <w:name w:val="Quote"/>
    <w:basedOn w:val="Normal"/>
    <w:next w:val="Normal"/>
    <w:link w:val="CitciaChar"/>
    <w:uiPriority w:val="29"/>
    <w:qFormat/>
    <w:rsid w:val="0ac49c91"/>
    <w:pPr>
      <w:spacing w:before="200" w:after="160"/>
      <w:ind w:left="864" w:right="864" w:hanging="0"/>
      <w:jc w:val="center"/>
    </w:pPr>
    <w:rPr>
      <w:i/>
      <w:iCs/>
      <w:color w:val="404040" w:themeColor="text1" w:themeTint="bf"/>
      <w:lang w:val="en-GB"/>
    </w:rPr>
  </w:style>
  <w:style w:type="paragraph" w:styleId="IntenseQuote">
    <w:name w:val="Intense Quote"/>
    <w:basedOn w:val="Normal"/>
    <w:next w:val="Normal"/>
    <w:link w:val="ZvraznencitciaChar"/>
    <w:uiPriority w:val="30"/>
    <w:qFormat/>
    <w:rsid w:val="0ac49c91"/>
    <w:pPr>
      <w:spacing w:before="360" w:after="360"/>
      <w:ind w:left="864" w:right="864" w:hanging="0"/>
      <w:jc w:val="center"/>
    </w:pPr>
    <w:rPr>
      <w:i/>
      <w:iCs/>
      <w:color w:val="4472C4" w:themeColor="accent1"/>
      <w:lang w:val="en-GB"/>
    </w:rPr>
  </w:style>
  <w:style w:type="paragraph" w:styleId="ListParagraph">
    <w:name w:val="List Paragraph"/>
    <w:basedOn w:val="Normal"/>
    <w:uiPriority w:val="34"/>
    <w:qFormat/>
    <w:rsid w:val="0ac49c91"/>
    <w:pPr>
      <w:spacing w:before="0" w:after="160"/>
      <w:ind w:left="720" w:hanging="0"/>
      <w:contextualSpacing/>
    </w:pPr>
    <w:rPr>
      <w:lang w:val="en-GB"/>
    </w:rPr>
  </w:style>
  <w:style w:type="paragraph" w:styleId="Contents1">
    <w:name w:val="TOC 1"/>
    <w:basedOn w:val="Normal"/>
    <w:next w:val="Normal"/>
    <w:uiPriority w:val="39"/>
    <w:unhideWhenUsed/>
    <w:rsid w:val="0ac49c91"/>
    <w:pPr>
      <w:spacing w:before="0" w:after="100"/>
    </w:pPr>
    <w:rPr>
      <w:lang w:val="en-GB"/>
    </w:rPr>
  </w:style>
  <w:style w:type="paragraph" w:styleId="Contents2">
    <w:name w:val="TOC 2"/>
    <w:basedOn w:val="Normal"/>
    <w:next w:val="Normal"/>
    <w:uiPriority w:val="39"/>
    <w:unhideWhenUsed/>
    <w:rsid w:val="0ac49c91"/>
    <w:pPr>
      <w:spacing w:before="0" w:after="100"/>
      <w:ind w:left="220" w:hanging="0"/>
    </w:pPr>
    <w:rPr>
      <w:lang w:val="en-GB"/>
    </w:rPr>
  </w:style>
  <w:style w:type="paragraph" w:styleId="Contents3">
    <w:name w:val="TOC 3"/>
    <w:basedOn w:val="Normal"/>
    <w:next w:val="Normal"/>
    <w:uiPriority w:val="39"/>
    <w:unhideWhenUsed/>
    <w:rsid w:val="0ac49c91"/>
    <w:pPr>
      <w:spacing w:before="0" w:after="100"/>
      <w:ind w:left="440" w:hanging="0"/>
    </w:pPr>
    <w:rPr>
      <w:lang w:val="en-GB"/>
    </w:rPr>
  </w:style>
  <w:style w:type="paragraph" w:styleId="Contents4">
    <w:name w:val="TOC 4"/>
    <w:basedOn w:val="Normal"/>
    <w:next w:val="Normal"/>
    <w:uiPriority w:val="39"/>
    <w:unhideWhenUsed/>
    <w:rsid w:val="0ac49c91"/>
    <w:pPr>
      <w:spacing w:before="0" w:after="100"/>
      <w:ind w:left="660" w:hanging="0"/>
    </w:pPr>
    <w:rPr>
      <w:lang w:val="en-GB"/>
    </w:rPr>
  </w:style>
  <w:style w:type="paragraph" w:styleId="Contents5">
    <w:name w:val="TOC 5"/>
    <w:basedOn w:val="Normal"/>
    <w:next w:val="Normal"/>
    <w:uiPriority w:val="39"/>
    <w:unhideWhenUsed/>
    <w:rsid w:val="0ac49c91"/>
    <w:pPr>
      <w:spacing w:before="0" w:after="100"/>
      <w:ind w:left="880" w:hanging="0"/>
    </w:pPr>
    <w:rPr>
      <w:lang w:val="en-GB"/>
    </w:rPr>
  </w:style>
  <w:style w:type="paragraph" w:styleId="Contents6">
    <w:name w:val="TOC 6"/>
    <w:basedOn w:val="Normal"/>
    <w:next w:val="Normal"/>
    <w:uiPriority w:val="39"/>
    <w:unhideWhenUsed/>
    <w:rsid w:val="0ac49c91"/>
    <w:pPr>
      <w:spacing w:before="0" w:after="100"/>
      <w:ind w:left="1100" w:hanging="0"/>
    </w:pPr>
    <w:rPr>
      <w:lang w:val="en-GB"/>
    </w:rPr>
  </w:style>
  <w:style w:type="paragraph" w:styleId="Contents7">
    <w:name w:val="TOC 7"/>
    <w:basedOn w:val="Normal"/>
    <w:next w:val="Normal"/>
    <w:uiPriority w:val="39"/>
    <w:unhideWhenUsed/>
    <w:rsid w:val="0ac49c91"/>
    <w:pPr>
      <w:spacing w:before="0" w:after="100"/>
      <w:ind w:left="1320" w:hanging="0"/>
    </w:pPr>
    <w:rPr>
      <w:lang w:val="en-GB"/>
    </w:rPr>
  </w:style>
  <w:style w:type="paragraph" w:styleId="Contents8">
    <w:name w:val="TOC 8"/>
    <w:basedOn w:val="Normal"/>
    <w:next w:val="Normal"/>
    <w:uiPriority w:val="39"/>
    <w:unhideWhenUsed/>
    <w:rsid w:val="0ac49c91"/>
    <w:pPr>
      <w:spacing w:before="0" w:after="100"/>
      <w:ind w:left="1540" w:hanging="0"/>
    </w:pPr>
    <w:rPr>
      <w:lang w:val="en-GB"/>
    </w:rPr>
  </w:style>
  <w:style w:type="paragraph" w:styleId="Contents9">
    <w:name w:val="TOC 9"/>
    <w:basedOn w:val="Normal"/>
    <w:next w:val="Normal"/>
    <w:uiPriority w:val="39"/>
    <w:unhideWhenUsed/>
    <w:rsid w:val="0ac49c91"/>
    <w:pPr>
      <w:spacing w:before="0" w:after="100"/>
      <w:ind w:left="1760" w:hanging="0"/>
    </w:pPr>
    <w:rPr>
      <w:lang w:val="en-GB"/>
    </w:rPr>
  </w:style>
  <w:style w:type="paragraph" w:styleId="Endnote">
    <w:name w:val="Endnote Text"/>
    <w:basedOn w:val="Normal"/>
    <w:link w:val="TextvysvetlivkyChar"/>
    <w:uiPriority w:val="99"/>
    <w:semiHidden/>
    <w:unhideWhenUsed/>
    <w:rsid w:val="0ac49c91"/>
    <w:pPr>
      <w:spacing w:before="0" w:after="0"/>
    </w:pPr>
    <w:rPr>
      <w:sz w:val="20"/>
      <w:szCs w:val="20"/>
      <w:lang w:val="en-GB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PtaChar"/>
    <w:uiPriority w:val="99"/>
    <w:unhideWhenUsed/>
    <w:rsid w:val="0ac49c91"/>
    <w:pPr>
      <w:tabs>
        <w:tab w:val="clear" w:pos="708"/>
        <w:tab w:val="center" w:pos="4680" w:leader="none"/>
        <w:tab w:val="right" w:pos="9360" w:leader="none"/>
      </w:tabs>
      <w:spacing w:before="0" w:after="0"/>
    </w:pPr>
    <w:rPr>
      <w:lang w:val="en-GB"/>
    </w:rPr>
  </w:style>
  <w:style w:type="paragraph" w:styleId="Footnote">
    <w:name w:val="Footnote Text"/>
    <w:basedOn w:val="Normal"/>
    <w:link w:val="TextpoznmkypodiarouChar"/>
    <w:uiPriority w:val="99"/>
    <w:semiHidden/>
    <w:unhideWhenUsed/>
    <w:rsid w:val="0ac49c91"/>
    <w:pPr>
      <w:spacing w:before="0" w:after="0"/>
    </w:pPr>
    <w:rPr>
      <w:sz w:val="20"/>
      <w:szCs w:val="20"/>
      <w:lang w:val="en-GB"/>
    </w:rPr>
  </w:style>
  <w:style w:type="paragraph" w:styleId="Header">
    <w:name w:val="Header"/>
    <w:basedOn w:val="Normal"/>
    <w:link w:val="HlavikaChar"/>
    <w:uiPriority w:val="99"/>
    <w:unhideWhenUsed/>
    <w:rsid w:val="0ac49c91"/>
    <w:pPr>
      <w:tabs>
        <w:tab w:val="clear" w:pos="708"/>
        <w:tab w:val="center" w:pos="4680" w:leader="none"/>
        <w:tab w:val="right" w:pos="9360" w:leader="none"/>
      </w:tabs>
      <w:spacing w:before="0" w:after="0"/>
    </w:pPr>
    <w:rPr>
      <w:lang w:val="en-GB"/>
    </w:rPr>
  </w:style>
  <w:style w:type="paragraph" w:styleId="Annotationtext">
    <w:name w:val="annotation text"/>
    <w:basedOn w:val="Normal"/>
    <w:link w:val="TextkomentraChar"/>
    <w:unhideWhenUsed/>
    <w:qFormat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a4050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Revision">
    <w:name w:val="Revision"/>
    <w:uiPriority w:val="99"/>
    <w:semiHidden/>
    <w:qFormat/>
    <w:rsid w:val="000608ea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paragraph" w:styleId="Annotationsubject">
    <w:name w:val="annotation subject"/>
    <w:basedOn w:val="Annotationtext"/>
    <w:next w:val="Annotationtext"/>
    <w:link w:val="PredmetkomentraChar"/>
    <w:uiPriority w:val="99"/>
    <w:semiHidden/>
    <w:unhideWhenUsed/>
    <w:qFormat/>
    <w:rsid w:val="00896584"/>
    <w:pPr/>
    <w:rPr>
      <w:b/>
      <w:bCs/>
    </w:rPr>
  </w:style>
  <w:style w:type="paragraph" w:styleId="CitationImageJ" w:customStyle="1">
    <w:name w:val="Citation-Image J"/>
    <w:qFormat/>
    <w:rsid w:val="009919aa"/>
    <w:pPr>
      <w:widowControl w:val="false"/>
      <w:bidi w:val="0"/>
      <w:spacing w:lineRule="auto" w:line="247" w:before="0" w:after="0"/>
      <w:jc w:val="both"/>
    </w:pPr>
    <w:rPr>
      <w:rFonts w:ascii="함초롬바탕" w:hAnsi="함초롬바탕" w:eastAsia="함초롬바탕" w:cs="함초롬바탕"/>
      <w:color w:val="000000"/>
      <w:kern w:val="0"/>
      <w:sz w:val="20"/>
      <w:szCs w:val="20"/>
      <w:lang w:val="en-US" w:bidi="en-US" w:eastAsia="en-US"/>
    </w:rPr>
  </w:style>
  <w:style w:type="paragraph" w:styleId="Paragraph" w:customStyle="1">
    <w:name w:val="paragraph"/>
    <w:basedOn w:val="Normal"/>
    <w:qFormat/>
    <w:rsid w:val="00a531e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sk-SK"/>
    </w:rPr>
  </w:style>
  <w:style w:type="paragraph" w:styleId="NormalWeb">
    <w:name w:val="Normal (Web)"/>
    <w:basedOn w:val="Normal"/>
    <w:uiPriority w:val="99"/>
    <w:semiHidden/>
    <w:unhideWhenUsed/>
    <w:qFormat/>
    <w:rsid w:val="00e9038e"/>
    <w:pPr/>
    <w:rPr>
      <w:rFonts w:ascii="Times New Roman" w:hAnsi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485056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1f09bb"/>
    <w:pPr>
      <w:spacing w:after="0" w:line="240" w:lineRule="auto"/>
    </w:pPr>
    <w:rPr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riekatabuky">
    <w:name w:val="Table Grid"/>
    <w:basedOn w:val="Normlnatabuka"/>
    <w:uiPriority w:val="39"/>
    <w:rsid w:val="00db356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customXml" Target="../customXml/item2.xml"/><Relationship Id="rId13" Type="http://schemas.openxmlformats.org/officeDocument/2006/relationships/customXml" Target="../customXml/item3.xml"/><Relationship Id="rId14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50C6B9B7A90C24589F5AD14B2D32F5A" ma:contentTypeVersion="33" ma:contentTypeDescription="Umožňuje vytvoriť nový dokument." ma:contentTypeScope="" ma:versionID="d6df5df22cca204a54cc1aa73b99d81c">
  <xsd:schema xmlns:xsd="http://www.w3.org/2001/XMLSchema" xmlns:xs="http://www.w3.org/2001/XMLSchema" xmlns:p="http://schemas.microsoft.com/office/2006/metadata/properties" xmlns:ns1="http://schemas.microsoft.com/sharepoint/v3" xmlns:ns3="639de105-6d3b-403e-823a-b1559f914eda" xmlns:ns4="e31078c5-51fb-41d9-aa91-f4bdcfff9cfb" targetNamespace="http://schemas.microsoft.com/office/2006/metadata/properties" ma:root="true" ma:fieldsID="b536015a16bd66c274be00f1a6357659" ns1:_="" ns3:_="" ns4:_="">
    <xsd:import namespace="http://schemas.microsoft.com/sharepoint/v3"/>
    <xsd:import namespace="639de105-6d3b-403e-823a-b1559f914eda"/>
    <xsd:import namespace="e31078c5-51fb-41d9-aa91-f4bdcfff9cf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6" nillable="true" ma:displayName="Vlastnosti zjednotenej politiky dodržiavania súladu" ma:hidden="true" ma:internalName="_ip_UnifiedCompliancePolicyProperties">
      <xsd:simpleType>
        <xsd:restriction base="dms:Note"/>
      </xsd:simpleType>
    </xsd:element>
    <xsd:element name="_ip_UnifiedCompliancePolicyUIAction" ma:index="37" nillable="true" ma:displayName="Akcia v používateľskom rozhraní zjednotenej politiky dodržiavania súladu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de105-6d3b-403e-823a-b1559f914e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NotebookType" ma:index="17" nillable="true" ma:displayName="Notebook Type" ma:internalName="NotebookType">
      <xsd:simpleType>
        <xsd:restriction base="dms:Text"/>
      </xsd:simpleType>
    </xsd:element>
    <xsd:element name="FolderType" ma:index="18" nillable="true" ma:displayName="Folder Type" ma:internalName="FolderType">
      <xsd:simpleType>
        <xsd:restriction base="dms:Text"/>
      </xsd:simpleType>
    </xsd:element>
    <xsd:element name="Owner" ma:index="19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20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1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chers" ma:index="2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1" nillable="true" ma:displayName="Is Collaboration Space Locked" ma:internalName="Is_Collaboration_Space_Locked">
      <xsd:simpleType>
        <xsd:restriction base="dms:Boolean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8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4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078c5-51fb-41d9-aa91-f4bdcfff9c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639de105-6d3b-403e-823a-b1559f914eda" xsi:nil="true"/>
    <Students xmlns="639de105-6d3b-403e-823a-b1559f914eda">
      <UserInfo>
        <DisplayName/>
        <AccountId xsi:nil="true"/>
        <AccountType/>
      </UserInfo>
    </Students>
    <_ip_UnifiedCompliancePolicyUIAction xmlns="http://schemas.microsoft.com/sharepoint/v3" xsi:nil="true"/>
    <DefaultSectionNames xmlns="639de105-6d3b-403e-823a-b1559f914eda" xsi:nil="true"/>
    <Teachers xmlns="639de105-6d3b-403e-823a-b1559f914eda">
      <UserInfo>
        <DisplayName/>
        <AccountId xsi:nil="true"/>
        <AccountType/>
      </UserInfo>
    </Teachers>
    <Student_Groups xmlns="639de105-6d3b-403e-823a-b1559f914eda">
      <UserInfo>
        <DisplayName/>
        <AccountId xsi:nil="true"/>
        <AccountType/>
      </UserInfo>
    </Student_Groups>
    <Self_Registration_Enabled xmlns="639de105-6d3b-403e-823a-b1559f914eda" xsi:nil="true"/>
    <Templates xmlns="639de105-6d3b-403e-823a-b1559f914eda" xsi:nil="true"/>
    <_ip_UnifiedCompliancePolicyProperties xmlns="http://schemas.microsoft.com/sharepoint/v3" xsi:nil="true"/>
    <_activity xmlns="639de105-6d3b-403e-823a-b1559f914eda" xsi:nil="true"/>
    <Invited_Students xmlns="639de105-6d3b-403e-823a-b1559f914eda" xsi:nil="true"/>
    <FolderType xmlns="639de105-6d3b-403e-823a-b1559f914eda" xsi:nil="true"/>
    <Has_Teacher_Only_SectionGroup xmlns="639de105-6d3b-403e-823a-b1559f914eda" xsi:nil="true"/>
    <AppVersion xmlns="639de105-6d3b-403e-823a-b1559f914eda" xsi:nil="true"/>
    <Owner xmlns="639de105-6d3b-403e-823a-b1559f914eda">
      <UserInfo>
        <DisplayName/>
        <AccountId xsi:nil="true"/>
        <AccountType/>
      </UserInfo>
    </Owner>
    <CultureName xmlns="639de105-6d3b-403e-823a-b1559f914eda" xsi:nil="true"/>
    <Is_Collaboration_Space_Locked xmlns="639de105-6d3b-403e-823a-b1559f914eda" xsi:nil="true"/>
    <Invited_Teachers xmlns="639de105-6d3b-403e-823a-b1559f914ed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FF78C-72E6-4D8E-9009-4991FF51DE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6B4CDD-74F9-4C84-BE33-6847F19491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39de105-6d3b-403e-823a-b1559f914eda"/>
    <ds:schemaRef ds:uri="e31078c5-51fb-41d9-aa91-f4bdcfff9c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4B36A4-02B9-4975-B988-4A62690F434F}">
  <ds:schemaRefs>
    <ds:schemaRef ds:uri="http://schemas.microsoft.com/office/2006/metadata/properties"/>
    <ds:schemaRef ds:uri="http://schemas.microsoft.com/office/infopath/2007/PartnerControls"/>
    <ds:schemaRef ds:uri="639de105-6d3b-403e-823a-b1559f914eda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BBBE913-C67F-43EF-AC11-35552B437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Application>LibreOffice/7.4.1.2$Windows_X86_64 LibreOffice_project/3c58a8f3a960df8bc8fd77b461821e42c061c5f0</Application>
  <AppVersion>15.0000</AppVersion>
  <Pages>3</Pages>
  <Words>1055</Words>
  <Characters>6292</Characters>
  <CharactersWithSpaces>7259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2023-12-06T15:36:00Z</dcterms:created>
  <dc:creator>Peter Bakalár</dc:creator>
  <dc:description/>
  <dc:language>en-IN</dc:language>
  <cp:lastModifiedBy/>
  <cp:lastPrinted>2023-12-14T15:15:00Z</cp:lastPrinted>
  <dcterms:modified xsi:type="dcterms:W3CDTF">2024-01-29T15:12:54Z</dcterms:modified>
  <cp:revision>109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0x010100D50C6B9B7A90C24589F5AD14B2D32F5A</vt:lpwstr>
  </property>
  <property fmtid="{D5CDD505-2E9C-101B-9397-08002B2CF9AE}" pid="3" name="GrammarlyDocumentId">
    <vt:lpwstr>9bb621ed54289702ea765849069cba5d196018e58b9fbfb02feb0029258f1d31</vt:lpwstr>
  </property>
</Properties>
</file>