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4657BD4" w14:textId="77777777" w:rsidR="00085B81" w:rsidRDefault="00085B81" w:rsidP="003B6A7B">
      <w:pPr>
        <w:pStyle w:val="Heading1"/>
        <w:rPr>
          <w:highlight w:val="white"/>
        </w:rPr>
      </w:pPr>
    </w:p>
    <w:sdt>
      <w:sdtPr>
        <w:id w:val="294645382"/>
        <w:docPartObj>
          <w:docPartGallery w:val="Table of Contents"/>
          <w:docPartUnique/>
        </w:docPartObj>
      </w:sdtPr>
      <w:sdtContent>
        <w:p w14:paraId="7E12E34B" w14:textId="196DFEFC" w:rsidR="003B6A7B" w:rsidRPr="003B6A7B" w:rsidRDefault="00000000">
          <w:pPr>
            <w:pStyle w:val="TOC1"/>
            <w:tabs>
              <w:tab w:val="right" w:leader="dot" w:pos="9350"/>
            </w:tabs>
            <w:rPr>
              <w:rFonts w:ascii="Times New Roman" w:hAnsi="Times New Roman" w:cs="Times New Roman"/>
              <w:b/>
              <w:bCs/>
              <w:noProof/>
            </w:rPr>
          </w:pPr>
          <w:r>
            <w:fldChar w:fldCharType="begin"/>
          </w:r>
          <w:r>
            <w:instrText xml:space="preserve"> TOC \h \u \z \t "Heading 1,1,Heading 2,2,Heading 3,3,Heading 4,4,Heading 5,5,Heading 6,6,"</w:instrText>
          </w:r>
          <w:r>
            <w:fldChar w:fldCharType="separate"/>
          </w:r>
          <w:hyperlink w:anchor="_Toc182493127" w:history="1">
            <w:r w:rsidR="003B6A7B" w:rsidRPr="003B6A7B">
              <w:rPr>
                <w:rStyle w:val="Hyperlink"/>
                <w:rFonts w:ascii="Times New Roman" w:hAnsi="Times New Roman" w:cs="Times New Roman"/>
                <w:b/>
                <w:bCs/>
                <w:noProof/>
              </w:rPr>
              <w:t>0. Search Strategy</w:t>
            </w:r>
            <w:r w:rsidR="003B6A7B" w:rsidRPr="003B6A7B">
              <w:rPr>
                <w:rFonts w:ascii="Times New Roman" w:hAnsi="Times New Roman" w:cs="Times New Roman"/>
                <w:b/>
                <w:bCs/>
                <w:noProof/>
                <w:webHidden/>
              </w:rPr>
              <w:tab/>
            </w:r>
            <w:r w:rsidR="003B6A7B" w:rsidRPr="003B6A7B">
              <w:rPr>
                <w:rFonts w:ascii="Times New Roman" w:hAnsi="Times New Roman" w:cs="Times New Roman"/>
                <w:b/>
                <w:bCs/>
                <w:noProof/>
                <w:webHidden/>
              </w:rPr>
              <w:fldChar w:fldCharType="begin"/>
            </w:r>
            <w:r w:rsidR="003B6A7B" w:rsidRPr="003B6A7B">
              <w:rPr>
                <w:rFonts w:ascii="Times New Roman" w:hAnsi="Times New Roman" w:cs="Times New Roman"/>
                <w:b/>
                <w:bCs/>
                <w:noProof/>
                <w:webHidden/>
              </w:rPr>
              <w:instrText xml:space="preserve"> PAGEREF _Toc182493127 \h </w:instrText>
            </w:r>
            <w:r w:rsidR="003B6A7B" w:rsidRPr="003B6A7B">
              <w:rPr>
                <w:rFonts w:ascii="Times New Roman" w:hAnsi="Times New Roman" w:cs="Times New Roman"/>
                <w:b/>
                <w:bCs/>
                <w:noProof/>
                <w:webHidden/>
              </w:rPr>
            </w:r>
            <w:r w:rsidR="003B6A7B" w:rsidRPr="003B6A7B">
              <w:rPr>
                <w:rFonts w:ascii="Times New Roman" w:hAnsi="Times New Roman" w:cs="Times New Roman"/>
                <w:b/>
                <w:bCs/>
                <w:noProof/>
                <w:webHidden/>
              </w:rPr>
              <w:fldChar w:fldCharType="separate"/>
            </w:r>
            <w:r w:rsidR="003B6A7B" w:rsidRPr="003B6A7B">
              <w:rPr>
                <w:rFonts w:ascii="Times New Roman" w:hAnsi="Times New Roman" w:cs="Times New Roman"/>
                <w:b/>
                <w:bCs/>
                <w:noProof/>
                <w:webHidden/>
              </w:rPr>
              <w:t>2</w:t>
            </w:r>
            <w:r w:rsidR="003B6A7B" w:rsidRPr="003B6A7B">
              <w:rPr>
                <w:rFonts w:ascii="Times New Roman" w:hAnsi="Times New Roman" w:cs="Times New Roman"/>
                <w:b/>
                <w:bCs/>
                <w:noProof/>
                <w:webHidden/>
              </w:rPr>
              <w:fldChar w:fldCharType="end"/>
            </w:r>
          </w:hyperlink>
        </w:p>
        <w:p w14:paraId="35A6B067" w14:textId="7B9FFAA3" w:rsidR="003B6A7B" w:rsidRPr="003B6A7B" w:rsidRDefault="003B6A7B">
          <w:pPr>
            <w:pStyle w:val="TOC1"/>
            <w:tabs>
              <w:tab w:val="right" w:leader="dot" w:pos="9350"/>
            </w:tabs>
            <w:rPr>
              <w:rFonts w:ascii="Times New Roman" w:hAnsi="Times New Roman" w:cs="Times New Roman"/>
              <w:b/>
              <w:bCs/>
              <w:noProof/>
            </w:rPr>
          </w:pPr>
          <w:hyperlink w:anchor="_Toc182493128" w:history="1">
            <w:r w:rsidRPr="003B6A7B">
              <w:rPr>
                <w:rStyle w:val="Hyperlink"/>
                <w:rFonts w:ascii="Times New Roman" w:hAnsi="Times New Roman" w:cs="Times New Roman"/>
                <w:b/>
                <w:bCs/>
                <w:noProof/>
              </w:rPr>
              <w:t>1. PRISMA</w:t>
            </w:r>
            <w:r w:rsidRPr="003B6A7B">
              <w:rPr>
                <w:rStyle w:val="Hyperlink"/>
                <w:rFonts w:ascii="Times New Roman" w:hAnsi="Times New Roman" w:cs="Times New Roman"/>
                <w:b/>
                <w:bCs/>
                <w:noProof/>
              </w:rPr>
              <w:t xml:space="preserve"> </w:t>
            </w:r>
            <w:r w:rsidRPr="003B6A7B">
              <w:rPr>
                <w:rStyle w:val="Hyperlink"/>
                <w:rFonts w:ascii="Times New Roman" w:hAnsi="Times New Roman" w:cs="Times New Roman"/>
                <w:b/>
                <w:bCs/>
                <w:noProof/>
              </w:rPr>
              <w:t>Flowchart</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_Toc182493128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6</w:t>
            </w:r>
            <w:r w:rsidRPr="003B6A7B">
              <w:rPr>
                <w:rFonts w:ascii="Times New Roman" w:hAnsi="Times New Roman" w:cs="Times New Roman"/>
                <w:b/>
                <w:bCs/>
                <w:noProof/>
                <w:webHidden/>
              </w:rPr>
              <w:fldChar w:fldCharType="end"/>
            </w:r>
          </w:hyperlink>
        </w:p>
        <w:p w14:paraId="56CA3882" w14:textId="462C77F1" w:rsidR="003B6A7B" w:rsidRPr="003B6A7B" w:rsidRDefault="003B6A7B">
          <w:pPr>
            <w:pStyle w:val="TOC1"/>
            <w:tabs>
              <w:tab w:val="right" w:leader="dot" w:pos="9350"/>
            </w:tabs>
            <w:rPr>
              <w:rFonts w:ascii="Times New Roman" w:hAnsi="Times New Roman" w:cs="Times New Roman"/>
              <w:b/>
              <w:bCs/>
              <w:noProof/>
            </w:rPr>
          </w:pPr>
          <w:hyperlink w:anchor="_Toc182493129" w:history="1">
            <w:r w:rsidRPr="003B6A7B">
              <w:rPr>
                <w:rStyle w:val="Hyperlink"/>
                <w:rFonts w:ascii="Times New Roman" w:hAnsi="Times New Roman" w:cs="Times New Roman"/>
                <w:b/>
                <w:bCs/>
                <w:noProof/>
              </w:rPr>
              <w:t>2. AMSTAR Risk-Of-Bias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_Toc182493129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7</w:t>
            </w:r>
            <w:r w:rsidRPr="003B6A7B">
              <w:rPr>
                <w:rFonts w:ascii="Times New Roman" w:hAnsi="Times New Roman" w:cs="Times New Roman"/>
                <w:b/>
                <w:bCs/>
                <w:noProof/>
                <w:webHidden/>
              </w:rPr>
              <w:fldChar w:fldCharType="end"/>
            </w:r>
          </w:hyperlink>
        </w:p>
        <w:p w14:paraId="26E6ABF2" w14:textId="39E9224B" w:rsidR="003B6A7B" w:rsidRPr="003B6A7B" w:rsidRDefault="003B6A7B">
          <w:pPr>
            <w:pStyle w:val="TOC1"/>
            <w:tabs>
              <w:tab w:val="right" w:leader="dot" w:pos="9350"/>
            </w:tabs>
            <w:rPr>
              <w:rFonts w:ascii="Times New Roman" w:hAnsi="Times New Roman" w:cs="Times New Roman"/>
              <w:b/>
              <w:bCs/>
              <w:noProof/>
            </w:rPr>
          </w:pPr>
          <w:hyperlink w:anchor="_Toc182493130" w:history="1">
            <w:r w:rsidRPr="003B6A7B">
              <w:rPr>
                <w:rStyle w:val="Hyperlink"/>
                <w:rFonts w:ascii="Times New Roman" w:hAnsi="Times New Roman" w:cs="Times New Roman"/>
                <w:b/>
                <w:bCs/>
                <w:noProof/>
              </w:rPr>
              <w:t>3. GROOVE Analyses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_Toc182493130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9</w:t>
            </w:r>
            <w:r w:rsidRPr="003B6A7B">
              <w:rPr>
                <w:rFonts w:ascii="Times New Roman" w:hAnsi="Times New Roman" w:cs="Times New Roman"/>
                <w:b/>
                <w:bCs/>
                <w:noProof/>
                <w:webHidden/>
              </w:rPr>
              <w:fldChar w:fldCharType="end"/>
            </w:r>
          </w:hyperlink>
        </w:p>
        <w:p w14:paraId="7A5F18C9" w14:textId="66819E83" w:rsidR="003B6A7B" w:rsidRPr="003B6A7B" w:rsidRDefault="003B6A7B">
          <w:pPr>
            <w:pStyle w:val="TOC1"/>
            <w:tabs>
              <w:tab w:val="right" w:leader="dot" w:pos="9350"/>
            </w:tabs>
            <w:rPr>
              <w:rFonts w:ascii="Times New Roman" w:hAnsi="Times New Roman" w:cs="Times New Roman"/>
              <w:b/>
              <w:bCs/>
              <w:noProof/>
            </w:rPr>
          </w:pPr>
          <w:hyperlink w:anchor="_Toc182493131" w:history="1">
            <w:r w:rsidRPr="003B6A7B">
              <w:rPr>
                <w:rStyle w:val="Hyperlink"/>
                <w:rFonts w:ascii="Times New Roman" w:hAnsi="Times New Roman" w:cs="Times New Roman"/>
                <w:b/>
                <w:bCs/>
                <w:noProof/>
              </w:rPr>
              <w:t>4. Funnel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_Toc182493131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12</w:t>
            </w:r>
            <w:r w:rsidRPr="003B6A7B">
              <w:rPr>
                <w:rFonts w:ascii="Times New Roman" w:hAnsi="Times New Roman" w:cs="Times New Roman"/>
                <w:b/>
                <w:bCs/>
                <w:noProof/>
                <w:webHidden/>
              </w:rPr>
              <w:fldChar w:fldCharType="end"/>
            </w:r>
          </w:hyperlink>
        </w:p>
        <w:p w14:paraId="2D46C7DD" w14:textId="798F95F7" w:rsidR="003B6A7B" w:rsidRPr="003B6A7B" w:rsidRDefault="003B6A7B">
          <w:pPr>
            <w:pStyle w:val="TOC1"/>
            <w:tabs>
              <w:tab w:val="right" w:leader="dot" w:pos="9350"/>
            </w:tabs>
            <w:rPr>
              <w:rFonts w:ascii="Times New Roman" w:hAnsi="Times New Roman" w:cs="Times New Roman"/>
              <w:b/>
              <w:bCs/>
              <w:noProof/>
            </w:rPr>
          </w:pPr>
          <w:hyperlink w:anchor="_Toc182493132" w:history="1">
            <w:r w:rsidRPr="003B6A7B">
              <w:rPr>
                <w:rStyle w:val="Hyperlink"/>
                <w:rFonts w:ascii="Times New Roman" w:hAnsi="Times New Roman" w:cs="Times New Roman"/>
                <w:b/>
                <w:bCs/>
                <w:noProof/>
              </w:rPr>
              <w:t>5. Prepost HbA1c Forest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_Toc182493132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17</w:t>
            </w:r>
            <w:r w:rsidRPr="003B6A7B">
              <w:rPr>
                <w:rFonts w:ascii="Times New Roman" w:hAnsi="Times New Roman" w:cs="Times New Roman"/>
                <w:b/>
                <w:bCs/>
                <w:noProof/>
                <w:webHidden/>
              </w:rPr>
              <w:fldChar w:fldCharType="end"/>
            </w:r>
          </w:hyperlink>
        </w:p>
        <w:p w14:paraId="0F6E320B" w14:textId="599334CF" w:rsidR="003B6A7B" w:rsidRPr="003B6A7B" w:rsidRDefault="003B6A7B">
          <w:pPr>
            <w:pStyle w:val="TOC1"/>
            <w:tabs>
              <w:tab w:val="right" w:leader="dot" w:pos="9350"/>
            </w:tabs>
            <w:rPr>
              <w:rFonts w:ascii="Times New Roman" w:hAnsi="Times New Roman" w:cs="Times New Roman"/>
              <w:b/>
              <w:bCs/>
              <w:noProof/>
            </w:rPr>
          </w:pPr>
          <w:hyperlink w:anchor="_Toc182493133" w:history="1">
            <w:r w:rsidRPr="003B6A7B">
              <w:rPr>
                <w:rStyle w:val="Hyperlink"/>
                <w:rFonts w:ascii="Times New Roman" w:hAnsi="Times New Roman" w:cs="Times New Roman"/>
                <w:b/>
                <w:bCs/>
                <w:noProof/>
              </w:rPr>
              <w:t>6. Follow-up HbA1c Forest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_Toc182493133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27</w:t>
            </w:r>
            <w:r w:rsidRPr="003B6A7B">
              <w:rPr>
                <w:rFonts w:ascii="Times New Roman" w:hAnsi="Times New Roman" w:cs="Times New Roman"/>
                <w:b/>
                <w:bCs/>
                <w:noProof/>
                <w:webHidden/>
              </w:rPr>
              <w:fldChar w:fldCharType="end"/>
            </w:r>
          </w:hyperlink>
        </w:p>
        <w:p w14:paraId="118291C9" w14:textId="1BC65076" w:rsidR="003B6A7B" w:rsidRPr="003B6A7B" w:rsidRDefault="003B6A7B">
          <w:pPr>
            <w:pStyle w:val="TOC1"/>
            <w:tabs>
              <w:tab w:val="right" w:leader="dot" w:pos="9350"/>
            </w:tabs>
            <w:rPr>
              <w:rFonts w:ascii="Times New Roman" w:hAnsi="Times New Roman" w:cs="Times New Roman"/>
              <w:b/>
              <w:bCs/>
              <w:noProof/>
            </w:rPr>
          </w:pPr>
          <w:hyperlink w:anchor="_Toc182493134" w:history="1">
            <w:r w:rsidRPr="003B6A7B">
              <w:rPr>
                <w:rStyle w:val="Hyperlink"/>
                <w:rFonts w:ascii="Times New Roman" w:hAnsi="Times New Roman" w:cs="Times New Roman"/>
                <w:b/>
                <w:bCs/>
                <w:noProof/>
              </w:rPr>
              <w:t>7. Time-In-Range Forest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_Toc182493134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34</w:t>
            </w:r>
            <w:r w:rsidRPr="003B6A7B">
              <w:rPr>
                <w:rFonts w:ascii="Times New Roman" w:hAnsi="Times New Roman" w:cs="Times New Roman"/>
                <w:b/>
                <w:bCs/>
                <w:noProof/>
                <w:webHidden/>
              </w:rPr>
              <w:fldChar w:fldCharType="end"/>
            </w:r>
          </w:hyperlink>
        </w:p>
        <w:p w14:paraId="591F91ED" w14:textId="52911087" w:rsidR="003B6A7B" w:rsidRPr="003B6A7B" w:rsidRDefault="003B6A7B">
          <w:pPr>
            <w:pStyle w:val="TOC1"/>
            <w:tabs>
              <w:tab w:val="right" w:leader="dot" w:pos="9350"/>
            </w:tabs>
            <w:rPr>
              <w:rFonts w:ascii="Times New Roman" w:hAnsi="Times New Roman" w:cs="Times New Roman"/>
              <w:b/>
              <w:bCs/>
              <w:noProof/>
            </w:rPr>
          </w:pPr>
          <w:hyperlink w:anchor="_Toc182493135" w:history="1">
            <w:r w:rsidRPr="003B6A7B">
              <w:rPr>
                <w:rStyle w:val="Hyperlink"/>
                <w:rFonts w:ascii="Times New Roman" w:hAnsi="Times New Roman" w:cs="Times New Roman"/>
                <w:b/>
                <w:bCs/>
                <w:noProof/>
              </w:rPr>
              <w:t>8. Time-Above-Range Forest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_Toc182493135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38</w:t>
            </w:r>
            <w:r w:rsidRPr="003B6A7B">
              <w:rPr>
                <w:rFonts w:ascii="Times New Roman" w:hAnsi="Times New Roman" w:cs="Times New Roman"/>
                <w:b/>
                <w:bCs/>
                <w:noProof/>
                <w:webHidden/>
              </w:rPr>
              <w:fldChar w:fldCharType="end"/>
            </w:r>
          </w:hyperlink>
        </w:p>
        <w:p w14:paraId="2B2E1CFF" w14:textId="0F487E05" w:rsidR="003B6A7B" w:rsidRPr="003B6A7B" w:rsidRDefault="003B6A7B">
          <w:pPr>
            <w:pStyle w:val="TOC1"/>
            <w:tabs>
              <w:tab w:val="right" w:leader="dot" w:pos="9350"/>
            </w:tabs>
            <w:rPr>
              <w:rFonts w:ascii="Times New Roman" w:hAnsi="Times New Roman" w:cs="Times New Roman"/>
              <w:b/>
              <w:bCs/>
              <w:noProof/>
            </w:rPr>
          </w:pPr>
          <w:hyperlink w:anchor="_Toc182493136" w:history="1">
            <w:r w:rsidRPr="003B6A7B">
              <w:rPr>
                <w:rStyle w:val="Hyperlink"/>
                <w:rFonts w:ascii="Times New Roman" w:hAnsi="Times New Roman" w:cs="Times New Roman"/>
                <w:b/>
                <w:bCs/>
                <w:noProof/>
              </w:rPr>
              <w:t>9. Time-Below-Range Forest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_Toc182493136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42</w:t>
            </w:r>
            <w:r w:rsidRPr="003B6A7B">
              <w:rPr>
                <w:rFonts w:ascii="Times New Roman" w:hAnsi="Times New Roman" w:cs="Times New Roman"/>
                <w:b/>
                <w:bCs/>
                <w:noProof/>
                <w:webHidden/>
              </w:rPr>
              <w:fldChar w:fldCharType="end"/>
            </w:r>
          </w:hyperlink>
        </w:p>
        <w:p w14:paraId="231B2BB2" w14:textId="48962338" w:rsidR="003B6A7B" w:rsidRPr="003B6A7B" w:rsidRDefault="003B6A7B">
          <w:pPr>
            <w:pStyle w:val="TOC1"/>
            <w:tabs>
              <w:tab w:val="right" w:leader="dot" w:pos="9350"/>
            </w:tabs>
            <w:rPr>
              <w:rFonts w:ascii="Times New Roman" w:hAnsi="Times New Roman" w:cs="Times New Roman"/>
              <w:b/>
              <w:bCs/>
              <w:noProof/>
            </w:rPr>
          </w:pPr>
          <w:hyperlink w:anchor="_Toc182493137" w:history="1">
            <w:r w:rsidRPr="003B6A7B">
              <w:rPr>
                <w:rStyle w:val="Hyperlink"/>
                <w:rFonts w:ascii="Times New Roman" w:hAnsi="Times New Roman" w:cs="Times New Roman"/>
                <w:b/>
                <w:bCs/>
                <w:noProof/>
              </w:rPr>
              <w:t>10. Patient Reported Outcome Measures (PROM)</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_Toc182493137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46</w:t>
            </w:r>
            <w:r w:rsidRPr="003B6A7B">
              <w:rPr>
                <w:rFonts w:ascii="Times New Roman" w:hAnsi="Times New Roman" w:cs="Times New Roman"/>
                <w:b/>
                <w:bCs/>
                <w:noProof/>
                <w:webHidden/>
              </w:rPr>
              <w:fldChar w:fldCharType="end"/>
            </w:r>
          </w:hyperlink>
        </w:p>
        <w:p w14:paraId="646802F6" w14:textId="05F83F69" w:rsidR="003B6A7B" w:rsidRPr="003B6A7B" w:rsidRDefault="003B6A7B">
          <w:pPr>
            <w:pStyle w:val="TOC1"/>
            <w:tabs>
              <w:tab w:val="right" w:leader="dot" w:pos="9350"/>
            </w:tabs>
            <w:rPr>
              <w:rFonts w:ascii="Times New Roman" w:hAnsi="Times New Roman" w:cs="Times New Roman"/>
              <w:b/>
              <w:bCs/>
              <w:noProof/>
            </w:rPr>
          </w:pPr>
          <w:hyperlink w:anchor="_Toc182493138" w:history="1">
            <w:r w:rsidRPr="003B6A7B">
              <w:rPr>
                <w:rStyle w:val="Hyperlink"/>
                <w:rFonts w:ascii="Times New Roman" w:hAnsi="Times New Roman" w:cs="Times New Roman"/>
                <w:b/>
                <w:bCs/>
                <w:noProof/>
              </w:rPr>
              <w:t>11. Baujat Plots</w:t>
            </w:r>
            <w:r w:rsidRPr="003B6A7B">
              <w:rPr>
                <w:rFonts w:ascii="Times New Roman" w:hAnsi="Times New Roman" w:cs="Times New Roman"/>
                <w:b/>
                <w:bCs/>
                <w:noProof/>
                <w:webHidden/>
              </w:rPr>
              <w:tab/>
            </w:r>
            <w:r w:rsidRPr="003B6A7B">
              <w:rPr>
                <w:rFonts w:ascii="Times New Roman" w:hAnsi="Times New Roman" w:cs="Times New Roman"/>
                <w:b/>
                <w:bCs/>
                <w:noProof/>
                <w:webHidden/>
              </w:rPr>
              <w:fldChar w:fldCharType="begin"/>
            </w:r>
            <w:r w:rsidRPr="003B6A7B">
              <w:rPr>
                <w:rFonts w:ascii="Times New Roman" w:hAnsi="Times New Roman" w:cs="Times New Roman"/>
                <w:b/>
                <w:bCs/>
                <w:noProof/>
                <w:webHidden/>
              </w:rPr>
              <w:instrText xml:space="preserve"> PAGEREF _Toc182493138 \h </w:instrText>
            </w:r>
            <w:r w:rsidRPr="003B6A7B">
              <w:rPr>
                <w:rFonts w:ascii="Times New Roman" w:hAnsi="Times New Roman" w:cs="Times New Roman"/>
                <w:b/>
                <w:bCs/>
                <w:noProof/>
                <w:webHidden/>
              </w:rPr>
            </w:r>
            <w:r w:rsidRPr="003B6A7B">
              <w:rPr>
                <w:rFonts w:ascii="Times New Roman" w:hAnsi="Times New Roman" w:cs="Times New Roman"/>
                <w:b/>
                <w:bCs/>
                <w:noProof/>
                <w:webHidden/>
              </w:rPr>
              <w:fldChar w:fldCharType="separate"/>
            </w:r>
            <w:r w:rsidRPr="003B6A7B">
              <w:rPr>
                <w:rFonts w:ascii="Times New Roman" w:hAnsi="Times New Roman" w:cs="Times New Roman"/>
                <w:b/>
                <w:bCs/>
                <w:noProof/>
                <w:webHidden/>
              </w:rPr>
              <w:t>49</w:t>
            </w:r>
            <w:r w:rsidRPr="003B6A7B">
              <w:rPr>
                <w:rFonts w:ascii="Times New Roman" w:hAnsi="Times New Roman" w:cs="Times New Roman"/>
                <w:b/>
                <w:bCs/>
                <w:noProof/>
                <w:webHidden/>
              </w:rPr>
              <w:fldChar w:fldCharType="end"/>
            </w:r>
          </w:hyperlink>
        </w:p>
        <w:p w14:paraId="139B7120" w14:textId="05467329" w:rsidR="00085B81" w:rsidRDefault="00000000">
          <w:pPr>
            <w:widowControl w:val="0"/>
            <w:tabs>
              <w:tab w:val="right" w:leader="dot" w:pos="12000"/>
            </w:tabs>
            <w:spacing w:before="60" w:line="240" w:lineRule="auto"/>
            <w:rPr>
              <w:rFonts w:ascii="Times New Roman" w:eastAsia="Times New Roman" w:hAnsi="Times New Roman" w:cs="Times New Roman"/>
              <w:b/>
              <w:color w:val="000000"/>
            </w:rPr>
          </w:pPr>
          <w:r>
            <w:fldChar w:fldCharType="end"/>
          </w:r>
        </w:p>
      </w:sdtContent>
    </w:sdt>
    <w:p w14:paraId="4D4F8E93" w14:textId="77777777" w:rsidR="00085B81" w:rsidRDefault="00000000">
      <w:pPr>
        <w:rPr>
          <w:rFonts w:ascii="Times New Roman" w:eastAsia="Times New Roman" w:hAnsi="Times New Roman" w:cs="Times New Roman"/>
          <w:color w:val="444746"/>
          <w:sz w:val="21"/>
          <w:szCs w:val="21"/>
          <w:highlight w:val="white"/>
        </w:rPr>
      </w:pPr>
      <w:r>
        <w:br w:type="page"/>
      </w:r>
    </w:p>
    <w:p w14:paraId="001D6EDB" w14:textId="77777777" w:rsidR="00085B81" w:rsidRDefault="00000000">
      <w:pPr>
        <w:pStyle w:val="Heading1"/>
        <w:rPr>
          <w:color w:val="444746"/>
          <w:sz w:val="21"/>
          <w:szCs w:val="21"/>
          <w:highlight w:val="white"/>
        </w:rPr>
      </w:pPr>
      <w:bookmarkStart w:id="0" w:name="_Toc182493127"/>
      <w:r>
        <w:lastRenderedPageBreak/>
        <w:t>0. Search Strategy</w:t>
      </w:r>
      <w:bookmarkEnd w:id="0"/>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85B81" w14:paraId="31E2E6C7" w14:textId="77777777">
        <w:tc>
          <w:tcPr>
            <w:tcW w:w="9360" w:type="dxa"/>
            <w:shd w:val="clear" w:color="auto" w:fill="auto"/>
            <w:tcMar>
              <w:top w:w="100" w:type="dxa"/>
              <w:left w:w="100" w:type="dxa"/>
              <w:bottom w:w="100" w:type="dxa"/>
              <w:right w:w="100" w:type="dxa"/>
            </w:tcMar>
          </w:tcPr>
          <w:p w14:paraId="043265AF" w14:textId="77777777" w:rsidR="00085B81" w:rsidRDefault="00085B81">
            <w:pPr>
              <w:widowControl w:val="0"/>
              <w:rPr>
                <w:rFonts w:ascii="Times New Roman" w:eastAsia="Times New Roman" w:hAnsi="Times New Roman" w:cs="Times New Roman"/>
                <w:color w:val="444746"/>
                <w:sz w:val="21"/>
                <w:szCs w:val="21"/>
                <w:highlight w:val="white"/>
              </w:rPr>
            </w:pPr>
          </w:p>
          <w:tbl>
            <w:tblPr>
              <w:tblStyle w:val="a0"/>
              <w:tblW w:w="9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60"/>
            </w:tblGrid>
            <w:tr w:rsidR="00085B81" w14:paraId="1A9FF77A" w14:textId="77777777">
              <w:tc>
                <w:tcPr>
                  <w:tcW w:w="9160" w:type="dxa"/>
                  <w:shd w:val="clear" w:color="auto" w:fill="000000"/>
                  <w:tcMar>
                    <w:top w:w="100" w:type="dxa"/>
                    <w:left w:w="100" w:type="dxa"/>
                    <w:bottom w:w="100" w:type="dxa"/>
                    <w:right w:w="100" w:type="dxa"/>
                  </w:tcMar>
                </w:tcPr>
                <w:p w14:paraId="1C739ECE" w14:textId="77777777" w:rsidR="00085B81" w:rsidRDefault="00000000">
                  <w:pPr>
                    <w:widowControl w:val="0"/>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eMethods(a) Embase</w:t>
                  </w:r>
                </w:p>
              </w:tc>
            </w:tr>
            <w:tr w:rsidR="00085B81" w14:paraId="0FC7EF50" w14:textId="77777777">
              <w:tc>
                <w:tcPr>
                  <w:tcW w:w="9160" w:type="dxa"/>
                  <w:shd w:val="clear" w:color="auto" w:fill="auto"/>
                  <w:tcMar>
                    <w:top w:w="100" w:type="dxa"/>
                    <w:left w:w="100" w:type="dxa"/>
                    <w:bottom w:w="100" w:type="dxa"/>
                    <w:right w:w="100" w:type="dxa"/>
                  </w:tcMar>
                </w:tcPr>
                <w:p w14:paraId="05E5BE2E" w14:textId="77777777" w:rsidR="00085B81" w:rsidRDefault="00085B81">
                  <w:pPr>
                    <w:rPr>
                      <w:rFonts w:ascii="Times New Roman" w:eastAsia="Times New Roman" w:hAnsi="Times New Roman" w:cs="Times New Roman"/>
                      <w:sz w:val="20"/>
                      <w:szCs w:val="20"/>
                    </w:rPr>
                  </w:pPr>
                </w:p>
                <w:tbl>
                  <w:tblPr>
                    <w:tblStyle w:val="a1"/>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8400"/>
                  </w:tblGrid>
                  <w:tr w:rsidR="00085B81" w14:paraId="297A0985"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59BDA50B"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5B716D46"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("Diabetes Mellitus Type 2" or "Diabetes Type 2" or "Type 2 DM" or "T2DM" or "T2-DM" or "MODY" or "NIDDM" or "T2D" or Diabetes or "Diabetes Mellitus" or "dietary assessment" or "Obesity").ti,ab. </w:t>
                        </w:r>
                      </w:p>
                    </w:tc>
                  </w:tr>
                  <w:tr w:rsidR="00085B81" w14:paraId="05996949" w14:textId="77777777">
                    <w:trPr>
                      <w:trHeight w:val="369"/>
                    </w:trPr>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49CC0D28"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34218934"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 "Diabetes Mellitus, Type 2"/ </w:t>
                        </w:r>
                      </w:p>
                    </w:tc>
                  </w:tr>
                  <w:tr w:rsidR="00085B81" w14:paraId="221D830A"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6968BD61"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7236245A"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 "Diabetes Mellitus"/ </w:t>
                        </w:r>
                      </w:p>
                    </w:tc>
                  </w:tr>
                  <w:tr w:rsidR="00085B81" w14:paraId="49ED9E5D"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6138D14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5BC2596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 "Continuous Glucose Monitoring"/ </w:t>
                        </w:r>
                      </w:p>
                    </w:tc>
                  </w:tr>
                  <w:tr w:rsidR="00085B81" w14:paraId="34BCB7F2"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3BE1219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46D356FB"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("glucose monitor*" or "CGM" or "CGMS" or "FGM" or "CGM/FGM" or (glucose adj3 (monitoring or measurement or monitor or measure)) or "GlucoWatch" or "Medtronic" or "guardian" or "glucosemeter" or "dexcom" or (navigator and freestyle)).ti,ab.</w:t>
                        </w:r>
                      </w:p>
                    </w:tc>
                  </w:tr>
                  <w:tr w:rsidR="00085B81" w14:paraId="47DBACA0"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46E993CF"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09D83E53"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 or 2 or 3) and (4 or 5)</w:t>
                        </w:r>
                      </w:p>
                    </w:tc>
                  </w:tr>
                  <w:tr w:rsidR="00085B81" w14:paraId="399CDBDB"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517A51F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40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5CA824E9"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 1" or "Type One" or T1D or T1DM).ti. </w:t>
                        </w:r>
                      </w:p>
                    </w:tc>
                  </w:tr>
                  <w:tr w:rsidR="00085B81" w14:paraId="51FC6F25" w14:textId="77777777">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51AB38E6"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40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0B2AF50"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not 7 </w:t>
                        </w:r>
                      </w:p>
                    </w:tc>
                  </w:tr>
                  <w:tr w:rsidR="00085B81" w14:paraId="271AB34F" w14:textId="77777777">
                    <w:trPr>
                      <w:trHeight w:val="339"/>
                    </w:trPr>
                    <w:tc>
                      <w:tcPr>
                        <w:tcW w:w="5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5C40CB89"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40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CCD3298"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and ("systematic review" or "meta-analysis" or "meta analysis").pt. </w:t>
                        </w:r>
                      </w:p>
                    </w:tc>
                  </w:tr>
                </w:tbl>
                <w:p w14:paraId="465D991E" w14:textId="77777777" w:rsidR="00085B81" w:rsidRDefault="00085B81">
                  <w:pPr>
                    <w:rPr>
                      <w:rFonts w:ascii="Times New Roman" w:eastAsia="Times New Roman" w:hAnsi="Times New Roman" w:cs="Times New Roman"/>
                      <w:sz w:val="20"/>
                      <w:szCs w:val="20"/>
                    </w:rPr>
                  </w:pPr>
                </w:p>
              </w:tc>
            </w:tr>
            <w:tr w:rsidR="00085B81" w14:paraId="711C6EF8" w14:textId="77777777">
              <w:tc>
                <w:tcPr>
                  <w:tcW w:w="9160" w:type="dxa"/>
                  <w:shd w:val="clear" w:color="auto" w:fill="000000"/>
                  <w:tcMar>
                    <w:top w:w="100" w:type="dxa"/>
                    <w:left w:w="100" w:type="dxa"/>
                    <w:bottom w:w="100" w:type="dxa"/>
                    <w:right w:w="100" w:type="dxa"/>
                  </w:tcMar>
                </w:tcPr>
                <w:p w14:paraId="04349A9F"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eMethods(b) Cochrane Database of Systematic Reviews</w:t>
                  </w:r>
                </w:p>
              </w:tc>
            </w:tr>
            <w:tr w:rsidR="00085B81" w14:paraId="07EF1409" w14:textId="77777777">
              <w:tc>
                <w:tcPr>
                  <w:tcW w:w="9160" w:type="dxa"/>
                  <w:shd w:val="clear" w:color="auto" w:fill="auto"/>
                  <w:tcMar>
                    <w:top w:w="100" w:type="dxa"/>
                    <w:left w:w="100" w:type="dxa"/>
                    <w:bottom w:w="100" w:type="dxa"/>
                    <w:right w:w="100" w:type="dxa"/>
                  </w:tcMar>
                </w:tcPr>
                <w:p w14:paraId="6ADA1C8C" w14:textId="77777777" w:rsidR="00085B81" w:rsidRDefault="00085B81">
                  <w:pPr>
                    <w:rPr>
                      <w:rFonts w:ascii="Times New Roman" w:eastAsia="Times New Roman" w:hAnsi="Times New Roman" w:cs="Times New Roman"/>
                      <w:sz w:val="20"/>
                      <w:szCs w:val="20"/>
                    </w:rPr>
                  </w:pPr>
                </w:p>
                <w:tbl>
                  <w:tblPr>
                    <w:tblStyle w:val="a2"/>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8310"/>
                  </w:tblGrid>
                  <w:tr w:rsidR="00085B81" w14:paraId="4DB0DCB5"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4C861BD2"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4FE635F5"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("Diabetes Mellitus Type 2" or "Diabetes Type 2" or "Type 2 DM" or "T2DM" or "T2-DM" or "MODY" or "NIDDM" or "T2D" or Diabetes or "Diabetes Mellitus" or "dietary assessment" or "Obesity"):ti,ab 123258</w:t>
                        </w:r>
                      </w:p>
                    </w:tc>
                  </w:tr>
                  <w:tr w:rsidR="00085B81" w14:paraId="71D38238"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150FEA64"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1E9FC19E"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MeSH descriptor: [Diabetes Mellitus] explode all trees 46033</w:t>
                        </w:r>
                      </w:p>
                    </w:tc>
                  </w:tr>
                  <w:tr w:rsidR="00085B81" w14:paraId="488FDCBC"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5A37848B"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1EE4BF69"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MeSH descriptor: [Diabetes Mellitus, Type 2] explode all trees 26311</w:t>
                        </w:r>
                      </w:p>
                    </w:tc>
                  </w:tr>
                  <w:tr w:rsidR="00085B81" w14:paraId="67D3DC14"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5213FDF9"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640325F4"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MeSH descriptor: [Continuous Glucose Monitoring] explode all trees 19</w:t>
                        </w:r>
                      </w:p>
                    </w:tc>
                  </w:tr>
                  <w:tr w:rsidR="00085B81" w14:paraId="258C1EA0"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45AECE52"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5E2DFE92"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(("glucose" NEXT monitor*) or "CGM" or "CGMS" or "FGM" or "CGM/FGM" or (glucose NEAR/3 (monitoring or measurement or monitor or measure)) or "GlucoWatch" or "Medtronic" or "guardian" or "glucosemeter" or "dexcom" or (navigator and freestyle)):ti,ab 13548</w:t>
                        </w:r>
                      </w:p>
                    </w:tc>
                  </w:tr>
                  <w:tr w:rsidR="00085B81" w14:paraId="5564687E" w14:textId="77777777">
                    <w:tc>
                      <w:tcPr>
                        <w:tcW w:w="600" w:type="dxa"/>
                        <w:tcBorders>
                          <w:top w:val="single" w:sz="8" w:space="0" w:color="FFFFFF"/>
                          <w:left w:val="single" w:sz="8" w:space="0" w:color="FFFFFF"/>
                          <w:bottom w:val="single" w:sz="8" w:space="0" w:color="FFFFFF"/>
                          <w:right w:val="single" w:sz="5" w:space="0" w:color="FFFFFF"/>
                        </w:tcBorders>
                        <w:shd w:val="clear" w:color="auto" w:fill="auto"/>
                        <w:tcMar>
                          <w:top w:w="100" w:type="dxa"/>
                          <w:left w:w="100" w:type="dxa"/>
                          <w:bottom w:w="100" w:type="dxa"/>
                          <w:right w:w="100" w:type="dxa"/>
                        </w:tcMar>
                      </w:tcPr>
                      <w:p w14:paraId="0B7FB612"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310" w:type="dxa"/>
                        <w:tcBorders>
                          <w:top w:val="single" w:sz="5" w:space="0" w:color="FFFFFF"/>
                          <w:left w:val="single" w:sz="5" w:space="0" w:color="FFFFFF"/>
                          <w:bottom w:val="single" w:sz="5" w:space="0" w:color="FFFFFF"/>
                          <w:right w:val="single" w:sz="5" w:space="0" w:color="FFFFFF"/>
                        </w:tcBorders>
                        <w:tcMar>
                          <w:top w:w="40" w:type="dxa"/>
                          <w:left w:w="0" w:type="dxa"/>
                          <w:bottom w:w="40" w:type="dxa"/>
                          <w:right w:w="0" w:type="dxa"/>
                        </w:tcMar>
                        <w:vAlign w:val="bottom"/>
                      </w:tcPr>
                      <w:p w14:paraId="3D789121"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 or #2 or #3) and (#4 or #5) in Cochrane Reviews 19</w:t>
                        </w:r>
                      </w:p>
                    </w:tc>
                  </w:tr>
                </w:tbl>
                <w:p w14:paraId="08098AE2" w14:textId="77777777" w:rsidR="00085B81" w:rsidRDefault="00085B81">
                  <w:pPr>
                    <w:rPr>
                      <w:rFonts w:ascii="Times New Roman" w:eastAsia="Times New Roman" w:hAnsi="Times New Roman" w:cs="Times New Roman"/>
                      <w:sz w:val="20"/>
                      <w:szCs w:val="20"/>
                    </w:rPr>
                  </w:pPr>
                </w:p>
                <w:p w14:paraId="7121C329" w14:textId="77777777" w:rsidR="00085B81" w:rsidRDefault="00085B81">
                  <w:pPr>
                    <w:rPr>
                      <w:rFonts w:ascii="Times New Roman" w:eastAsia="Times New Roman" w:hAnsi="Times New Roman" w:cs="Times New Roman"/>
                      <w:sz w:val="20"/>
                      <w:szCs w:val="20"/>
                    </w:rPr>
                  </w:pPr>
                </w:p>
                <w:p w14:paraId="3748EB8A" w14:textId="77777777" w:rsidR="00085B81" w:rsidRDefault="00085B81">
                  <w:pPr>
                    <w:rPr>
                      <w:rFonts w:ascii="Times New Roman" w:eastAsia="Times New Roman" w:hAnsi="Times New Roman" w:cs="Times New Roman"/>
                      <w:sz w:val="20"/>
                      <w:szCs w:val="20"/>
                    </w:rPr>
                  </w:pPr>
                </w:p>
                <w:p w14:paraId="0380D97D" w14:textId="77777777" w:rsidR="00085B81" w:rsidRDefault="00085B81">
                  <w:pPr>
                    <w:rPr>
                      <w:rFonts w:ascii="Times New Roman" w:eastAsia="Times New Roman" w:hAnsi="Times New Roman" w:cs="Times New Roman"/>
                      <w:sz w:val="20"/>
                      <w:szCs w:val="20"/>
                    </w:rPr>
                  </w:pPr>
                </w:p>
                <w:p w14:paraId="01244769" w14:textId="77777777" w:rsidR="00085B81" w:rsidRDefault="00085B81">
                  <w:pPr>
                    <w:rPr>
                      <w:rFonts w:ascii="Times New Roman" w:eastAsia="Times New Roman" w:hAnsi="Times New Roman" w:cs="Times New Roman"/>
                      <w:sz w:val="20"/>
                      <w:szCs w:val="20"/>
                    </w:rPr>
                  </w:pPr>
                </w:p>
                <w:p w14:paraId="67D4470E" w14:textId="77777777" w:rsidR="00085B81" w:rsidRDefault="00085B81">
                  <w:pPr>
                    <w:rPr>
                      <w:rFonts w:ascii="Times New Roman" w:eastAsia="Times New Roman" w:hAnsi="Times New Roman" w:cs="Times New Roman"/>
                      <w:sz w:val="20"/>
                      <w:szCs w:val="20"/>
                    </w:rPr>
                  </w:pPr>
                </w:p>
                <w:p w14:paraId="55B6E1F7" w14:textId="77777777" w:rsidR="00085B81" w:rsidRDefault="00085B81">
                  <w:pPr>
                    <w:rPr>
                      <w:rFonts w:ascii="Times New Roman" w:eastAsia="Times New Roman" w:hAnsi="Times New Roman" w:cs="Times New Roman"/>
                      <w:sz w:val="20"/>
                      <w:szCs w:val="20"/>
                    </w:rPr>
                  </w:pPr>
                </w:p>
                <w:p w14:paraId="6407AC07" w14:textId="77777777" w:rsidR="00085B81" w:rsidRDefault="00085B81">
                  <w:pPr>
                    <w:rPr>
                      <w:rFonts w:ascii="Times New Roman" w:eastAsia="Times New Roman" w:hAnsi="Times New Roman" w:cs="Times New Roman"/>
                      <w:sz w:val="20"/>
                      <w:szCs w:val="20"/>
                    </w:rPr>
                  </w:pPr>
                </w:p>
                <w:p w14:paraId="155F6695" w14:textId="77777777" w:rsidR="00085B81" w:rsidRDefault="00085B81">
                  <w:pPr>
                    <w:rPr>
                      <w:rFonts w:ascii="Times New Roman" w:eastAsia="Times New Roman" w:hAnsi="Times New Roman" w:cs="Times New Roman"/>
                      <w:sz w:val="20"/>
                      <w:szCs w:val="20"/>
                    </w:rPr>
                  </w:pPr>
                </w:p>
              </w:tc>
            </w:tr>
            <w:tr w:rsidR="00085B81" w14:paraId="2D5E42DF" w14:textId="77777777">
              <w:tc>
                <w:tcPr>
                  <w:tcW w:w="9160" w:type="dxa"/>
                  <w:shd w:val="clear" w:color="auto" w:fill="000000"/>
                  <w:tcMar>
                    <w:top w:w="100" w:type="dxa"/>
                    <w:left w:w="100" w:type="dxa"/>
                    <w:bottom w:w="100" w:type="dxa"/>
                    <w:right w:w="100" w:type="dxa"/>
                  </w:tcMar>
                </w:tcPr>
                <w:p w14:paraId="79E04FB1"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eMethods(c) Web of Science</w:t>
                  </w:r>
                </w:p>
              </w:tc>
            </w:tr>
            <w:tr w:rsidR="00085B81" w14:paraId="6F37875F" w14:textId="77777777">
              <w:tc>
                <w:tcPr>
                  <w:tcW w:w="9160" w:type="dxa"/>
                  <w:shd w:val="clear" w:color="auto" w:fill="auto"/>
                  <w:tcMar>
                    <w:top w:w="100" w:type="dxa"/>
                    <w:left w:w="100" w:type="dxa"/>
                    <w:bottom w:w="100" w:type="dxa"/>
                    <w:right w:w="100" w:type="dxa"/>
                  </w:tcMar>
                </w:tcPr>
                <w:p w14:paraId="14382B5F" w14:textId="77777777" w:rsidR="00085B81" w:rsidRDefault="00085B81">
                  <w:pPr>
                    <w:widowControl w:val="0"/>
                    <w:rPr>
                      <w:rFonts w:ascii="Times New Roman" w:eastAsia="Times New Roman" w:hAnsi="Times New Roman" w:cs="Times New Roman"/>
                      <w:sz w:val="20"/>
                      <w:szCs w:val="20"/>
                    </w:rPr>
                  </w:pPr>
                </w:p>
                <w:tbl>
                  <w:tblPr>
                    <w:tblStyle w:val="a3"/>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8265"/>
                  </w:tblGrid>
                  <w:tr w:rsidR="00085B81" w14:paraId="588D5123" w14:textId="77777777">
                    <w:tc>
                      <w:tcPr>
                        <w:tcW w:w="645" w:type="dxa"/>
                        <w:tcBorders>
                          <w:top w:val="nil"/>
                          <w:left w:val="nil"/>
                          <w:bottom w:val="nil"/>
                          <w:right w:val="nil"/>
                        </w:tcBorders>
                        <w:tcMar>
                          <w:top w:w="100" w:type="dxa"/>
                          <w:left w:w="100" w:type="dxa"/>
                          <w:bottom w:w="100" w:type="dxa"/>
                          <w:right w:w="100" w:type="dxa"/>
                        </w:tcMar>
                      </w:tcPr>
                      <w:p w14:paraId="49E4A47E"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265" w:type="dxa"/>
                        <w:tcBorders>
                          <w:top w:val="nil"/>
                          <w:left w:val="nil"/>
                          <w:bottom w:val="nil"/>
                          <w:right w:val="nil"/>
                        </w:tcBorders>
                        <w:tcMar>
                          <w:top w:w="100" w:type="dxa"/>
                          <w:left w:w="100" w:type="dxa"/>
                          <w:bottom w:w="100" w:type="dxa"/>
                          <w:right w:w="100" w:type="dxa"/>
                        </w:tcMar>
                      </w:tcPr>
                      <w:p w14:paraId="63874C77"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TS=("Diabetes Mellitus" or "Diabetes Mellitus Type 2" or "Type 2 Diabetes Mellitus")</w:t>
                        </w:r>
                        <w:r>
                          <w:rPr>
                            <w:rFonts w:ascii="Times New Roman" w:eastAsia="Times New Roman" w:hAnsi="Times New Roman" w:cs="Times New Roman"/>
                            <w:sz w:val="20"/>
                            <w:szCs w:val="20"/>
                          </w:rPr>
                          <w:tab/>
                        </w:r>
                      </w:p>
                    </w:tc>
                  </w:tr>
                  <w:tr w:rsidR="00085B81" w14:paraId="36912360" w14:textId="77777777">
                    <w:trPr>
                      <w:trHeight w:val="795"/>
                    </w:trPr>
                    <w:tc>
                      <w:tcPr>
                        <w:tcW w:w="645" w:type="dxa"/>
                        <w:tcBorders>
                          <w:top w:val="nil"/>
                          <w:left w:val="nil"/>
                          <w:bottom w:val="nil"/>
                          <w:right w:val="nil"/>
                        </w:tcBorders>
                        <w:tcMar>
                          <w:top w:w="100" w:type="dxa"/>
                          <w:left w:w="100" w:type="dxa"/>
                          <w:bottom w:w="100" w:type="dxa"/>
                          <w:right w:w="100" w:type="dxa"/>
                        </w:tcMar>
                      </w:tcPr>
                      <w:p w14:paraId="406E98BC"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265" w:type="dxa"/>
                        <w:tcBorders>
                          <w:top w:val="nil"/>
                          <w:left w:val="nil"/>
                          <w:bottom w:val="nil"/>
                          <w:right w:val="nil"/>
                        </w:tcBorders>
                        <w:tcMar>
                          <w:top w:w="100" w:type="dxa"/>
                          <w:left w:w="100" w:type="dxa"/>
                          <w:bottom w:w="100" w:type="dxa"/>
                          <w:right w:w="100" w:type="dxa"/>
                        </w:tcMar>
                      </w:tcPr>
                      <w:p w14:paraId="6DE64926"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TI=("Diabetes Mellitus Type 2" or "Diabetes Type 2" or "Type 2 DM" or "T2DM" or "T2-DM" or "MODY" or "NIDDM" or "T2D" or Diabetes or "Diabetes Mellitus" or "dietary assessment" or "Obesity") OR AB=("Diabetes Mellitus Type 2" or "Diabetes Type 2" or "Type 2 DM" or "T2DM" or "T2-DM" or "MODY" or "NIDDM" or "T2D" or Diabetes or "Diabetes Mellitus" or "dietary assessment" or "Obesity")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56CF3367" w14:textId="77777777">
                    <w:trPr>
                      <w:trHeight w:val="189"/>
                    </w:trPr>
                    <w:tc>
                      <w:tcPr>
                        <w:tcW w:w="645" w:type="dxa"/>
                        <w:tcBorders>
                          <w:top w:val="nil"/>
                          <w:left w:val="nil"/>
                          <w:bottom w:val="nil"/>
                          <w:right w:val="nil"/>
                        </w:tcBorders>
                        <w:tcMar>
                          <w:top w:w="100" w:type="dxa"/>
                          <w:left w:w="100" w:type="dxa"/>
                          <w:bottom w:w="100" w:type="dxa"/>
                          <w:right w:w="100" w:type="dxa"/>
                        </w:tcMar>
                      </w:tcPr>
                      <w:p w14:paraId="7906FB5B"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265" w:type="dxa"/>
                        <w:tcBorders>
                          <w:top w:val="nil"/>
                          <w:left w:val="nil"/>
                          <w:bottom w:val="nil"/>
                          <w:right w:val="nil"/>
                        </w:tcBorders>
                        <w:tcMar>
                          <w:top w:w="100" w:type="dxa"/>
                          <w:left w:w="100" w:type="dxa"/>
                          <w:bottom w:w="100" w:type="dxa"/>
                          <w:right w:w="100" w:type="dxa"/>
                        </w:tcMar>
                      </w:tcPr>
                      <w:p w14:paraId="1BE5B7F7"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TS=("continuous glucose monitoring")</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79E6A1E0" w14:textId="77777777">
                    <w:tc>
                      <w:tcPr>
                        <w:tcW w:w="645" w:type="dxa"/>
                        <w:tcBorders>
                          <w:top w:val="nil"/>
                          <w:left w:val="nil"/>
                          <w:bottom w:val="nil"/>
                          <w:right w:val="nil"/>
                        </w:tcBorders>
                        <w:tcMar>
                          <w:top w:w="100" w:type="dxa"/>
                          <w:left w:w="100" w:type="dxa"/>
                          <w:bottom w:w="100" w:type="dxa"/>
                          <w:right w:w="100" w:type="dxa"/>
                        </w:tcMar>
                      </w:tcPr>
                      <w:p w14:paraId="65F3EADB"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265" w:type="dxa"/>
                        <w:tcBorders>
                          <w:top w:val="nil"/>
                          <w:left w:val="nil"/>
                          <w:bottom w:val="nil"/>
                          <w:right w:val="nil"/>
                        </w:tcBorders>
                        <w:tcMar>
                          <w:top w:w="100" w:type="dxa"/>
                          <w:left w:w="100" w:type="dxa"/>
                          <w:bottom w:w="100" w:type="dxa"/>
                          <w:right w:w="100" w:type="dxa"/>
                        </w:tcMar>
                      </w:tcPr>
                      <w:p w14:paraId="5985B7BD"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TI=("glucose monitor*" or "CGM" or "CGMS" or "FGM" or "CGM/FGM" or (glucose NEAR/3 (monitoring or measurement or monitor or measure)) or "GlucoWatch" or "Medtronic" or "guardian" or "glucosemeter" or "dexcom" or (navigator and freestyle)) OR AB=("glucose monitor*" or "CGM" or "CGMS" or "FGM" or "CGM/FGM" or (glucose NEAR/3 (monitoring or measurement or monitor or measure)) or "GlucoWatch" or "Medtronic" or "guardian" or "glucosemeter" or "dexcom" or (navigator and freestyle))</w:t>
                        </w:r>
                        <w:r>
                          <w:rPr>
                            <w:rFonts w:ascii="Times New Roman" w:eastAsia="Times New Roman" w:hAnsi="Times New Roman" w:cs="Times New Roman"/>
                            <w:sz w:val="20"/>
                            <w:szCs w:val="20"/>
                          </w:rPr>
                          <w:tab/>
                        </w:r>
                      </w:p>
                    </w:tc>
                  </w:tr>
                  <w:tr w:rsidR="00085B81" w14:paraId="01B1E1C4" w14:textId="77777777">
                    <w:tc>
                      <w:tcPr>
                        <w:tcW w:w="645" w:type="dxa"/>
                        <w:tcBorders>
                          <w:top w:val="nil"/>
                          <w:left w:val="nil"/>
                          <w:bottom w:val="nil"/>
                          <w:right w:val="nil"/>
                        </w:tcBorders>
                        <w:tcMar>
                          <w:top w:w="100" w:type="dxa"/>
                          <w:left w:w="100" w:type="dxa"/>
                          <w:bottom w:w="100" w:type="dxa"/>
                          <w:right w:w="100" w:type="dxa"/>
                        </w:tcMar>
                      </w:tcPr>
                      <w:p w14:paraId="1FDD14E0"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265" w:type="dxa"/>
                        <w:tcBorders>
                          <w:top w:val="nil"/>
                          <w:left w:val="nil"/>
                          <w:bottom w:val="nil"/>
                          <w:right w:val="nil"/>
                        </w:tcBorders>
                        <w:tcMar>
                          <w:top w:w="100" w:type="dxa"/>
                          <w:left w:w="100" w:type="dxa"/>
                          <w:bottom w:w="100" w:type="dxa"/>
                          <w:right w:w="100" w:type="dxa"/>
                        </w:tcMar>
                      </w:tcPr>
                      <w:p w14:paraId="7F768AA5"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 OR #2</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550ADA50" w14:textId="77777777">
                    <w:tc>
                      <w:tcPr>
                        <w:tcW w:w="645" w:type="dxa"/>
                        <w:tcBorders>
                          <w:top w:val="nil"/>
                          <w:left w:val="nil"/>
                          <w:bottom w:val="nil"/>
                          <w:right w:val="nil"/>
                        </w:tcBorders>
                        <w:tcMar>
                          <w:top w:w="100" w:type="dxa"/>
                          <w:left w:w="100" w:type="dxa"/>
                          <w:bottom w:w="100" w:type="dxa"/>
                          <w:right w:w="100" w:type="dxa"/>
                        </w:tcMar>
                      </w:tcPr>
                      <w:p w14:paraId="202EDF91"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265" w:type="dxa"/>
                        <w:tcBorders>
                          <w:top w:val="nil"/>
                          <w:left w:val="nil"/>
                          <w:bottom w:val="nil"/>
                          <w:right w:val="nil"/>
                        </w:tcBorders>
                        <w:tcMar>
                          <w:top w:w="100" w:type="dxa"/>
                          <w:left w:w="100" w:type="dxa"/>
                          <w:bottom w:w="100" w:type="dxa"/>
                          <w:right w:w="100" w:type="dxa"/>
                        </w:tcMar>
                      </w:tcPr>
                      <w:p w14:paraId="41437C78"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 OR #4</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48AD9781" w14:textId="77777777">
                    <w:tc>
                      <w:tcPr>
                        <w:tcW w:w="645" w:type="dxa"/>
                        <w:tcBorders>
                          <w:top w:val="nil"/>
                          <w:left w:val="nil"/>
                          <w:bottom w:val="nil"/>
                          <w:right w:val="nil"/>
                        </w:tcBorders>
                        <w:tcMar>
                          <w:top w:w="100" w:type="dxa"/>
                          <w:left w:w="100" w:type="dxa"/>
                          <w:bottom w:w="100" w:type="dxa"/>
                          <w:right w:w="100" w:type="dxa"/>
                        </w:tcMar>
                      </w:tcPr>
                      <w:p w14:paraId="1C661D49"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265" w:type="dxa"/>
                        <w:tcBorders>
                          <w:top w:val="nil"/>
                          <w:left w:val="nil"/>
                          <w:bottom w:val="nil"/>
                          <w:right w:val="nil"/>
                        </w:tcBorders>
                        <w:tcMar>
                          <w:top w:w="100" w:type="dxa"/>
                          <w:left w:w="100" w:type="dxa"/>
                          <w:bottom w:w="100" w:type="dxa"/>
                          <w:right w:w="100" w:type="dxa"/>
                        </w:tcMar>
                      </w:tcPr>
                      <w:p w14:paraId="147E346B"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 AND #6</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3704ED6A" w14:textId="77777777">
                    <w:tc>
                      <w:tcPr>
                        <w:tcW w:w="645" w:type="dxa"/>
                        <w:tcBorders>
                          <w:top w:val="nil"/>
                          <w:left w:val="nil"/>
                          <w:bottom w:val="nil"/>
                          <w:right w:val="nil"/>
                        </w:tcBorders>
                        <w:tcMar>
                          <w:top w:w="100" w:type="dxa"/>
                          <w:left w:w="100" w:type="dxa"/>
                          <w:bottom w:w="100" w:type="dxa"/>
                          <w:right w:w="100" w:type="dxa"/>
                        </w:tcMar>
                      </w:tcPr>
                      <w:p w14:paraId="469A1744"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265" w:type="dxa"/>
                        <w:tcBorders>
                          <w:top w:val="nil"/>
                          <w:left w:val="nil"/>
                          <w:bottom w:val="nil"/>
                          <w:right w:val="nil"/>
                        </w:tcBorders>
                        <w:tcMar>
                          <w:top w:w="100" w:type="dxa"/>
                          <w:left w:w="100" w:type="dxa"/>
                          <w:bottom w:w="100" w:type="dxa"/>
                          <w:right w:w="100" w:type="dxa"/>
                        </w:tcMar>
                      </w:tcPr>
                      <w:p w14:paraId="207B58A8"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TI = ("Type 1" or "Type One" or T1D or T1DM)</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55BC6EB6" w14:textId="77777777">
                    <w:tc>
                      <w:tcPr>
                        <w:tcW w:w="645" w:type="dxa"/>
                        <w:tcBorders>
                          <w:top w:val="nil"/>
                          <w:left w:val="nil"/>
                          <w:bottom w:val="nil"/>
                          <w:right w:val="nil"/>
                        </w:tcBorders>
                        <w:tcMar>
                          <w:top w:w="100" w:type="dxa"/>
                          <w:left w:w="100" w:type="dxa"/>
                          <w:bottom w:w="100" w:type="dxa"/>
                          <w:right w:w="100" w:type="dxa"/>
                        </w:tcMar>
                      </w:tcPr>
                      <w:p w14:paraId="5314C0D1"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265" w:type="dxa"/>
                        <w:tcBorders>
                          <w:top w:val="nil"/>
                          <w:left w:val="nil"/>
                          <w:bottom w:val="nil"/>
                          <w:right w:val="nil"/>
                        </w:tcBorders>
                        <w:tcMar>
                          <w:top w:w="100" w:type="dxa"/>
                          <w:left w:w="100" w:type="dxa"/>
                          <w:bottom w:w="100" w:type="dxa"/>
                          <w:right w:w="100" w:type="dxa"/>
                        </w:tcMar>
                      </w:tcPr>
                      <w:p w14:paraId="5E35EC70"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 NOT #8</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r w:rsidR="00085B81" w14:paraId="325D3809" w14:textId="77777777">
                    <w:tc>
                      <w:tcPr>
                        <w:tcW w:w="645" w:type="dxa"/>
                        <w:tcBorders>
                          <w:top w:val="nil"/>
                          <w:left w:val="nil"/>
                          <w:bottom w:val="nil"/>
                          <w:right w:val="nil"/>
                        </w:tcBorders>
                        <w:tcMar>
                          <w:top w:w="100" w:type="dxa"/>
                          <w:left w:w="100" w:type="dxa"/>
                          <w:bottom w:w="100" w:type="dxa"/>
                          <w:right w:w="100" w:type="dxa"/>
                        </w:tcMar>
                      </w:tcPr>
                      <w:p w14:paraId="38F016C8"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265" w:type="dxa"/>
                        <w:tcBorders>
                          <w:top w:val="nil"/>
                          <w:left w:val="nil"/>
                          <w:bottom w:val="nil"/>
                          <w:right w:val="nil"/>
                        </w:tcBorders>
                        <w:tcMar>
                          <w:top w:w="100" w:type="dxa"/>
                          <w:left w:w="100" w:type="dxa"/>
                          <w:bottom w:w="100" w:type="dxa"/>
                          <w:right w:w="100" w:type="dxa"/>
                        </w:tcMar>
                      </w:tcPr>
                      <w:p w14:paraId="6DA6C840"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 AND (TI=("systematic review" or "meta-analysis" or "meta analysis"))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tc>
                  </w:tr>
                </w:tbl>
                <w:p w14:paraId="3D3B839E" w14:textId="77777777" w:rsidR="00085B81" w:rsidRDefault="00085B81">
                  <w:pPr>
                    <w:widowControl w:val="0"/>
                    <w:rPr>
                      <w:rFonts w:ascii="Times New Roman" w:eastAsia="Times New Roman" w:hAnsi="Times New Roman" w:cs="Times New Roman"/>
                      <w:sz w:val="20"/>
                      <w:szCs w:val="20"/>
                    </w:rPr>
                  </w:pPr>
                </w:p>
                <w:p w14:paraId="2F350FC7" w14:textId="77777777" w:rsidR="00085B81" w:rsidRDefault="00085B81">
                  <w:pPr>
                    <w:widowControl w:val="0"/>
                    <w:rPr>
                      <w:rFonts w:ascii="Times New Roman" w:eastAsia="Times New Roman" w:hAnsi="Times New Roman" w:cs="Times New Roman"/>
                      <w:sz w:val="20"/>
                      <w:szCs w:val="20"/>
                    </w:rPr>
                  </w:pPr>
                </w:p>
                <w:p w14:paraId="21AB14CB" w14:textId="77777777" w:rsidR="00085B81" w:rsidRDefault="00085B81">
                  <w:pPr>
                    <w:widowControl w:val="0"/>
                    <w:rPr>
                      <w:rFonts w:ascii="Times New Roman" w:eastAsia="Times New Roman" w:hAnsi="Times New Roman" w:cs="Times New Roman"/>
                      <w:sz w:val="20"/>
                      <w:szCs w:val="20"/>
                    </w:rPr>
                  </w:pPr>
                </w:p>
                <w:p w14:paraId="3B497EDF" w14:textId="77777777" w:rsidR="00085B81" w:rsidRDefault="00085B81">
                  <w:pPr>
                    <w:widowControl w:val="0"/>
                    <w:rPr>
                      <w:rFonts w:ascii="Times New Roman" w:eastAsia="Times New Roman" w:hAnsi="Times New Roman" w:cs="Times New Roman"/>
                      <w:sz w:val="20"/>
                      <w:szCs w:val="20"/>
                    </w:rPr>
                  </w:pPr>
                </w:p>
                <w:p w14:paraId="0D9503A9" w14:textId="77777777" w:rsidR="00085B81" w:rsidRDefault="00085B81">
                  <w:pPr>
                    <w:widowControl w:val="0"/>
                    <w:rPr>
                      <w:rFonts w:ascii="Times New Roman" w:eastAsia="Times New Roman" w:hAnsi="Times New Roman" w:cs="Times New Roman"/>
                      <w:sz w:val="20"/>
                      <w:szCs w:val="20"/>
                    </w:rPr>
                  </w:pPr>
                </w:p>
                <w:p w14:paraId="28BA2B49" w14:textId="77777777" w:rsidR="00085B81" w:rsidRDefault="00085B81">
                  <w:pPr>
                    <w:widowControl w:val="0"/>
                    <w:rPr>
                      <w:rFonts w:ascii="Times New Roman" w:eastAsia="Times New Roman" w:hAnsi="Times New Roman" w:cs="Times New Roman"/>
                      <w:sz w:val="20"/>
                      <w:szCs w:val="20"/>
                    </w:rPr>
                  </w:pPr>
                </w:p>
                <w:p w14:paraId="091B4E8A" w14:textId="77777777" w:rsidR="00085B81" w:rsidRDefault="00085B81">
                  <w:pPr>
                    <w:widowControl w:val="0"/>
                    <w:rPr>
                      <w:rFonts w:ascii="Times New Roman" w:eastAsia="Times New Roman" w:hAnsi="Times New Roman" w:cs="Times New Roman"/>
                      <w:sz w:val="20"/>
                      <w:szCs w:val="20"/>
                    </w:rPr>
                  </w:pPr>
                </w:p>
                <w:p w14:paraId="77A0AE64" w14:textId="77777777" w:rsidR="00085B81" w:rsidRDefault="00085B81">
                  <w:pPr>
                    <w:widowControl w:val="0"/>
                    <w:rPr>
                      <w:rFonts w:ascii="Times New Roman" w:eastAsia="Times New Roman" w:hAnsi="Times New Roman" w:cs="Times New Roman"/>
                      <w:sz w:val="20"/>
                      <w:szCs w:val="20"/>
                    </w:rPr>
                  </w:pPr>
                </w:p>
                <w:p w14:paraId="6A4F1D40" w14:textId="77777777" w:rsidR="00085B81" w:rsidRDefault="00085B81">
                  <w:pPr>
                    <w:widowControl w:val="0"/>
                    <w:rPr>
                      <w:rFonts w:ascii="Times New Roman" w:eastAsia="Times New Roman" w:hAnsi="Times New Roman" w:cs="Times New Roman"/>
                      <w:sz w:val="20"/>
                      <w:szCs w:val="20"/>
                    </w:rPr>
                  </w:pPr>
                </w:p>
                <w:p w14:paraId="782201E1" w14:textId="77777777" w:rsidR="00085B81" w:rsidRDefault="00085B81">
                  <w:pPr>
                    <w:widowControl w:val="0"/>
                    <w:rPr>
                      <w:rFonts w:ascii="Times New Roman" w:eastAsia="Times New Roman" w:hAnsi="Times New Roman" w:cs="Times New Roman"/>
                      <w:sz w:val="20"/>
                      <w:szCs w:val="20"/>
                    </w:rPr>
                  </w:pPr>
                </w:p>
                <w:p w14:paraId="4BAF0894" w14:textId="77777777" w:rsidR="00085B81" w:rsidRDefault="00085B81">
                  <w:pPr>
                    <w:widowControl w:val="0"/>
                    <w:rPr>
                      <w:rFonts w:ascii="Times New Roman" w:eastAsia="Times New Roman" w:hAnsi="Times New Roman" w:cs="Times New Roman"/>
                      <w:sz w:val="20"/>
                      <w:szCs w:val="20"/>
                    </w:rPr>
                  </w:pPr>
                </w:p>
                <w:p w14:paraId="14E8E8B7" w14:textId="77777777" w:rsidR="00085B81" w:rsidRDefault="00085B81">
                  <w:pPr>
                    <w:widowControl w:val="0"/>
                    <w:rPr>
                      <w:rFonts w:ascii="Times New Roman" w:eastAsia="Times New Roman" w:hAnsi="Times New Roman" w:cs="Times New Roman"/>
                      <w:sz w:val="20"/>
                      <w:szCs w:val="20"/>
                    </w:rPr>
                  </w:pPr>
                </w:p>
                <w:p w14:paraId="46346AE1" w14:textId="77777777" w:rsidR="00085B81" w:rsidRDefault="00085B81">
                  <w:pPr>
                    <w:widowControl w:val="0"/>
                    <w:rPr>
                      <w:rFonts w:ascii="Times New Roman" w:eastAsia="Times New Roman" w:hAnsi="Times New Roman" w:cs="Times New Roman"/>
                      <w:sz w:val="20"/>
                      <w:szCs w:val="20"/>
                    </w:rPr>
                  </w:pPr>
                </w:p>
                <w:p w14:paraId="63F50EA1" w14:textId="77777777" w:rsidR="00085B81" w:rsidRDefault="00085B81">
                  <w:pPr>
                    <w:widowControl w:val="0"/>
                    <w:rPr>
                      <w:rFonts w:ascii="Times New Roman" w:eastAsia="Times New Roman" w:hAnsi="Times New Roman" w:cs="Times New Roman"/>
                      <w:sz w:val="20"/>
                      <w:szCs w:val="20"/>
                    </w:rPr>
                  </w:pPr>
                </w:p>
                <w:p w14:paraId="4B3F2EF9" w14:textId="77777777" w:rsidR="00085B81" w:rsidRDefault="00085B81">
                  <w:pPr>
                    <w:widowControl w:val="0"/>
                    <w:rPr>
                      <w:rFonts w:ascii="Times New Roman" w:eastAsia="Times New Roman" w:hAnsi="Times New Roman" w:cs="Times New Roman"/>
                      <w:sz w:val="20"/>
                      <w:szCs w:val="20"/>
                    </w:rPr>
                  </w:pPr>
                </w:p>
                <w:p w14:paraId="51F9E34B" w14:textId="77777777" w:rsidR="00085B81" w:rsidRDefault="00085B81">
                  <w:pPr>
                    <w:widowControl w:val="0"/>
                    <w:rPr>
                      <w:rFonts w:ascii="Times New Roman" w:eastAsia="Times New Roman" w:hAnsi="Times New Roman" w:cs="Times New Roman"/>
                      <w:sz w:val="20"/>
                      <w:szCs w:val="20"/>
                    </w:rPr>
                  </w:pPr>
                </w:p>
                <w:p w14:paraId="7A91901B" w14:textId="77777777" w:rsidR="00085B81" w:rsidRDefault="00085B81">
                  <w:pPr>
                    <w:widowControl w:val="0"/>
                    <w:rPr>
                      <w:rFonts w:ascii="Times New Roman" w:eastAsia="Times New Roman" w:hAnsi="Times New Roman" w:cs="Times New Roman"/>
                      <w:sz w:val="20"/>
                      <w:szCs w:val="20"/>
                    </w:rPr>
                  </w:pPr>
                </w:p>
                <w:p w14:paraId="3D52502C" w14:textId="77777777" w:rsidR="00085B81" w:rsidRDefault="00085B81">
                  <w:pPr>
                    <w:widowControl w:val="0"/>
                    <w:rPr>
                      <w:rFonts w:ascii="Times New Roman" w:eastAsia="Times New Roman" w:hAnsi="Times New Roman" w:cs="Times New Roman"/>
                      <w:sz w:val="20"/>
                      <w:szCs w:val="20"/>
                    </w:rPr>
                  </w:pPr>
                </w:p>
                <w:p w14:paraId="19DA8546" w14:textId="77777777" w:rsidR="00085B81" w:rsidRDefault="00085B81">
                  <w:pPr>
                    <w:widowControl w:val="0"/>
                    <w:rPr>
                      <w:rFonts w:ascii="Times New Roman" w:eastAsia="Times New Roman" w:hAnsi="Times New Roman" w:cs="Times New Roman"/>
                      <w:sz w:val="20"/>
                      <w:szCs w:val="20"/>
                    </w:rPr>
                  </w:pPr>
                </w:p>
              </w:tc>
            </w:tr>
            <w:tr w:rsidR="00085B81" w14:paraId="097E0621" w14:textId="77777777">
              <w:tc>
                <w:tcPr>
                  <w:tcW w:w="9160" w:type="dxa"/>
                  <w:shd w:val="clear" w:color="auto" w:fill="000000"/>
                  <w:tcMar>
                    <w:top w:w="100" w:type="dxa"/>
                    <w:left w:w="100" w:type="dxa"/>
                    <w:bottom w:w="100" w:type="dxa"/>
                    <w:right w:w="100" w:type="dxa"/>
                  </w:tcMar>
                </w:tcPr>
                <w:p w14:paraId="40514983"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eMethods(d) PubMed</w:t>
                  </w:r>
                </w:p>
              </w:tc>
            </w:tr>
            <w:tr w:rsidR="00085B81" w14:paraId="7D03D6D1" w14:textId="77777777">
              <w:tc>
                <w:tcPr>
                  <w:tcW w:w="9160" w:type="dxa"/>
                  <w:shd w:val="clear" w:color="auto" w:fill="auto"/>
                  <w:tcMar>
                    <w:top w:w="100" w:type="dxa"/>
                    <w:left w:w="100" w:type="dxa"/>
                    <w:bottom w:w="100" w:type="dxa"/>
                    <w:right w:w="100" w:type="dxa"/>
                  </w:tcMar>
                </w:tcPr>
                <w:p w14:paraId="42BDC3CE" w14:textId="77777777" w:rsidR="00085B81" w:rsidRDefault="00085B81">
                  <w:pPr>
                    <w:widowControl w:val="0"/>
                    <w:rPr>
                      <w:rFonts w:ascii="Times New Roman" w:eastAsia="Times New Roman" w:hAnsi="Times New Roman" w:cs="Times New Roman"/>
                      <w:sz w:val="20"/>
                      <w:szCs w:val="20"/>
                    </w:rPr>
                  </w:pPr>
                </w:p>
                <w:tbl>
                  <w:tblPr>
                    <w:tblStyle w:val="a4"/>
                    <w:tblW w:w="83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7755"/>
                  </w:tblGrid>
                  <w:tr w:rsidR="00085B81" w14:paraId="1EDEDA8C" w14:textId="77777777">
                    <w:tc>
                      <w:tcPr>
                        <w:tcW w:w="63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050D88EF"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755" w:type="dxa"/>
                        <w:tcBorders>
                          <w:top w:val="single" w:sz="5" w:space="0" w:color="FFFFFF"/>
                          <w:left w:val="single" w:sz="5" w:space="0" w:color="FFFFFF"/>
                          <w:bottom w:val="single" w:sz="5" w:space="0" w:color="FFFFFF"/>
                          <w:right w:val="single" w:sz="5" w:space="0" w:color="FFFFFF"/>
                        </w:tcBorders>
                        <w:shd w:val="clear" w:color="auto" w:fill="FFFFFF"/>
                        <w:tcMar>
                          <w:top w:w="40" w:type="dxa"/>
                          <w:left w:w="0" w:type="dxa"/>
                          <w:bottom w:w="40" w:type="dxa"/>
                          <w:right w:w="0" w:type="dxa"/>
                        </w:tcMar>
                      </w:tcPr>
                      <w:p w14:paraId="734AFD28" w14:textId="77777777" w:rsidR="00085B81" w:rsidRDefault="00000000">
                        <w:pPr>
                          <w:widowControl w:val="0"/>
                          <w:rPr>
                            <w:rFonts w:ascii="Times New Roman" w:eastAsia="Times New Roman" w:hAnsi="Times New Roman" w:cs="Times New Roman"/>
                            <w:color w:val="424242"/>
                            <w:sz w:val="20"/>
                            <w:szCs w:val="20"/>
                          </w:rPr>
                        </w:pPr>
                        <w:r>
                          <w:rPr>
                            <w:rFonts w:ascii="Times New Roman" w:eastAsia="Times New Roman" w:hAnsi="Times New Roman" w:cs="Times New Roman"/>
                            <w:color w:val="424242"/>
                            <w:sz w:val="20"/>
                            <w:szCs w:val="20"/>
                          </w:rPr>
                          <w:t>"Diabetes Mellitus, Type 2"[Mesh] OR "Diabetes Mellitus Type 2" [tiab:~3] OR "Diabetes Type 2" [tiab:~3] OR "Type 2 DM" [tiab:~3] OR "T2DM" OR "T2-DM" OR "MODY" OR "NIDDM" OR "T2D" OR Diabetes OR "Diabetes Mellitus"[Mesh] OR "dietary assessment" OR Obesity</w:t>
                        </w:r>
                      </w:p>
                    </w:tc>
                  </w:tr>
                  <w:tr w:rsidR="00085B81" w14:paraId="0F55E87B" w14:textId="77777777">
                    <w:tc>
                      <w:tcPr>
                        <w:tcW w:w="63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6672FFCE"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755" w:type="dxa"/>
                        <w:tcBorders>
                          <w:top w:val="single" w:sz="5" w:space="0" w:color="FFFFFF"/>
                          <w:left w:val="single" w:sz="5" w:space="0" w:color="FFFFFF"/>
                          <w:bottom w:val="single" w:sz="5" w:space="0" w:color="FFFFFF"/>
                          <w:right w:val="single" w:sz="5" w:space="0" w:color="FFFFFF"/>
                        </w:tcBorders>
                        <w:shd w:val="clear" w:color="auto" w:fill="FFFFFF"/>
                        <w:tcMar>
                          <w:top w:w="40" w:type="dxa"/>
                          <w:left w:w="0" w:type="dxa"/>
                          <w:bottom w:w="40" w:type="dxa"/>
                          <w:right w:w="0" w:type="dxa"/>
                        </w:tcMar>
                        <w:vAlign w:val="bottom"/>
                      </w:tcPr>
                      <w:p w14:paraId="64CC5E98" w14:textId="77777777" w:rsidR="00085B81" w:rsidRDefault="00000000">
                        <w:pPr>
                          <w:widowControl w:val="0"/>
                          <w:rPr>
                            <w:rFonts w:ascii="Times New Roman" w:eastAsia="Times New Roman" w:hAnsi="Times New Roman" w:cs="Times New Roman"/>
                            <w:color w:val="424242"/>
                            <w:sz w:val="20"/>
                            <w:szCs w:val="20"/>
                          </w:rPr>
                        </w:pPr>
                        <w:r>
                          <w:rPr>
                            <w:rFonts w:ascii="Times New Roman" w:eastAsia="Times New Roman" w:hAnsi="Times New Roman" w:cs="Times New Roman"/>
                            <w:color w:val="424242"/>
                            <w:sz w:val="20"/>
                            <w:szCs w:val="20"/>
                          </w:rPr>
                          <w:t>"Continuous Glucose Monitoring"[Mesh] OR "glucose monitor*"[Title/Abstract] OR "CGM"[Title/Abstract] OR "CGMS"[Title/Abstract] OR FGM[Title/Abstract] OR "CGM/FGM" OR "glucose monitoring" [tiab:~3] OR "glucose measurement" [tiab:~3] OR "glucose monitor" [tiab:~3] OR "glucose measure" [tiab:~3] OR GlucoWatch[Title/Abstract] OR Medtronic[Title/Abstract] OR guardian[Title/Abstract] OR glucosemeter[Title/Abstract] OR dexcom[Title/Abstract] OR (navigator[Title/Abstract] AND freestyle[Title/Abstract])</w:t>
                        </w:r>
                      </w:p>
                    </w:tc>
                  </w:tr>
                  <w:tr w:rsidR="00085B81" w14:paraId="2AAE9167" w14:textId="77777777">
                    <w:tc>
                      <w:tcPr>
                        <w:tcW w:w="63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6DC46270"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755" w:type="dxa"/>
                        <w:tcBorders>
                          <w:top w:val="single" w:sz="5" w:space="0" w:color="FFFFFF"/>
                          <w:left w:val="single" w:sz="5" w:space="0" w:color="FFFFFF"/>
                          <w:bottom w:val="single" w:sz="5" w:space="0" w:color="FFFFFF"/>
                          <w:right w:val="single" w:sz="5" w:space="0" w:color="FFFFFF"/>
                        </w:tcBorders>
                        <w:shd w:val="clear" w:color="auto" w:fill="FFFFFF"/>
                        <w:tcMar>
                          <w:top w:w="40" w:type="dxa"/>
                          <w:left w:w="40" w:type="dxa"/>
                          <w:bottom w:w="40" w:type="dxa"/>
                          <w:right w:w="40" w:type="dxa"/>
                        </w:tcMar>
                        <w:vAlign w:val="bottom"/>
                      </w:tcPr>
                      <w:p w14:paraId="220165E4"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424242"/>
                            <w:sz w:val="20"/>
                            <w:szCs w:val="20"/>
                          </w:rPr>
                          <w:t>(#1 AND #2)</w:t>
                        </w:r>
                      </w:p>
                    </w:tc>
                  </w:tr>
                  <w:tr w:rsidR="00085B81" w14:paraId="2D2DBDCD" w14:textId="77777777">
                    <w:tc>
                      <w:tcPr>
                        <w:tcW w:w="63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060CF164"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755" w:type="dxa"/>
                        <w:tcBorders>
                          <w:top w:val="single" w:sz="5" w:space="0" w:color="FFFFFF"/>
                          <w:left w:val="single" w:sz="5" w:space="0" w:color="FFFFFF"/>
                          <w:bottom w:val="single" w:sz="5" w:space="0" w:color="FFFFFF"/>
                          <w:right w:val="single" w:sz="5" w:space="0" w:color="FFFFFF"/>
                        </w:tcBorders>
                        <w:shd w:val="clear" w:color="auto" w:fill="FFFFFF"/>
                        <w:tcMar>
                          <w:top w:w="40" w:type="dxa"/>
                          <w:left w:w="40" w:type="dxa"/>
                          <w:bottom w:w="40" w:type="dxa"/>
                          <w:right w:w="40" w:type="dxa"/>
                        </w:tcMar>
                        <w:vAlign w:val="bottom"/>
                      </w:tcPr>
                      <w:p w14:paraId="39953C0E"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424242"/>
                            <w:sz w:val="20"/>
                            <w:szCs w:val="20"/>
                          </w:rPr>
                          <w:t>“Type 1” [Title] OR “Type One” [Title] OR T1D* [Title]</w:t>
                        </w:r>
                      </w:p>
                    </w:tc>
                  </w:tr>
                  <w:tr w:rsidR="00085B81" w14:paraId="3D196B30" w14:textId="77777777">
                    <w:tc>
                      <w:tcPr>
                        <w:tcW w:w="63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tcPr>
                      <w:p w14:paraId="4ED73DB5"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755" w:type="dxa"/>
                        <w:tcBorders>
                          <w:top w:val="single" w:sz="5" w:space="0" w:color="FFFFFF"/>
                          <w:left w:val="single" w:sz="5" w:space="0" w:color="FFFFFF"/>
                          <w:bottom w:val="single" w:sz="5" w:space="0" w:color="FFFFFF"/>
                          <w:right w:val="single" w:sz="5" w:space="0" w:color="FFFFFF"/>
                        </w:tcBorders>
                        <w:shd w:val="clear" w:color="auto" w:fill="FFFFFF"/>
                        <w:tcMar>
                          <w:top w:w="40" w:type="dxa"/>
                          <w:left w:w="40" w:type="dxa"/>
                          <w:bottom w:w="40" w:type="dxa"/>
                          <w:right w:w="40" w:type="dxa"/>
                        </w:tcMar>
                        <w:vAlign w:val="bottom"/>
                      </w:tcPr>
                      <w:p w14:paraId="32673999"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424242"/>
                            <w:sz w:val="20"/>
                            <w:szCs w:val="20"/>
                          </w:rPr>
                          <w:t>(#3 NOT #4) Filters: Meta-Analysis, Systematic Review</w:t>
                        </w:r>
                      </w:p>
                    </w:tc>
                  </w:tr>
                </w:tbl>
                <w:p w14:paraId="1331EAA7" w14:textId="77777777" w:rsidR="00085B81" w:rsidRDefault="00085B81">
                  <w:pPr>
                    <w:widowControl w:val="0"/>
                    <w:rPr>
                      <w:rFonts w:ascii="Times New Roman" w:eastAsia="Times New Roman" w:hAnsi="Times New Roman" w:cs="Times New Roman"/>
                      <w:sz w:val="20"/>
                      <w:szCs w:val="20"/>
                    </w:rPr>
                  </w:pPr>
                </w:p>
              </w:tc>
            </w:tr>
            <w:tr w:rsidR="00085B81" w14:paraId="3230D827" w14:textId="77777777">
              <w:tc>
                <w:tcPr>
                  <w:tcW w:w="9160" w:type="dxa"/>
                  <w:shd w:val="clear" w:color="auto" w:fill="000000"/>
                  <w:tcMar>
                    <w:top w:w="100" w:type="dxa"/>
                    <w:left w:w="100" w:type="dxa"/>
                    <w:bottom w:w="100" w:type="dxa"/>
                    <w:right w:w="100" w:type="dxa"/>
                  </w:tcMar>
                </w:tcPr>
                <w:p w14:paraId="1754FB13"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eMethods(e) CINAHL</w:t>
                  </w:r>
                </w:p>
              </w:tc>
            </w:tr>
            <w:tr w:rsidR="00085B81" w14:paraId="42ACBCB4" w14:textId="77777777">
              <w:tc>
                <w:tcPr>
                  <w:tcW w:w="9160" w:type="dxa"/>
                  <w:shd w:val="clear" w:color="auto" w:fill="auto"/>
                  <w:tcMar>
                    <w:top w:w="100" w:type="dxa"/>
                    <w:left w:w="100" w:type="dxa"/>
                    <w:bottom w:w="100" w:type="dxa"/>
                    <w:right w:w="100" w:type="dxa"/>
                  </w:tcMar>
                </w:tcPr>
                <w:p w14:paraId="16E11840" w14:textId="77777777" w:rsidR="00085B81" w:rsidRDefault="00085B81">
                  <w:pPr>
                    <w:widowControl w:val="0"/>
                    <w:rPr>
                      <w:rFonts w:ascii="Times New Roman" w:eastAsia="Times New Roman" w:hAnsi="Times New Roman" w:cs="Times New Roman"/>
                      <w:sz w:val="20"/>
                      <w:szCs w:val="20"/>
                    </w:rPr>
                  </w:pPr>
                </w:p>
                <w:tbl>
                  <w:tblPr>
                    <w:tblStyle w:val="a5"/>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8370"/>
                  </w:tblGrid>
                  <w:tr w:rsidR="00085B81" w14:paraId="5B645D95"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46C1F0C"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S1</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2EFFA5B"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(MM "Diabetes Mellitus") OR (MM " Diabetes Mellitus, Type 2")</w:t>
                        </w:r>
                      </w:p>
                    </w:tc>
                  </w:tr>
                  <w:tr w:rsidR="00085B81" w14:paraId="52C5DDD5"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46705E1"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S2</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6F596007"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TI ( ("Diabetes Mellitus Type 2" or "Diabetes Type 2" or "Type 2 DM" or "T2DM" or "T2-DM" or "MODY" or "NIDDM" or "T2D" or Diabetes or "Diabetes Mellitus" or "dietary assessment" or "Obesity") ) OR AB ( ("Diabetes Mellitus Type 2" or "Diabetes Type 2" or "Type 2 DM" or "T2DM" or "T2-DM" or "MODY" or "NIDDM" or "T2D" or Diabetes or "Diabetes Mellitus" or "dietary assessment" or "Obesity") )</w:t>
                        </w:r>
                      </w:p>
                    </w:tc>
                  </w:tr>
                  <w:tr w:rsidR="00085B81" w14:paraId="1A1ABAFC"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0BDC26CC"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S3</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7C92199"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(MM "continuous glucose monitoring")</w:t>
                        </w:r>
                      </w:p>
                    </w:tc>
                  </w:tr>
                  <w:tr w:rsidR="00085B81" w14:paraId="179BF82A"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0E840534"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S4</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9C86372"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TI ( ("glucose monitor*" or "CGM" or "CGMS" or "FGM" or "CGM/FGM" or (glucose N3 (monitoring or measurement or monitor or measure)) or "GlucoWatch" or "Medtronic" or "guardian" or "glucosemeter" or "dexcom" or (navigator and freestyle)) ) OR AB ( ("glucose monitor*" or "CGM" or "CGMS" or "FGM" or "CGM/FGM" or (glucose N3 (monitoring or measurement or monitor or measure)) or "GlucoWatch" or "Medtronic" or "guardian" or "glucosemeter" or "dexcom" or (navigator and freestyle)) )</w:t>
                        </w:r>
                      </w:p>
                    </w:tc>
                  </w:tr>
                  <w:tr w:rsidR="00085B81" w14:paraId="5C7A371C"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58C1E86"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S5</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B7BEE84"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(S1 or S2) and (S3 or S4)</w:t>
                        </w:r>
                      </w:p>
                    </w:tc>
                  </w:tr>
                  <w:tr w:rsidR="00085B81" w14:paraId="7858A935"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7A1226F"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S6</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BB2E06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TI (("Type 1" or "Type One" or T1D or T1DM))</w:t>
                        </w:r>
                      </w:p>
                    </w:tc>
                  </w:tr>
                  <w:tr w:rsidR="00085B81" w14:paraId="47D90E5B"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C6060DE"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S7</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871265A"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(S5 NOT S6)</w:t>
                        </w:r>
                      </w:p>
                    </w:tc>
                  </w:tr>
                  <w:tr w:rsidR="00085B81" w14:paraId="1AA43E56" w14:textId="77777777">
                    <w:tc>
                      <w:tcPr>
                        <w:tcW w:w="54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6D0893B8" w14:textId="77777777" w:rsidR="00085B81" w:rsidRDefault="00000000">
                        <w:pPr>
                          <w:widowControl w:val="0"/>
                          <w:rPr>
                            <w:rFonts w:ascii="Times New Roman" w:eastAsia="Times New Roman" w:hAnsi="Times New Roman" w:cs="Times New Roman"/>
                            <w:b/>
                            <w:sz w:val="20"/>
                            <w:szCs w:val="20"/>
                          </w:rPr>
                        </w:pPr>
                        <w:r>
                          <w:rPr>
                            <w:rFonts w:ascii="Times New Roman" w:eastAsia="Times New Roman" w:hAnsi="Times New Roman" w:cs="Times New Roman"/>
                            <w:b/>
                            <w:color w:val="333333"/>
                            <w:sz w:val="20"/>
                            <w:szCs w:val="20"/>
                          </w:rPr>
                          <w:t>S8</w:t>
                        </w:r>
                      </w:p>
                    </w:tc>
                    <w:tc>
                      <w:tcPr>
                        <w:tcW w:w="837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D17F1CD"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33333"/>
                            <w:sz w:val="20"/>
                            <w:szCs w:val="20"/>
                          </w:rPr>
                          <w:t>TI (("systematic review" or "meta-analysis" or "meta analysis")) OR AB (("systematic review" or "meta-analysis" or "meta analysis"))</w:t>
                        </w:r>
                      </w:p>
                    </w:tc>
                  </w:tr>
                </w:tbl>
                <w:p w14:paraId="29F81C45" w14:textId="77777777" w:rsidR="00085B81" w:rsidRDefault="00085B81">
                  <w:pPr>
                    <w:widowControl w:val="0"/>
                    <w:rPr>
                      <w:rFonts w:ascii="Times New Roman" w:eastAsia="Times New Roman" w:hAnsi="Times New Roman" w:cs="Times New Roman"/>
                      <w:sz w:val="20"/>
                      <w:szCs w:val="20"/>
                    </w:rPr>
                  </w:pPr>
                </w:p>
                <w:p w14:paraId="2E61514B" w14:textId="77777777" w:rsidR="00085B81" w:rsidRDefault="00085B81">
                  <w:pPr>
                    <w:widowControl w:val="0"/>
                    <w:rPr>
                      <w:rFonts w:ascii="Times New Roman" w:eastAsia="Times New Roman" w:hAnsi="Times New Roman" w:cs="Times New Roman"/>
                      <w:sz w:val="20"/>
                      <w:szCs w:val="20"/>
                    </w:rPr>
                  </w:pPr>
                </w:p>
                <w:p w14:paraId="667875FF" w14:textId="77777777" w:rsidR="00085B81" w:rsidRDefault="00085B81">
                  <w:pPr>
                    <w:widowControl w:val="0"/>
                    <w:rPr>
                      <w:rFonts w:ascii="Times New Roman" w:eastAsia="Times New Roman" w:hAnsi="Times New Roman" w:cs="Times New Roman"/>
                      <w:sz w:val="20"/>
                      <w:szCs w:val="20"/>
                    </w:rPr>
                  </w:pPr>
                </w:p>
                <w:p w14:paraId="3653A9FA" w14:textId="77777777" w:rsidR="00085B81" w:rsidRDefault="00085B81">
                  <w:pPr>
                    <w:widowControl w:val="0"/>
                    <w:rPr>
                      <w:rFonts w:ascii="Times New Roman" w:eastAsia="Times New Roman" w:hAnsi="Times New Roman" w:cs="Times New Roman"/>
                      <w:sz w:val="20"/>
                      <w:szCs w:val="20"/>
                    </w:rPr>
                  </w:pPr>
                </w:p>
              </w:tc>
            </w:tr>
            <w:tr w:rsidR="00085B81" w14:paraId="057ED54B" w14:textId="77777777">
              <w:tc>
                <w:tcPr>
                  <w:tcW w:w="9160" w:type="dxa"/>
                  <w:shd w:val="clear" w:color="auto" w:fill="000000"/>
                  <w:tcMar>
                    <w:top w:w="100" w:type="dxa"/>
                    <w:left w:w="100" w:type="dxa"/>
                    <w:bottom w:w="100" w:type="dxa"/>
                    <w:right w:w="100" w:type="dxa"/>
                  </w:tcMar>
                </w:tcPr>
                <w:p w14:paraId="77D019E8"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lastRenderedPageBreak/>
                    <w:t>eMethods(f) Epistemonikos</w:t>
                  </w:r>
                </w:p>
              </w:tc>
            </w:tr>
            <w:tr w:rsidR="00085B81" w14:paraId="2723B6EC" w14:textId="77777777">
              <w:tc>
                <w:tcPr>
                  <w:tcW w:w="9160" w:type="dxa"/>
                  <w:shd w:val="clear" w:color="auto" w:fill="auto"/>
                  <w:tcMar>
                    <w:top w:w="100" w:type="dxa"/>
                    <w:left w:w="100" w:type="dxa"/>
                    <w:bottom w:w="100" w:type="dxa"/>
                    <w:right w:w="100" w:type="dxa"/>
                  </w:tcMar>
                </w:tcPr>
                <w:p w14:paraId="6DC94309" w14:textId="77777777" w:rsidR="00085B81" w:rsidRDefault="00085B81">
                  <w:pPr>
                    <w:widowControl w:val="0"/>
                    <w:rPr>
                      <w:rFonts w:ascii="Times New Roman" w:eastAsia="Times New Roman" w:hAnsi="Times New Roman" w:cs="Times New Roman"/>
                      <w:sz w:val="20"/>
                      <w:szCs w:val="20"/>
                    </w:rPr>
                  </w:pPr>
                </w:p>
                <w:tbl>
                  <w:tblPr>
                    <w:tblStyle w:val="a6"/>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9"/>
                    <w:gridCol w:w="8231"/>
                  </w:tblGrid>
                  <w:tr w:rsidR="00085B81" w14:paraId="4407B436" w14:textId="77777777">
                    <w:tc>
                      <w:tcPr>
                        <w:tcW w:w="67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1D913A"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2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25939B5"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 "diabetes mellitus type 2" OR "diabetes type 2" OR "type 2 dm" OR "t2dm" OR "t2-dm" OR "mody" OR "niddm" OR "t2d" OR diabetes OR "diabetes mellitus" OR "dietary assessment" OR "obesity" )) OR abstract:(( "diabetes mellitus type 2" OR "diabetes type 2" OR "type 2 dm" OR "t2dm" OR "t2-dm" OR "mody" OR "niddm" OR "t2d" OR diabetes OR "diabetes mellitus" OR "dietary assessment" OR "obesity" )))</w:t>
                        </w:r>
                      </w:p>
                    </w:tc>
                  </w:tr>
                  <w:tr w:rsidR="00085B81" w14:paraId="295DE3C7" w14:textId="77777777">
                    <w:tc>
                      <w:tcPr>
                        <w:tcW w:w="67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996530"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2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CBE004"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(title:("continuous glucose monitoring" OR ( ( "glucose monitor*" OR "cgm" OR "cgms" OR "fgm" OR "cgm/fgm" OR ( glucose AND ( monitoring OR measurement OR monitor OR measure ) ) OR "glucowatch" OR "medtronic" OR "guardian" OR "glucosemeter" OR "dexcom" OR ( navigator AND freestyle ) ) )) OR abstract:("continuous glucose monitoring" OR ( ( "glucose monitor*" OR "cgm" OR "cgms" OR "fgm" OR "cgm/fgm" OR ( glucose AND (monitoring OR measurement OR monitor OR measure ) ) OR "glucowatch" OR "medtronic" OR "guardian" OR "glucosemeter" OR "dexcom" OR ( navigator AND freestyle ) ) )))</w:t>
                        </w:r>
                      </w:p>
                    </w:tc>
                  </w:tr>
                  <w:tr w:rsidR="00085B81" w14:paraId="60C14A90" w14:textId="77777777">
                    <w:tc>
                      <w:tcPr>
                        <w:tcW w:w="67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1F8198B"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2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5F8B193"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title:("Type 1" OR "Type One" OR T1D OR T1DM)</w:t>
                        </w:r>
                      </w:p>
                    </w:tc>
                  </w:tr>
                  <w:tr w:rsidR="00085B81" w14:paraId="78226958" w14:textId="77777777">
                    <w:tc>
                      <w:tcPr>
                        <w:tcW w:w="67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2566162"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2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E2DC18"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AND #2] NOT #3</w:t>
                        </w:r>
                      </w:p>
                    </w:tc>
                  </w:tr>
                  <w:tr w:rsidR="00085B81" w14:paraId="75CC335A" w14:textId="77777777">
                    <w:tc>
                      <w:tcPr>
                        <w:tcW w:w="679"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B305312"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23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7EFCE5A" w14:textId="77777777"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Filter - Publication Type: Systematic Review </w:t>
                        </w:r>
                      </w:p>
                    </w:tc>
                  </w:tr>
                </w:tbl>
                <w:p w14:paraId="35DAE9AC" w14:textId="77777777" w:rsidR="00085B81" w:rsidRDefault="00085B81">
                  <w:pPr>
                    <w:widowControl w:val="0"/>
                    <w:rPr>
                      <w:rFonts w:ascii="Times New Roman" w:eastAsia="Times New Roman" w:hAnsi="Times New Roman" w:cs="Times New Roman"/>
                      <w:sz w:val="20"/>
                      <w:szCs w:val="20"/>
                    </w:rPr>
                  </w:pPr>
                </w:p>
                <w:p w14:paraId="2A434D91" w14:textId="77777777" w:rsidR="00085B81" w:rsidRDefault="00085B81">
                  <w:pPr>
                    <w:widowControl w:val="0"/>
                    <w:rPr>
                      <w:rFonts w:ascii="Times New Roman" w:eastAsia="Times New Roman" w:hAnsi="Times New Roman" w:cs="Times New Roman"/>
                      <w:sz w:val="20"/>
                      <w:szCs w:val="20"/>
                    </w:rPr>
                  </w:pPr>
                </w:p>
                <w:p w14:paraId="73038498" w14:textId="77777777" w:rsidR="00085B81" w:rsidRDefault="00085B81">
                  <w:pPr>
                    <w:widowControl w:val="0"/>
                    <w:rPr>
                      <w:rFonts w:ascii="Times New Roman" w:eastAsia="Times New Roman" w:hAnsi="Times New Roman" w:cs="Times New Roman"/>
                      <w:sz w:val="20"/>
                      <w:szCs w:val="20"/>
                    </w:rPr>
                  </w:pPr>
                </w:p>
                <w:p w14:paraId="6902C203" w14:textId="77777777" w:rsidR="00085B81" w:rsidRDefault="00085B81">
                  <w:pPr>
                    <w:widowControl w:val="0"/>
                    <w:rPr>
                      <w:rFonts w:ascii="Times New Roman" w:eastAsia="Times New Roman" w:hAnsi="Times New Roman" w:cs="Times New Roman"/>
                      <w:sz w:val="20"/>
                      <w:szCs w:val="20"/>
                    </w:rPr>
                  </w:pPr>
                </w:p>
                <w:p w14:paraId="29D9E49A" w14:textId="77777777" w:rsidR="00085B81" w:rsidRDefault="00085B81">
                  <w:pPr>
                    <w:widowControl w:val="0"/>
                    <w:rPr>
                      <w:rFonts w:ascii="Times New Roman" w:eastAsia="Times New Roman" w:hAnsi="Times New Roman" w:cs="Times New Roman"/>
                      <w:sz w:val="20"/>
                      <w:szCs w:val="20"/>
                    </w:rPr>
                  </w:pPr>
                </w:p>
              </w:tc>
            </w:tr>
            <w:tr w:rsidR="00085B81" w14:paraId="030E1E8C" w14:textId="77777777">
              <w:tc>
                <w:tcPr>
                  <w:tcW w:w="9160" w:type="dxa"/>
                  <w:shd w:val="clear" w:color="auto" w:fill="000000"/>
                  <w:tcMar>
                    <w:top w:w="100" w:type="dxa"/>
                    <w:left w:w="100" w:type="dxa"/>
                    <w:bottom w:w="100" w:type="dxa"/>
                    <w:right w:w="100" w:type="dxa"/>
                  </w:tcMar>
                </w:tcPr>
                <w:p w14:paraId="202D4072" w14:textId="77777777" w:rsidR="00085B81" w:rsidRDefault="00000000">
                  <w:pP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eMethods(g) SCOPUS</w:t>
                  </w:r>
                </w:p>
              </w:tc>
            </w:tr>
            <w:tr w:rsidR="00085B81" w14:paraId="2C03664C" w14:textId="77777777">
              <w:tc>
                <w:tcPr>
                  <w:tcW w:w="9160" w:type="dxa"/>
                  <w:shd w:val="clear" w:color="auto" w:fill="auto"/>
                  <w:tcMar>
                    <w:top w:w="100" w:type="dxa"/>
                    <w:left w:w="100" w:type="dxa"/>
                    <w:bottom w:w="100" w:type="dxa"/>
                    <w:right w:w="100" w:type="dxa"/>
                  </w:tcMar>
                </w:tcPr>
                <w:p w14:paraId="4FB69F20" w14:textId="77777777" w:rsidR="00085B81" w:rsidRDefault="00000000">
                  <w:pPr>
                    <w:widowControl w:val="0"/>
                    <w:rPr>
                      <w:rFonts w:ascii="Times New Roman" w:eastAsia="Times New Roman" w:hAnsi="Times New Roman" w:cs="Times New Roman"/>
                      <w:sz w:val="20"/>
                      <w:szCs w:val="20"/>
                    </w:rPr>
                  </w:pPr>
                  <w:r>
                    <w:rPr>
                      <w:rFonts w:ascii="Times New Roman" w:eastAsia="Times New Roman" w:hAnsi="Times New Roman" w:cs="Times New Roman"/>
                      <w:color w:val="323232"/>
                      <w:sz w:val="20"/>
                      <w:szCs w:val="20"/>
                      <w:highlight w:val="white"/>
                    </w:rPr>
                    <w:t>( ( ( ( KEY ( "diabetes mellitus" OR "diabetes mellitus, type 2" ) ) OR ( TITLE-ABS ( ( ( "diabetes mellitus type 2" OR "diabetes type 2" OR "type 2 dm" OR "t2dm" OR "t2-dm" OR "mody" OR "niddm" OR "t2d" OR diabetes OR "diabetes mellitus" OR "dietary assessment" OR "obesity" ) ) ) ) ) AND ( ( KEY ( "continuous glucose monitoring" ) ) OR ( TITLE-ABS ( ( "glucose monitor*" OR "cgm" OR "cgms" OR "fgm" OR "cgm/fgm" OR ( glucose W/3 ( monitoring OR measurement OR monitor OR measure ) ) OR "glucowatch" OR "medtronic" OR "guardian" OR "glucosemeter" OR "dexcom" OR ( navigator AND freestyle ) ) ) ) ) ) AND NOT ( TITLE ( "type 1" OR "type one" OR t1d OR t1dm ) ) ) AND ( TITLE-ABS ( ( "systematic review" OR "meta-analysis" OR "meta analysis" ) ) ) AND ( LIMIT-TO ( SUBJAREA , "medi" ) OR LIMIT-TO ( SUBJAREA , "bioc" ) OR LIMIT-TO ( SUBJAREA , "nurs" ) ))</w:t>
                  </w:r>
                </w:p>
              </w:tc>
            </w:tr>
          </w:tbl>
          <w:p w14:paraId="197829A9" w14:textId="77777777" w:rsidR="00085B81" w:rsidRDefault="00085B81">
            <w:pPr>
              <w:widowControl w:val="0"/>
              <w:rPr>
                <w:rFonts w:ascii="Times New Roman" w:eastAsia="Times New Roman" w:hAnsi="Times New Roman" w:cs="Times New Roman"/>
                <w:color w:val="444746"/>
                <w:sz w:val="21"/>
                <w:szCs w:val="21"/>
                <w:highlight w:val="white"/>
              </w:rPr>
            </w:pPr>
          </w:p>
        </w:tc>
      </w:tr>
      <w:tr w:rsidR="00085B81" w14:paraId="14D04167" w14:textId="77777777">
        <w:tc>
          <w:tcPr>
            <w:tcW w:w="9360" w:type="dxa"/>
            <w:shd w:val="clear" w:color="auto" w:fill="auto"/>
            <w:tcMar>
              <w:top w:w="100" w:type="dxa"/>
              <w:left w:w="100" w:type="dxa"/>
              <w:bottom w:w="100" w:type="dxa"/>
              <w:right w:w="100" w:type="dxa"/>
            </w:tcMar>
          </w:tcPr>
          <w:p w14:paraId="68BC247A" w14:textId="77777777" w:rsidR="00085B81"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eMethods</w:t>
            </w:r>
            <w:r>
              <w:rPr>
                <w:rFonts w:ascii="Times New Roman" w:eastAsia="Times New Roman" w:hAnsi="Times New Roman" w:cs="Times New Roman"/>
                <w:sz w:val="20"/>
                <w:szCs w:val="20"/>
              </w:rPr>
              <w:t>: Search strategies for (a) Embase and MEDLINE on Ovid, (b) CENTRAL, (c) Web of Science, (d) PubMed, (e) CINAHL, (f) Epistemonikos and (g) SCOPUS databases.</w:t>
            </w:r>
          </w:p>
        </w:tc>
      </w:tr>
    </w:tbl>
    <w:p w14:paraId="1469C12C" w14:textId="77777777" w:rsidR="00085B81" w:rsidRDefault="00000000">
      <w:pPr>
        <w:rPr>
          <w:rFonts w:ascii="Times New Roman" w:eastAsia="Times New Roman" w:hAnsi="Times New Roman" w:cs="Times New Roman"/>
        </w:rPr>
      </w:pPr>
      <w:r>
        <w:br w:type="page"/>
      </w:r>
    </w:p>
    <w:p w14:paraId="382463AA" w14:textId="77777777" w:rsidR="00085B81" w:rsidRDefault="00000000">
      <w:pPr>
        <w:pStyle w:val="Heading1"/>
      </w:pPr>
      <w:bookmarkStart w:id="1" w:name="_Toc182493128"/>
      <w:r>
        <w:lastRenderedPageBreak/>
        <w:t>1. PRISMA Flowchart</w:t>
      </w:r>
      <w:bookmarkEnd w:id="1"/>
    </w:p>
    <w:tbl>
      <w:tblPr>
        <w:tblStyle w:val="a7"/>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7F93684" w14:textId="77777777">
        <w:trPr>
          <w:jc w:val="center"/>
        </w:trPr>
        <w:tc>
          <w:tcPr>
            <w:tcW w:w="10000" w:type="dxa"/>
            <w:shd w:val="clear" w:color="auto" w:fill="auto"/>
            <w:tcMar>
              <w:top w:w="100" w:type="dxa"/>
              <w:left w:w="100" w:type="dxa"/>
              <w:bottom w:w="100" w:type="dxa"/>
              <w:right w:w="100" w:type="dxa"/>
            </w:tcMar>
          </w:tcPr>
          <w:p w14:paraId="671050D0"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25629B7" wp14:editId="1E8B48FE">
                  <wp:extent cx="6219825" cy="3822700"/>
                  <wp:effectExtent l="0" t="0" r="0" b="0"/>
                  <wp:docPr id="4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
                          <a:srcRect/>
                          <a:stretch>
                            <a:fillRect/>
                          </a:stretch>
                        </pic:blipFill>
                        <pic:spPr>
                          <a:xfrm>
                            <a:off x="0" y="0"/>
                            <a:ext cx="6219825" cy="3822700"/>
                          </a:xfrm>
                          <a:prstGeom prst="rect">
                            <a:avLst/>
                          </a:prstGeom>
                          <a:ln/>
                        </pic:spPr>
                      </pic:pic>
                    </a:graphicData>
                  </a:graphic>
                </wp:inline>
              </w:drawing>
            </w:r>
          </w:p>
        </w:tc>
      </w:tr>
      <w:tr w:rsidR="00085B81" w14:paraId="4D9F396B" w14:textId="77777777">
        <w:trPr>
          <w:jc w:val="center"/>
        </w:trPr>
        <w:tc>
          <w:tcPr>
            <w:tcW w:w="10000" w:type="dxa"/>
            <w:shd w:val="clear" w:color="auto" w:fill="auto"/>
            <w:tcMar>
              <w:top w:w="100" w:type="dxa"/>
              <w:left w:w="100" w:type="dxa"/>
              <w:bottom w:w="100" w:type="dxa"/>
              <w:right w:w="100" w:type="dxa"/>
            </w:tcMar>
          </w:tcPr>
          <w:p w14:paraId="2EAD68EE" w14:textId="58B2A6AA" w:rsidR="00085B81"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eFigure1</w:t>
            </w:r>
            <w:r>
              <w:rPr>
                <w:rFonts w:ascii="Times New Roman" w:eastAsia="Times New Roman" w:hAnsi="Times New Roman" w:cs="Times New Roman"/>
                <w:sz w:val="20"/>
                <w:szCs w:val="20"/>
              </w:rPr>
              <w:t>:  PRISMA flow chart of study inclusion and exclusion</w:t>
            </w:r>
            <w:r w:rsidR="003B6A7B">
              <w:rPr>
                <w:rFonts w:ascii="Times New Roman" w:eastAsia="Times New Roman" w:hAnsi="Times New Roman" w:cs="Times New Roman"/>
                <w:sz w:val="20"/>
                <w:szCs w:val="20"/>
              </w:rPr>
              <w:t xml:space="preserve"> for this umbrella review of systematic reviews evaluating the effectiveness of continuous glucose monitoring. Studies included in this review spanned a publication year range of 2011 to 2024.</w:t>
            </w:r>
          </w:p>
        </w:tc>
      </w:tr>
    </w:tbl>
    <w:p w14:paraId="706A983B" w14:textId="77777777" w:rsidR="00085B81" w:rsidRDefault="00085B81">
      <w:pPr>
        <w:rPr>
          <w:rFonts w:ascii="Times New Roman" w:eastAsia="Times New Roman" w:hAnsi="Times New Roman" w:cs="Times New Roman"/>
        </w:rPr>
      </w:pPr>
    </w:p>
    <w:p w14:paraId="445F11E2" w14:textId="77777777" w:rsidR="00085B81" w:rsidRDefault="00085B81">
      <w:pPr>
        <w:rPr>
          <w:rFonts w:ascii="Times New Roman" w:eastAsia="Times New Roman" w:hAnsi="Times New Roman" w:cs="Times New Roman"/>
        </w:rPr>
      </w:pPr>
    </w:p>
    <w:p w14:paraId="0E3DEE16" w14:textId="77777777" w:rsidR="00085B81" w:rsidRDefault="00085B81">
      <w:pPr>
        <w:rPr>
          <w:rFonts w:ascii="Times New Roman" w:eastAsia="Times New Roman" w:hAnsi="Times New Roman" w:cs="Times New Roman"/>
        </w:rPr>
      </w:pPr>
    </w:p>
    <w:p w14:paraId="78E37371" w14:textId="77777777" w:rsidR="00085B81" w:rsidRDefault="00085B81">
      <w:pPr>
        <w:rPr>
          <w:rFonts w:ascii="Times New Roman" w:eastAsia="Times New Roman" w:hAnsi="Times New Roman" w:cs="Times New Roman"/>
        </w:rPr>
      </w:pPr>
    </w:p>
    <w:p w14:paraId="48D0B1C2" w14:textId="77777777" w:rsidR="00085B81" w:rsidRDefault="00085B81">
      <w:pPr>
        <w:rPr>
          <w:rFonts w:ascii="Times New Roman" w:eastAsia="Times New Roman" w:hAnsi="Times New Roman" w:cs="Times New Roman"/>
        </w:rPr>
      </w:pPr>
    </w:p>
    <w:p w14:paraId="09403520" w14:textId="77777777" w:rsidR="00085B81" w:rsidRDefault="00085B81">
      <w:pPr>
        <w:rPr>
          <w:rFonts w:ascii="Times New Roman" w:eastAsia="Times New Roman" w:hAnsi="Times New Roman" w:cs="Times New Roman"/>
        </w:rPr>
      </w:pPr>
    </w:p>
    <w:p w14:paraId="7F42B156" w14:textId="77777777" w:rsidR="00085B81" w:rsidRDefault="00085B81">
      <w:pPr>
        <w:rPr>
          <w:rFonts w:ascii="Times New Roman" w:eastAsia="Times New Roman" w:hAnsi="Times New Roman" w:cs="Times New Roman"/>
        </w:rPr>
      </w:pPr>
    </w:p>
    <w:p w14:paraId="3C9A3098" w14:textId="77777777" w:rsidR="00085B81" w:rsidRDefault="00085B81">
      <w:pPr>
        <w:rPr>
          <w:rFonts w:ascii="Times New Roman" w:eastAsia="Times New Roman" w:hAnsi="Times New Roman" w:cs="Times New Roman"/>
        </w:rPr>
      </w:pPr>
    </w:p>
    <w:p w14:paraId="024716E8" w14:textId="77777777" w:rsidR="00085B81" w:rsidRDefault="00085B81">
      <w:pPr>
        <w:rPr>
          <w:rFonts w:ascii="Times New Roman" w:eastAsia="Times New Roman" w:hAnsi="Times New Roman" w:cs="Times New Roman"/>
        </w:rPr>
      </w:pPr>
    </w:p>
    <w:p w14:paraId="7C467408" w14:textId="77777777" w:rsidR="00085B81" w:rsidRDefault="00085B81">
      <w:pPr>
        <w:rPr>
          <w:rFonts w:ascii="Times New Roman" w:eastAsia="Times New Roman" w:hAnsi="Times New Roman" w:cs="Times New Roman"/>
        </w:rPr>
      </w:pPr>
    </w:p>
    <w:p w14:paraId="35DE4820" w14:textId="77777777" w:rsidR="00085B81" w:rsidRDefault="00085B81">
      <w:pPr>
        <w:rPr>
          <w:rFonts w:ascii="Times New Roman" w:eastAsia="Times New Roman" w:hAnsi="Times New Roman" w:cs="Times New Roman"/>
        </w:rPr>
      </w:pPr>
    </w:p>
    <w:p w14:paraId="2B81CFB7" w14:textId="77777777" w:rsidR="00085B81" w:rsidRDefault="00085B81">
      <w:pPr>
        <w:rPr>
          <w:rFonts w:ascii="Times New Roman" w:eastAsia="Times New Roman" w:hAnsi="Times New Roman" w:cs="Times New Roman"/>
        </w:rPr>
      </w:pPr>
    </w:p>
    <w:p w14:paraId="2E0A5C06" w14:textId="77777777" w:rsidR="00085B81" w:rsidRDefault="00085B81">
      <w:pPr>
        <w:rPr>
          <w:rFonts w:ascii="Times New Roman" w:eastAsia="Times New Roman" w:hAnsi="Times New Roman" w:cs="Times New Roman"/>
        </w:rPr>
      </w:pPr>
    </w:p>
    <w:p w14:paraId="5E792307" w14:textId="77777777" w:rsidR="00085B81" w:rsidRDefault="00085B81">
      <w:pPr>
        <w:rPr>
          <w:rFonts w:ascii="Times New Roman" w:eastAsia="Times New Roman" w:hAnsi="Times New Roman" w:cs="Times New Roman"/>
        </w:rPr>
      </w:pPr>
    </w:p>
    <w:p w14:paraId="68419D01" w14:textId="77777777" w:rsidR="00085B81" w:rsidRDefault="00085B81">
      <w:pPr>
        <w:rPr>
          <w:rFonts w:ascii="Times New Roman" w:eastAsia="Times New Roman" w:hAnsi="Times New Roman" w:cs="Times New Roman"/>
        </w:rPr>
      </w:pPr>
    </w:p>
    <w:p w14:paraId="38312AEC" w14:textId="77777777" w:rsidR="00085B81" w:rsidRDefault="00085B81">
      <w:pPr>
        <w:rPr>
          <w:rFonts w:ascii="Times New Roman" w:eastAsia="Times New Roman" w:hAnsi="Times New Roman" w:cs="Times New Roman"/>
        </w:rPr>
      </w:pPr>
    </w:p>
    <w:p w14:paraId="5148675D" w14:textId="77777777" w:rsidR="00085B81" w:rsidRDefault="00085B81">
      <w:pPr>
        <w:rPr>
          <w:rFonts w:ascii="Times New Roman" w:eastAsia="Times New Roman" w:hAnsi="Times New Roman" w:cs="Times New Roman"/>
        </w:rPr>
      </w:pPr>
    </w:p>
    <w:p w14:paraId="024B5234" w14:textId="77777777" w:rsidR="00085B81" w:rsidRDefault="00085B81">
      <w:pPr>
        <w:rPr>
          <w:rFonts w:ascii="Times New Roman" w:eastAsia="Times New Roman" w:hAnsi="Times New Roman" w:cs="Times New Roman"/>
        </w:rPr>
      </w:pPr>
    </w:p>
    <w:p w14:paraId="1E9D460C" w14:textId="77777777" w:rsidR="00085B81" w:rsidRDefault="00000000">
      <w:pPr>
        <w:pStyle w:val="Heading1"/>
      </w:pPr>
      <w:bookmarkStart w:id="2" w:name="_Toc182493129"/>
      <w:r>
        <w:lastRenderedPageBreak/>
        <w:t>2. AMSTAR Risk-Of-Bias Plots</w:t>
      </w:r>
      <w:bookmarkEnd w:id="2"/>
    </w:p>
    <w:tbl>
      <w:tblPr>
        <w:tblStyle w:val="a8"/>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75B0911" w14:textId="77777777">
        <w:trPr>
          <w:jc w:val="center"/>
        </w:trPr>
        <w:tc>
          <w:tcPr>
            <w:tcW w:w="10000" w:type="dxa"/>
            <w:shd w:val="clear" w:color="auto" w:fill="auto"/>
            <w:tcMar>
              <w:top w:w="100" w:type="dxa"/>
              <w:left w:w="100" w:type="dxa"/>
              <w:bottom w:w="100" w:type="dxa"/>
              <w:right w:w="100" w:type="dxa"/>
            </w:tcMar>
          </w:tcPr>
          <w:p w14:paraId="1294F3D6"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07C073F" wp14:editId="112EE6F6">
                  <wp:extent cx="3864247" cy="6889243"/>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
                          <a:srcRect/>
                          <a:stretch>
                            <a:fillRect/>
                          </a:stretch>
                        </pic:blipFill>
                        <pic:spPr>
                          <a:xfrm>
                            <a:off x="0" y="0"/>
                            <a:ext cx="3864247" cy="6889243"/>
                          </a:xfrm>
                          <a:prstGeom prst="rect">
                            <a:avLst/>
                          </a:prstGeom>
                          <a:ln/>
                        </pic:spPr>
                      </pic:pic>
                    </a:graphicData>
                  </a:graphic>
                </wp:inline>
              </w:drawing>
            </w:r>
          </w:p>
        </w:tc>
      </w:tr>
      <w:tr w:rsidR="00085B81" w14:paraId="62911D6F" w14:textId="77777777">
        <w:trPr>
          <w:jc w:val="center"/>
        </w:trPr>
        <w:tc>
          <w:tcPr>
            <w:tcW w:w="10000" w:type="dxa"/>
            <w:shd w:val="clear" w:color="auto" w:fill="auto"/>
            <w:tcMar>
              <w:top w:w="100" w:type="dxa"/>
              <w:left w:w="100" w:type="dxa"/>
              <w:bottom w:w="100" w:type="dxa"/>
              <w:right w:w="100" w:type="dxa"/>
            </w:tcMar>
          </w:tcPr>
          <w:p w14:paraId="7A77D772" w14:textId="4698E02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2a </w:t>
            </w:r>
            <w:r>
              <w:rPr>
                <w:rFonts w:ascii="Times New Roman" w:eastAsia="Times New Roman" w:hAnsi="Times New Roman" w:cs="Times New Roman"/>
              </w:rPr>
              <w:t>AMSTAR-2 risk-of-bias assessment, by study</w:t>
            </w:r>
            <w:r w:rsidR="003B6A7B">
              <w:rPr>
                <w:rFonts w:ascii="Times New Roman" w:eastAsia="Times New Roman" w:hAnsi="Times New Roman" w:cs="Times New Roman"/>
              </w:rPr>
              <w:t>,</w:t>
            </w:r>
            <w:r w:rsidR="003B6A7B">
              <w:t xml:space="preserve"> </w:t>
            </w:r>
            <w:r w:rsidR="003B6A7B" w:rsidRPr="003B6A7B">
              <w:rPr>
                <w:rFonts w:ascii="Times New Roman" w:eastAsia="Times New Roman" w:hAnsi="Times New Roman" w:cs="Times New Roman"/>
              </w:rPr>
              <w:t>for this umbrella review of systematic reviews evaluating the effectiveness of continuous glucose monitoring. Studies included in this review spanned a publication year range of 2011 to 2024.</w:t>
            </w:r>
          </w:p>
        </w:tc>
      </w:tr>
    </w:tbl>
    <w:p w14:paraId="74231040" w14:textId="77777777" w:rsidR="00085B81" w:rsidRDefault="00085B81">
      <w:pPr>
        <w:rPr>
          <w:rFonts w:ascii="Times New Roman" w:eastAsia="Times New Roman" w:hAnsi="Times New Roman" w:cs="Times New Roman"/>
        </w:rPr>
      </w:pPr>
    </w:p>
    <w:p w14:paraId="00335ACB" w14:textId="77777777" w:rsidR="00085B81" w:rsidRDefault="00085B81">
      <w:pPr>
        <w:rPr>
          <w:rFonts w:ascii="Times New Roman" w:eastAsia="Times New Roman" w:hAnsi="Times New Roman" w:cs="Times New Roman"/>
        </w:rPr>
      </w:pPr>
    </w:p>
    <w:tbl>
      <w:tblPr>
        <w:tblStyle w:val="a9"/>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8A7432D" w14:textId="77777777">
        <w:trPr>
          <w:jc w:val="center"/>
        </w:trPr>
        <w:tc>
          <w:tcPr>
            <w:tcW w:w="10000" w:type="dxa"/>
            <w:shd w:val="clear" w:color="auto" w:fill="auto"/>
            <w:tcMar>
              <w:top w:w="100" w:type="dxa"/>
              <w:left w:w="100" w:type="dxa"/>
              <w:bottom w:w="100" w:type="dxa"/>
              <w:right w:w="100" w:type="dxa"/>
            </w:tcMar>
          </w:tcPr>
          <w:p w14:paraId="4D2ED4D1"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F5F347F" wp14:editId="126DD0C5">
                  <wp:extent cx="6219825" cy="3606800"/>
                  <wp:effectExtent l="0" t="0" r="0" b="0"/>
                  <wp:docPr id="46"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
                          <a:srcRect/>
                          <a:stretch>
                            <a:fillRect/>
                          </a:stretch>
                        </pic:blipFill>
                        <pic:spPr>
                          <a:xfrm>
                            <a:off x="0" y="0"/>
                            <a:ext cx="6219825" cy="3606800"/>
                          </a:xfrm>
                          <a:prstGeom prst="rect">
                            <a:avLst/>
                          </a:prstGeom>
                          <a:ln/>
                        </pic:spPr>
                      </pic:pic>
                    </a:graphicData>
                  </a:graphic>
                </wp:inline>
              </w:drawing>
            </w:r>
          </w:p>
        </w:tc>
      </w:tr>
      <w:tr w:rsidR="00085B81" w14:paraId="29FDCA9E" w14:textId="77777777">
        <w:trPr>
          <w:jc w:val="center"/>
        </w:trPr>
        <w:tc>
          <w:tcPr>
            <w:tcW w:w="10000" w:type="dxa"/>
            <w:shd w:val="clear" w:color="auto" w:fill="auto"/>
            <w:tcMar>
              <w:top w:w="100" w:type="dxa"/>
              <w:left w:w="100" w:type="dxa"/>
              <w:bottom w:w="100" w:type="dxa"/>
              <w:right w:w="100" w:type="dxa"/>
            </w:tcMar>
          </w:tcPr>
          <w:p w14:paraId="63C8D0C4" w14:textId="624879FF" w:rsidR="00085B81"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eFigure 2b </w:t>
            </w:r>
            <w:r>
              <w:rPr>
                <w:rFonts w:ascii="Times New Roman" w:eastAsia="Times New Roman" w:hAnsi="Times New Roman" w:cs="Times New Roman"/>
              </w:rPr>
              <w:t>AMSTAR-2 risk-of-bias assessment, by domain</w:t>
            </w:r>
            <w:r w:rsidR="003B6A7B">
              <w:rPr>
                <w:rFonts w:ascii="Times New Roman" w:eastAsia="Times New Roman" w:hAnsi="Times New Roman" w:cs="Times New Roman"/>
              </w:rPr>
              <w:t>,</w:t>
            </w:r>
            <w:r w:rsidR="003B6A7B">
              <w:t xml:space="preserve"> </w:t>
            </w:r>
            <w:r w:rsidR="003B6A7B" w:rsidRPr="003B6A7B">
              <w:rPr>
                <w:rFonts w:ascii="Times New Roman" w:eastAsia="Times New Roman" w:hAnsi="Times New Roman" w:cs="Times New Roman"/>
              </w:rPr>
              <w:t>for this umbrella review of systematic reviews evaluating the effectiveness of continuous glucose monitoring. Studies included in this review spanned a publication year range of 2011 to 2024.</w:t>
            </w:r>
          </w:p>
        </w:tc>
      </w:tr>
    </w:tbl>
    <w:p w14:paraId="0852D9F5" w14:textId="77777777" w:rsidR="00085B81" w:rsidRDefault="00000000">
      <w:pPr>
        <w:rPr>
          <w:rFonts w:ascii="Times New Roman" w:eastAsia="Times New Roman" w:hAnsi="Times New Roman" w:cs="Times New Roman"/>
        </w:rPr>
      </w:pPr>
      <w:r>
        <w:br w:type="page"/>
      </w:r>
    </w:p>
    <w:p w14:paraId="6D803536" w14:textId="77777777" w:rsidR="00085B81" w:rsidRDefault="00000000">
      <w:pPr>
        <w:pStyle w:val="Heading1"/>
      </w:pPr>
      <w:bookmarkStart w:id="3" w:name="_Toc182493130"/>
      <w:r>
        <w:lastRenderedPageBreak/>
        <w:t>3. GROOVE Analyses</w:t>
      </w:r>
      <w:bookmarkEnd w:id="3"/>
    </w:p>
    <w:tbl>
      <w:tblPr>
        <w:tblStyle w:val="a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2E3CE1D" w14:textId="77777777">
        <w:trPr>
          <w:jc w:val="center"/>
        </w:trPr>
        <w:tc>
          <w:tcPr>
            <w:tcW w:w="10000" w:type="dxa"/>
            <w:shd w:val="clear" w:color="auto" w:fill="auto"/>
            <w:tcMar>
              <w:top w:w="100" w:type="dxa"/>
              <w:left w:w="100" w:type="dxa"/>
              <w:bottom w:w="100" w:type="dxa"/>
              <w:right w:w="100" w:type="dxa"/>
            </w:tcMar>
          </w:tcPr>
          <w:p w14:paraId="6A865512" w14:textId="77777777" w:rsidR="00085B81" w:rsidRDefault="00085B81">
            <w:pPr>
              <w:rPr>
                <w:rFonts w:ascii="Times New Roman" w:eastAsia="Times New Roman" w:hAnsi="Times New Roman" w:cs="Times New Roman"/>
              </w:rPr>
            </w:pPr>
          </w:p>
          <w:tbl>
            <w:tblPr>
              <w:tblStyle w:val="ab"/>
              <w:tblW w:w="9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085B81" w14:paraId="7DD38517" w14:textId="77777777">
              <w:tc>
                <w:tcPr>
                  <w:tcW w:w="9800" w:type="dxa"/>
                  <w:shd w:val="clear" w:color="auto" w:fill="auto"/>
                  <w:tcMar>
                    <w:top w:w="100" w:type="dxa"/>
                    <w:left w:w="100" w:type="dxa"/>
                    <w:bottom w:w="100" w:type="dxa"/>
                    <w:right w:w="100" w:type="dxa"/>
                  </w:tcMar>
                </w:tcPr>
                <w:p w14:paraId="3E7A8881"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 Overall</w:t>
                  </w:r>
                </w:p>
              </w:tc>
            </w:tr>
            <w:tr w:rsidR="00085B81" w14:paraId="10E18FF9" w14:textId="77777777">
              <w:tc>
                <w:tcPr>
                  <w:tcW w:w="9800" w:type="dxa"/>
                  <w:shd w:val="clear" w:color="auto" w:fill="auto"/>
                  <w:tcMar>
                    <w:top w:w="100" w:type="dxa"/>
                    <w:left w:w="100" w:type="dxa"/>
                    <w:bottom w:w="100" w:type="dxa"/>
                    <w:right w:w="100" w:type="dxa"/>
                  </w:tcMar>
                </w:tcPr>
                <w:p w14:paraId="36A5C774"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9EEC6DF" wp14:editId="7850206A">
                        <wp:extent cx="6086949" cy="1791477"/>
                        <wp:effectExtent l="0" t="0" r="0" b="0"/>
                        <wp:docPr id="1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
                                <a:srcRect l="3448" t="8618" r="2821" b="5118"/>
                                <a:stretch>
                                  <a:fillRect/>
                                </a:stretch>
                              </pic:blipFill>
                              <pic:spPr>
                                <a:xfrm>
                                  <a:off x="0" y="0"/>
                                  <a:ext cx="6086949" cy="1791477"/>
                                </a:xfrm>
                                <a:prstGeom prst="rect">
                                  <a:avLst/>
                                </a:prstGeom>
                                <a:ln/>
                              </pic:spPr>
                            </pic:pic>
                          </a:graphicData>
                        </a:graphic>
                      </wp:inline>
                    </w:drawing>
                  </w:r>
                </w:p>
              </w:tc>
            </w:tr>
            <w:tr w:rsidR="00085B81" w14:paraId="64D579D3" w14:textId="77777777">
              <w:tc>
                <w:tcPr>
                  <w:tcW w:w="9800" w:type="dxa"/>
                  <w:shd w:val="clear" w:color="auto" w:fill="auto"/>
                  <w:tcMar>
                    <w:top w:w="100" w:type="dxa"/>
                    <w:left w:w="100" w:type="dxa"/>
                    <w:bottom w:w="100" w:type="dxa"/>
                    <w:right w:w="100" w:type="dxa"/>
                  </w:tcMar>
                </w:tcPr>
                <w:p w14:paraId="385D0D56"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(b) HbA1c</w:t>
                  </w:r>
                </w:p>
              </w:tc>
            </w:tr>
            <w:tr w:rsidR="00085B81" w14:paraId="260772E6" w14:textId="77777777">
              <w:tc>
                <w:tcPr>
                  <w:tcW w:w="9800" w:type="dxa"/>
                  <w:shd w:val="clear" w:color="auto" w:fill="auto"/>
                  <w:tcMar>
                    <w:top w:w="100" w:type="dxa"/>
                    <w:left w:w="100" w:type="dxa"/>
                    <w:bottom w:w="100" w:type="dxa"/>
                    <w:right w:w="100" w:type="dxa"/>
                  </w:tcMar>
                </w:tcPr>
                <w:p w14:paraId="6CAF8ED5" w14:textId="77777777" w:rsidR="00085B81"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4F886AF" wp14:editId="3D53AAEF">
                        <wp:extent cx="6076950" cy="290830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6076950" cy="2908300"/>
                                </a:xfrm>
                                <a:prstGeom prst="rect">
                                  <a:avLst/>
                                </a:prstGeom>
                                <a:ln/>
                              </pic:spPr>
                            </pic:pic>
                          </a:graphicData>
                        </a:graphic>
                      </wp:inline>
                    </w:drawing>
                  </w:r>
                </w:p>
              </w:tc>
            </w:tr>
            <w:tr w:rsidR="00085B81" w14:paraId="65A91929" w14:textId="77777777">
              <w:tc>
                <w:tcPr>
                  <w:tcW w:w="9800" w:type="dxa"/>
                  <w:shd w:val="clear" w:color="auto" w:fill="auto"/>
                  <w:tcMar>
                    <w:top w:w="100" w:type="dxa"/>
                    <w:left w:w="100" w:type="dxa"/>
                    <w:bottom w:w="100" w:type="dxa"/>
                    <w:right w:w="100" w:type="dxa"/>
                  </w:tcMar>
                </w:tcPr>
                <w:p w14:paraId="06CF9C3A"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(c) TIR</w:t>
                  </w:r>
                </w:p>
              </w:tc>
            </w:tr>
            <w:tr w:rsidR="00085B81" w14:paraId="16DF783A" w14:textId="77777777">
              <w:tc>
                <w:tcPr>
                  <w:tcW w:w="9800" w:type="dxa"/>
                  <w:shd w:val="clear" w:color="auto" w:fill="auto"/>
                  <w:tcMar>
                    <w:top w:w="100" w:type="dxa"/>
                    <w:left w:w="100" w:type="dxa"/>
                    <w:bottom w:w="100" w:type="dxa"/>
                    <w:right w:w="100" w:type="dxa"/>
                  </w:tcMar>
                </w:tcPr>
                <w:p w14:paraId="23372DA9" w14:textId="77777777" w:rsidR="00085B81"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DD177FA" wp14:editId="77F493E6">
                        <wp:extent cx="5943600" cy="3009900"/>
                        <wp:effectExtent l="0" t="0" r="0" b="0"/>
                        <wp:docPr id="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
                                <a:srcRect/>
                                <a:stretch>
                                  <a:fillRect/>
                                </a:stretch>
                              </pic:blipFill>
                              <pic:spPr>
                                <a:xfrm>
                                  <a:off x="0" y="0"/>
                                  <a:ext cx="5943600" cy="3009900"/>
                                </a:xfrm>
                                <a:prstGeom prst="rect">
                                  <a:avLst/>
                                </a:prstGeom>
                                <a:ln/>
                              </pic:spPr>
                            </pic:pic>
                          </a:graphicData>
                        </a:graphic>
                      </wp:inline>
                    </w:drawing>
                  </w:r>
                </w:p>
              </w:tc>
            </w:tr>
            <w:tr w:rsidR="00085B81" w14:paraId="16C3E46F" w14:textId="77777777">
              <w:tc>
                <w:tcPr>
                  <w:tcW w:w="9800" w:type="dxa"/>
                  <w:shd w:val="clear" w:color="auto" w:fill="auto"/>
                  <w:tcMar>
                    <w:top w:w="100" w:type="dxa"/>
                    <w:left w:w="100" w:type="dxa"/>
                    <w:bottom w:w="100" w:type="dxa"/>
                    <w:right w:w="100" w:type="dxa"/>
                  </w:tcMar>
                </w:tcPr>
                <w:p w14:paraId="1613F5A8" w14:textId="77777777" w:rsidR="00085B81" w:rsidRDefault="00000000">
                  <w:pPr>
                    <w:rPr>
                      <w:rFonts w:ascii="Times New Roman" w:eastAsia="Times New Roman" w:hAnsi="Times New Roman" w:cs="Times New Roman"/>
                    </w:rPr>
                  </w:pPr>
                  <w:r>
                    <w:rPr>
                      <w:rFonts w:ascii="Times New Roman" w:eastAsia="Times New Roman" w:hAnsi="Times New Roman" w:cs="Times New Roman"/>
                    </w:rPr>
                    <w:t>(d) TAR</w:t>
                  </w:r>
                </w:p>
              </w:tc>
            </w:tr>
            <w:tr w:rsidR="00085B81" w14:paraId="69D5B7AE" w14:textId="77777777">
              <w:tc>
                <w:tcPr>
                  <w:tcW w:w="9800" w:type="dxa"/>
                  <w:shd w:val="clear" w:color="auto" w:fill="auto"/>
                  <w:tcMar>
                    <w:top w:w="100" w:type="dxa"/>
                    <w:left w:w="100" w:type="dxa"/>
                    <w:bottom w:w="100" w:type="dxa"/>
                    <w:right w:w="100" w:type="dxa"/>
                  </w:tcMar>
                </w:tcPr>
                <w:p w14:paraId="741F24DA"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CDAD5D6" wp14:editId="724A7989">
                        <wp:extent cx="6076950" cy="2984500"/>
                        <wp:effectExtent l="0" t="0" r="0" b="0"/>
                        <wp:docPr id="4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0"/>
                                <a:srcRect/>
                                <a:stretch>
                                  <a:fillRect/>
                                </a:stretch>
                              </pic:blipFill>
                              <pic:spPr>
                                <a:xfrm>
                                  <a:off x="0" y="0"/>
                                  <a:ext cx="6076950" cy="2984500"/>
                                </a:xfrm>
                                <a:prstGeom prst="rect">
                                  <a:avLst/>
                                </a:prstGeom>
                                <a:ln/>
                              </pic:spPr>
                            </pic:pic>
                          </a:graphicData>
                        </a:graphic>
                      </wp:inline>
                    </w:drawing>
                  </w:r>
                </w:p>
              </w:tc>
            </w:tr>
            <w:tr w:rsidR="00085B81" w14:paraId="29BB8739" w14:textId="77777777">
              <w:tc>
                <w:tcPr>
                  <w:tcW w:w="9800" w:type="dxa"/>
                  <w:shd w:val="clear" w:color="auto" w:fill="auto"/>
                  <w:tcMar>
                    <w:top w:w="100" w:type="dxa"/>
                    <w:left w:w="100" w:type="dxa"/>
                    <w:bottom w:w="100" w:type="dxa"/>
                    <w:right w:w="100" w:type="dxa"/>
                  </w:tcMar>
                </w:tcPr>
                <w:p w14:paraId="46F46B0C"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 TBR</w:t>
                  </w:r>
                </w:p>
              </w:tc>
            </w:tr>
            <w:tr w:rsidR="00085B81" w14:paraId="0CE0F3F8" w14:textId="77777777">
              <w:tc>
                <w:tcPr>
                  <w:tcW w:w="9800" w:type="dxa"/>
                  <w:shd w:val="clear" w:color="auto" w:fill="auto"/>
                  <w:tcMar>
                    <w:top w:w="100" w:type="dxa"/>
                    <w:left w:w="100" w:type="dxa"/>
                    <w:bottom w:w="100" w:type="dxa"/>
                    <w:right w:w="100" w:type="dxa"/>
                  </w:tcMar>
                </w:tcPr>
                <w:p w14:paraId="1A3F63B6"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E257448" wp14:editId="6DEABD34">
                        <wp:extent cx="6076950" cy="28321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6076950" cy="2832100"/>
                                </a:xfrm>
                                <a:prstGeom prst="rect">
                                  <a:avLst/>
                                </a:prstGeom>
                                <a:ln/>
                              </pic:spPr>
                            </pic:pic>
                          </a:graphicData>
                        </a:graphic>
                      </wp:inline>
                    </w:drawing>
                  </w:r>
                </w:p>
              </w:tc>
            </w:tr>
            <w:tr w:rsidR="00085B81" w14:paraId="5FDA494C" w14:textId="77777777">
              <w:tc>
                <w:tcPr>
                  <w:tcW w:w="9800" w:type="dxa"/>
                  <w:shd w:val="clear" w:color="auto" w:fill="auto"/>
                  <w:tcMar>
                    <w:top w:w="100" w:type="dxa"/>
                    <w:left w:w="100" w:type="dxa"/>
                    <w:bottom w:w="100" w:type="dxa"/>
                    <w:right w:w="100" w:type="dxa"/>
                  </w:tcMar>
                </w:tcPr>
                <w:p w14:paraId="2CFC2313"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 PROM</w:t>
                  </w:r>
                </w:p>
              </w:tc>
            </w:tr>
            <w:tr w:rsidR="00085B81" w14:paraId="6E0BBE65" w14:textId="77777777">
              <w:tc>
                <w:tcPr>
                  <w:tcW w:w="9800" w:type="dxa"/>
                  <w:shd w:val="clear" w:color="auto" w:fill="auto"/>
                  <w:tcMar>
                    <w:top w:w="100" w:type="dxa"/>
                    <w:left w:w="100" w:type="dxa"/>
                    <w:bottom w:w="100" w:type="dxa"/>
                    <w:right w:w="100" w:type="dxa"/>
                  </w:tcMar>
                </w:tcPr>
                <w:p w14:paraId="543AC7B1"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16965EE" wp14:editId="237846FC">
                        <wp:extent cx="6076950" cy="295910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076950" cy="2959100"/>
                                </a:xfrm>
                                <a:prstGeom prst="rect">
                                  <a:avLst/>
                                </a:prstGeom>
                                <a:ln/>
                              </pic:spPr>
                            </pic:pic>
                          </a:graphicData>
                        </a:graphic>
                      </wp:inline>
                    </w:drawing>
                  </w:r>
                </w:p>
              </w:tc>
            </w:tr>
          </w:tbl>
          <w:p w14:paraId="53941483" w14:textId="77777777" w:rsidR="00085B81" w:rsidRDefault="00085B81">
            <w:pPr>
              <w:rPr>
                <w:rFonts w:ascii="Times New Roman" w:eastAsia="Times New Roman" w:hAnsi="Times New Roman" w:cs="Times New Roman"/>
              </w:rPr>
            </w:pPr>
          </w:p>
        </w:tc>
      </w:tr>
      <w:tr w:rsidR="00085B81" w14:paraId="72BA919B" w14:textId="77777777">
        <w:trPr>
          <w:jc w:val="center"/>
        </w:trPr>
        <w:tc>
          <w:tcPr>
            <w:tcW w:w="10000" w:type="dxa"/>
            <w:shd w:val="clear" w:color="auto" w:fill="auto"/>
            <w:tcMar>
              <w:top w:w="100" w:type="dxa"/>
              <w:left w:w="100" w:type="dxa"/>
              <w:bottom w:w="100" w:type="dxa"/>
              <w:right w:w="100" w:type="dxa"/>
            </w:tcMar>
          </w:tcPr>
          <w:p w14:paraId="28671749" w14:textId="216E45D8"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eFigure 3a-e: </w:t>
            </w:r>
            <w:r>
              <w:rPr>
                <w:rFonts w:ascii="Times New Roman" w:eastAsia="Times New Roman" w:hAnsi="Times New Roman" w:cs="Times New Roman"/>
              </w:rPr>
              <w:t>Overlap analysis summary and GROOVE overlap matrices for (a) overall T2DM studies included across SRs, and meta-analyses pooling (b) HbA1c, (c) TIR, (d) TAR, (e) TBR, (f) PROM</w:t>
            </w:r>
            <w:r w:rsidR="003B6A7B">
              <w:rPr>
                <w:rFonts w:ascii="Times New Roman" w:eastAsia="Times New Roman" w:hAnsi="Times New Roman" w:cs="Times New Roman"/>
              </w:rPr>
              <w:t xml:space="preserve">, </w:t>
            </w:r>
            <w:r w:rsidR="003B6A7B" w:rsidRPr="003B6A7B">
              <w:rPr>
                <w:rFonts w:ascii="Times New Roman" w:eastAsia="Times New Roman" w:hAnsi="Times New Roman" w:cs="Times New Roman"/>
              </w:rPr>
              <w:t>for this umbrella review of systematic reviews evaluating the effectiveness of continuous glucose monitoring. Studies included in this review spanned a publication year range of 2011 to 2024.</w:t>
            </w:r>
          </w:p>
          <w:p w14:paraId="15F522F7" w14:textId="77777777" w:rsidR="00085B81" w:rsidRDefault="00085B81">
            <w:pPr>
              <w:widowControl w:val="0"/>
              <w:spacing w:line="240" w:lineRule="auto"/>
              <w:rPr>
                <w:rFonts w:ascii="Times New Roman" w:eastAsia="Times New Roman" w:hAnsi="Times New Roman" w:cs="Times New Roman"/>
                <w:b/>
              </w:rPr>
            </w:pPr>
          </w:p>
          <w:p w14:paraId="784B103B"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Legend: PROM = patient-reported outcome measures, TAR = time-above-range, TBR = time-below-range, TIR = time-in-range, T2DM = Type 2 Diabetes Mellitus</w:t>
            </w:r>
          </w:p>
        </w:tc>
      </w:tr>
    </w:tbl>
    <w:p w14:paraId="7A70CFFB" w14:textId="77777777" w:rsidR="00085B81" w:rsidRDefault="00000000">
      <w:pPr>
        <w:rPr>
          <w:rFonts w:ascii="Times New Roman" w:eastAsia="Times New Roman" w:hAnsi="Times New Roman" w:cs="Times New Roman"/>
        </w:rPr>
      </w:pPr>
      <w:r>
        <w:br w:type="page"/>
      </w:r>
    </w:p>
    <w:p w14:paraId="54E7C6F2" w14:textId="77777777" w:rsidR="00085B81" w:rsidRDefault="00000000">
      <w:pPr>
        <w:pStyle w:val="Heading1"/>
      </w:pPr>
      <w:bookmarkStart w:id="4" w:name="_Toc182493131"/>
      <w:r>
        <w:lastRenderedPageBreak/>
        <w:t>4. Funnel Plots</w:t>
      </w:r>
      <w:bookmarkEnd w:id="4"/>
    </w:p>
    <w:tbl>
      <w:tblPr>
        <w:tblStyle w:val="ac"/>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46E80340" w14:textId="77777777">
        <w:trPr>
          <w:jc w:val="center"/>
        </w:trPr>
        <w:tc>
          <w:tcPr>
            <w:tcW w:w="10000" w:type="dxa"/>
            <w:shd w:val="clear" w:color="auto" w:fill="auto"/>
            <w:tcMar>
              <w:top w:w="100" w:type="dxa"/>
              <w:left w:w="100" w:type="dxa"/>
              <w:bottom w:w="100" w:type="dxa"/>
              <w:right w:w="100" w:type="dxa"/>
            </w:tcMar>
          </w:tcPr>
          <w:p w14:paraId="5AC80801"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114300" distB="114300" distL="114300" distR="114300" wp14:anchorId="5847FE1F" wp14:editId="5CECDD87">
                  <wp:extent cx="6219825" cy="5168900"/>
                  <wp:effectExtent l="0" t="0" r="0" b="0"/>
                  <wp:docPr id="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3"/>
                          <a:srcRect/>
                          <a:stretch>
                            <a:fillRect/>
                          </a:stretch>
                        </pic:blipFill>
                        <pic:spPr>
                          <a:xfrm>
                            <a:off x="0" y="0"/>
                            <a:ext cx="6219825" cy="5168900"/>
                          </a:xfrm>
                          <a:prstGeom prst="rect">
                            <a:avLst/>
                          </a:prstGeom>
                          <a:ln/>
                        </pic:spPr>
                      </pic:pic>
                    </a:graphicData>
                  </a:graphic>
                </wp:inline>
              </w:drawing>
            </w:r>
          </w:p>
        </w:tc>
      </w:tr>
      <w:tr w:rsidR="00085B81" w14:paraId="7C6F943A" w14:textId="77777777">
        <w:trPr>
          <w:jc w:val="center"/>
        </w:trPr>
        <w:tc>
          <w:tcPr>
            <w:tcW w:w="10000" w:type="dxa"/>
            <w:shd w:val="clear" w:color="auto" w:fill="auto"/>
            <w:tcMar>
              <w:top w:w="100" w:type="dxa"/>
              <w:left w:w="100" w:type="dxa"/>
              <w:bottom w:w="100" w:type="dxa"/>
              <w:right w:w="100" w:type="dxa"/>
            </w:tcMar>
          </w:tcPr>
          <w:p w14:paraId="4DD195E0" w14:textId="2BC98D6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4a </w:t>
            </w:r>
            <w:r>
              <w:rPr>
                <w:rFonts w:ascii="Times New Roman" w:eastAsia="Times New Roman" w:hAnsi="Times New Roman" w:cs="Times New Roman"/>
              </w:rPr>
              <w:t xml:space="preserve">Funnel plot visualising possible publication bias for the meta-analysis </w:t>
            </w:r>
            <w:r w:rsidR="003B6A7B">
              <w:rPr>
                <w:rFonts w:ascii="Times New Roman" w:eastAsia="Times New Roman" w:hAnsi="Times New Roman" w:cs="Times New Roman"/>
              </w:rPr>
              <w:t xml:space="preserve">of primary studies comparing effectiveness of CGM against SMBG/UC between 2008 to 2022 by </w:t>
            </w:r>
            <w:r>
              <w:rPr>
                <w:rFonts w:ascii="Times New Roman" w:eastAsia="Times New Roman" w:hAnsi="Times New Roman" w:cs="Times New Roman"/>
              </w:rPr>
              <w:t>pooling for mean difference in prepost HbA1c change between CGM and SMBG/UC users across all studies, color-coded by study type [Blue = RCTs, Green =NRCTs , Red = Retrospective NRSIs]</w:t>
            </w:r>
          </w:p>
        </w:tc>
      </w:tr>
    </w:tbl>
    <w:p w14:paraId="5F967DD0" w14:textId="77777777" w:rsidR="00085B81" w:rsidRDefault="00000000">
      <w:pPr>
        <w:rPr>
          <w:rFonts w:ascii="Times New Roman" w:eastAsia="Times New Roman" w:hAnsi="Times New Roman" w:cs="Times New Roman"/>
        </w:rPr>
      </w:pPr>
      <w:r>
        <w:br w:type="page"/>
      </w:r>
    </w:p>
    <w:p w14:paraId="2B65816F" w14:textId="77777777" w:rsidR="00085B81" w:rsidRDefault="00085B81">
      <w:pPr>
        <w:rPr>
          <w:rFonts w:ascii="Times New Roman" w:eastAsia="Times New Roman" w:hAnsi="Times New Roman" w:cs="Times New Roman"/>
        </w:rPr>
      </w:pPr>
    </w:p>
    <w:tbl>
      <w:tblPr>
        <w:tblStyle w:val="ad"/>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6B056FA" w14:textId="77777777">
        <w:trPr>
          <w:jc w:val="center"/>
        </w:trPr>
        <w:tc>
          <w:tcPr>
            <w:tcW w:w="10000" w:type="dxa"/>
            <w:shd w:val="clear" w:color="auto" w:fill="auto"/>
            <w:tcMar>
              <w:top w:w="100" w:type="dxa"/>
              <w:left w:w="100" w:type="dxa"/>
              <w:bottom w:w="100" w:type="dxa"/>
              <w:right w:w="100" w:type="dxa"/>
            </w:tcMar>
          </w:tcPr>
          <w:p w14:paraId="7023563D"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5FB5DF6" wp14:editId="175058A6">
                  <wp:extent cx="6219825" cy="5168900"/>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6219825" cy="5168900"/>
                          </a:xfrm>
                          <a:prstGeom prst="rect">
                            <a:avLst/>
                          </a:prstGeom>
                          <a:ln/>
                        </pic:spPr>
                      </pic:pic>
                    </a:graphicData>
                  </a:graphic>
                </wp:inline>
              </w:drawing>
            </w:r>
          </w:p>
        </w:tc>
      </w:tr>
      <w:tr w:rsidR="00085B81" w14:paraId="19877163" w14:textId="77777777">
        <w:trPr>
          <w:jc w:val="center"/>
        </w:trPr>
        <w:tc>
          <w:tcPr>
            <w:tcW w:w="10000" w:type="dxa"/>
            <w:shd w:val="clear" w:color="auto" w:fill="auto"/>
            <w:tcMar>
              <w:top w:w="100" w:type="dxa"/>
              <w:left w:w="100" w:type="dxa"/>
              <w:bottom w:w="100" w:type="dxa"/>
              <w:right w:w="100" w:type="dxa"/>
            </w:tcMar>
          </w:tcPr>
          <w:p w14:paraId="06056F31" w14:textId="6F26759E"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4b </w:t>
            </w:r>
            <w:r>
              <w:rPr>
                <w:rFonts w:ascii="Times New Roman" w:eastAsia="Times New Roman" w:hAnsi="Times New Roman" w:cs="Times New Roman"/>
              </w:rPr>
              <w:t>Funnel plot visualizing possible publication bias for the meta-analysis</w:t>
            </w:r>
            <w:r w:rsidR="003B6A7B">
              <w:rPr>
                <w:rFonts w:ascii="Times New Roman" w:eastAsia="Times New Roman" w:hAnsi="Times New Roman" w:cs="Times New Roman"/>
              </w:rPr>
              <w:t xml:space="preserve"> </w:t>
            </w:r>
            <w:r w:rsidR="003B6A7B" w:rsidRPr="003B6A7B">
              <w:rPr>
                <w:rFonts w:ascii="Times New Roman" w:eastAsia="Times New Roman" w:hAnsi="Times New Roman" w:cs="Times New Roman"/>
              </w:rPr>
              <w:t>of primary studies comparing effectiveness of CGM against SMBG/UC between 2008 to 2022 by</w:t>
            </w:r>
            <w:r>
              <w:rPr>
                <w:rFonts w:ascii="Times New Roman" w:eastAsia="Times New Roman" w:hAnsi="Times New Roman" w:cs="Times New Roman"/>
              </w:rPr>
              <w:t xml:space="preserve"> pooling for mean difference in prepost HbA1c change between CGM and SMBG/UC users across RCT studies only, color-coding for CGM modality.  [Blue =rCGM, Green = FGM, Red = rtCGM]</w:t>
            </w:r>
          </w:p>
        </w:tc>
      </w:tr>
    </w:tbl>
    <w:p w14:paraId="7C159A7C" w14:textId="77777777" w:rsidR="00085B81" w:rsidRDefault="00000000">
      <w:pPr>
        <w:rPr>
          <w:rFonts w:ascii="Times New Roman" w:eastAsia="Times New Roman" w:hAnsi="Times New Roman" w:cs="Times New Roman"/>
        </w:rPr>
      </w:pPr>
      <w:r>
        <w:br w:type="page"/>
      </w:r>
    </w:p>
    <w:p w14:paraId="63D477BD" w14:textId="77777777" w:rsidR="00085B81" w:rsidRDefault="00085B81">
      <w:pPr>
        <w:rPr>
          <w:rFonts w:ascii="Times New Roman" w:eastAsia="Times New Roman" w:hAnsi="Times New Roman" w:cs="Times New Roman"/>
        </w:rPr>
      </w:pPr>
    </w:p>
    <w:tbl>
      <w:tblPr>
        <w:tblStyle w:val="ae"/>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D5D5EC2" w14:textId="77777777">
        <w:trPr>
          <w:jc w:val="center"/>
        </w:trPr>
        <w:tc>
          <w:tcPr>
            <w:tcW w:w="10000" w:type="dxa"/>
            <w:shd w:val="clear" w:color="auto" w:fill="auto"/>
            <w:tcMar>
              <w:top w:w="100" w:type="dxa"/>
              <w:left w:w="100" w:type="dxa"/>
              <w:bottom w:w="100" w:type="dxa"/>
              <w:right w:w="100" w:type="dxa"/>
            </w:tcMar>
          </w:tcPr>
          <w:p w14:paraId="69026EB1"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0658737" wp14:editId="5200F137">
                  <wp:extent cx="6219825" cy="5168900"/>
                  <wp:effectExtent l="0" t="0" r="0" b="0"/>
                  <wp:docPr id="3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
                          <a:srcRect/>
                          <a:stretch>
                            <a:fillRect/>
                          </a:stretch>
                        </pic:blipFill>
                        <pic:spPr>
                          <a:xfrm>
                            <a:off x="0" y="0"/>
                            <a:ext cx="6219825" cy="5168900"/>
                          </a:xfrm>
                          <a:prstGeom prst="rect">
                            <a:avLst/>
                          </a:prstGeom>
                          <a:ln/>
                        </pic:spPr>
                      </pic:pic>
                    </a:graphicData>
                  </a:graphic>
                </wp:inline>
              </w:drawing>
            </w:r>
          </w:p>
        </w:tc>
      </w:tr>
      <w:tr w:rsidR="00085B81" w14:paraId="4F335491" w14:textId="77777777">
        <w:trPr>
          <w:jc w:val="center"/>
        </w:trPr>
        <w:tc>
          <w:tcPr>
            <w:tcW w:w="10000" w:type="dxa"/>
            <w:shd w:val="clear" w:color="auto" w:fill="auto"/>
            <w:tcMar>
              <w:top w:w="100" w:type="dxa"/>
              <w:left w:w="100" w:type="dxa"/>
              <w:bottom w:w="100" w:type="dxa"/>
              <w:right w:w="100" w:type="dxa"/>
            </w:tcMar>
          </w:tcPr>
          <w:p w14:paraId="220905E1" w14:textId="41F48018"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4c </w:t>
            </w:r>
            <w:r>
              <w:rPr>
                <w:rFonts w:ascii="Times New Roman" w:eastAsia="Times New Roman" w:hAnsi="Times New Roman" w:cs="Times New Roman"/>
              </w:rPr>
              <w:t xml:space="preserve">Funnel plot visualising possible publication bias for the meta-analysis </w:t>
            </w:r>
            <w:r w:rsidR="003B6A7B" w:rsidRPr="003B6A7B">
              <w:rPr>
                <w:rFonts w:ascii="Times New Roman" w:eastAsia="Times New Roman" w:hAnsi="Times New Roman" w:cs="Times New Roman"/>
              </w:rPr>
              <w:t>of primary studies comparing effectiveness of CGM against SMBG/UC between 2008 to 2022 by</w:t>
            </w:r>
            <w:r w:rsidR="003B6A7B" w:rsidRPr="003B6A7B">
              <w:rPr>
                <w:rFonts w:ascii="Times New Roman" w:eastAsia="Times New Roman" w:hAnsi="Times New Roman" w:cs="Times New Roman"/>
              </w:rPr>
              <w:t xml:space="preserve"> </w:t>
            </w:r>
            <w:r>
              <w:rPr>
                <w:rFonts w:ascii="Times New Roman" w:eastAsia="Times New Roman" w:hAnsi="Times New Roman" w:cs="Times New Roman"/>
              </w:rPr>
              <w:t>pooling for mean difference in prepost HbA1c change between CGM and SMBG/UC users across RCT studies only, color-coding for funding status. [Blue = Not reported, Green = Commercially funded, Red = Not funded]</w:t>
            </w:r>
          </w:p>
        </w:tc>
      </w:tr>
    </w:tbl>
    <w:p w14:paraId="7F40119E" w14:textId="77777777" w:rsidR="00085B81" w:rsidRDefault="00000000">
      <w:pPr>
        <w:pStyle w:val="Heading1"/>
      </w:pPr>
      <w:bookmarkStart w:id="5" w:name="_7406507omywc" w:colFirst="0" w:colLast="0"/>
      <w:bookmarkEnd w:id="5"/>
      <w:r>
        <w:br w:type="page"/>
      </w:r>
    </w:p>
    <w:p w14:paraId="57F0DD86" w14:textId="77777777" w:rsidR="00085B81" w:rsidRDefault="00085B81">
      <w:pPr>
        <w:pStyle w:val="Heading1"/>
      </w:pPr>
      <w:bookmarkStart w:id="6" w:name="_r4rjy4c9h5jr" w:colFirst="0" w:colLast="0"/>
      <w:bookmarkEnd w:id="6"/>
    </w:p>
    <w:tbl>
      <w:tblPr>
        <w:tblStyle w:val="af"/>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3D0A46D9" w14:textId="77777777">
        <w:trPr>
          <w:jc w:val="center"/>
        </w:trPr>
        <w:tc>
          <w:tcPr>
            <w:tcW w:w="10000" w:type="dxa"/>
            <w:shd w:val="clear" w:color="auto" w:fill="auto"/>
            <w:tcMar>
              <w:top w:w="100" w:type="dxa"/>
              <w:left w:w="100" w:type="dxa"/>
              <w:bottom w:w="100" w:type="dxa"/>
              <w:right w:w="100" w:type="dxa"/>
            </w:tcMar>
          </w:tcPr>
          <w:p w14:paraId="4E6F32B9" w14:textId="77777777" w:rsidR="00085B81" w:rsidRDefault="00085B81">
            <w:pPr>
              <w:widowControl w:val="0"/>
              <w:spacing w:line="240" w:lineRule="auto"/>
              <w:rPr>
                <w:rFonts w:ascii="Times New Roman" w:eastAsia="Times New Roman" w:hAnsi="Times New Roman" w:cs="Times New Roman"/>
              </w:rPr>
            </w:pPr>
          </w:p>
          <w:tbl>
            <w:tblPr>
              <w:tblStyle w:val="af0"/>
              <w:tblW w:w="9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085B81" w14:paraId="7AC4DC4B" w14:textId="77777777">
              <w:tc>
                <w:tcPr>
                  <w:tcW w:w="9800" w:type="dxa"/>
                  <w:shd w:val="clear" w:color="auto" w:fill="auto"/>
                  <w:tcMar>
                    <w:top w:w="100" w:type="dxa"/>
                    <w:left w:w="100" w:type="dxa"/>
                    <w:bottom w:w="100" w:type="dxa"/>
                    <w:right w:w="100" w:type="dxa"/>
                  </w:tcMar>
                </w:tcPr>
                <w:p w14:paraId="1AF9C345"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 Time-in-range</w:t>
                  </w:r>
                </w:p>
              </w:tc>
            </w:tr>
            <w:tr w:rsidR="00085B81" w14:paraId="6B614DA9" w14:textId="77777777">
              <w:tc>
                <w:tcPr>
                  <w:tcW w:w="9800" w:type="dxa"/>
                  <w:shd w:val="clear" w:color="auto" w:fill="auto"/>
                  <w:tcMar>
                    <w:top w:w="100" w:type="dxa"/>
                    <w:left w:w="100" w:type="dxa"/>
                    <w:bottom w:w="100" w:type="dxa"/>
                    <w:right w:w="100" w:type="dxa"/>
                  </w:tcMar>
                </w:tcPr>
                <w:p w14:paraId="6D442C38"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932B994" wp14:editId="7A062885">
                        <wp:extent cx="3995738" cy="3199906"/>
                        <wp:effectExtent l="0" t="0" r="0" b="0"/>
                        <wp:docPr id="3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6"/>
                                <a:srcRect/>
                                <a:stretch>
                                  <a:fillRect/>
                                </a:stretch>
                              </pic:blipFill>
                              <pic:spPr>
                                <a:xfrm>
                                  <a:off x="0" y="0"/>
                                  <a:ext cx="3995738" cy="3199906"/>
                                </a:xfrm>
                                <a:prstGeom prst="rect">
                                  <a:avLst/>
                                </a:prstGeom>
                                <a:ln/>
                              </pic:spPr>
                            </pic:pic>
                          </a:graphicData>
                        </a:graphic>
                      </wp:inline>
                    </w:drawing>
                  </w:r>
                </w:p>
              </w:tc>
            </w:tr>
            <w:tr w:rsidR="00085B81" w14:paraId="40B75A4B" w14:textId="77777777">
              <w:tc>
                <w:tcPr>
                  <w:tcW w:w="9800" w:type="dxa"/>
                  <w:shd w:val="clear" w:color="auto" w:fill="auto"/>
                  <w:tcMar>
                    <w:top w:w="100" w:type="dxa"/>
                    <w:left w:w="100" w:type="dxa"/>
                    <w:bottom w:w="100" w:type="dxa"/>
                    <w:right w:w="100" w:type="dxa"/>
                  </w:tcMar>
                </w:tcPr>
                <w:p w14:paraId="0EED4D33"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(e) Time-above-range</w:t>
                  </w:r>
                </w:p>
              </w:tc>
            </w:tr>
            <w:tr w:rsidR="00085B81" w14:paraId="6F1CD47E" w14:textId="77777777">
              <w:tc>
                <w:tcPr>
                  <w:tcW w:w="9800" w:type="dxa"/>
                  <w:shd w:val="clear" w:color="auto" w:fill="auto"/>
                  <w:tcMar>
                    <w:top w:w="100" w:type="dxa"/>
                    <w:left w:w="100" w:type="dxa"/>
                    <w:bottom w:w="100" w:type="dxa"/>
                    <w:right w:w="100" w:type="dxa"/>
                  </w:tcMar>
                </w:tcPr>
                <w:p w14:paraId="550FD4FF"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94D7AA3" wp14:editId="0C66B707">
                        <wp:extent cx="3970825" cy="2832133"/>
                        <wp:effectExtent l="0" t="0" r="0" b="0"/>
                        <wp:docPr id="4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t="11132"/>
                                <a:stretch>
                                  <a:fillRect/>
                                </a:stretch>
                              </pic:blipFill>
                              <pic:spPr>
                                <a:xfrm>
                                  <a:off x="0" y="0"/>
                                  <a:ext cx="3970825" cy="2832133"/>
                                </a:xfrm>
                                <a:prstGeom prst="rect">
                                  <a:avLst/>
                                </a:prstGeom>
                                <a:ln/>
                              </pic:spPr>
                            </pic:pic>
                          </a:graphicData>
                        </a:graphic>
                      </wp:inline>
                    </w:drawing>
                  </w:r>
                </w:p>
                <w:p w14:paraId="5B6B2E1A"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39D471C3"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261D2946"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47C51754"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tc>
            </w:tr>
            <w:tr w:rsidR="00085B81" w14:paraId="6305DCFB" w14:textId="77777777">
              <w:tc>
                <w:tcPr>
                  <w:tcW w:w="9800" w:type="dxa"/>
                  <w:shd w:val="clear" w:color="auto" w:fill="auto"/>
                  <w:tcMar>
                    <w:top w:w="100" w:type="dxa"/>
                    <w:left w:w="100" w:type="dxa"/>
                    <w:bottom w:w="100" w:type="dxa"/>
                    <w:right w:w="100" w:type="dxa"/>
                  </w:tcMar>
                </w:tcPr>
                <w:p w14:paraId="4010E3F4"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lastRenderedPageBreak/>
                    <w:t>(f) Time-below-range</w:t>
                  </w:r>
                </w:p>
              </w:tc>
            </w:tr>
            <w:tr w:rsidR="00085B81" w14:paraId="362E9402" w14:textId="77777777">
              <w:tc>
                <w:tcPr>
                  <w:tcW w:w="9800" w:type="dxa"/>
                  <w:shd w:val="clear" w:color="auto" w:fill="auto"/>
                  <w:tcMar>
                    <w:top w:w="100" w:type="dxa"/>
                    <w:left w:w="100" w:type="dxa"/>
                    <w:bottom w:w="100" w:type="dxa"/>
                    <w:right w:w="100" w:type="dxa"/>
                  </w:tcMar>
                </w:tcPr>
                <w:p w14:paraId="72FB851D"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B884C07" wp14:editId="16D98322">
                        <wp:extent cx="4317499" cy="3082621"/>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t="10963"/>
                                <a:stretch>
                                  <a:fillRect/>
                                </a:stretch>
                              </pic:blipFill>
                              <pic:spPr>
                                <a:xfrm>
                                  <a:off x="0" y="0"/>
                                  <a:ext cx="4317499" cy="3082621"/>
                                </a:xfrm>
                                <a:prstGeom prst="rect">
                                  <a:avLst/>
                                </a:prstGeom>
                                <a:ln/>
                              </pic:spPr>
                            </pic:pic>
                          </a:graphicData>
                        </a:graphic>
                      </wp:inline>
                    </w:drawing>
                  </w:r>
                </w:p>
              </w:tc>
            </w:tr>
          </w:tbl>
          <w:p w14:paraId="33F0EEEA" w14:textId="77777777" w:rsidR="00085B81" w:rsidRDefault="00085B81">
            <w:pPr>
              <w:widowControl w:val="0"/>
              <w:spacing w:line="240" w:lineRule="auto"/>
              <w:rPr>
                <w:rFonts w:ascii="Times New Roman" w:eastAsia="Times New Roman" w:hAnsi="Times New Roman" w:cs="Times New Roman"/>
              </w:rPr>
            </w:pPr>
          </w:p>
        </w:tc>
      </w:tr>
      <w:tr w:rsidR="00085B81" w14:paraId="71F04431" w14:textId="77777777">
        <w:trPr>
          <w:trHeight w:val="923"/>
          <w:jc w:val="center"/>
        </w:trPr>
        <w:tc>
          <w:tcPr>
            <w:tcW w:w="10000" w:type="dxa"/>
            <w:shd w:val="clear" w:color="auto" w:fill="auto"/>
            <w:tcMar>
              <w:top w:w="100" w:type="dxa"/>
              <w:left w:w="100" w:type="dxa"/>
              <w:bottom w:w="100" w:type="dxa"/>
              <w:right w:w="100" w:type="dxa"/>
            </w:tcMar>
          </w:tcPr>
          <w:p w14:paraId="4E4CC361" w14:textId="70FEF88E"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eFigure 4d-f </w:t>
            </w:r>
            <w:r>
              <w:rPr>
                <w:rFonts w:ascii="Times New Roman" w:eastAsia="Times New Roman" w:hAnsi="Times New Roman" w:cs="Times New Roman"/>
              </w:rPr>
              <w:t xml:space="preserve">Funnel plot visualising possible publication bias for the meta-analysis </w:t>
            </w:r>
            <w:r w:rsidR="003B6A7B" w:rsidRPr="003B6A7B">
              <w:rPr>
                <w:rFonts w:ascii="Times New Roman" w:eastAsia="Times New Roman" w:hAnsi="Times New Roman" w:cs="Times New Roman"/>
              </w:rPr>
              <w:t>of primary studies comparing effectiveness of CGM against SMBG/UC between 200</w:t>
            </w:r>
            <w:r w:rsidR="003B6A7B">
              <w:rPr>
                <w:rFonts w:ascii="Times New Roman" w:eastAsia="Times New Roman" w:hAnsi="Times New Roman" w:cs="Times New Roman"/>
              </w:rPr>
              <w:t>9</w:t>
            </w:r>
            <w:r w:rsidR="003B6A7B" w:rsidRPr="003B6A7B">
              <w:rPr>
                <w:rFonts w:ascii="Times New Roman" w:eastAsia="Times New Roman" w:hAnsi="Times New Roman" w:cs="Times New Roman"/>
              </w:rPr>
              <w:t xml:space="preserve"> to 202</w:t>
            </w:r>
            <w:r w:rsidR="003B6A7B">
              <w:rPr>
                <w:rFonts w:ascii="Times New Roman" w:eastAsia="Times New Roman" w:hAnsi="Times New Roman" w:cs="Times New Roman"/>
              </w:rPr>
              <w:t>3</w:t>
            </w:r>
            <w:r w:rsidR="003B6A7B" w:rsidRPr="003B6A7B">
              <w:rPr>
                <w:rFonts w:ascii="Times New Roman" w:eastAsia="Times New Roman" w:hAnsi="Times New Roman" w:cs="Times New Roman"/>
              </w:rPr>
              <w:t xml:space="preserve"> by</w:t>
            </w:r>
            <w:r w:rsidR="003B6A7B" w:rsidRPr="003B6A7B">
              <w:rPr>
                <w:rFonts w:ascii="Times New Roman" w:eastAsia="Times New Roman" w:hAnsi="Times New Roman" w:cs="Times New Roman"/>
              </w:rPr>
              <w:t xml:space="preserve"> </w:t>
            </w:r>
            <w:r>
              <w:rPr>
                <w:rFonts w:ascii="Times New Roman" w:eastAsia="Times New Roman" w:hAnsi="Times New Roman" w:cs="Times New Roman"/>
              </w:rPr>
              <w:t xml:space="preserve">pooling for mean difference in (d) prepost change in time-in-range, (e) prepost change in time-above-range, (f) prepost change in time-below-range. eFigure 4d-f were color coded by CGM modality. [Blue =rCGM, Green = FGM, Red = rtCGM] </w:t>
            </w:r>
          </w:p>
        </w:tc>
      </w:tr>
    </w:tbl>
    <w:p w14:paraId="2974F17B" w14:textId="77777777" w:rsidR="00085B81" w:rsidRDefault="00000000">
      <w:pPr>
        <w:pStyle w:val="Heading1"/>
      </w:pPr>
      <w:bookmarkStart w:id="7" w:name="_xie87wngxm75" w:colFirst="0" w:colLast="0"/>
      <w:bookmarkEnd w:id="7"/>
      <w:r>
        <w:br w:type="page"/>
      </w:r>
    </w:p>
    <w:p w14:paraId="0660C1E5" w14:textId="77777777" w:rsidR="00085B81" w:rsidRDefault="00000000">
      <w:pPr>
        <w:pStyle w:val="Heading1"/>
      </w:pPr>
      <w:bookmarkStart w:id="8" w:name="_Toc182493132"/>
      <w:r>
        <w:lastRenderedPageBreak/>
        <w:t>5. Prepost HbA1c Forest Plots</w:t>
      </w:r>
      <w:bookmarkEnd w:id="8"/>
    </w:p>
    <w:tbl>
      <w:tblPr>
        <w:tblStyle w:val="af1"/>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6669C1BB" w14:textId="77777777">
        <w:trPr>
          <w:jc w:val="center"/>
        </w:trPr>
        <w:tc>
          <w:tcPr>
            <w:tcW w:w="10000" w:type="dxa"/>
            <w:shd w:val="clear" w:color="auto" w:fill="auto"/>
            <w:tcMar>
              <w:top w:w="100" w:type="dxa"/>
              <w:left w:w="100" w:type="dxa"/>
              <w:bottom w:w="100" w:type="dxa"/>
              <w:right w:w="100" w:type="dxa"/>
            </w:tcMar>
          </w:tcPr>
          <w:p w14:paraId="48FB293C"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18879FB" wp14:editId="5BBC68B9">
                  <wp:extent cx="6219825" cy="673100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a:stretch>
                            <a:fillRect/>
                          </a:stretch>
                        </pic:blipFill>
                        <pic:spPr>
                          <a:xfrm>
                            <a:off x="0" y="0"/>
                            <a:ext cx="6219825" cy="6731000"/>
                          </a:xfrm>
                          <a:prstGeom prst="rect">
                            <a:avLst/>
                          </a:prstGeom>
                          <a:ln/>
                        </pic:spPr>
                      </pic:pic>
                    </a:graphicData>
                  </a:graphic>
                </wp:inline>
              </w:drawing>
            </w:r>
          </w:p>
        </w:tc>
      </w:tr>
      <w:tr w:rsidR="00085B81" w14:paraId="066F206C" w14:textId="77777777">
        <w:trPr>
          <w:jc w:val="center"/>
        </w:trPr>
        <w:tc>
          <w:tcPr>
            <w:tcW w:w="10000" w:type="dxa"/>
            <w:shd w:val="clear" w:color="auto" w:fill="auto"/>
            <w:tcMar>
              <w:top w:w="100" w:type="dxa"/>
              <w:left w:w="100" w:type="dxa"/>
              <w:bottom w:w="100" w:type="dxa"/>
              <w:right w:w="100" w:type="dxa"/>
            </w:tcMar>
          </w:tcPr>
          <w:p w14:paraId="023A0219" w14:textId="7068258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5a </w:t>
            </w:r>
            <w:r>
              <w:rPr>
                <w:rFonts w:ascii="Times New Roman" w:eastAsia="Times New Roman" w:hAnsi="Times New Roman" w:cs="Times New Roman"/>
              </w:rPr>
              <w:t xml:space="preserve">Forest plot for meta-analysis </w:t>
            </w:r>
            <w:r w:rsidR="003B6A7B" w:rsidRPr="003B6A7B">
              <w:rPr>
                <w:rFonts w:ascii="Times New Roman" w:eastAsia="Times New Roman" w:hAnsi="Times New Roman" w:cs="Times New Roman"/>
              </w:rPr>
              <w:t>of primary studies comparing effectiveness of CGM against SMBG/UC between 2008 to 2022 by</w:t>
            </w:r>
            <w:r w:rsidR="003B6A7B" w:rsidRPr="003B6A7B">
              <w:rPr>
                <w:rFonts w:ascii="Times New Roman" w:eastAsia="Times New Roman" w:hAnsi="Times New Roman" w:cs="Times New Roman"/>
              </w:rPr>
              <w:t xml:space="preserve"> </w:t>
            </w:r>
            <w:r w:rsidR="003B6A7B">
              <w:rPr>
                <w:rFonts w:ascii="Times New Roman" w:eastAsia="Times New Roman" w:hAnsi="Times New Roman" w:cs="Times New Roman"/>
              </w:rPr>
              <w:t xml:space="preserve">pooling the </w:t>
            </w:r>
            <w:r>
              <w:rPr>
                <w:rFonts w:ascii="Times New Roman" w:eastAsia="Times New Roman" w:hAnsi="Times New Roman" w:cs="Times New Roman"/>
              </w:rPr>
              <w:t xml:space="preserve">mean difference in prepost HbA1c (%) change between CGM and SMBG/UC users across all studies, subgrouped by study type. Correlation coefficient for imputation set at 0.5.  CGM significantly associated with greater HbA1c decrease over SMBG/UC (MD = -0.41 , 95% CI: -0.56 to -0.26) </w:t>
            </w:r>
          </w:p>
        </w:tc>
      </w:tr>
    </w:tbl>
    <w:p w14:paraId="703B9092" w14:textId="77777777" w:rsidR="00085B81" w:rsidRDefault="00085B81">
      <w:pPr>
        <w:rPr>
          <w:rFonts w:ascii="Times New Roman" w:eastAsia="Times New Roman" w:hAnsi="Times New Roman" w:cs="Times New Roman"/>
        </w:rPr>
      </w:pPr>
    </w:p>
    <w:tbl>
      <w:tblPr>
        <w:tblStyle w:val="af2"/>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2C2D2DFB" w14:textId="77777777">
        <w:trPr>
          <w:jc w:val="center"/>
        </w:trPr>
        <w:tc>
          <w:tcPr>
            <w:tcW w:w="10000" w:type="dxa"/>
            <w:shd w:val="clear" w:color="auto" w:fill="auto"/>
            <w:tcMar>
              <w:top w:w="100" w:type="dxa"/>
              <w:left w:w="100" w:type="dxa"/>
              <w:bottom w:w="100" w:type="dxa"/>
              <w:right w:w="100" w:type="dxa"/>
            </w:tcMar>
          </w:tcPr>
          <w:p w14:paraId="382630DC"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60A798A" wp14:editId="3AE59865">
                  <wp:extent cx="6219825" cy="6921500"/>
                  <wp:effectExtent l="0" t="0" r="0" b="0"/>
                  <wp:docPr id="5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0"/>
                          <a:srcRect/>
                          <a:stretch>
                            <a:fillRect/>
                          </a:stretch>
                        </pic:blipFill>
                        <pic:spPr>
                          <a:xfrm>
                            <a:off x="0" y="0"/>
                            <a:ext cx="6219825" cy="6921500"/>
                          </a:xfrm>
                          <a:prstGeom prst="rect">
                            <a:avLst/>
                          </a:prstGeom>
                          <a:ln/>
                        </pic:spPr>
                      </pic:pic>
                    </a:graphicData>
                  </a:graphic>
                </wp:inline>
              </w:drawing>
            </w:r>
          </w:p>
        </w:tc>
      </w:tr>
      <w:tr w:rsidR="00085B81" w14:paraId="15C9F2D9" w14:textId="77777777">
        <w:trPr>
          <w:jc w:val="center"/>
        </w:trPr>
        <w:tc>
          <w:tcPr>
            <w:tcW w:w="10000" w:type="dxa"/>
            <w:shd w:val="clear" w:color="auto" w:fill="auto"/>
            <w:tcMar>
              <w:top w:w="100" w:type="dxa"/>
              <w:left w:w="100" w:type="dxa"/>
              <w:bottom w:w="100" w:type="dxa"/>
              <w:right w:w="100" w:type="dxa"/>
            </w:tcMar>
          </w:tcPr>
          <w:p w14:paraId="5C49C9A7" w14:textId="2E3CA8DE"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5b </w:t>
            </w:r>
            <w:r>
              <w:rPr>
                <w:rFonts w:ascii="Times New Roman" w:eastAsia="Times New Roman" w:hAnsi="Times New Roman" w:cs="Times New Roman"/>
              </w:rPr>
              <w:t>Forest plot for meta-analysis of</w:t>
            </w:r>
            <w:r w:rsidR="003B6A7B">
              <w:rPr>
                <w:rFonts w:ascii="Times New Roman" w:eastAsia="Times New Roman" w:hAnsi="Times New Roman" w:cs="Times New Roman"/>
              </w:rPr>
              <w:t xml:space="preserve"> </w:t>
            </w:r>
            <w:r w:rsidR="003B6A7B" w:rsidRPr="003B6A7B">
              <w:rPr>
                <w:rFonts w:ascii="Times New Roman" w:eastAsia="Times New Roman" w:hAnsi="Times New Roman" w:cs="Times New Roman"/>
              </w:rPr>
              <w:t>primary studies comparing effectiveness of CGM against SMBG/UC between 2008 to 2022 by pooling</w:t>
            </w:r>
            <w:r w:rsidR="003B6A7B" w:rsidRPr="003B6A7B">
              <w:rPr>
                <w:rFonts w:ascii="Times New Roman" w:eastAsia="Times New Roman" w:hAnsi="Times New Roman" w:cs="Times New Roman"/>
              </w:rPr>
              <w:t xml:space="preserve"> </w:t>
            </w:r>
            <w:r w:rsidR="003B6A7B">
              <w:rPr>
                <w:rFonts w:ascii="Times New Roman" w:eastAsia="Times New Roman" w:hAnsi="Times New Roman" w:cs="Times New Roman"/>
              </w:rPr>
              <w:t xml:space="preserve">the </w:t>
            </w:r>
            <w:r>
              <w:rPr>
                <w:rFonts w:ascii="Times New Roman" w:eastAsia="Times New Roman" w:hAnsi="Times New Roman" w:cs="Times New Roman"/>
              </w:rPr>
              <w:t>mean difference in prepost HbA1c (%) change between CGM and SMBG/UC users across all studies, subgrouped by study type. Correlation coefficient for imputation set at 0.7.  CGM significantly associated with greater HbA1c decrease over SMBG/UC (MD = -0.42, 95% CI: -0.58 to -0.27)</w:t>
            </w:r>
          </w:p>
        </w:tc>
      </w:tr>
    </w:tbl>
    <w:p w14:paraId="7F7626E0" w14:textId="77777777" w:rsidR="00085B81" w:rsidRDefault="00085B81">
      <w:pPr>
        <w:rPr>
          <w:rFonts w:ascii="Times New Roman" w:eastAsia="Times New Roman" w:hAnsi="Times New Roman" w:cs="Times New Roman"/>
        </w:rPr>
      </w:pPr>
    </w:p>
    <w:tbl>
      <w:tblPr>
        <w:tblStyle w:val="af3"/>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0BA20B4F" w14:textId="77777777">
        <w:trPr>
          <w:jc w:val="center"/>
        </w:trPr>
        <w:tc>
          <w:tcPr>
            <w:tcW w:w="10000" w:type="dxa"/>
            <w:shd w:val="clear" w:color="auto" w:fill="auto"/>
            <w:tcMar>
              <w:top w:w="100" w:type="dxa"/>
              <w:left w:w="100" w:type="dxa"/>
              <w:bottom w:w="100" w:type="dxa"/>
              <w:right w:w="100" w:type="dxa"/>
            </w:tcMar>
          </w:tcPr>
          <w:p w14:paraId="72BE5A7B"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5143ECC" wp14:editId="44B9E55C">
                  <wp:extent cx="6219825" cy="6997700"/>
                  <wp:effectExtent l="0" t="0" r="0" b="0"/>
                  <wp:docPr id="5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1"/>
                          <a:srcRect/>
                          <a:stretch>
                            <a:fillRect/>
                          </a:stretch>
                        </pic:blipFill>
                        <pic:spPr>
                          <a:xfrm>
                            <a:off x="0" y="0"/>
                            <a:ext cx="6219825" cy="6997700"/>
                          </a:xfrm>
                          <a:prstGeom prst="rect">
                            <a:avLst/>
                          </a:prstGeom>
                          <a:ln/>
                        </pic:spPr>
                      </pic:pic>
                    </a:graphicData>
                  </a:graphic>
                </wp:inline>
              </w:drawing>
            </w:r>
          </w:p>
        </w:tc>
      </w:tr>
      <w:tr w:rsidR="00085B81" w14:paraId="1390B578" w14:textId="77777777">
        <w:trPr>
          <w:jc w:val="center"/>
        </w:trPr>
        <w:tc>
          <w:tcPr>
            <w:tcW w:w="10000" w:type="dxa"/>
            <w:shd w:val="clear" w:color="auto" w:fill="auto"/>
            <w:tcMar>
              <w:top w:w="100" w:type="dxa"/>
              <w:left w:w="100" w:type="dxa"/>
              <w:bottom w:w="100" w:type="dxa"/>
              <w:right w:w="100" w:type="dxa"/>
            </w:tcMar>
          </w:tcPr>
          <w:p w14:paraId="62989B75" w14:textId="32BD4A56"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5c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2008 to 2022 by pooling</w:t>
            </w:r>
            <w:r w:rsidR="003B6A7B" w:rsidRPr="003B6A7B">
              <w:rPr>
                <w:rFonts w:ascii="Times New Roman" w:eastAsia="Times New Roman" w:hAnsi="Times New Roman" w:cs="Times New Roman"/>
              </w:rPr>
              <w:t xml:space="preserve"> </w:t>
            </w:r>
            <w:r w:rsidR="003B6A7B">
              <w:rPr>
                <w:rFonts w:ascii="Times New Roman" w:eastAsia="Times New Roman" w:hAnsi="Times New Roman" w:cs="Times New Roman"/>
              </w:rPr>
              <w:t xml:space="preserve">the </w:t>
            </w:r>
            <w:r>
              <w:rPr>
                <w:rFonts w:ascii="Times New Roman" w:eastAsia="Times New Roman" w:hAnsi="Times New Roman" w:cs="Times New Roman"/>
              </w:rPr>
              <w:t xml:space="preserve">mean difference in prepost HbA1c (%) change between CGM and SMBG/UC users across all studies, subgrouped by study type. Correlation coefficient for imputation set at 0.95.  CGM significantly associated with greater HbA1c decrease over SMBG/UC (MD = -0.44 , 95% </w:t>
            </w:r>
            <w:r>
              <w:rPr>
                <w:rFonts w:ascii="Times New Roman" w:eastAsia="Times New Roman" w:hAnsi="Times New Roman" w:cs="Times New Roman"/>
              </w:rPr>
              <w:lastRenderedPageBreak/>
              <w:t>CI: -0.60 to -0.28)</w:t>
            </w:r>
          </w:p>
        </w:tc>
      </w:tr>
    </w:tbl>
    <w:p w14:paraId="318E6787" w14:textId="77777777" w:rsidR="00085B81" w:rsidRDefault="00085B81">
      <w:pPr>
        <w:rPr>
          <w:rFonts w:ascii="Times New Roman" w:eastAsia="Times New Roman" w:hAnsi="Times New Roman" w:cs="Times New Roman"/>
        </w:rPr>
      </w:pPr>
    </w:p>
    <w:tbl>
      <w:tblPr>
        <w:tblStyle w:val="af4"/>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437AAD79" w14:textId="77777777">
        <w:trPr>
          <w:jc w:val="center"/>
        </w:trPr>
        <w:tc>
          <w:tcPr>
            <w:tcW w:w="10000" w:type="dxa"/>
            <w:shd w:val="clear" w:color="auto" w:fill="auto"/>
            <w:tcMar>
              <w:top w:w="100" w:type="dxa"/>
              <w:left w:w="100" w:type="dxa"/>
              <w:bottom w:w="100" w:type="dxa"/>
              <w:right w:w="100" w:type="dxa"/>
            </w:tcMar>
          </w:tcPr>
          <w:p w14:paraId="3F2682F4"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AA0DEAD" wp14:editId="788B6E08">
                  <wp:extent cx="6219825" cy="5905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6219825" cy="5905500"/>
                          </a:xfrm>
                          <a:prstGeom prst="rect">
                            <a:avLst/>
                          </a:prstGeom>
                          <a:ln/>
                        </pic:spPr>
                      </pic:pic>
                    </a:graphicData>
                  </a:graphic>
                </wp:inline>
              </w:drawing>
            </w:r>
          </w:p>
        </w:tc>
      </w:tr>
      <w:tr w:rsidR="00085B81" w14:paraId="2C552354" w14:textId="77777777">
        <w:trPr>
          <w:jc w:val="center"/>
        </w:trPr>
        <w:tc>
          <w:tcPr>
            <w:tcW w:w="10000" w:type="dxa"/>
            <w:shd w:val="clear" w:color="auto" w:fill="auto"/>
            <w:tcMar>
              <w:top w:w="100" w:type="dxa"/>
              <w:left w:w="100" w:type="dxa"/>
              <w:bottom w:w="100" w:type="dxa"/>
              <w:right w:w="100" w:type="dxa"/>
            </w:tcMar>
          </w:tcPr>
          <w:p w14:paraId="545DC4D6" w14:textId="4E4E8832"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5d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prepost HbA1c (%) change between CGM and SMBG/UC users across all studies with outliers identified by Baujat plot removed, subgrouped by study type. Correlation coefficient for imputation set at 0.3.  CGM significantly associated with greater HbA1c decrease over SMBG/UC (MD = -0.36 , 95% CI: -0.43 to -0.29)</w:t>
            </w:r>
          </w:p>
        </w:tc>
      </w:tr>
    </w:tbl>
    <w:p w14:paraId="59392255" w14:textId="77777777" w:rsidR="00085B81" w:rsidRDefault="00085B81">
      <w:pPr>
        <w:rPr>
          <w:rFonts w:ascii="Times New Roman" w:eastAsia="Times New Roman" w:hAnsi="Times New Roman" w:cs="Times New Roman"/>
        </w:rPr>
      </w:pPr>
    </w:p>
    <w:p w14:paraId="7FE70864" w14:textId="77777777" w:rsidR="00085B81" w:rsidRDefault="00085B81">
      <w:pPr>
        <w:rPr>
          <w:rFonts w:ascii="Times New Roman" w:eastAsia="Times New Roman" w:hAnsi="Times New Roman" w:cs="Times New Roman"/>
        </w:rPr>
      </w:pPr>
    </w:p>
    <w:tbl>
      <w:tblPr>
        <w:tblStyle w:val="af5"/>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2121AF2" w14:textId="77777777">
        <w:trPr>
          <w:jc w:val="center"/>
        </w:trPr>
        <w:tc>
          <w:tcPr>
            <w:tcW w:w="10000" w:type="dxa"/>
            <w:shd w:val="clear" w:color="auto" w:fill="auto"/>
            <w:tcMar>
              <w:top w:w="100" w:type="dxa"/>
              <w:left w:w="100" w:type="dxa"/>
              <w:bottom w:w="100" w:type="dxa"/>
              <w:right w:w="100" w:type="dxa"/>
            </w:tcMar>
          </w:tcPr>
          <w:p w14:paraId="5D39EBA6"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8092B49" wp14:editId="32CE4518">
                  <wp:extent cx="6219825" cy="5346700"/>
                  <wp:effectExtent l="0" t="0" r="0" b="0"/>
                  <wp:docPr id="2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
                          <a:srcRect/>
                          <a:stretch>
                            <a:fillRect/>
                          </a:stretch>
                        </pic:blipFill>
                        <pic:spPr>
                          <a:xfrm>
                            <a:off x="0" y="0"/>
                            <a:ext cx="6219825" cy="5346700"/>
                          </a:xfrm>
                          <a:prstGeom prst="rect">
                            <a:avLst/>
                          </a:prstGeom>
                          <a:ln/>
                        </pic:spPr>
                      </pic:pic>
                    </a:graphicData>
                  </a:graphic>
                </wp:inline>
              </w:drawing>
            </w:r>
          </w:p>
        </w:tc>
      </w:tr>
      <w:tr w:rsidR="00085B81" w14:paraId="34CF894D" w14:textId="77777777">
        <w:trPr>
          <w:jc w:val="center"/>
        </w:trPr>
        <w:tc>
          <w:tcPr>
            <w:tcW w:w="10000" w:type="dxa"/>
            <w:shd w:val="clear" w:color="auto" w:fill="auto"/>
            <w:tcMar>
              <w:top w:w="100" w:type="dxa"/>
              <w:left w:w="100" w:type="dxa"/>
              <w:bottom w:w="100" w:type="dxa"/>
              <w:right w:w="100" w:type="dxa"/>
            </w:tcMar>
          </w:tcPr>
          <w:p w14:paraId="5BA06F02" w14:textId="37D4F22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5e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prepost HbA1c (%) change between CGM and SMBG/UC users across RCTs with outliers identified by Baujat plot removed, subgrouped by CGM modality. Correlation coefficient for imputation set at 0.3.  CGM significantly associated with greater HbA1c decrease over SMBG/UC (MD = -0.39 , 95% CI: -0.46 to -0.31)</w:t>
            </w:r>
          </w:p>
        </w:tc>
      </w:tr>
    </w:tbl>
    <w:p w14:paraId="18D32631" w14:textId="77777777" w:rsidR="00085B81" w:rsidRDefault="00000000">
      <w:pPr>
        <w:rPr>
          <w:rFonts w:ascii="Times New Roman" w:eastAsia="Times New Roman" w:hAnsi="Times New Roman" w:cs="Times New Roman"/>
        </w:rPr>
      </w:pPr>
      <w:r>
        <w:br w:type="page"/>
      </w:r>
    </w:p>
    <w:p w14:paraId="776CE9C2" w14:textId="77777777" w:rsidR="00085B81" w:rsidRDefault="00085B81">
      <w:pPr>
        <w:rPr>
          <w:rFonts w:ascii="Times New Roman" w:eastAsia="Times New Roman" w:hAnsi="Times New Roman" w:cs="Times New Roman"/>
        </w:rPr>
      </w:pPr>
    </w:p>
    <w:tbl>
      <w:tblPr>
        <w:tblStyle w:val="af6"/>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3A3090B7" w14:textId="77777777">
        <w:trPr>
          <w:jc w:val="center"/>
        </w:trPr>
        <w:tc>
          <w:tcPr>
            <w:tcW w:w="10000" w:type="dxa"/>
            <w:shd w:val="clear" w:color="auto" w:fill="auto"/>
            <w:tcMar>
              <w:top w:w="100" w:type="dxa"/>
              <w:left w:w="100" w:type="dxa"/>
              <w:bottom w:w="100" w:type="dxa"/>
              <w:right w:w="100" w:type="dxa"/>
            </w:tcMar>
          </w:tcPr>
          <w:p w14:paraId="2850AE04"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E3D7EB0" wp14:editId="0831FF08">
                  <wp:extent cx="6219825" cy="5854700"/>
                  <wp:effectExtent l="0" t="0" r="0" b="0"/>
                  <wp:docPr id="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4"/>
                          <a:srcRect/>
                          <a:stretch>
                            <a:fillRect/>
                          </a:stretch>
                        </pic:blipFill>
                        <pic:spPr>
                          <a:xfrm>
                            <a:off x="0" y="0"/>
                            <a:ext cx="6219825" cy="5854700"/>
                          </a:xfrm>
                          <a:prstGeom prst="rect">
                            <a:avLst/>
                          </a:prstGeom>
                          <a:ln/>
                        </pic:spPr>
                      </pic:pic>
                    </a:graphicData>
                  </a:graphic>
                </wp:inline>
              </w:drawing>
            </w:r>
          </w:p>
        </w:tc>
      </w:tr>
      <w:tr w:rsidR="00085B81" w14:paraId="6EC32B9F" w14:textId="77777777">
        <w:trPr>
          <w:jc w:val="center"/>
        </w:trPr>
        <w:tc>
          <w:tcPr>
            <w:tcW w:w="10000" w:type="dxa"/>
            <w:shd w:val="clear" w:color="auto" w:fill="auto"/>
            <w:tcMar>
              <w:top w:w="100" w:type="dxa"/>
              <w:left w:w="100" w:type="dxa"/>
              <w:bottom w:w="100" w:type="dxa"/>
              <w:right w:w="100" w:type="dxa"/>
            </w:tcMar>
          </w:tcPr>
          <w:p w14:paraId="742C9E55" w14:textId="7EF6B6F3"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5f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prepost HbA1c (%) change between CGM and SMBG/UC users across RCTs, subgrouped by funding status. Correlation coefficient for imputation set at 0.3.  CGM significantly associated with greater HbA1c decrease over SMBG/UC (MD = -0.42 , 95% CI: -0.60 to -0.24). No significant differences between subgroups (p = 0.26).</w:t>
            </w:r>
          </w:p>
        </w:tc>
      </w:tr>
    </w:tbl>
    <w:p w14:paraId="506D5FA2" w14:textId="77777777" w:rsidR="00085B81" w:rsidRDefault="00085B81">
      <w:pPr>
        <w:rPr>
          <w:rFonts w:ascii="Times New Roman" w:eastAsia="Times New Roman" w:hAnsi="Times New Roman" w:cs="Times New Roman"/>
        </w:rPr>
      </w:pPr>
    </w:p>
    <w:p w14:paraId="0EFAA0D9" w14:textId="77777777" w:rsidR="00085B81" w:rsidRDefault="00085B81">
      <w:pPr>
        <w:rPr>
          <w:rFonts w:ascii="Times New Roman" w:eastAsia="Times New Roman" w:hAnsi="Times New Roman" w:cs="Times New Roman"/>
        </w:rPr>
      </w:pPr>
    </w:p>
    <w:p w14:paraId="3FF953E3" w14:textId="77777777" w:rsidR="00085B81" w:rsidRDefault="00085B81">
      <w:pPr>
        <w:rPr>
          <w:rFonts w:ascii="Times New Roman" w:eastAsia="Times New Roman" w:hAnsi="Times New Roman" w:cs="Times New Roman"/>
        </w:rPr>
      </w:pPr>
    </w:p>
    <w:tbl>
      <w:tblPr>
        <w:tblStyle w:val="af7"/>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2A83CE5B" w14:textId="77777777">
        <w:trPr>
          <w:jc w:val="center"/>
        </w:trPr>
        <w:tc>
          <w:tcPr>
            <w:tcW w:w="10000" w:type="dxa"/>
            <w:shd w:val="clear" w:color="auto" w:fill="auto"/>
            <w:tcMar>
              <w:top w:w="100" w:type="dxa"/>
              <w:left w:w="100" w:type="dxa"/>
              <w:bottom w:w="100" w:type="dxa"/>
              <w:right w:w="100" w:type="dxa"/>
            </w:tcMar>
          </w:tcPr>
          <w:p w14:paraId="5B140800"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1118843" wp14:editId="18A52837">
                  <wp:extent cx="6219825" cy="56007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6219825" cy="5600700"/>
                          </a:xfrm>
                          <a:prstGeom prst="rect">
                            <a:avLst/>
                          </a:prstGeom>
                          <a:ln/>
                        </pic:spPr>
                      </pic:pic>
                    </a:graphicData>
                  </a:graphic>
                </wp:inline>
              </w:drawing>
            </w:r>
          </w:p>
        </w:tc>
      </w:tr>
      <w:tr w:rsidR="00085B81" w14:paraId="3FBB8D6C" w14:textId="77777777">
        <w:trPr>
          <w:jc w:val="center"/>
        </w:trPr>
        <w:tc>
          <w:tcPr>
            <w:tcW w:w="10000" w:type="dxa"/>
            <w:shd w:val="clear" w:color="auto" w:fill="auto"/>
            <w:tcMar>
              <w:top w:w="100" w:type="dxa"/>
              <w:left w:w="100" w:type="dxa"/>
              <w:bottom w:w="100" w:type="dxa"/>
              <w:right w:w="100" w:type="dxa"/>
            </w:tcMar>
          </w:tcPr>
          <w:p w14:paraId="1D90312F" w14:textId="3B39DD2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5g </w:t>
            </w:r>
            <w:r>
              <w:rPr>
                <w:rFonts w:ascii="Times New Roman" w:eastAsia="Times New Roman" w:hAnsi="Times New Roman" w:cs="Times New Roman"/>
              </w:rPr>
              <w:t>Forest plot for meta-analysis of</w:t>
            </w:r>
            <w:r w:rsidR="003B6A7B">
              <w:rPr>
                <w:rFonts w:ascii="Times New Roman" w:eastAsia="Times New Roman" w:hAnsi="Times New Roman" w:cs="Times New Roman"/>
              </w:rPr>
              <w:t xml:space="preserve"> </w:t>
            </w:r>
            <w:r w:rsidR="003B6A7B" w:rsidRPr="003B6A7B">
              <w:rPr>
                <w:rFonts w:ascii="Times New Roman" w:eastAsia="Times New Roman" w:hAnsi="Times New Roman" w:cs="Times New Roman"/>
              </w:rPr>
              <w:t>primary studies comparing effectiveness of CGM against SMBG/UC between 2008 to 2022 by pooling the</w:t>
            </w:r>
            <w:r>
              <w:rPr>
                <w:rFonts w:ascii="Times New Roman" w:eastAsia="Times New Roman" w:hAnsi="Times New Roman" w:cs="Times New Roman"/>
              </w:rPr>
              <w:t xml:space="preserve"> mean difference in prepost HbA1c (%) change between CGM and SMBG/UC users across RCTs, subgrouped by insulin therapy. Correlation coefficient for imputation set at 0.3.  CGM significantly associated with greater HbA1c decrease over SMBG/UC (MD = -0.33 , 95% CI: -0.46 to -0.20) No significant differences between subgroups (p = 0.17).</w:t>
            </w:r>
          </w:p>
        </w:tc>
      </w:tr>
    </w:tbl>
    <w:p w14:paraId="192D4EAA" w14:textId="77777777" w:rsidR="00085B81" w:rsidRDefault="00000000">
      <w:pPr>
        <w:rPr>
          <w:rFonts w:ascii="Times New Roman" w:eastAsia="Times New Roman" w:hAnsi="Times New Roman" w:cs="Times New Roman"/>
        </w:rPr>
      </w:pPr>
      <w:r>
        <w:br w:type="page"/>
      </w:r>
    </w:p>
    <w:p w14:paraId="7A2F8ED8" w14:textId="77777777" w:rsidR="00085B81" w:rsidRDefault="00085B81">
      <w:pPr>
        <w:rPr>
          <w:rFonts w:ascii="Times New Roman" w:eastAsia="Times New Roman" w:hAnsi="Times New Roman" w:cs="Times New Roman"/>
        </w:rPr>
      </w:pPr>
    </w:p>
    <w:tbl>
      <w:tblPr>
        <w:tblStyle w:val="af8"/>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336C001D" w14:textId="77777777">
        <w:trPr>
          <w:jc w:val="center"/>
        </w:trPr>
        <w:tc>
          <w:tcPr>
            <w:tcW w:w="10000" w:type="dxa"/>
            <w:shd w:val="clear" w:color="auto" w:fill="auto"/>
            <w:tcMar>
              <w:top w:w="100" w:type="dxa"/>
              <w:left w:w="100" w:type="dxa"/>
              <w:bottom w:w="100" w:type="dxa"/>
              <w:right w:w="100" w:type="dxa"/>
            </w:tcMar>
          </w:tcPr>
          <w:p w14:paraId="0D87F26D"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3049077" wp14:editId="3126D2FA">
                  <wp:extent cx="6219825" cy="5969000"/>
                  <wp:effectExtent l="0" t="0" r="0" b="0"/>
                  <wp:docPr id="4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6"/>
                          <a:srcRect/>
                          <a:stretch>
                            <a:fillRect/>
                          </a:stretch>
                        </pic:blipFill>
                        <pic:spPr>
                          <a:xfrm>
                            <a:off x="0" y="0"/>
                            <a:ext cx="6219825" cy="5969000"/>
                          </a:xfrm>
                          <a:prstGeom prst="rect">
                            <a:avLst/>
                          </a:prstGeom>
                          <a:ln/>
                        </pic:spPr>
                      </pic:pic>
                    </a:graphicData>
                  </a:graphic>
                </wp:inline>
              </w:drawing>
            </w:r>
          </w:p>
        </w:tc>
      </w:tr>
      <w:tr w:rsidR="00085B81" w14:paraId="161466C5" w14:textId="77777777">
        <w:trPr>
          <w:trHeight w:val="1206"/>
          <w:jc w:val="center"/>
        </w:trPr>
        <w:tc>
          <w:tcPr>
            <w:tcW w:w="10000" w:type="dxa"/>
            <w:shd w:val="clear" w:color="auto" w:fill="auto"/>
            <w:tcMar>
              <w:top w:w="100" w:type="dxa"/>
              <w:left w:w="100" w:type="dxa"/>
              <w:bottom w:w="100" w:type="dxa"/>
              <w:right w:w="100" w:type="dxa"/>
            </w:tcMar>
          </w:tcPr>
          <w:p w14:paraId="514D1B12" w14:textId="0C14FB7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5h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prepost HbA1c (%) change between CGM and SMBG/UC users across RCTs, subgrouped by risk-of-bias. Correlation coefficient for imputation set at 0.3.  CGM significantly associated with greater HbA1c decrease over SMBG/UC (MD = -0.42 , 95% CI: -0.60 to -0.24). No significant differences between subgroups (p = 0.17).</w:t>
            </w:r>
          </w:p>
        </w:tc>
      </w:tr>
    </w:tbl>
    <w:p w14:paraId="27B75641" w14:textId="77777777" w:rsidR="00085B81" w:rsidRDefault="00000000">
      <w:pPr>
        <w:rPr>
          <w:rFonts w:ascii="Times New Roman" w:eastAsia="Times New Roman" w:hAnsi="Times New Roman" w:cs="Times New Roman"/>
        </w:rPr>
      </w:pPr>
      <w:r>
        <w:br w:type="page"/>
      </w:r>
    </w:p>
    <w:p w14:paraId="3F74C86A" w14:textId="77777777" w:rsidR="00085B81" w:rsidRDefault="00085B81">
      <w:pPr>
        <w:pStyle w:val="Heading1"/>
      </w:pPr>
      <w:bookmarkStart w:id="9" w:name="_jyssh55lsvwn" w:colFirst="0" w:colLast="0"/>
      <w:bookmarkEnd w:id="9"/>
    </w:p>
    <w:tbl>
      <w:tblPr>
        <w:tblStyle w:val="af9"/>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BD6CFF9" w14:textId="77777777">
        <w:trPr>
          <w:jc w:val="center"/>
        </w:trPr>
        <w:tc>
          <w:tcPr>
            <w:tcW w:w="10000" w:type="dxa"/>
            <w:shd w:val="clear" w:color="auto" w:fill="auto"/>
            <w:tcMar>
              <w:top w:w="100" w:type="dxa"/>
              <w:left w:w="100" w:type="dxa"/>
              <w:bottom w:w="100" w:type="dxa"/>
              <w:right w:w="100" w:type="dxa"/>
            </w:tcMar>
          </w:tcPr>
          <w:p w14:paraId="7E396B50"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9788352" wp14:editId="5F52AF5A">
                  <wp:extent cx="6219825" cy="5854700"/>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6219825" cy="5854700"/>
                          </a:xfrm>
                          <a:prstGeom prst="rect">
                            <a:avLst/>
                          </a:prstGeom>
                          <a:ln/>
                        </pic:spPr>
                      </pic:pic>
                    </a:graphicData>
                  </a:graphic>
                </wp:inline>
              </w:drawing>
            </w:r>
          </w:p>
        </w:tc>
      </w:tr>
      <w:tr w:rsidR="00085B81" w14:paraId="37C8BC24" w14:textId="77777777">
        <w:trPr>
          <w:jc w:val="center"/>
        </w:trPr>
        <w:tc>
          <w:tcPr>
            <w:tcW w:w="10000" w:type="dxa"/>
            <w:shd w:val="clear" w:color="auto" w:fill="auto"/>
            <w:tcMar>
              <w:top w:w="100" w:type="dxa"/>
              <w:left w:w="100" w:type="dxa"/>
              <w:bottom w:w="100" w:type="dxa"/>
              <w:right w:w="100" w:type="dxa"/>
            </w:tcMar>
          </w:tcPr>
          <w:p w14:paraId="7AF583A8" w14:textId="29E17B5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5i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11</w:t>
            </w:r>
            <w:r w:rsidR="003B6A7B" w:rsidRPr="003B6A7B">
              <w:rPr>
                <w:rFonts w:ascii="Times New Roman" w:eastAsia="Times New Roman" w:hAnsi="Times New Roman" w:cs="Times New Roman"/>
              </w:rPr>
              <w:t xml:space="preserve"> to 2022 by pooling the </w:t>
            </w:r>
            <w:r>
              <w:rPr>
                <w:rFonts w:ascii="Times New Roman" w:eastAsia="Times New Roman" w:hAnsi="Times New Roman" w:cs="Times New Roman"/>
              </w:rPr>
              <w:t xml:space="preserve">mean difference in prepost HbA1c (%) change between CGM and SMBG/UC users across all studies with a follow-up duration of three months or more, subgrouped by study type. Correlation coefficient for imputation set at 0.3.  CGM significantly associated with greater HbA1c decrease over SMBG/UC (MD = -0.35 , 95% CI: -0.53 to -0.18) </w:t>
            </w:r>
          </w:p>
        </w:tc>
      </w:tr>
    </w:tbl>
    <w:p w14:paraId="2AE69183" w14:textId="77777777" w:rsidR="00085B81" w:rsidRDefault="00000000">
      <w:pPr>
        <w:rPr>
          <w:rFonts w:ascii="Times New Roman" w:eastAsia="Times New Roman" w:hAnsi="Times New Roman" w:cs="Times New Roman"/>
        </w:rPr>
      </w:pPr>
      <w:r>
        <w:br w:type="page"/>
      </w:r>
    </w:p>
    <w:p w14:paraId="6A691FA9" w14:textId="77777777" w:rsidR="00085B81" w:rsidRDefault="00085B81">
      <w:pPr>
        <w:pStyle w:val="Heading1"/>
      </w:pPr>
      <w:bookmarkStart w:id="10" w:name="_npwabblwq22r" w:colFirst="0" w:colLast="0"/>
      <w:bookmarkEnd w:id="10"/>
    </w:p>
    <w:tbl>
      <w:tblPr>
        <w:tblStyle w:val="af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6F221C08" w14:textId="77777777">
        <w:trPr>
          <w:jc w:val="center"/>
        </w:trPr>
        <w:tc>
          <w:tcPr>
            <w:tcW w:w="10000" w:type="dxa"/>
            <w:shd w:val="clear" w:color="auto" w:fill="auto"/>
            <w:tcMar>
              <w:top w:w="100" w:type="dxa"/>
              <w:left w:w="100" w:type="dxa"/>
              <w:bottom w:w="100" w:type="dxa"/>
              <w:right w:w="100" w:type="dxa"/>
            </w:tcMar>
          </w:tcPr>
          <w:p w14:paraId="5DF084C3"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21DE7AA" wp14:editId="504D21AD">
                  <wp:extent cx="6219825" cy="5143500"/>
                  <wp:effectExtent l="0" t="0" r="0" b="0"/>
                  <wp:docPr id="3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6219825" cy="5143500"/>
                          </a:xfrm>
                          <a:prstGeom prst="rect">
                            <a:avLst/>
                          </a:prstGeom>
                          <a:ln/>
                        </pic:spPr>
                      </pic:pic>
                    </a:graphicData>
                  </a:graphic>
                </wp:inline>
              </w:drawing>
            </w:r>
          </w:p>
        </w:tc>
      </w:tr>
      <w:tr w:rsidR="00085B81" w14:paraId="5CB02467" w14:textId="77777777">
        <w:trPr>
          <w:jc w:val="center"/>
        </w:trPr>
        <w:tc>
          <w:tcPr>
            <w:tcW w:w="10000" w:type="dxa"/>
            <w:shd w:val="clear" w:color="auto" w:fill="auto"/>
            <w:tcMar>
              <w:top w:w="100" w:type="dxa"/>
              <w:left w:w="100" w:type="dxa"/>
              <w:bottom w:w="100" w:type="dxa"/>
              <w:right w:w="100" w:type="dxa"/>
            </w:tcMar>
          </w:tcPr>
          <w:p w14:paraId="0A9A4E07" w14:textId="758082B3"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5i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 xml:space="preserve">11 </w:t>
            </w:r>
            <w:r w:rsidR="003B6A7B" w:rsidRPr="003B6A7B">
              <w:rPr>
                <w:rFonts w:ascii="Times New Roman" w:eastAsia="Times New Roman" w:hAnsi="Times New Roman" w:cs="Times New Roman"/>
              </w:rPr>
              <w:t xml:space="preserve">to 2022 by pooling the </w:t>
            </w:r>
            <w:r>
              <w:rPr>
                <w:rFonts w:ascii="Times New Roman" w:eastAsia="Times New Roman" w:hAnsi="Times New Roman" w:cs="Times New Roman"/>
              </w:rPr>
              <w:t xml:space="preserve">mean difference in prepost HbA1c (%) change between CGM and SMBG/UC users across all RCTs with a follow-up duration of three months or more, subgrouped by type of CGM. Correlation coefficient for imputation set at 0.3.  CGM significantly associated with greater HbA1c decrease over SMBG/UC (MD = -0.37 , 95% CI: -0.59 to -0.15) </w:t>
            </w:r>
          </w:p>
        </w:tc>
      </w:tr>
    </w:tbl>
    <w:p w14:paraId="6C7176A8" w14:textId="77777777" w:rsidR="00085B81" w:rsidRDefault="00000000">
      <w:pPr>
        <w:rPr>
          <w:rFonts w:ascii="Times New Roman" w:eastAsia="Times New Roman" w:hAnsi="Times New Roman" w:cs="Times New Roman"/>
        </w:rPr>
      </w:pPr>
      <w:r>
        <w:br w:type="page"/>
      </w:r>
    </w:p>
    <w:p w14:paraId="57E1F2CE" w14:textId="77777777" w:rsidR="00085B81" w:rsidRDefault="00000000">
      <w:pPr>
        <w:pStyle w:val="Heading1"/>
      </w:pPr>
      <w:bookmarkStart w:id="11" w:name="_Toc182493133"/>
      <w:r>
        <w:lastRenderedPageBreak/>
        <w:t>6. Follow-up HbA1c Forest Plots</w:t>
      </w:r>
      <w:bookmarkEnd w:id="11"/>
    </w:p>
    <w:tbl>
      <w:tblPr>
        <w:tblStyle w:val="afb"/>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8B6B27F" w14:textId="77777777">
        <w:trPr>
          <w:jc w:val="center"/>
        </w:trPr>
        <w:tc>
          <w:tcPr>
            <w:tcW w:w="10000" w:type="dxa"/>
            <w:shd w:val="clear" w:color="auto" w:fill="auto"/>
            <w:tcMar>
              <w:top w:w="100" w:type="dxa"/>
              <w:left w:w="100" w:type="dxa"/>
              <w:bottom w:w="100" w:type="dxa"/>
              <w:right w:w="100" w:type="dxa"/>
            </w:tcMar>
          </w:tcPr>
          <w:p w14:paraId="122CB8B5"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A11B72D" wp14:editId="54AD1535">
                  <wp:extent cx="6219825" cy="5880100"/>
                  <wp:effectExtent l="0" t="0" r="0" b="0"/>
                  <wp:docPr id="51"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9"/>
                          <a:srcRect/>
                          <a:stretch>
                            <a:fillRect/>
                          </a:stretch>
                        </pic:blipFill>
                        <pic:spPr>
                          <a:xfrm>
                            <a:off x="0" y="0"/>
                            <a:ext cx="6219825" cy="5880100"/>
                          </a:xfrm>
                          <a:prstGeom prst="rect">
                            <a:avLst/>
                          </a:prstGeom>
                          <a:ln/>
                        </pic:spPr>
                      </pic:pic>
                    </a:graphicData>
                  </a:graphic>
                </wp:inline>
              </w:drawing>
            </w:r>
          </w:p>
        </w:tc>
      </w:tr>
      <w:tr w:rsidR="00085B81" w14:paraId="0A5EAC99" w14:textId="77777777">
        <w:trPr>
          <w:jc w:val="center"/>
        </w:trPr>
        <w:tc>
          <w:tcPr>
            <w:tcW w:w="10000" w:type="dxa"/>
            <w:shd w:val="clear" w:color="auto" w:fill="auto"/>
            <w:tcMar>
              <w:top w:w="100" w:type="dxa"/>
              <w:left w:w="100" w:type="dxa"/>
              <w:bottom w:w="100" w:type="dxa"/>
              <w:right w:w="100" w:type="dxa"/>
            </w:tcMar>
          </w:tcPr>
          <w:p w14:paraId="73EA9B8F" w14:textId="6467AFDC"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6a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subgrouped by study type. CGM significantly associated with lower endpoint HbA1c (%) than SMBG/UC (MD = -0.34 , 95% CI: -0.52 to -0.16). No significant differences between subgroups (p = 0.38).</w:t>
            </w:r>
          </w:p>
        </w:tc>
      </w:tr>
    </w:tbl>
    <w:p w14:paraId="6D100F91" w14:textId="77777777" w:rsidR="00085B81" w:rsidRDefault="00000000">
      <w:pPr>
        <w:rPr>
          <w:rFonts w:ascii="Times New Roman" w:eastAsia="Times New Roman" w:hAnsi="Times New Roman" w:cs="Times New Roman"/>
        </w:rPr>
      </w:pPr>
      <w:r>
        <w:br w:type="page"/>
      </w:r>
    </w:p>
    <w:p w14:paraId="1C323167" w14:textId="77777777" w:rsidR="00085B81" w:rsidRDefault="00085B81">
      <w:pPr>
        <w:rPr>
          <w:rFonts w:ascii="Times New Roman" w:eastAsia="Times New Roman" w:hAnsi="Times New Roman" w:cs="Times New Roman"/>
        </w:rPr>
      </w:pPr>
    </w:p>
    <w:tbl>
      <w:tblPr>
        <w:tblStyle w:val="afc"/>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63EBE022" w14:textId="77777777">
        <w:trPr>
          <w:jc w:val="center"/>
        </w:trPr>
        <w:tc>
          <w:tcPr>
            <w:tcW w:w="10000" w:type="dxa"/>
            <w:shd w:val="clear" w:color="auto" w:fill="auto"/>
            <w:tcMar>
              <w:top w:w="100" w:type="dxa"/>
              <w:left w:w="100" w:type="dxa"/>
              <w:bottom w:w="100" w:type="dxa"/>
              <w:right w:w="100" w:type="dxa"/>
            </w:tcMar>
          </w:tcPr>
          <w:p w14:paraId="4C9DFC7B"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F13869F" wp14:editId="7B20389B">
                  <wp:extent cx="6219825" cy="5842000"/>
                  <wp:effectExtent l="0" t="0" r="0" b="0"/>
                  <wp:docPr id="4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0"/>
                          <a:srcRect/>
                          <a:stretch>
                            <a:fillRect/>
                          </a:stretch>
                        </pic:blipFill>
                        <pic:spPr>
                          <a:xfrm>
                            <a:off x="0" y="0"/>
                            <a:ext cx="6219825" cy="5842000"/>
                          </a:xfrm>
                          <a:prstGeom prst="rect">
                            <a:avLst/>
                          </a:prstGeom>
                          <a:ln/>
                        </pic:spPr>
                      </pic:pic>
                    </a:graphicData>
                  </a:graphic>
                </wp:inline>
              </w:drawing>
            </w:r>
          </w:p>
        </w:tc>
      </w:tr>
      <w:tr w:rsidR="00085B81" w14:paraId="58817523" w14:textId="77777777">
        <w:trPr>
          <w:jc w:val="center"/>
        </w:trPr>
        <w:tc>
          <w:tcPr>
            <w:tcW w:w="10000" w:type="dxa"/>
            <w:shd w:val="clear" w:color="auto" w:fill="auto"/>
            <w:tcMar>
              <w:top w:w="100" w:type="dxa"/>
              <w:left w:w="100" w:type="dxa"/>
              <w:bottom w:w="100" w:type="dxa"/>
              <w:right w:w="100" w:type="dxa"/>
            </w:tcMar>
          </w:tcPr>
          <w:p w14:paraId="6B02764E" w14:textId="6E194E29"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6b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subgrouped by CGM modality. CGM significantly associated with lower endpoint HbA1c (%) than SMBG/UC (MD = -0.34 , 95% CI: -0.52 to -0.16). No significant differences between subgroups (p = 0.07).</w:t>
            </w:r>
          </w:p>
        </w:tc>
      </w:tr>
    </w:tbl>
    <w:p w14:paraId="7977A1A5" w14:textId="77777777" w:rsidR="00085B81" w:rsidRDefault="00085B81">
      <w:pPr>
        <w:rPr>
          <w:rFonts w:ascii="Times New Roman" w:eastAsia="Times New Roman" w:hAnsi="Times New Roman" w:cs="Times New Roman"/>
        </w:rPr>
      </w:pPr>
    </w:p>
    <w:tbl>
      <w:tblPr>
        <w:tblStyle w:val="afd"/>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DC09FB5" w14:textId="77777777">
        <w:trPr>
          <w:jc w:val="center"/>
        </w:trPr>
        <w:tc>
          <w:tcPr>
            <w:tcW w:w="10000" w:type="dxa"/>
            <w:shd w:val="clear" w:color="auto" w:fill="auto"/>
            <w:tcMar>
              <w:top w:w="100" w:type="dxa"/>
              <w:left w:w="100" w:type="dxa"/>
              <w:bottom w:w="100" w:type="dxa"/>
              <w:right w:w="100" w:type="dxa"/>
            </w:tcMar>
          </w:tcPr>
          <w:p w14:paraId="7D81204A"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E289104" wp14:editId="154FFFED">
                  <wp:extent cx="6219825" cy="5168900"/>
                  <wp:effectExtent l="0" t="0" r="0" b="0"/>
                  <wp:docPr id="4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1"/>
                          <a:srcRect/>
                          <a:stretch>
                            <a:fillRect/>
                          </a:stretch>
                        </pic:blipFill>
                        <pic:spPr>
                          <a:xfrm>
                            <a:off x="0" y="0"/>
                            <a:ext cx="6219825" cy="5168900"/>
                          </a:xfrm>
                          <a:prstGeom prst="rect">
                            <a:avLst/>
                          </a:prstGeom>
                          <a:ln/>
                        </pic:spPr>
                      </pic:pic>
                    </a:graphicData>
                  </a:graphic>
                </wp:inline>
              </w:drawing>
            </w:r>
          </w:p>
        </w:tc>
      </w:tr>
      <w:tr w:rsidR="00085B81" w14:paraId="5AEB5D21" w14:textId="77777777">
        <w:trPr>
          <w:jc w:val="center"/>
        </w:trPr>
        <w:tc>
          <w:tcPr>
            <w:tcW w:w="10000" w:type="dxa"/>
            <w:shd w:val="clear" w:color="auto" w:fill="auto"/>
            <w:tcMar>
              <w:top w:w="100" w:type="dxa"/>
              <w:left w:w="100" w:type="dxa"/>
              <w:bottom w:w="100" w:type="dxa"/>
              <w:right w:w="100" w:type="dxa"/>
            </w:tcMar>
          </w:tcPr>
          <w:p w14:paraId="41BBC117" w14:textId="345A925E"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6c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with outliers identified by Baujat plot removed, subgrouped by CGM modality. CGM significantly associated with lower endpoint HbA1c (%) than SMBG/UC (MD = -0.29 , 95% CI: -0.39 to -0.20). No significant differences between subgroups (p = 0.79).</w:t>
            </w:r>
          </w:p>
        </w:tc>
      </w:tr>
    </w:tbl>
    <w:p w14:paraId="1260A9A9" w14:textId="77777777" w:rsidR="00085B81" w:rsidRDefault="00000000">
      <w:pPr>
        <w:rPr>
          <w:rFonts w:ascii="Times New Roman" w:eastAsia="Times New Roman" w:hAnsi="Times New Roman" w:cs="Times New Roman"/>
        </w:rPr>
      </w:pPr>
      <w:r>
        <w:br w:type="page"/>
      </w:r>
    </w:p>
    <w:p w14:paraId="215976BD" w14:textId="77777777" w:rsidR="00085B81" w:rsidRDefault="00085B81">
      <w:pPr>
        <w:rPr>
          <w:rFonts w:ascii="Times New Roman" w:eastAsia="Times New Roman" w:hAnsi="Times New Roman" w:cs="Times New Roman"/>
        </w:rPr>
      </w:pPr>
    </w:p>
    <w:tbl>
      <w:tblPr>
        <w:tblStyle w:val="afe"/>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5F0DC1C" w14:textId="77777777">
        <w:trPr>
          <w:jc w:val="center"/>
        </w:trPr>
        <w:tc>
          <w:tcPr>
            <w:tcW w:w="10000" w:type="dxa"/>
            <w:shd w:val="clear" w:color="auto" w:fill="auto"/>
            <w:tcMar>
              <w:top w:w="100" w:type="dxa"/>
              <w:left w:w="100" w:type="dxa"/>
              <w:bottom w:w="100" w:type="dxa"/>
              <w:right w:w="100" w:type="dxa"/>
            </w:tcMar>
          </w:tcPr>
          <w:p w14:paraId="002CE8EF"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noProof/>
              </w:rPr>
              <w:drawing>
                <wp:inline distT="114300" distB="114300" distL="114300" distR="114300" wp14:anchorId="3919E6CA" wp14:editId="31B795FF">
                  <wp:extent cx="6219825" cy="59182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6219825" cy="5918200"/>
                          </a:xfrm>
                          <a:prstGeom prst="rect">
                            <a:avLst/>
                          </a:prstGeom>
                          <a:ln/>
                        </pic:spPr>
                      </pic:pic>
                    </a:graphicData>
                  </a:graphic>
                </wp:inline>
              </w:drawing>
            </w:r>
          </w:p>
        </w:tc>
      </w:tr>
      <w:tr w:rsidR="00085B81" w14:paraId="693623A5" w14:textId="77777777">
        <w:trPr>
          <w:jc w:val="center"/>
        </w:trPr>
        <w:tc>
          <w:tcPr>
            <w:tcW w:w="10000" w:type="dxa"/>
            <w:shd w:val="clear" w:color="auto" w:fill="auto"/>
            <w:tcMar>
              <w:top w:w="100" w:type="dxa"/>
              <w:left w:w="100" w:type="dxa"/>
              <w:bottom w:w="100" w:type="dxa"/>
              <w:right w:w="100" w:type="dxa"/>
            </w:tcMar>
          </w:tcPr>
          <w:p w14:paraId="1438FC5C" w14:textId="255F375A"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6d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subgrouped by funding status. CGM significantly associated with lower endpoint HbA1c (%) than SMBG/UC (MD = -0.34 , 95% CI: -0.52 to -0.16). No significant differences between subgroups (p = 0.10).</w:t>
            </w:r>
          </w:p>
        </w:tc>
      </w:tr>
    </w:tbl>
    <w:p w14:paraId="5D02630E" w14:textId="77777777" w:rsidR="00085B81" w:rsidRDefault="00000000">
      <w:pPr>
        <w:rPr>
          <w:rFonts w:ascii="Times New Roman" w:eastAsia="Times New Roman" w:hAnsi="Times New Roman" w:cs="Times New Roman"/>
        </w:rPr>
      </w:pPr>
      <w:r>
        <w:br w:type="page"/>
      </w:r>
    </w:p>
    <w:p w14:paraId="3F9F026D" w14:textId="77777777" w:rsidR="00085B81" w:rsidRDefault="00085B81">
      <w:pPr>
        <w:rPr>
          <w:rFonts w:ascii="Times New Roman" w:eastAsia="Times New Roman" w:hAnsi="Times New Roman" w:cs="Times New Roman"/>
        </w:rPr>
      </w:pPr>
    </w:p>
    <w:tbl>
      <w:tblPr>
        <w:tblStyle w:val="aff"/>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21127334" w14:textId="77777777">
        <w:trPr>
          <w:jc w:val="center"/>
        </w:trPr>
        <w:tc>
          <w:tcPr>
            <w:tcW w:w="10000" w:type="dxa"/>
            <w:shd w:val="clear" w:color="auto" w:fill="auto"/>
            <w:tcMar>
              <w:top w:w="100" w:type="dxa"/>
              <w:left w:w="100" w:type="dxa"/>
              <w:bottom w:w="100" w:type="dxa"/>
              <w:right w:w="100" w:type="dxa"/>
            </w:tcMar>
          </w:tcPr>
          <w:p w14:paraId="522CF07B"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B021D78" wp14:editId="4B316986">
                  <wp:extent cx="6219825" cy="5537200"/>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6219825" cy="5537200"/>
                          </a:xfrm>
                          <a:prstGeom prst="rect">
                            <a:avLst/>
                          </a:prstGeom>
                          <a:ln/>
                        </pic:spPr>
                      </pic:pic>
                    </a:graphicData>
                  </a:graphic>
                </wp:inline>
              </w:drawing>
            </w:r>
          </w:p>
        </w:tc>
      </w:tr>
      <w:tr w:rsidR="00085B81" w14:paraId="64C2BDD9" w14:textId="77777777">
        <w:trPr>
          <w:jc w:val="center"/>
        </w:trPr>
        <w:tc>
          <w:tcPr>
            <w:tcW w:w="10000" w:type="dxa"/>
            <w:shd w:val="clear" w:color="auto" w:fill="auto"/>
            <w:tcMar>
              <w:top w:w="100" w:type="dxa"/>
              <w:left w:w="100" w:type="dxa"/>
              <w:bottom w:w="100" w:type="dxa"/>
              <w:right w:w="100" w:type="dxa"/>
            </w:tcMar>
          </w:tcPr>
          <w:p w14:paraId="5BDA6788" w14:textId="0FA9B42B"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6e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subgrouped by insulin treatment. CGM significantly associated with lower endpoint HbA1c (%) than SMBG/UC (MD = -0.26 , 95% CI: -0.40 to -0.13). No significant differences between subgroups (p = 0.26).</w:t>
            </w:r>
          </w:p>
        </w:tc>
      </w:tr>
    </w:tbl>
    <w:p w14:paraId="1DFA07D3" w14:textId="77777777" w:rsidR="00085B81" w:rsidRDefault="00000000">
      <w:pPr>
        <w:rPr>
          <w:rFonts w:ascii="Times New Roman" w:eastAsia="Times New Roman" w:hAnsi="Times New Roman" w:cs="Times New Roman"/>
        </w:rPr>
      </w:pPr>
      <w:r>
        <w:br w:type="page"/>
      </w:r>
    </w:p>
    <w:p w14:paraId="1C0AE2E6" w14:textId="77777777" w:rsidR="00085B81" w:rsidRDefault="00085B81">
      <w:pPr>
        <w:rPr>
          <w:rFonts w:ascii="Times New Roman" w:eastAsia="Times New Roman" w:hAnsi="Times New Roman" w:cs="Times New Roman"/>
        </w:rPr>
      </w:pPr>
    </w:p>
    <w:tbl>
      <w:tblPr>
        <w:tblStyle w:val="aff0"/>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2B6A625E" w14:textId="77777777">
        <w:trPr>
          <w:jc w:val="center"/>
        </w:trPr>
        <w:tc>
          <w:tcPr>
            <w:tcW w:w="10000" w:type="dxa"/>
            <w:shd w:val="clear" w:color="auto" w:fill="auto"/>
            <w:tcMar>
              <w:top w:w="100" w:type="dxa"/>
              <w:left w:w="100" w:type="dxa"/>
              <w:bottom w:w="100" w:type="dxa"/>
              <w:right w:w="100" w:type="dxa"/>
            </w:tcMar>
          </w:tcPr>
          <w:p w14:paraId="68AF62B3"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1AA06EE" wp14:editId="32D8BCB7">
                  <wp:extent cx="6219825" cy="5867400"/>
                  <wp:effectExtent l="0" t="0" r="0" b="0"/>
                  <wp:docPr id="5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4"/>
                          <a:srcRect/>
                          <a:stretch>
                            <a:fillRect/>
                          </a:stretch>
                        </pic:blipFill>
                        <pic:spPr>
                          <a:xfrm>
                            <a:off x="0" y="0"/>
                            <a:ext cx="6219825" cy="5867400"/>
                          </a:xfrm>
                          <a:prstGeom prst="rect">
                            <a:avLst/>
                          </a:prstGeom>
                          <a:ln/>
                        </pic:spPr>
                      </pic:pic>
                    </a:graphicData>
                  </a:graphic>
                </wp:inline>
              </w:drawing>
            </w:r>
          </w:p>
        </w:tc>
      </w:tr>
      <w:tr w:rsidR="00085B81" w14:paraId="2F2BE50E" w14:textId="77777777">
        <w:trPr>
          <w:jc w:val="center"/>
        </w:trPr>
        <w:tc>
          <w:tcPr>
            <w:tcW w:w="10000" w:type="dxa"/>
            <w:shd w:val="clear" w:color="auto" w:fill="auto"/>
            <w:tcMar>
              <w:top w:w="100" w:type="dxa"/>
              <w:left w:w="100" w:type="dxa"/>
              <w:bottom w:w="100" w:type="dxa"/>
              <w:right w:w="100" w:type="dxa"/>
            </w:tcMar>
          </w:tcPr>
          <w:p w14:paraId="2B4C74DC" w14:textId="541170C9"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6f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2008 to 2022 by pooling the </w:t>
            </w:r>
            <w:r>
              <w:rPr>
                <w:rFonts w:ascii="Times New Roman" w:eastAsia="Times New Roman" w:hAnsi="Times New Roman" w:cs="Times New Roman"/>
              </w:rPr>
              <w:t>mean difference in follow-up HbA1c (%)  between CGM and SMBG/UC users across all studies, subgrouped by risk-of-bias. CGM significantly associated with lower endpoint HbA1c (%) than SMBG/UC (MD = -0.34 , 95% CI: -0.52 to -0.16). No significant differences between subgroups (p = 0.07).</w:t>
            </w:r>
          </w:p>
        </w:tc>
      </w:tr>
    </w:tbl>
    <w:p w14:paraId="41FF085A" w14:textId="77777777" w:rsidR="00085B81" w:rsidRDefault="00085B81">
      <w:pPr>
        <w:rPr>
          <w:rFonts w:ascii="Times New Roman" w:eastAsia="Times New Roman" w:hAnsi="Times New Roman" w:cs="Times New Roman"/>
        </w:rPr>
      </w:pPr>
    </w:p>
    <w:p w14:paraId="6FF03C5C" w14:textId="77777777" w:rsidR="00085B81" w:rsidRDefault="00000000">
      <w:pPr>
        <w:rPr>
          <w:rFonts w:ascii="Times New Roman" w:eastAsia="Times New Roman" w:hAnsi="Times New Roman" w:cs="Times New Roman"/>
        </w:rPr>
      </w:pPr>
      <w:r>
        <w:br w:type="page"/>
      </w:r>
    </w:p>
    <w:p w14:paraId="6E488330" w14:textId="77777777" w:rsidR="00085B81" w:rsidRDefault="00085B81">
      <w:pPr>
        <w:pStyle w:val="Heading1"/>
      </w:pPr>
      <w:bookmarkStart w:id="12" w:name="_fm3il343nfkn" w:colFirst="0" w:colLast="0"/>
      <w:bookmarkEnd w:id="12"/>
    </w:p>
    <w:tbl>
      <w:tblPr>
        <w:tblStyle w:val="aff1"/>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4E024657" w14:textId="77777777">
        <w:trPr>
          <w:jc w:val="center"/>
        </w:trPr>
        <w:tc>
          <w:tcPr>
            <w:tcW w:w="10000" w:type="dxa"/>
            <w:shd w:val="clear" w:color="auto" w:fill="auto"/>
            <w:tcMar>
              <w:top w:w="100" w:type="dxa"/>
              <w:left w:w="100" w:type="dxa"/>
              <w:bottom w:w="100" w:type="dxa"/>
              <w:right w:w="100" w:type="dxa"/>
            </w:tcMar>
          </w:tcPr>
          <w:p w14:paraId="6EDDCCAF"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FCC93AB" wp14:editId="2649E323">
                  <wp:extent cx="6219825" cy="5384800"/>
                  <wp:effectExtent l="0" t="0" r="0" b="0"/>
                  <wp:docPr id="1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5"/>
                          <a:srcRect/>
                          <a:stretch>
                            <a:fillRect/>
                          </a:stretch>
                        </pic:blipFill>
                        <pic:spPr>
                          <a:xfrm>
                            <a:off x="0" y="0"/>
                            <a:ext cx="6219825" cy="5384800"/>
                          </a:xfrm>
                          <a:prstGeom prst="rect">
                            <a:avLst/>
                          </a:prstGeom>
                          <a:ln/>
                        </pic:spPr>
                      </pic:pic>
                    </a:graphicData>
                  </a:graphic>
                </wp:inline>
              </w:drawing>
            </w:r>
          </w:p>
        </w:tc>
      </w:tr>
      <w:tr w:rsidR="00085B81" w14:paraId="74D07B83" w14:textId="77777777">
        <w:trPr>
          <w:jc w:val="center"/>
        </w:trPr>
        <w:tc>
          <w:tcPr>
            <w:tcW w:w="10000" w:type="dxa"/>
            <w:shd w:val="clear" w:color="auto" w:fill="auto"/>
            <w:tcMar>
              <w:top w:w="100" w:type="dxa"/>
              <w:left w:w="100" w:type="dxa"/>
              <w:bottom w:w="100" w:type="dxa"/>
              <w:right w:w="100" w:type="dxa"/>
            </w:tcMar>
          </w:tcPr>
          <w:p w14:paraId="48515FAE" w14:textId="5E73F9A0"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6g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13</w:t>
            </w:r>
            <w:r w:rsidR="003B6A7B" w:rsidRPr="003B6A7B">
              <w:rPr>
                <w:rFonts w:ascii="Times New Roman" w:eastAsia="Times New Roman" w:hAnsi="Times New Roman" w:cs="Times New Roman"/>
              </w:rPr>
              <w:t xml:space="preserve"> to 2022 by pooling the </w:t>
            </w:r>
            <w:r>
              <w:rPr>
                <w:rFonts w:ascii="Times New Roman" w:eastAsia="Times New Roman" w:hAnsi="Times New Roman" w:cs="Times New Roman"/>
              </w:rPr>
              <w:t>mean difference in follow-up HbA1c (%)  between CGM and SMBG/UC users across all studies with a follow-up duration of three months or more, subgrouped by study type. CGM significantly associated with lower endpoint HbA1c (%) than SMBG/UC (MD = -0.32 , 95% CI: -0.52 to -0.12). No significant differences between subgroups (p = 0.38).</w:t>
            </w:r>
          </w:p>
        </w:tc>
      </w:tr>
    </w:tbl>
    <w:p w14:paraId="7D1F409B" w14:textId="77777777" w:rsidR="00085B81" w:rsidRDefault="00085B81">
      <w:pPr>
        <w:rPr>
          <w:rFonts w:ascii="Times New Roman" w:eastAsia="Times New Roman" w:hAnsi="Times New Roman" w:cs="Times New Roman"/>
        </w:rPr>
      </w:pPr>
    </w:p>
    <w:p w14:paraId="32FE696E" w14:textId="77777777" w:rsidR="00085B81" w:rsidRDefault="00000000">
      <w:pPr>
        <w:rPr>
          <w:rFonts w:ascii="Times New Roman" w:eastAsia="Times New Roman" w:hAnsi="Times New Roman" w:cs="Times New Roman"/>
        </w:rPr>
      </w:pPr>
      <w:r>
        <w:br w:type="page"/>
      </w:r>
    </w:p>
    <w:p w14:paraId="651F62D2" w14:textId="77777777" w:rsidR="00085B81" w:rsidRDefault="00000000">
      <w:pPr>
        <w:pStyle w:val="Heading1"/>
      </w:pPr>
      <w:bookmarkStart w:id="13" w:name="_Toc182493134"/>
      <w:r>
        <w:lastRenderedPageBreak/>
        <w:t>7. Time-In-Range Forest Plots</w:t>
      </w:r>
      <w:bookmarkEnd w:id="13"/>
    </w:p>
    <w:p w14:paraId="001F0588" w14:textId="77777777" w:rsidR="00085B81" w:rsidRDefault="00085B81">
      <w:pPr>
        <w:rPr>
          <w:rFonts w:ascii="Times New Roman" w:eastAsia="Times New Roman" w:hAnsi="Times New Roman" w:cs="Times New Roman"/>
        </w:rPr>
      </w:pPr>
    </w:p>
    <w:tbl>
      <w:tblPr>
        <w:tblStyle w:val="aff2"/>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B4D88B9" w14:textId="77777777">
        <w:trPr>
          <w:jc w:val="center"/>
        </w:trPr>
        <w:tc>
          <w:tcPr>
            <w:tcW w:w="10000" w:type="dxa"/>
            <w:shd w:val="clear" w:color="auto" w:fill="auto"/>
            <w:tcMar>
              <w:top w:w="100" w:type="dxa"/>
              <w:left w:w="100" w:type="dxa"/>
              <w:bottom w:w="100" w:type="dxa"/>
              <w:right w:w="100" w:type="dxa"/>
            </w:tcMar>
          </w:tcPr>
          <w:p w14:paraId="4123F3D2"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B9B6B49" wp14:editId="146FCADB">
                  <wp:extent cx="6047456" cy="4095243"/>
                  <wp:effectExtent l="0" t="0" r="0" b="0"/>
                  <wp:docPr id="1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6"/>
                          <a:srcRect l="18376" t="18308" r="18529" b="15713"/>
                          <a:stretch>
                            <a:fillRect/>
                          </a:stretch>
                        </pic:blipFill>
                        <pic:spPr>
                          <a:xfrm>
                            <a:off x="0" y="0"/>
                            <a:ext cx="6047456" cy="4095243"/>
                          </a:xfrm>
                          <a:prstGeom prst="rect">
                            <a:avLst/>
                          </a:prstGeom>
                          <a:ln/>
                        </pic:spPr>
                      </pic:pic>
                    </a:graphicData>
                  </a:graphic>
                </wp:inline>
              </w:drawing>
            </w:r>
          </w:p>
        </w:tc>
      </w:tr>
      <w:tr w:rsidR="00085B81" w14:paraId="205975E7" w14:textId="77777777">
        <w:trPr>
          <w:jc w:val="center"/>
        </w:trPr>
        <w:tc>
          <w:tcPr>
            <w:tcW w:w="10000" w:type="dxa"/>
            <w:shd w:val="clear" w:color="auto" w:fill="auto"/>
            <w:tcMar>
              <w:top w:w="100" w:type="dxa"/>
              <w:left w:w="100" w:type="dxa"/>
              <w:bottom w:w="100" w:type="dxa"/>
              <w:right w:w="100" w:type="dxa"/>
            </w:tcMar>
          </w:tcPr>
          <w:p w14:paraId="0882E35F" w14:textId="6A9CF621"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7a: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200</w:t>
            </w:r>
            <w:r w:rsidR="003B6A7B">
              <w:rPr>
                <w:rFonts w:ascii="Times New Roman" w:eastAsia="Times New Roman" w:hAnsi="Times New Roman" w:cs="Times New Roman"/>
              </w:rPr>
              <w:t>9</w:t>
            </w:r>
            <w:r w:rsidR="003B6A7B" w:rsidRPr="003B6A7B">
              <w:rPr>
                <w:rFonts w:ascii="Times New Roman" w:eastAsia="Times New Roman" w:hAnsi="Times New Roman" w:cs="Times New Roman"/>
              </w:rPr>
              <w:t xml:space="preserve"> to 202</w:t>
            </w:r>
            <w:r w:rsidR="003B6A7B">
              <w:rPr>
                <w:rFonts w:ascii="Times New Roman" w:eastAsia="Times New Roman" w:hAnsi="Times New Roman" w:cs="Times New Roman"/>
              </w:rPr>
              <w:t>3</w:t>
            </w:r>
            <w:r w:rsidR="003B6A7B" w:rsidRPr="003B6A7B">
              <w:rPr>
                <w:rFonts w:ascii="Times New Roman" w:eastAsia="Times New Roman" w:hAnsi="Times New Roman" w:cs="Times New Roman"/>
              </w:rPr>
              <w:t xml:space="preserve"> by pooling the </w:t>
            </w:r>
            <w:r>
              <w:rPr>
                <w:rFonts w:ascii="Times New Roman" w:eastAsia="Times New Roman" w:hAnsi="Times New Roman" w:cs="Times New Roman"/>
              </w:rPr>
              <w:t>mean difference in prepost TIR change (% day)  between CGM and SMBG/UC, with Baujat-informed outlier removal, subgrouped by CGM modality. CGM was significantly associated with greater TIR increase than SMBG/UC (MD = 7.73% , 95% CI: 6.55 to 8.91). No significant differences between subgroups (p = 0.33).</w:t>
            </w:r>
          </w:p>
        </w:tc>
      </w:tr>
    </w:tbl>
    <w:p w14:paraId="230CCFD9" w14:textId="77777777" w:rsidR="00085B81" w:rsidRDefault="00000000">
      <w:pPr>
        <w:rPr>
          <w:rFonts w:ascii="Times New Roman" w:eastAsia="Times New Roman" w:hAnsi="Times New Roman" w:cs="Times New Roman"/>
        </w:rPr>
      </w:pPr>
      <w:r>
        <w:br w:type="page"/>
      </w:r>
    </w:p>
    <w:p w14:paraId="3D8E82C3" w14:textId="77777777" w:rsidR="00085B81" w:rsidRDefault="00085B81">
      <w:pPr>
        <w:rPr>
          <w:rFonts w:ascii="Times New Roman" w:eastAsia="Times New Roman" w:hAnsi="Times New Roman" w:cs="Times New Roman"/>
        </w:rPr>
      </w:pPr>
    </w:p>
    <w:tbl>
      <w:tblPr>
        <w:tblStyle w:val="aff3"/>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3EE898AE" w14:textId="77777777">
        <w:trPr>
          <w:jc w:val="center"/>
        </w:trPr>
        <w:tc>
          <w:tcPr>
            <w:tcW w:w="10000" w:type="dxa"/>
            <w:shd w:val="clear" w:color="auto" w:fill="auto"/>
            <w:tcMar>
              <w:top w:w="100" w:type="dxa"/>
              <w:left w:w="100" w:type="dxa"/>
              <w:bottom w:w="100" w:type="dxa"/>
              <w:right w:w="100" w:type="dxa"/>
            </w:tcMar>
          </w:tcPr>
          <w:p w14:paraId="1F3B3EE5"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FC5E670" wp14:editId="062616FB">
                  <wp:extent cx="6171748" cy="3944350"/>
                  <wp:effectExtent l="0" t="0" r="0" b="0"/>
                  <wp:docPr id="23"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
                          <a:srcRect l="18683" t="19764" r="18070" b="17844"/>
                          <a:stretch>
                            <a:fillRect/>
                          </a:stretch>
                        </pic:blipFill>
                        <pic:spPr>
                          <a:xfrm>
                            <a:off x="0" y="0"/>
                            <a:ext cx="6171748" cy="3944350"/>
                          </a:xfrm>
                          <a:prstGeom prst="rect">
                            <a:avLst/>
                          </a:prstGeom>
                          <a:ln/>
                        </pic:spPr>
                      </pic:pic>
                    </a:graphicData>
                  </a:graphic>
                </wp:inline>
              </w:drawing>
            </w:r>
          </w:p>
        </w:tc>
      </w:tr>
      <w:tr w:rsidR="00085B81" w14:paraId="42CE05B1" w14:textId="77777777">
        <w:trPr>
          <w:jc w:val="center"/>
        </w:trPr>
        <w:tc>
          <w:tcPr>
            <w:tcW w:w="10000" w:type="dxa"/>
            <w:shd w:val="clear" w:color="auto" w:fill="auto"/>
            <w:tcMar>
              <w:top w:w="100" w:type="dxa"/>
              <w:left w:w="100" w:type="dxa"/>
              <w:bottom w:w="100" w:type="dxa"/>
              <w:right w:w="100" w:type="dxa"/>
            </w:tcMar>
          </w:tcPr>
          <w:p w14:paraId="7C361B9B" w14:textId="75680D1F"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7b: </w:t>
            </w:r>
            <w:r>
              <w:rPr>
                <w:rFonts w:ascii="Times New Roman" w:eastAsia="Times New Roman" w:hAnsi="Times New Roman" w:cs="Times New Roman"/>
              </w:rPr>
              <w:t xml:space="preserve">Forest plot for meta-analysis </w:t>
            </w:r>
            <w:r w:rsidR="003B6A7B" w:rsidRPr="003B6A7B">
              <w:rPr>
                <w:rFonts w:ascii="Times New Roman" w:eastAsia="Times New Roman" w:hAnsi="Times New Roman" w:cs="Times New Roman"/>
              </w:rPr>
              <w:t xml:space="preserve">of primary studies comparing effectiveness of CGM against SMBG/UC between 2009 to 2023 by </w:t>
            </w:r>
            <w:r w:rsidR="003B6A7B">
              <w:rPr>
                <w:rFonts w:ascii="Times New Roman" w:eastAsia="Times New Roman" w:hAnsi="Times New Roman" w:cs="Times New Roman"/>
              </w:rPr>
              <w:t xml:space="preserve">pooling the </w:t>
            </w:r>
            <w:r>
              <w:rPr>
                <w:rFonts w:ascii="Times New Roman" w:eastAsia="Times New Roman" w:hAnsi="Times New Roman" w:cs="Times New Roman"/>
              </w:rPr>
              <w:t>mean difference in prepost TIR change (% day)  between CGM and SMBG/UC, subgrouped by funding. CGM was significantly associated with greater TIR increase than SMBG/UC (MD = 6.00% , 95% CI: 3.13 to 8.88). No significant differences between subgroups (p = 0.60).</w:t>
            </w:r>
          </w:p>
        </w:tc>
      </w:tr>
    </w:tbl>
    <w:p w14:paraId="74BD1EDB" w14:textId="77777777" w:rsidR="00085B81" w:rsidRDefault="00000000">
      <w:pPr>
        <w:rPr>
          <w:rFonts w:ascii="Times New Roman" w:eastAsia="Times New Roman" w:hAnsi="Times New Roman" w:cs="Times New Roman"/>
        </w:rPr>
      </w:pPr>
      <w:r>
        <w:br w:type="page"/>
      </w:r>
    </w:p>
    <w:p w14:paraId="1655A34F" w14:textId="77777777" w:rsidR="00085B81" w:rsidRDefault="00085B81">
      <w:pPr>
        <w:rPr>
          <w:rFonts w:ascii="Times New Roman" w:eastAsia="Times New Roman" w:hAnsi="Times New Roman" w:cs="Times New Roman"/>
        </w:rPr>
      </w:pPr>
    </w:p>
    <w:tbl>
      <w:tblPr>
        <w:tblStyle w:val="aff4"/>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8389F91" w14:textId="77777777">
        <w:trPr>
          <w:jc w:val="center"/>
        </w:trPr>
        <w:tc>
          <w:tcPr>
            <w:tcW w:w="10000" w:type="dxa"/>
            <w:shd w:val="clear" w:color="auto" w:fill="auto"/>
            <w:tcMar>
              <w:top w:w="100" w:type="dxa"/>
              <w:left w:w="100" w:type="dxa"/>
              <w:bottom w:w="100" w:type="dxa"/>
              <w:right w:w="100" w:type="dxa"/>
            </w:tcMar>
          </w:tcPr>
          <w:p w14:paraId="6E66C8F7"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E4C48D0" wp14:editId="4F924527">
                  <wp:extent cx="6156602" cy="448727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8"/>
                          <a:srcRect l="18989" t="16691" r="19448" b="14057"/>
                          <a:stretch>
                            <a:fillRect/>
                          </a:stretch>
                        </pic:blipFill>
                        <pic:spPr>
                          <a:xfrm>
                            <a:off x="0" y="0"/>
                            <a:ext cx="6156602" cy="4487275"/>
                          </a:xfrm>
                          <a:prstGeom prst="rect">
                            <a:avLst/>
                          </a:prstGeom>
                          <a:ln/>
                        </pic:spPr>
                      </pic:pic>
                    </a:graphicData>
                  </a:graphic>
                </wp:inline>
              </w:drawing>
            </w:r>
          </w:p>
        </w:tc>
      </w:tr>
      <w:tr w:rsidR="00085B81" w14:paraId="70377E61" w14:textId="77777777">
        <w:trPr>
          <w:jc w:val="center"/>
        </w:trPr>
        <w:tc>
          <w:tcPr>
            <w:tcW w:w="10000" w:type="dxa"/>
            <w:shd w:val="clear" w:color="auto" w:fill="auto"/>
            <w:tcMar>
              <w:top w:w="100" w:type="dxa"/>
              <w:left w:w="100" w:type="dxa"/>
              <w:bottom w:w="100" w:type="dxa"/>
              <w:right w:w="100" w:type="dxa"/>
            </w:tcMar>
          </w:tcPr>
          <w:p w14:paraId="2F4E76FC" w14:textId="5E86E1BD"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7c: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2009 to 2023 by pooling the </w:t>
            </w:r>
            <w:r>
              <w:rPr>
                <w:rFonts w:ascii="Times New Roman" w:eastAsia="Times New Roman" w:hAnsi="Times New Roman" w:cs="Times New Roman"/>
              </w:rPr>
              <w:t>mean difference in prepost TIR change (% day)  between CGM and SMBG/UC, subgrouped by insulin treatment. CGM was significantly associated with greater TIR increase than SMBG/UC (MD = 6.00% , 95% CI: 3.13 to 8.88). No significant differences between subgroups (p = 0.29).</w:t>
            </w:r>
          </w:p>
        </w:tc>
      </w:tr>
    </w:tbl>
    <w:p w14:paraId="1BF85177" w14:textId="77777777" w:rsidR="00085B81" w:rsidRDefault="00000000">
      <w:pPr>
        <w:rPr>
          <w:rFonts w:ascii="Times New Roman" w:eastAsia="Times New Roman" w:hAnsi="Times New Roman" w:cs="Times New Roman"/>
        </w:rPr>
      </w:pPr>
      <w:r>
        <w:br w:type="page"/>
      </w:r>
    </w:p>
    <w:p w14:paraId="205A1062" w14:textId="77777777" w:rsidR="00085B81" w:rsidRDefault="00085B81">
      <w:pPr>
        <w:rPr>
          <w:rFonts w:ascii="Times New Roman" w:eastAsia="Times New Roman" w:hAnsi="Times New Roman" w:cs="Times New Roman"/>
        </w:rPr>
      </w:pPr>
    </w:p>
    <w:tbl>
      <w:tblPr>
        <w:tblStyle w:val="aff5"/>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BD35A10" w14:textId="77777777">
        <w:trPr>
          <w:jc w:val="center"/>
        </w:trPr>
        <w:tc>
          <w:tcPr>
            <w:tcW w:w="10000" w:type="dxa"/>
            <w:shd w:val="clear" w:color="auto" w:fill="auto"/>
            <w:tcMar>
              <w:top w:w="100" w:type="dxa"/>
              <w:left w:w="100" w:type="dxa"/>
              <w:bottom w:w="100" w:type="dxa"/>
              <w:right w:w="100" w:type="dxa"/>
            </w:tcMar>
          </w:tcPr>
          <w:p w14:paraId="3A334463"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973D118" wp14:editId="2B295D16">
                  <wp:extent cx="6205538" cy="3951785"/>
                  <wp:effectExtent l="0" t="0" r="0" b="0"/>
                  <wp:docPr id="3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9"/>
                          <a:srcRect l="18683" t="20946" r="19754" b="18555"/>
                          <a:stretch>
                            <a:fillRect/>
                          </a:stretch>
                        </pic:blipFill>
                        <pic:spPr>
                          <a:xfrm>
                            <a:off x="0" y="0"/>
                            <a:ext cx="6205538" cy="3951785"/>
                          </a:xfrm>
                          <a:prstGeom prst="rect">
                            <a:avLst/>
                          </a:prstGeom>
                          <a:ln/>
                        </pic:spPr>
                      </pic:pic>
                    </a:graphicData>
                  </a:graphic>
                </wp:inline>
              </w:drawing>
            </w:r>
          </w:p>
        </w:tc>
      </w:tr>
      <w:tr w:rsidR="00085B81" w14:paraId="7C6D39D4" w14:textId="77777777">
        <w:trPr>
          <w:jc w:val="center"/>
        </w:trPr>
        <w:tc>
          <w:tcPr>
            <w:tcW w:w="10000" w:type="dxa"/>
            <w:shd w:val="clear" w:color="auto" w:fill="auto"/>
            <w:tcMar>
              <w:top w:w="100" w:type="dxa"/>
              <w:left w:w="100" w:type="dxa"/>
              <w:bottom w:w="100" w:type="dxa"/>
              <w:right w:w="100" w:type="dxa"/>
            </w:tcMar>
          </w:tcPr>
          <w:p w14:paraId="5632F852" w14:textId="55D07E3C"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7d: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2009 to 2023 by pooling the </w:t>
            </w:r>
            <w:r>
              <w:rPr>
                <w:rFonts w:ascii="Times New Roman" w:eastAsia="Times New Roman" w:hAnsi="Times New Roman" w:cs="Times New Roman"/>
              </w:rPr>
              <w:t>mean difference in prepost TIR change (% day)  between CGM and SMBG/UC, subgrouped by risk-of-bias. CGM was significantly associated with greater TIR increase than SMBG/UC (MD = 6.00% , 95% CI: 3.13 to 8.88). No significant differences between subgroups (p = 0.81).</w:t>
            </w:r>
          </w:p>
        </w:tc>
      </w:tr>
    </w:tbl>
    <w:p w14:paraId="05506445" w14:textId="77777777" w:rsidR="00085B81" w:rsidRDefault="00000000">
      <w:pPr>
        <w:rPr>
          <w:rFonts w:ascii="Times New Roman" w:eastAsia="Times New Roman" w:hAnsi="Times New Roman" w:cs="Times New Roman"/>
        </w:rPr>
      </w:pPr>
      <w:r>
        <w:br w:type="page"/>
      </w:r>
    </w:p>
    <w:p w14:paraId="78234E0E" w14:textId="77777777" w:rsidR="00085B81" w:rsidRDefault="00000000">
      <w:pPr>
        <w:pStyle w:val="Heading1"/>
      </w:pPr>
      <w:bookmarkStart w:id="14" w:name="_Toc182493135"/>
      <w:r>
        <w:lastRenderedPageBreak/>
        <w:t>8. Time-Above-Range Forest Plots</w:t>
      </w:r>
      <w:bookmarkEnd w:id="14"/>
    </w:p>
    <w:p w14:paraId="7D76689E" w14:textId="77777777" w:rsidR="00085B81" w:rsidRDefault="00085B81">
      <w:pPr>
        <w:rPr>
          <w:rFonts w:ascii="Times New Roman" w:eastAsia="Times New Roman" w:hAnsi="Times New Roman" w:cs="Times New Roman"/>
        </w:rPr>
      </w:pPr>
    </w:p>
    <w:tbl>
      <w:tblPr>
        <w:tblStyle w:val="aff6"/>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6BBC7F85" w14:textId="77777777">
        <w:trPr>
          <w:jc w:val="center"/>
        </w:trPr>
        <w:tc>
          <w:tcPr>
            <w:tcW w:w="10000" w:type="dxa"/>
            <w:shd w:val="clear" w:color="auto" w:fill="auto"/>
            <w:tcMar>
              <w:top w:w="100" w:type="dxa"/>
              <w:left w:w="100" w:type="dxa"/>
              <w:bottom w:w="100" w:type="dxa"/>
              <w:right w:w="100" w:type="dxa"/>
            </w:tcMar>
          </w:tcPr>
          <w:p w14:paraId="42986737"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CE4E6E3" wp14:editId="247A80C3">
                  <wp:extent cx="6126630" cy="3266568"/>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0"/>
                          <a:srcRect l="18223" t="24219" r="17151" b="22557"/>
                          <a:stretch>
                            <a:fillRect/>
                          </a:stretch>
                        </pic:blipFill>
                        <pic:spPr>
                          <a:xfrm>
                            <a:off x="0" y="0"/>
                            <a:ext cx="6126630" cy="3266568"/>
                          </a:xfrm>
                          <a:prstGeom prst="rect">
                            <a:avLst/>
                          </a:prstGeom>
                          <a:ln/>
                        </pic:spPr>
                      </pic:pic>
                    </a:graphicData>
                  </a:graphic>
                </wp:inline>
              </w:drawing>
            </w:r>
          </w:p>
        </w:tc>
      </w:tr>
      <w:tr w:rsidR="00085B81" w14:paraId="5A001AB7" w14:textId="77777777">
        <w:trPr>
          <w:jc w:val="center"/>
        </w:trPr>
        <w:tc>
          <w:tcPr>
            <w:tcW w:w="10000" w:type="dxa"/>
            <w:shd w:val="clear" w:color="auto" w:fill="auto"/>
            <w:tcMar>
              <w:top w:w="100" w:type="dxa"/>
              <w:left w:w="100" w:type="dxa"/>
              <w:bottom w:w="100" w:type="dxa"/>
              <w:right w:w="100" w:type="dxa"/>
            </w:tcMar>
          </w:tcPr>
          <w:p w14:paraId="397509A7" w14:textId="3E24F5E9"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8a: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17</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mean difference in prepost TAR change (% day)  between CGM and SMBG/UC, with Baujat-informed outlier removal, subgrouped by CGM modality. CGM was significantly associated with greater TAR decrease than SMBG/UC (MD = -4.41% , 95% CI: -6.94 to -1.89). No significant differences between subgroups (p = 0.98).</w:t>
            </w:r>
          </w:p>
        </w:tc>
      </w:tr>
    </w:tbl>
    <w:p w14:paraId="510DD085" w14:textId="77777777" w:rsidR="00085B81" w:rsidRDefault="00000000">
      <w:pPr>
        <w:rPr>
          <w:rFonts w:ascii="Times New Roman" w:eastAsia="Times New Roman" w:hAnsi="Times New Roman" w:cs="Times New Roman"/>
        </w:rPr>
      </w:pPr>
      <w:r>
        <w:br w:type="page"/>
      </w:r>
    </w:p>
    <w:p w14:paraId="1A0569B1" w14:textId="77777777" w:rsidR="00085B81" w:rsidRDefault="00085B81">
      <w:pPr>
        <w:rPr>
          <w:rFonts w:ascii="Times New Roman" w:eastAsia="Times New Roman" w:hAnsi="Times New Roman" w:cs="Times New Roman"/>
        </w:rPr>
      </w:pPr>
    </w:p>
    <w:tbl>
      <w:tblPr>
        <w:tblStyle w:val="aff7"/>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05116B3" w14:textId="77777777">
        <w:trPr>
          <w:jc w:val="center"/>
        </w:trPr>
        <w:tc>
          <w:tcPr>
            <w:tcW w:w="10000" w:type="dxa"/>
            <w:shd w:val="clear" w:color="auto" w:fill="auto"/>
            <w:tcMar>
              <w:top w:w="100" w:type="dxa"/>
              <w:left w:w="100" w:type="dxa"/>
              <w:bottom w:w="100" w:type="dxa"/>
              <w:right w:w="100" w:type="dxa"/>
            </w:tcMar>
          </w:tcPr>
          <w:p w14:paraId="5CB469F0"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AAA7AB5" wp14:editId="49321844">
                  <wp:extent cx="6201048" cy="3506200"/>
                  <wp:effectExtent l="0" t="0" r="0" b="0"/>
                  <wp:docPr id="1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1"/>
                          <a:srcRect l="18223" t="23310" r="16232" b="19502"/>
                          <a:stretch>
                            <a:fillRect/>
                          </a:stretch>
                        </pic:blipFill>
                        <pic:spPr>
                          <a:xfrm>
                            <a:off x="0" y="0"/>
                            <a:ext cx="6201048" cy="3506200"/>
                          </a:xfrm>
                          <a:prstGeom prst="rect">
                            <a:avLst/>
                          </a:prstGeom>
                          <a:ln/>
                        </pic:spPr>
                      </pic:pic>
                    </a:graphicData>
                  </a:graphic>
                </wp:inline>
              </w:drawing>
            </w:r>
          </w:p>
        </w:tc>
      </w:tr>
      <w:tr w:rsidR="00085B81" w14:paraId="6D2E3BB2" w14:textId="77777777">
        <w:trPr>
          <w:jc w:val="center"/>
        </w:trPr>
        <w:tc>
          <w:tcPr>
            <w:tcW w:w="10000" w:type="dxa"/>
            <w:shd w:val="clear" w:color="auto" w:fill="auto"/>
            <w:tcMar>
              <w:top w:w="100" w:type="dxa"/>
              <w:left w:w="100" w:type="dxa"/>
              <w:bottom w:w="100" w:type="dxa"/>
              <w:right w:w="100" w:type="dxa"/>
            </w:tcMar>
          </w:tcPr>
          <w:p w14:paraId="11E083D5" w14:textId="17410465"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8b: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17</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 xml:space="preserve">mean difference in prepost TAR change (% day)  between CGM and SMBG/UC, subgrouped by funding. CGM was significantly associated with greater TAR decrease than SMBG/UC </w:t>
            </w:r>
            <w:r>
              <w:rPr>
                <w:rFonts w:ascii="Times New Roman" w:eastAsia="Times New Roman" w:hAnsi="Times New Roman" w:cs="Times New Roman"/>
                <w:sz w:val="24"/>
                <w:szCs w:val="24"/>
              </w:rPr>
              <w:t>(MD= -4.33% [95%CI: -8.37 to -0.28])</w:t>
            </w:r>
            <w:r>
              <w:rPr>
                <w:rFonts w:ascii="Times New Roman" w:eastAsia="Times New Roman" w:hAnsi="Times New Roman" w:cs="Times New Roman"/>
              </w:rPr>
              <w:t>. No significant differences between subgroups (p = 0.16).</w:t>
            </w:r>
          </w:p>
        </w:tc>
      </w:tr>
    </w:tbl>
    <w:p w14:paraId="21B51A25" w14:textId="77777777" w:rsidR="00085B81" w:rsidRDefault="00000000">
      <w:pPr>
        <w:rPr>
          <w:rFonts w:ascii="Times New Roman" w:eastAsia="Times New Roman" w:hAnsi="Times New Roman" w:cs="Times New Roman"/>
        </w:rPr>
      </w:pPr>
      <w:r>
        <w:br w:type="page"/>
      </w:r>
    </w:p>
    <w:p w14:paraId="3BB8C84C" w14:textId="77777777" w:rsidR="00085B81" w:rsidRDefault="00085B81">
      <w:pPr>
        <w:rPr>
          <w:rFonts w:ascii="Times New Roman" w:eastAsia="Times New Roman" w:hAnsi="Times New Roman" w:cs="Times New Roman"/>
        </w:rPr>
      </w:pPr>
    </w:p>
    <w:tbl>
      <w:tblPr>
        <w:tblStyle w:val="aff8"/>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109B0247" w14:textId="77777777">
        <w:trPr>
          <w:jc w:val="center"/>
        </w:trPr>
        <w:tc>
          <w:tcPr>
            <w:tcW w:w="10000" w:type="dxa"/>
            <w:shd w:val="clear" w:color="auto" w:fill="auto"/>
            <w:tcMar>
              <w:top w:w="100" w:type="dxa"/>
              <w:left w:w="100" w:type="dxa"/>
              <w:bottom w:w="100" w:type="dxa"/>
              <w:right w:w="100" w:type="dxa"/>
            </w:tcMar>
          </w:tcPr>
          <w:p w14:paraId="3AE8D0B2"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1D9D07B" wp14:editId="3C1FC81D">
                  <wp:extent cx="6219934" cy="39634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2"/>
                          <a:srcRect l="18070" t="18346" r="16079" b="16897"/>
                          <a:stretch>
                            <a:fillRect/>
                          </a:stretch>
                        </pic:blipFill>
                        <pic:spPr>
                          <a:xfrm>
                            <a:off x="0" y="0"/>
                            <a:ext cx="6219934" cy="3963400"/>
                          </a:xfrm>
                          <a:prstGeom prst="rect">
                            <a:avLst/>
                          </a:prstGeom>
                          <a:ln/>
                        </pic:spPr>
                      </pic:pic>
                    </a:graphicData>
                  </a:graphic>
                </wp:inline>
              </w:drawing>
            </w:r>
          </w:p>
        </w:tc>
      </w:tr>
      <w:tr w:rsidR="00085B81" w14:paraId="6031C6AE" w14:textId="77777777">
        <w:trPr>
          <w:jc w:val="center"/>
        </w:trPr>
        <w:tc>
          <w:tcPr>
            <w:tcW w:w="10000" w:type="dxa"/>
            <w:shd w:val="clear" w:color="auto" w:fill="auto"/>
            <w:tcMar>
              <w:top w:w="100" w:type="dxa"/>
              <w:left w:w="100" w:type="dxa"/>
              <w:bottom w:w="100" w:type="dxa"/>
              <w:right w:w="100" w:type="dxa"/>
            </w:tcMar>
          </w:tcPr>
          <w:p w14:paraId="25B30774" w14:textId="53646EE5"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8c: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17</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 xml:space="preserve">mean difference in prepost TAR change (% day)  between CGM and SMBG/UC, subgrouped by insulin treatment. CGM was significantly associated with greater TAR decrease than SMBG/UC </w:t>
            </w:r>
            <w:r>
              <w:rPr>
                <w:rFonts w:ascii="Times New Roman" w:eastAsia="Times New Roman" w:hAnsi="Times New Roman" w:cs="Times New Roman"/>
                <w:sz w:val="24"/>
                <w:szCs w:val="24"/>
              </w:rPr>
              <w:t>(MD= -4.33% [95%CI: -8.37 to -0.28])</w:t>
            </w:r>
            <w:r>
              <w:rPr>
                <w:rFonts w:ascii="Times New Roman" w:eastAsia="Times New Roman" w:hAnsi="Times New Roman" w:cs="Times New Roman"/>
              </w:rPr>
              <w:t>. No significant differences between subgroups (p = 0.44).</w:t>
            </w:r>
          </w:p>
        </w:tc>
      </w:tr>
    </w:tbl>
    <w:p w14:paraId="709FDD5F" w14:textId="77777777" w:rsidR="00085B81" w:rsidRDefault="00000000">
      <w:pPr>
        <w:rPr>
          <w:rFonts w:ascii="Times New Roman" w:eastAsia="Times New Roman" w:hAnsi="Times New Roman" w:cs="Times New Roman"/>
        </w:rPr>
      </w:pPr>
      <w:r>
        <w:br w:type="page"/>
      </w:r>
    </w:p>
    <w:p w14:paraId="3FFC6F63" w14:textId="77777777" w:rsidR="00085B81" w:rsidRDefault="00085B81">
      <w:pPr>
        <w:rPr>
          <w:rFonts w:ascii="Times New Roman" w:eastAsia="Times New Roman" w:hAnsi="Times New Roman" w:cs="Times New Roman"/>
        </w:rPr>
      </w:pPr>
    </w:p>
    <w:tbl>
      <w:tblPr>
        <w:tblStyle w:val="aff9"/>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7A664102" w14:textId="77777777">
        <w:trPr>
          <w:jc w:val="center"/>
        </w:trPr>
        <w:tc>
          <w:tcPr>
            <w:tcW w:w="10000" w:type="dxa"/>
            <w:shd w:val="clear" w:color="auto" w:fill="auto"/>
            <w:tcMar>
              <w:top w:w="100" w:type="dxa"/>
              <w:left w:w="100" w:type="dxa"/>
              <w:bottom w:w="100" w:type="dxa"/>
              <w:right w:w="100" w:type="dxa"/>
            </w:tcMar>
          </w:tcPr>
          <w:p w14:paraId="5249F5C4"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A4CDAAD" wp14:editId="616DE607">
                  <wp:extent cx="6155709" cy="3353800"/>
                  <wp:effectExtent l="0" t="0" r="0" b="0"/>
                  <wp:docPr id="3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43"/>
                          <a:srcRect l="17611" t="23310" r="15773" b="20685"/>
                          <a:stretch>
                            <a:fillRect/>
                          </a:stretch>
                        </pic:blipFill>
                        <pic:spPr>
                          <a:xfrm>
                            <a:off x="0" y="0"/>
                            <a:ext cx="6155709" cy="3353800"/>
                          </a:xfrm>
                          <a:prstGeom prst="rect">
                            <a:avLst/>
                          </a:prstGeom>
                          <a:ln/>
                        </pic:spPr>
                      </pic:pic>
                    </a:graphicData>
                  </a:graphic>
                </wp:inline>
              </w:drawing>
            </w:r>
          </w:p>
        </w:tc>
      </w:tr>
      <w:tr w:rsidR="00085B81" w14:paraId="7DBBB66A" w14:textId="77777777">
        <w:trPr>
          <w:jc w:val="center"/>
        </w:trPr>
        <w:tc>
          <w:tcPr>
            <w:tcW w:w="10000" w:type="dxa"/>
            <w:shd w:val="clear" w:color="auto" w:fill="auto"/>
            <w:tcMar>
              <w:top w:w="100" w:type="dxa"/>
              <w:left w:w="100" w:type="dxa"/>
              <w:bottom w:w="100" w:type="dxa"/>
              <w:right w:w="100" w:type="dxa"/>
            </w:tcMar>
          </w:tcPr>
          <w:p w14:paraId="3FD8DDA4" w14:textId="246C2E05"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8d: </w:t>
            </w:r>
            <w:r>
              <w:rPr>
                <w:rFonts w:ascii="Times New Roman" w:eastAsia="Times New Roman" w:hAnsi="Times New Roman" w:cs="Times New Roman"/>
              </w:rPr>
              <w:t>Forest plot for meta-analysis of</w:t>
            </w:r>
            <w:r w:rsidR="003B6A7B">
              <w:rPr>
                <w:rFonts w:ascii="Times New Roman" w:eastAsia="Times New Roman" w:hAnsi="Times New Roman" w:cs="Times New Roman"/>
              </w:rPr>
              <w:t xml:space="preserve">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17</w:t>
            </w:r>
            <w:r w:rsidR="003B6A7B" w:rsidRPr="003B6A7B">
              <w:rPr>
                <w:rFonts w:ascii="Times New Roman" w:eastAsia="Times New Roman" w:hAnsi="Times New Roman" w:cs="Times New Roman"/>
              </w:rPr>
              <w:t xml:space="preserve"> to 2023 by pooling the</w:t>
            </w:r>
            <w:r>
              <w:rPr>
                <w:rFonts w:ascii="Times New Roman" w:eastAsia="Times New Roman" w:hAnsi="Times New Roman" w:cs="Times New Roman"/>
              </w:rPr>
              <w:t xml:space="preserve"> mean difference in prepost TAR change (% day)  between CGM and SMBG/UC, subgrouped by risk-of-bias. CGM was significantly associated with greater TAR decrease than SMBG/UC </w:t>
            </w:r>
            <w:r>
              <w:rPr>
                <w:rFonts w:ascii="Times New Roman" w:eastAsia="Times New Roman" w:hAnsi="Times New Roman" w:cs="Times New Roman"/>
                <w:sz w:val="24"/>
                <w:szCs w:val="24"/>
              </w:rPr>
              <w:t>(MD= -4.33% [95%CI: -8.37 to -0.28])</w:t>
            </w:r>
            <w:r>
              <w:rPr>
                <w:rFonts w:ascii="Times New Roman" w:eastAsia="Times New Roman" w:hAnsi="Times New Roman" w:cs="Times New Roman"/>
              </w:rPr>
              <w:t xml:space="preserve"> . No significant differences between subgroups (p = 0.68).</w:t>
            </w:r>
          </w:p>
        </w:tc>
      </w:tr>
    </w:tbl>
    <w:p w14:paraId="2551F88B" w14:textId="77777777" w:rsidR="00085B81" w:rsidRDefault="00000000">
      <w:pPr>
        <w:rPr>
          <w:rFonts w:ascii="Times New Roman" w:eastAsia="Times New Roman" w:hAnsi="Times New Roman" w:cs="Times New Roman"/>
        </w:rPr>
      </w:pPr>
      <w:r>
        <w:br w:type="page"/>
      </w:r>
    </w:p>
    <w:p w14:paraId="54B8C609" w14:textId="77777777" w:rsidR="00085B81" w:rsidRDefault="00000000">
      <w:pPr>
        <w:pStyle w:val="Heading1"/>
      </w:pPr>
      <w:bookmarkStart w:id="15" w:name="_Toc182493136"/>
      <w:r>
        <w:lastRenderedPageBreak/>
        <w:t>9. Time-Below-Range Forest Plots</w:t>
      </w:r>
      <w:bookmarkEnd w:id="15"/>
    </w:p>
    <w:p w14:paraId="4F92236E" w14:textId="77777777" w:rsidR="00085B81" w:rsidRDefault="00085B81">
      <w:pPr>
        <w:rPr>
          <w:rFonts w:ascii="Times New Roman" w:eastAsia="Times New Roman" w:hAnsi="Times New Roman" w:cs="Times New Roman"/>
        </w:rPr>
      </w:pPr>
    </w:p>
    <w:tbl>
      <w:tblPr>
        <w:tblStyle w:val="affa"/>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4C6D0A78" w14:textId="77777777">
        <w:trPr>
          <w:jc w:val="center"/>
        </w:trPr>
        <w:tc>
          <w:tcPr>
            <w:tcW w:w="10000" w:type="dxa"/>
            <w:shd w:val="clear" w:color="auto" w:fill="auto"/>
            <w:tcMar>
              <w:top w:w="100" w:type="dxa"/>
              <w:left w:w="100" w:type="dxa"/>
              <w:bottom w:w="100" w:type="dxa"/>
              <w:right w:w="100" w:type="dxa"/>
            </w:tcMar>
          </w:tcPr>
          <w:p w14:paraId="34661CD6"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01E89D0" wp14:editId="3E99C049">
                  <wp:extent cx="6012135" cy="4133343"/>
                  <wp:effectExtent l="0" t="0" r="0" b="0"/>
                  <wp:docPr id="4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4"/>
                          <a:srcRect l="17917" t="16181" r="15926" b="13588"/>
                          <a:stretch>
                            <a:fillRect/>
                          </a:stretch>
                        </pic:blipFill>
                        <pic:spPr>
                          <a:xfrm>
                            <a:off x="0" y="0"/>
                            <a:ext cx="6012135" cy="4133343"/>
                          </a:xfrm>
                          <a:prstGeom prst="rect">
                            <a:avLst/>
                          </a:prstGeom>
                          <a:ln/>
                        </pic:spPr>
                      </pic:pic>
                    </a:graphicData>
                  </a:graphic>
                </wp:inline>
              </w:drawing>
            </w:r>
          </w:p>
        </w:tc>
      </w:tr>
      <w:tr w:rsidR="00085B81" w14:paraId="00EDAF00" w14:textId="77777777">
        <w:trPr>
          <w:jc w:val="center"/>
        </w:trPr>
        <w:tc>
          <w:tcPr>
            <w:tcW w:w="10000" w:type="dxa"/>
            <w:shd w:val="clear" w:color="auto" w:fill="auto"/>
            <w:tcMar>
              <w:top w:w="100" w:type="dxa"/>
              <w:left w:w="100" w:type="dxa"/>
              <w:bottom w:w="100" w:type="dxa"/>
              <w:right w:w="100" w:type="dxa"/>
            </w:tcMar>
          </w:tcPr>
          <w:p w14:paraId="0E377770" w14:textId="436E7B1A"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9a: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09</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mean difference in prepost TBR change (% day)  between CGM and SMBG/UC, with Baujat-informed outlier removal, subgrouped by CGM modality. There was no significant difference in prepost TBR change between CGM and SMBG/UC (MD = -0.24% , 95% CI: -0.50 to 0.03). No significant differences between subgroups (p = 0.81).</w:t>
            </w:r>
          </w:p>
        </w:tc>
      </w:tr>
    </w:tbl>
    <w:p w14:paraId="395F4607" w14:textId="77777777" w:rsidR="00085B81" w:rsidRDefault="00000000">
      <w:pPr>
        <w:rPr>
          <w:rFonts w:ascii="Times New Roman" w:eastAsia="Times New Roman" w:hAnsi="Times New Roman" w:cs="Times New Roman"/>
        </w:rPr>
      </w:pPr>
      <w:r>
        <w:br w:type="page"/>
      </w:r>
    </w:p>
    <w:p w14:paraId="170E48C6" w14:textId="77777777" w:rsidR="00085B81" w:rsidRDefault="00085B81">
      <w:pPr>
        <w:rPr>
          <w:rFonts w:ascii="Times New Roman" w:eastAsia="Times New Roman" w:hAnsi="Times New Roman" w:cs="Times New Roman"/>
        </w:rPr>
      </w:pPr>
    </w:p>
    <w:tbl>
      <w:tblPr>
        <w:tblStyle w:val="affb"/>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2094D6FB" w14:textId="77777777">
        <w:trPr>
          <w:jc w:val="center"/>
        </w:trPr>
        <w:tc>
          <w:tcPr>
            <w:tcW w:w="10000" w:type="dxa"/>
            <w:shd w:val="clear" w:color="auto" w:fill="auto"/>
            <w:tcMar>
              <w:top w:w="100" w:type="dxa"/>
              <w:left w:w="100" w:type="dxa"/>
              <w:bottom w:w="100" w:type="dxa"/>
              <w:right w:w="100" w:type="dxa"/>
            </w:tcMar>
          </w:tcPr>
          <w:p w14:paraId="1A0A84C9"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B72948D" wp14:editId="65B9AB81">
                  <wp:extent cx="6196042" cy="3972925"/>
                  <wp:effectExtent l="0" t="0" r="0" b="0"/>
                  <wp:docPr id="3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45"/>
                          <a:srcRect l="17151" t="18346" r="16692" b="16187"/>
                          <a:stretch>
                            <a:fillRect/>
                          </a:stretch>
                        </pic:blipFill>
                        <pic:spPr>
                          <a:xfrm>
                            <a:off x="0" y="0"/>
                            <a:ext cx="6196042" cy="3972925"/>
                          </a:xfrm>
                          <a:prstGeom prst="rect">
                            <a:avLst/>
                          </a:prstGeom>
                          <a:ln/>
                        </pic:spPr>
                      </pic:pic>
                    </a:graphicData>
                  </a:graphic>
                </wp:inline>
              </w:drawing>
            </w:r>
          </w:p>
        </w:tc>
      </w:tr>
      <w:tr w:rsidR="00085B81" w14:paraId="1974298A" w14:textId="77777777">
        <w:trPr>
          <w:jc w:val="center"/>
        </w:trPr>
        <w:tc>
          <w:tcPr>
            <w:tcW w:w="10000" w:type="dxa"/>
            <w:shd w:val="clear" w:color="auto" w:fill="auto"/>
            <w:tcMar>
              <w:top w:w="100" w:type="dxa"/>
              <w:left w:w="100" w:type="dxa"/>
              <w:bottom w:w="100" w:type="dxa"/>
              <w:right w:w="100" w:type="dxa"/>
            </w:tcMar>
          </w:tcPr>
          <w:p w14:paraId="09082B5C" w14:textId="51E17DC5"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9b: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09</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mean difference in prepost TBR change (% day)  between CGM and SMBG/UC, subgrouped by funding. There was no significant difference in prepost TBR change between CGM and SMBG/UC (MD = -0.33% , 95% CI: -0.75 to 0.09). No significant differences between subgroups (p = 0.07).</w:t>
            </w:r>
          </w:p>
        </w:tc>
      </w:tr>
    </w:tbl>
    <w:p w14:paraId="186A40B1" w14:textId="77777777" w:rsidR="00085B81" w:rsidRDefault="00000000">
      <w:pPr>
        <w:rPr>
          <w:rFonts w:ascii="Times New Roman" w:eastAsia="Times New Roman" w:hAnsi="Times New Roman" w:cs="Times New Roman"/>
        </w:rPr>
      </w:pPr>
      <w:r>
        <w:br w:type="page"/>
      </w:r>
    </w:p>
    <w:p w14:paraId="3F408A90" w14:textId="77777777" w:rsidR="00085B81" w:rsidRDefault="00085B81">
      <w:pPr>
        <w:rPr>
          <w:rFonts w:ascii="Times New Roman" w:eastAsia="Times New Roman" w:hAnsi="Times New Roman" w:cs="Times New Roman"/>
        </w:rPr>
      </w:pPr>
    </w:p>
    <w:tbl>
      <w:tblPr>
        <w:tblStyle w:val="affc"/>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571BCA1" w14:textId="77777777">
        <w:trPr>
          <w:jc w:val="center"/>
        </w:trPr>
        <w:tc>
          <w:tcPr>
            <w:tcW w:w="10000" w:type="dxa"/>
            <w:shd w:val="clear" w:color="auto" w:fill="auto"/>
            <w:tcMar>
              <w:top w:w="100" w:type="dxa"/>
              <w:left w:w="100" w:type="dxa"/>
              <w:bottom w:w="100" w:type="dxa"/>
              <w:right w:w="100" w:type="dxa"/>
            </w:tcMar>
          </w:tcPr>
          <w:p w14:paraId="2A107BFF"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EF55C3E" wp14:editId="45E06AF9">
                  <wp:extent cx="6024563" cy="4244254"/>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6"/>
                          <a:srcRect l="18376" t="16455" r="16845" b="13110"/>
                          <a:stretch>
                            <a:fillRect/>
                          </a:stretch>
                        </pic:blipFill>
                        <pic:spPr>
                          <a:xfrm>
                            <a:off x="0" y="0"/>
                            <a:ext cx="6024563" cy="4244254"/>
                          </a:xfrm>
                          <a:prstGeom prst="rect">
                            <a:avLst/>
                          </a:prstGeom>
                          <a:ln/>
                        </pic:spPr>
                      </pic:pic>
                    </a:graphicData>
                  </a:graphic>
                </wp:inline>
              </w:drawing>
            </w:r>
          </w:p>
        </w:tc>
      </w:tr>
      <w:tr w:rsidR="00085B81" w14:paraId="46133DD1" w14:textId="77777777">
        <w:trPr>
          <w:jc w:val="center"/>
        </w:trPr>
        <w:tc>
          <w:tcPr>
            <w:tcW w:w="10000" w:type="dxa"/>
            <w:shd w:val="clear" w:color="auto" w:fill="auto"/>
            <w:tcMar>
              <w:top w:w="100" w:type="dxa"/>
              <w:left w:w="100" w:type="dxa"/>
              <w:bottom w:w="100" w:type="dxa"/>
              <w:right w:w="100" w:type="dxa"/>
            </w:tcMar>
          </w:tcPr>
          <w:p w14:paraId="075E41E9" w14:textId="7B7E3F45"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9c: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primary studies comparing effectiveness of CGM against SMBG/UC between 20</w:t>
            </w:r>
            <w:r w:rsidR="003B6A7B">
              <w:rPr>
                <w:rFonts w:ascii="Times New Roman" w:eastAsia="Times New Roman" w:hAnsi="Times New Roman" w:cs="Times New Roman"/>
              </w:rPr>
              <w:t>09</w:t>
            </w:r>
            <w:r w:rsidR="003B6A7B" w:rsidRPr="003B6A7B">
              <w:rPr>
                <w:rFonts w:ascii="Times New Roman" w:eastAsia="Times New Roman" w:hAnsi="Times New Roman" w:cs="Times New Roman"/>
              </w:rPr>
              <w:t xml:space="preserve"> to 2023 by pooling the </w:t>
            </w:r>
            <w:r>
              <w:rPr>
                <w:rFonts w:ascii="Times New Roman" w:eastAsia="Times New Roman" w:hAnsi="Times New Roman" w:cs="Times New Roman"/>
              </w:rPr>
              <w:t>mean difference in prepost TBR change (% day)  between CGM and SMBG/UC, subgrouped by insulin treatment. There was no significant difference in prepost TBR change between CGM and SMBG/UC (MD = -0.33% , 95% CI: -0.75 to 0.09). There was a significant difference between subgroups (p = 0.02).</w:t>
            </w:r>
          </w:p>
        </w:tc>
      </w:tr>
    </w:tbl>
    <w:p w14:paraId="6B376147" w14:textId="77777777" w:rsidR="00085B81" w:rsidRDefault="00000000">
      <w:pPr>
        <w:rPr>
          <w:rFonts w:ascii="Times New Roman" w:eastAsia="Times New Roman" w:hAnsi="Times New Roman" w:cs="Times New Roman"/>
        </w:rPr>
      </w:pPr>
      <w:r>
        <w:br w:type="page"/>
      </w:r>
    </w:p>
    <w:p w14:paraId="469BBF47" w14:textId="77777777" w:rsidR="00085B81" w:rsidRDefault="00085B81">
      <w:pPr>
        <w:rPr>
          <w:rFonts w:ascii="Times New Roman" w:eastAsia="Times New Roman" w:hAnsi="Times New Roman" w:cs="Times New Roman"/>
        </w:rPr>
      </w:pPr>
    </w:p>
    <w:tbl>
      <w:tblPr>
        <w:tblStyle w:val="affd"/>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5CD23529" w14:textId="77777777">
        <w:trPr>
          <w:jc w:val="center"/>
        </w:trPr>
        <w:tc>
          <w:tcPr>
            <w:tcW w:w="10000" w:type="dxa"/>
            <w:shd w:val="clear" w:color="auto" w:fill="auto"/>
            <w:tcMar>
              <w:top w:w="100" w:type="dxa"/>
              <w:left w:w="100" w:type="dxa"/>
              <w:bottom w:w="100" w:type="dxa"/>
              <w:right w:w="100" w:type="dxa"/>
            </w:tcMar>
          </w:tcPr>
          <w:p w14:paraId="6005E294" w14:textId="77777777"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D74B1FD" wp14:editId="10DD2775">
                  <wp:extent cx="6119813" cy="3918441"/>
                  <wp:effectExtent l="0" t="0" r="0" b="0"/>
                  <wp:docPr id="4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7"/>
                          <a:srcRect l="19142" t="19528" r="16998" b="17371"/>
                          <a:stretch>
                            <a:fillRect/>
                          </a:stretch>
                        </pic:blipFill>
                        <pic:spPr>
                          <a:xfrm>
                            <a:off x="0" y="0"/>
                            <a:ext cx="6119813" cy="3918441"/>
                          </a:xfrm>
                          <a:prstGeom prst="rect">
                            <a:avLst/>
                          </a:prstGeom>
                          <a:ln/>
                        </pic:spPr>
                      </pic:pic>
                    </a:graphicData>
                  </a:graphic>
                </wp:inline>
              </w:drawing>
            </w:r>
          </w:p>
        </w:tc>
      </w:tr>
      <w:tr w:rsidR="00085B81" w14:paraId="610F5409" w14:textId="77777777">
        <w:trPr>
          <w:jc w:val="center"/>
        </w:trPr>
        <w:tc>
          <w:tcPr>
            <w:tcW w:w="10000" w:type="dxa"/>
            <w:shd w:val="clear" w:color="auto" w:fill="auto"/>
            <w:tcMar>
              <w:top w:w="100" w:type="dxa"/>
              <w:left w:w="100" w:type="dxa"/>
              <w:bottom w:w="100" w:type="dxa"/>
              <w:right w:w="100" w:type="dxa"/>
            </w:tcMar>
          </w:tcPr>
          <w:p w14:paraId="074E473B" w14:textId="437048AD"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t xml:space="preserve">eFigure 9d: </w:t>
            </w:r>
            <w:r>
              <w:rPr>
                <w:rFonts w:ascii="Times New Roman" w:eastAsia="Times New Roman" w:hAnsi="Times New Roman" w:cs="Times New Roman"/>
              </w:rPr>
              <w:t xml:space="preserve">Forest plot for meta-analysis of </w:t>
            </w:r>
            <w:r w:rsidR="003B6A7B" w:rsidRPr="003B6A7B">
              <w:rPr>
                <w:rFonts w:ascii="Times New Roman" w:eastAsia="Times New Roman" w:hAnsi="Times New Roman" w:cs="Times New Roman"/>
              </w:rPr>
              <w:t xml:space="preserve">primary studies comparing effectiveness of CGM against SMBG/UC between 2009 to 2023 by pooling the </w:t>
            </w:r>
            <w:r>
              <w:rPr>
                <w:rFonts w:ascii="Times New Roman" w:eastAsia="Times New Roman" w:hAnsi="Times New Roman" w:cs="Times New Roman"/>
              </w:rPr>
              <w:t>mean difference in prepost TBR change (% day)  between CGM and SMBG/UC, subgrouped by risk-of-bias. There was no significant difference in prepost TBR change between CGM and SMBG/UC (MD = -0.33% , 95% CI: -0.75 to 0.09). No significant differences between subgroups (p = 0.68).</w:t>
            </w:r>
          </w:p>
        </w:tc>
      </w:tr>
    </w:tbl>
    <w:p w14:paraId="2417C08D" w14:textId="77777777" w:rsidR="00085B81" w:rsidRDefault="00000000">
      <w:pPr>
        <w:rPr>
          <w:rFonts w:ascii="Times New Roman" w:eastAsia="Times New Roman" w:hAnsi="Times New Roman" w:cs="Times New Roman"/>
        </w:rPr>
      </w:pPr>
      <w:r>
        <w:br w:type="page"/>
      </w:r>
    </w:p>
    <w:p w14:paraId="3E42AE8D" w14:textId="77777777" w:rsidR="00085B81" w:rsidRDefault="00000000">
      <w:pPr>
        <w:pStyle w:val="Heading1"/>
      </w:pPr>
      <w:bookmarkStart w:id="16" w:name="_Toc182493137"/>
      <w:r>
        <w:lastRenderedPageBreak/>
        <w:t>10. Patient Reported Outcome Measures (PROM)</w:t>
      </w:r>
      <w:bookmarkEnd w:id="16"/>
    </w:p>
    <w:tbl>
      <w:tblPr>
        <w:tblStyle w:val="af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85B81" w14:paraId="6D5528B1" w14:textId="77777777">
        <w:tc>
          <w:tcPr>
            <w:tcW w:w="9360" w:type="dxa"/>
            <w:shd w:val="clear" w:color="auto" w:fill="auto"/>
            <w:tcMar>
              <w:top w:w="100" w:type="dxa"/>
              <w:left w:w="100" w:type="dxa"/>
              <w:bottom w:w="100" w:type="dxa"/>
              <w:right w:w="100" w:type="dxa"/>
            </w:tcMar>
          </w:tcPr>
          <w:p w14:paraId="1F2F1C16"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0F3F603D" wp14:editId="0D5BC880">
                  <wp:extent cx="5810250" cy="47117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8"/>
                          <a:srcRect/>
                          <a:stretch>
                            <a:fillRect/>
                          </a:stretch>
                        </pic:blipFill>
                        <pic:spPr>
                          <a:xfrm>
                            <a:off x="0" y="0"/>
                            <a:ext cx="5810250" cy="4711700"/>
                          </a:xfrm>
                          <a:prstGeom prst="rect">
                            <a:avLst/>
                          </a:prstGeom>
                          <a:ln/>
                        </pic:spPr>
                      </pic:pic>
                    </a:graphicData>
                  </a:graphic>
                </wp:inline>
              </w:drawing>
            </w:r>
          </w:p>
        </w:tc>
      </w:tr>
      <w:tr w:rsidR="00085B81" w14:paraId="6525F836" w14:textId="77777777">
        <w:tc>
          <w:tcPr>
            <w:tcW w:w="9360" w:type="dxa"/>
            <w:shd w:val="clear" w:color="auto" w:fill="auto"/>
            <w:tcMar>
              <w:top w:w="100" w:type="dxa"/>
              <w:left w:w="100" w:type="dxa"/>
              <w:bottom w:w="100" w:type="dxa"/>
              <w:right w:w="100" w:type="dxa"/>
            </w:tcMar>
          </w:tcPr>
          <w:p w14:paraId="7707110C" w14:textId="307B7CEC"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eFigure 10a</w:t>
            </w:r>
            <w:r>
              <w:rPr>
                <w:rFonts w:ascii="Times New Roman" w:eastAsia="Times New Roman" w:hAnsi="Times New Roman" w:cs="Times New Roman"/>
                <w:sz w:val="24"/>
                <w:szCs w:val="24"/>
              </w:rPr>
              <w:t xml:space="preserve">: Meta-analysis of </w:t>
            </w:r>
            <w:r w:rsidR="003B6A7B" w:rsidRPr="003B6A7B">
              <w:rPr>
                <w:rFonts w:ascii="Times New Roman" w:eastAsia="Times New Roman" w:hAnsi="Times New Roman" w:cs="Times New Roman"/>
                <w:sz w:val="24"/>
                <w:szCs w:val="24"/>
              </w:rPr>
              <w:t>primary studies comparing effectiveness of CGM against SMBG/UC between 20</w:t>
            </w:r>
            <w:r w:rsidR="003B6A7B">
              <w:rPr>
                <w:rFonts w:ascii="Times New Roman" w:eastAsia="Times New Roman" w:hAnsi="Times New Roman" w:cs="Times New Roman"/>
                <w:sz w:val="24"/>
                <w:szCs w:val="24"/>
              </w:rPr>
              <w:t>17</w:t>
            </w:r>
            <w:r w:rsidR="003B6A7B" w:rsidRPr="003B6A7B">
              <w:rPr>
                <w:rFonts w:ascii="Times New Roman" w:eastAsia="Times New Roman" w:hAnsi="Times New Roman" w:cs="Times New Roman"/>
                <w:sz w:val="24"/>
                <w:szCs w:val="24"/>
              </w:rPr>
              <w:t xml:space="preserve"> to 2023 by pooling the </w:t>
            </w:r>
            <w:r>
              <w:rPr>
                <w:rFonts w:ascii="Times New Roman" w:eastAsia="Times New Roman" w:hAnsi="Times New Roman" w:cs="Times New Roman"/>
                <w:sz w:val="24"/>
                <w:szCs w:val="24"/>
              </w:rPr>
              <w:t>standardized mean difference of prepost change in PROMs by domain amongst studies utilising FGM</w:t>
            </w:r>
            <w:r w:rsidR="003B6A7B">
              <w:rPr>
                <w:rFonts w:ascii="Times New Roman" w:eastAsia="Times New Roman" w:hAnsi="Times New Roman" w:cs="Times New Roman"/>
                <w:sz w:val="24"/>
                <w:szCs w:val="24"/>
              </w:rPr>
              <w:t xml:space="preserve"> only</w:t>
            </w:r>
            <w:r>
              <w:rPr>
                <w:rFonts w:ascii="Times New Roman" w:eastAsia="Times New Roman" w:hAnsi="Times New Roman" w:cs="Times New Roman"/>
                <w:sz w:val="24"/>
                <w:szCs w:val="24"/>
              </w:rPr>
              <w:t>. No significant effect size was observed across all domains.</w:t>
            </w:r>
          </w:p>
        </w:tc>
      </w:tr>
    </w:tbl>
    <w:p w14:paraId="7CB01D62" w14:textId="77777777" w:rsidR="00085B81" w:rsidRDefault="00000000">
      <w:pPr>
        <w:pStyle w:val="Heading1"/>
      </w:pPr>
      <w:bookmarkStart w:id="17" w:name="_21eclgcxi7rk" w:colFirst="0" w:colLast="0"/>
      <w:bookmarkEnd w:id="17"/>
      <w:r>
        <w:br w:type="page"/>
      </w:r>
    </w:p>
    <w:p w14:paraId="0B643CC7" w14:textId="77777777" w:rsidR="00085B81" w:rsidRDefault="00085B81">
      <w:pPr>
        <w:pStyle w:val="Heading1"/>
      </w:pPr>
      <w:bookmarkStart w:id="18" w:name="_o3qshrmmpn83" w:colFirst="0" w:colLast="0"/>
      <w:bookmarkEnd w:id="18"/>
    </w:p>
    <w:tbl>
      <w:tblPr>
        <w:tblStyle w:val="af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85B81" w14:paraId="01BB28D3" w14:textId="77777777">
        <w:tc>
          <w:tcPr>
            <w:tcW w:w="9360" w:type="dxa"/>
            <w:shd w:val="clear" w:color="auto" w:fill="auto"/>
            <w:tcMar>
              <w:top w:w="100" w:type="dxa"/>
              <w:left w:w="100" w:type="dxa"/>
              <w:bottom w:w="100" w:type="dxa"/>
              <w:right w:w="100" w:type="dxa"/>
            </w:tcMar>
          </w:tcPr>
          <w:p w14:paraId="1F7C61A8" w14:textId="77777777" w:rsidR="00085B81"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5277CCB" wp14:editId="26EB2441">
                  <wp:extent cx="5810250" cy="3429000"/>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9"/>
                          <a:srcRect/>
                          <a:stretch>
                            <a:fillRect/>
                          </a:stretch>
                        </pic:blipFill>
                        <pic:spPr>
                          <a:xfrm>
                            <a:off x="0" y="0"/>
                            <a:ext cx="5810250" cy="3429000"/>
                          </a:xfrm>
                          <a:prstGeom prst="rect">
                            <a:avLst/>
                          </a:prstGeom>
                          <a:ln/>
                        </pic:spPr>
                      </pic:pic>
                    </a:graphicData>
                  </a:graphic>
                </wp:inline>
              </w:drawing>
            </w:r>
          </w:p>
        </w:tc>
      </w:tr>
      <w:tr w:rsidR="00085B81" w14:paraId="700E276F" w14:textId="77777777">
        <w:tc>
          <w:tcPr>
            <w:tcW w:w="9360" w:type="dxa"/>
            <w:shd w:val="clear" w:color="auto" w:fill="auto"/>
            <w:tcMar>
              <w:top w:w="100" w:type="dxa"/>
              <w:left w:w="100" w:type="dxa"/>
              <w:bottom w:w="100" w:type="dxa"/>
              <w:right w:w="100" w:type="dxa"/>
            </w:tcMar>
          </w:tcPr>
          <w:p w14:paraId="0419E260" w14:textId="026611C2" w:rsidR="00085B81"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eFigure 10b</w:t>
            </w:r>
            <w:r>
              <w:rPr>
                <w:rFonts w:ascii="Times New Roman" w:eastAsia="Times New Roman" w:hAnsi="Times New Roman" w:cs="Times New Roman"/>
                <w:sz w:val="24"/>
                <w:szCs w:val="24"/>
              </w:rPr>
              <w:t xml:space="preserve">: Meta-analysis of </w:t>
            </w:r>
            <w:r w:rsidR="003B6A7B" w:rsidRPr="003B6A7B">
              <w:rPr>
                <w:rFonts w:ascii="Times New Roman" w:eastAsia="Times New Roman" w:hAnsi="Times New Roman" w:cs="Times New Roman"/>
                <w:sz w:val="24"/>
                <w:szCs w:val="24"/>
              </w:rPr>
              <w:t>primary studies comparing effectiveness of CGM against SMBG/UC between 2017 to 20</w:t>
            </w:r>
            <w:r w:rsidR="003B6A7B">
              <w:rPr>
                <w:rFonts w:ascii="Times New Roman" w:eastAsia="Times New Roman" w:hAnsi="Times New Roman" w:cs="Times New Roman"/>
                <w:sz w:val="24"/>
                <w:szCs w:val="24"/>
              </w:rPr>
              <w:t>20</w:t>
            </w:r>
            <w:r w:rsidR="003B6A7B" w:rsidRPr="003B6A7B">
              <w:rPr>
                <w:rFonts w:ascii="Times New Roman" w:eastAsia="Times New Roman" w:hAnsi="Times New Roman" w:cs="Times New Roman"/>
                <w:sz w:val="24"/>
                <w:szCs w:val="24"/>
              </w:rPr>
              <w:t xml:space="preserve"> by pooling the </w:t>
            </w:r>
            <w:r>
              <w:rPr>
                <w:rFonts w:ascii="Times New Roman" w:eastAsia="Times New Roman" w:hAnsi="Times New Roman" w:cs="Times New Roman"/>
                <w:sz w:val="24"/>
                <w:szCs w:val="24"/>
              </w:rPr>
              <w:t>standardized mean difference of prepost change in PROMs by domain amongst studies utilising rCGM. No significant effect size was observed across all domains.</w:t>
            </w:r>
          </w:p>
        </w:tc>
      </w:tr>
    </w:tbl>
    <w:p w14:paraId="6A0BC4C0" w14:textId="77777777" w:rsidR="00085B81" w:rsidRDefault="00000000">
      <w:pPr>
        <w:pStyle w:val="Heading1"/>
      </w:pPr>
      <w:bookmarkStart w:id="19" w:name="_frgb775hnei7" w:colFirst="0" w:colLast="0"/>
      <w:bookmarkEnd w:id="19"/>
      <w:r>
        <w:br w:type="page"/>
      </w:r>
    </w:p>
    <w:p w14:paraId="6087D8FB" w14:textId="77777777" w:rsidR="00085B81" w:rsidRDefault="00085B81">
      <w:pPr>
        <w:pStyle w:val="Heading1"/>
      </w:pPr>
      <w:bookmarkStart w:id="20" w:name="_gs58gdjumjk" w:colFirst="0" w:colLast="0"/>
      <w:bookmarkEnd w:id="20"/>
    </w:p>
    <w:tbl>
      <w:tblPr>
        <w:tblStyle w:val="af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085B81" w14:paraId="3C26F190" w14:textId="77777777">
        <w:tc>
          <w:tcPr>
            <w:tcW w:w="9360" w:type="dxa"/>
            <w:shd w:val="clear" w:color="auto" w:fill="auto"/>
            <w:tcMar>
              <w:top w:w="100" w:type="dxa"/>
              <w:left w:w="100" w:type="dxa"/>
              <w:bottom w:w="100" w:type="dxa"/>
              <w:right w:w="100" w:type="dxa"/>
            </w:tcMar>
          </w:tcPr>
          <w:p w14:paraId="569C1037" w14:textId="77777777" w:rsidR="00085B81"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5DAA768" wp14:editId="505519CC">
                  <wp:extent cx="5810250" cy="4064000"/>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50"/>
                          <a:srcRect/>
                          <a:stretch>
                            <a:fillRect/>
                          </a:stretch>
                        </pic:blipFill>
                        <pic:spPr>
                          <a:xfrm>
                            <a:off x="0" y="0"/>
                            <a:ext cx="5810250" cy="4064000"/>
                          </a:xfrm>
                          <a:prstGeom prst="rect">
                            <a:avLst/>
                          </a:prstGeom>
                          <a:ln/>
                        </pic:spPr>
                      </pic:pic>
                    </a:graphicData>
                  </a:graphic>
                </wp:inline>
              </w:drawing>
            </w:r>
          </w:p>
        </w:tc>
      </w:tr>
      <w:tr w:rsidR="00085B81" w14:paraId="58F6608B" w14:textId="77777777">
        <w:tc>
          <w:tcPr>
            <w:tcW w:w="9360" w:type="dxa"/>
            <w:shd w:val="clear" w:color="auto" w:fill="auto"/>
            <w:tcMar>
              <w:top w:w="100" w:type="dxa"/>
              <w:left w:w="100" w:type="dxa"/>
              <w:bottom w:w="100" w:type="dxa"/>
              <w:right w:w="100" w:type="dxa"/>
            </w:tcMar>
          </w:tcPr>
          <w:p w14:paraId="3D0DE426" w14:textId="79215FC4" w:rsidR="00085B81"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eFigure 10c</w:t>
            </w:r>
            <w:r>
              <w:rPr>
                <w:rFonts w:ascii="Times New Roman" w:eastAsia="Times New Roman" w:hAnsi="Times New Roman" w:cs="Times New Roman"/>
                <w:sz w:val="24"/>
                <w:szCs w:val="24"/>
              </w:rPr>
              <w:t xml:space="preserve">: Meta-analysis of </w:t>
            </w:r>
            <w:r w:rsidR="003B6A7B" w:rsidRPr="003B6A7B">
              <w:rPr>
                <w:rFonts w:ascii="Times New Roman" w:eastAsia="Times New Roman" w:hAnsi="Times New Roman" w:cs="Times New Roman"/>
                <w:sz w:val="24"/>
                <w:szCs w:val="24"/>
              </w:rPr>
              <w:t>primary studies comparing effectiveness of CGM against SMBG/UC between 201</w:t>
            </w:r>
            <w:r w:rsidR="003B6A7B">
              <w:rPr>
                <w:rFonts w:ascii="Times New Roman" w:eastAsia="Times New Roman" w:hAnsi="Times New Roman" w:cs="Times New Roman"/>
                <w:sz w:val="24"/>
                <w:szCs w:val="24"/>
              </w:rPr>
              <w:t>2</w:t>
            </w:r>
            <w:r w:rsidR="003B6A7B" w:rsidRPr="003B6A7B">
              <w:rPr>
                <w:rFonts w:ascii="Times New Roman" w:eastAsia="Times New Roman" w:hAnsi="Times New Roman" w:cs="Times New Roman"/>
                <w:sz w:val="24"/>
                <w:szCs w:val="24"/>
              </w:rPr>
              <w:t xml:space="preserve"> to 202</w:t>
            </w:r>
            <w:r w:rsidR="003B6A7B">
              <w:rPr>
                <w:rFonts w:ascii="Times New Roman" w:eastAsia="Times New Roman" w:hAnsi="Times New Roman" w:cs="Times New Roman"/>
                <w:sz w:val="24"/>
                <w:szCs w:val="24"/>
              </w:rPr>
              <w:t>2</w:t>
            </w:r>
            <w:r w:rsidR="003B6A7B" w:rsidRPr="003B6A7B">
              <w:rPr>
                <w:rFonts w:ascii="Times New Roman" w:eastAsia="Times New Roman" w:hAnsi="Times New Roman" w:cs="Times New Roman"/>
                <w:sz w:val="24"/>
                <w:szCs w:val="24"/>
              </w:rPr>
              <w:t xml:space="preserve"> by pooling the </w:t>
            </w:r>
            <w:r>
              <w:rPr>
                <w:rFonts w:ascii="Times New Roman" w:eastAsia="Times New Roman" w:hAnsi="Times New Roman" w:cs="Times New Roman"/>
                <w:sz w:val="24"/>
                <w:szCs w:val="24"/>
              </w:rPr>
              <w:t>standardized mean difference of prepost change in PROMs by domain amongst studies utilising rtGM. No significant effect size was observed across all domains.</w:t>
            </w:r>
          </w:p>
        </w:tc>
      </w:tr>
    </w:tbl>
    <w:p w14:paraId="7EE28D0F" w14:textId="77777777" w:rsidR="00085B81" w:rsidRDefault="00000000">
      <w:pPr>
        <w:pStyle w:val="Heading1"/>
      </w:pPr>
      <w:bookmarkStart w:id="21" w:name="_7f8s8zrsq8da" w:colFirst="0" w:colLast="0"/>
      <w:bookmarkEnd w:id="21"/>
      <w:r>
        <w:br w:type="page"/>
      </w:r>
    </w:p>
    <w:p w14:paraId="544A6D1D" w14:textId="77777777" w:rsidR="00085B81" w:rsidRDefault="00000000">
      <w:pPr>
        <w:pStyle w:val="Heading1"/>
      </w:pPr>
      <w:bookmarkStart w:id="22" w:name="_Toc182493138"/>
      <w:r>
        <w:lastRenderedPageBreak/>
        <w:t>11. Baujat Plots</w:t>
      </w:r>
      <w:bookmarkEnd w:id="22"/>
    </w:p>
    <w:tbl>
      <w:tblPr>
        <w:tblStyle w:val="afff1"/>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00"/>
      </w:tblGrid>
      <w:tr w:rsidR="00085B81" w14:paraId="03915529" w14:textId="77777777">
        <w:trPr>
          <w:jc w:val="center"/>
        </w:trPr>
        <w:tc>
          <w:tcPr>
            <w:tcW w:w="10000" w:type="dxa"/>
            <w:shd w:val="clear" w:color="auto" w:fill="auto"/>
            <w:tcMar>
              <w:top w:w="100" w:type="dxa"/>
              <w:left w:w="100" w:type="dxa"/>
              <w:bottom w:w="100" w:type="dxa"/>
              <w:right w:w="100" w:type="dxa"/>
            </w:tcMar>
          </w:tcPr>
          <w:p w14:paraId="4648C455" w14:textId="77777777" w:rsidR="00085B81" w:rsidRDefault="00085B81">
            <w:pPr>
              <w:widowControl w:val="0"/>
              <w:spacing w:line="240" w:lineRule="auto"/>
              <w:rPr>
                <w:rFonts w:ascii="Times New Roman" w:eastAsia="Times New Roman" w:hAnsi="Times New Roman" w:cs="Times New Roman"/>
              </w:rPr>
            </w:pPr>
          </w:p>
          <w:tbl>
            <w:tblPr>
              <w:tblStyle w:val="afff2"/>
              <w:tblW w:w="9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00"/>
            </w:tblGrid>
            <w:tr w:rsidR="00085B81" w14:paraId="61E73986" w14:textId="77777777">
              <w:tc>
                <w:tcPr>
                  <w:tcW w:w="9800" w:type="dxa"/>
                  <w:shd w:val="clear" w:color="auto" w:fill="auto"/>
                  <w:tcMar>
                    <w:top w:w="100" w:type="dxa"/>
                    <w:left w:w="100" w:type="dxa"/>
                    <w:bottom w:w="100" w:type="dxa"/>
                    <w:right w:w="100" w:type="dxa"/>
                  </w:tcMar>
                </w:tcPr>
                <w:p w14:paraId="70A0BFB3"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(a) Prepost HbA1c change across all studies</w:t>
                  </w:r>
                </w:p>
              </w:tc>
            </w:tr>
            <w:tr w:rsidR="00085B81" w14:paraId="7889C341" w14:textId="77777777">
              <w:tc>
                <w:tcPr>
                  <w:tcW w:w="9800" w:type="dxa"/>
                  <w:shd w:val="clear" w:color="auto" w:fill="auto"/>
                  <w:tcMar>
                    <w:top w:w="100" w:type="dxa"/>
                    <w:left w:w="100" w:type="dxa"/>
                    <w:bottom w:w="100" w:type="dxa"/>
                    <w:right w:w="100" w:type="dxa"/>
                  </w:tcMar>
                </w:tcPr>
                <w:p w14:paraId="7E96C17D"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BCB78DB" wp14:editId="77E849EA">
                        <wp:extent cx="4186238" cy="329576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t="5926"/>
                                <a:stretch>
                                  <a:fillRect/>
                                </a:stretch>
                              </pic:blipFill>
                              <pic:spPr>
                                <a:xfrm>
                                  <a:off x="0" y="0"/>
                                  <a:ext cx="4186238" cy="3295766"/>
                                </a:xfrm>
                                <a:prstGeom prst="rect">
                                  <a:avLst/>
                                </a:prstGeom>
                                <a:ln/>
                              </pic:spPr>
                            </pic:pic>
                          </a:graphicData>
                        </a:graphic>
                      </wp:inline>
                    </w:drawing>
                  </w:r>
                </w:p>
              </w:tc>
            </w:tr>
            <w:tr w:rsidR="00085B81" w14:paraId="28C0661F" w14:textId="77777777">
              <w:tc>
                <w:tcPr>
                  <w:tcW w:w="9800" w:type="dxa"/>
                  <w:shd w:val="clear" w:color="auto" w:fill="auto"/>
                  <w:tcMar>
                    <w:top w:w="100" w:type="dxa"/>
                    <w:left w:w="100" w:type="dxa"/>
                    <w:bottom w:w="100" w:type="dxa"/>
                    <w:right w:w="100" w:type="dxa"/>
                  </w:tcMar>
                </w:tcPr>
                <w:p w14:paraId="581495B7"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(b) Prepost HbA1c change across RCTs only</w:t>
                  </w:r>
                </w:p>
              </w:tc>
            </w:tr>
            <w:tr w:rsidR="00085B81" w14:paraId="2CF49802" w14:textId="77777777">
              <w:tc>
                <w:tcPr>
                  <w:tcW w:w="9800" w:type="dxa"/>
                  <w:shd w:val="clear" w:color="auto" w:fill="auto"/>
                  <w:tcMar>
                    <w:top w:w="100" w:type="dxa"/>
                    <w:left w:w="100" w:type="dxa"/>
                    <w:bottom w:w="100" w:type="dxa"/>
                    <w:right w:w="100" w:type="dxa"/>
                  </w:tcMar>
                </w:tcPr>
                <w:p w14:paraId="781A8887"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56886A1" wp14:editId="36018244">
                        <wp:extent cx="4419600" cy="3160092"/>
                        <wp:effectExtent l="0" t="0" r="0" b="0"/>
                        <wp:docPr id="2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2"/>
                                <a:srcRect t="9599"/>
                                <a:stretch>
                                  <a:fillRect/>
                                </a:stretch>
                              </pic:blipFill>
                              <pic:spPr>
                                <a:xfrm>
                                  <a:off x="0" y="0"/>
                                  <a:ext cx="4419600" cy="3160092"/>
                                </a:xfrm>
                                <a:prstGeom prst="rect">
                                  <a:avLst/>
                                </a:prstGeom>
                                <a:ln/>
                              </pic:spPr>
                            </pic:pic>
                          </a:graphicData>
                        </a:graphic>
                      </wp:inline>
                    </w:drawing>
                  </w:r>
                </w:p>
              </w:tc>
            </w:tr>
            <w:tr w:rsidR="00085B81" w14:paraId="2830109D" w14:textId="77777777">
              <w:tc>
                <w:tcPr>
                  <w:tcW w:w="9800" w:type="dxa"/>
                  <w:shd w:val="clear" w:color="auto" w:fill="auto"/>
                  <w:tcMar>
                    <w:top w:w="100" w:type="dxa"/>
                    <w:left w:w="100" w:type="dxa"/>
                    <w:bottom w:w="100" w:type="dxa"/>
                    <w:right w:w="100" w:type="dxa"/>
                  </w:tcMar>
                </w:tcPr>
                <w:p w14:paraId="3E784D08"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lastRenderedPageBreak/>
                    <w:t>(c) Follow-up HbA1c value</w:t>
                  </w:r>
                </w:p>
              </w:tc>
            </w:tr>
            <w:tr w:rsidR="00085B81" w14:paraId="522A0CFC" w14:textId="77777777">
              <w:tc>
                <w:tcPr>
                  <w:tcW w:w="9800" w:type="dxa"/>
                  <w:shd w:val="clear" w:color="auto" w:fill="auto"/>
                  <w:tcMar>
                    <w:top w:w="100" w:type="dxa"/>
                    <w:left w:w="100" w:type="dxa"/>
                    <w:bottom w:w="100" w:type="dxa"/>
                    <w:right w:w="100" w:type="dxa"/>
                  </w:tcMar>
                </w:tcPr>
                <w:p w14:paraId="56FA0F4E"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2EF31E2" wp14:editId="5D599A5E">
                        <wp:extent cx="4410147" cy="3111196"/>
                        <wp:effectExtent l="0" t="0" r="0" b="0"/>
                        <wp:docPr id="3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3"/>
                                <a:srcRect t="10912"/>
                                <a:stretch>
                                  <a:fillRect/>
                                </a:stretch>
                              </pic:blipFill>
                              <pic:spPr>
                                <a:xfrm>
                                  <a:off x="0" y="0"/>
                                  <a:ext cx="4410147" cy="3111196"/>
                                </a:xfrm>
                                <a:prstGeom prst="rect">
                                  <a:avLst/>
                                </a:prstGeom>
                                <a:ln/>
                              </pic:spPr>
                            </pic:pic>
                          </a:graphicData>
                        </a:graphic>
                      </wp:inline>
                    </w:drawing>
                  </w:r>
                </w:p>
              </w:tc>
            </w:tr>
            <w:tr w:rsidR="00085B81" w14:paraId="0252D524" w14:textId="77777777">
              <w:tc>
                <w:tcPr>
                  <w:tcW w:w="9800" w:type="dxa"/>
                  <w:shd w:val="clear" w:color="auto" w:fill="auto"/>
                  <w:tcMar>
                    <w:top w:w="100" w:type="dxa"/>
                    <w:left w:w="100" w:type="dxa"/>
                    <w:bottom w:w="100" w:type="dxa"/>
                    <w:right w:w="100" w:type="dxa"/>
                  </w:tcMar>
                </w:tcPr>
                <w:p w14:paraId="3240FDBC"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 Prepost time-in-range change</w:t>
                  </w:r>
                </w:p>
              </w:tc>
            </w:tr>
            <w:tr w:rsidR="00085B81" w14:paraId="08CE6B31" w14:textId="77777777">
              <w:tc>
                <w:tcPr>
                  <w:tcW w:w="9800" w:type="dxa"/>
                  <w:shd w:val="clear" w:color="auto" w:fill="auto"/>
                  <w:tcMar>
                    <w:top w:w="100" w:type="dxa"/>
                    <w:left w:w="100" w:type="dxa"/>
                    <w:bottom w:w="100" w:type="dxa"/>
                    <w:right w:w="100" w:type="dxa"/>
                  </w:tcMar>
                </w:tcPr>
                <w:p w14:paraId="3EC77043"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183FE4F" wp14:editId="4FC007B2">
                        <wp:extent cx="4595813" cy="3043312"/>
                        <wp:effectExtent l="0" t="0" r="0" b="0"/>
                        <wp:docPr id="3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4"/>
                                <a:srcRect t="18023"/>
                                <a:stretch>
                                  <a:fillRect/>
                                </a:stretch>
                              </pic:blipFill>
                              <pic:spPr>
                                <a:xfrm>
                                  <a:off x="0" y="0"/>
                                  <a:ext cx="4595813" cy="3043312"/>
                                </a:xfrm>
                                <a:prstGeom prst="rect">
                                  <a:avLst/>
                                </a:prstGeom>
                                <a:ln/>
                              </pic:spPr>
                            </pic:pic>
                          </a:graphicData>
                        </a:graphic>
                      </wp:inline>
                    </w:drawing>
                  </w:r>
                </w:p>
                <w:p w14:paraId="042A9E4D"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72079FED"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298F2A87"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p w14:paraId="745F5861" w14:textId="77777777" w:rsidR="00085B81" w:rsidRDefault="00085B81">
                  <w:pPr>
                    <w:widowControl w:val="0"/>
                    <w:pBdr>
                      <w:top w:val="nil"/>
                      <w:left w:val="nil"/>
                      <w:bottom w:val="nil"/>
                      <w:right w:val="nil"/>
                      <w:between w:val="nil"/>
                    </w:pBdr>
                    <w:spacing w:line="240" w:lineRule="auto"/>
                    <w:rPr>
                      <w:rFonts w:ascii="Times New Roman" w:eastAsia="Times New Roman" w:hAnsi="Times New Roman" w:cs="Times New Roman"/>
                    </w:rPr>
                  </w:pPr>
                </w:p>
              </w:tc>
            </w:tr>
            <w:tr w:rsidR="00085B81" w14:paraId="0E2C81D0" w14:textId="77777777">
              <w:tc>
                <w:tcPr>
                  <w:tcW w:w="9800" w:type="dxa"/>
                  <w:shd w:val="clear" w:color="auto" w:fill="auto"/>
                  <w:tcMar>
                    <w:top w:w="100" w:type="dxa"/>
                    <w:left w:w="100" w:type="dxa"/>
                    <w:bottom w:w="100" w:type="dxa"/>
                    <w:right w:w="100" w:type="dxa"/>
                  </w:tcMar>
                </w:tcPr>
                <w:p w14:paraId="71F2E448"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(e) Prepost time-above-range change</w:t>
                  </w:r>
                </w:p>
              </w:tc>
            </w:tr>
            <w:tr w:rsidR="00085B81" w14:paraId="3BA4F682" w14:textId="77777777">
              <w:tc>
                <w:tcPr>
                  <w:tcW w:w="9800" w:type="dxa"/>
                  <w:shd w:val="clear" w:color="auto" w:fill="auto"/>
                  <w:tcMar>
                    <w:top w:w="100" w:type="dxa"/>
                    <w:left w:w="100" w:type="dxa"/>
                    <w:bottom w:w="100" w:type="dxa"/>
                    <w:right w:w="100" w:type="dxa"/>
                  </w:tcMar>
                </w:tcPr>
                <w:p w14:paraId="5C7CD284"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4F42031" wp14:editId="7483BA2F">
                        <wp:extent cx="3948113" cy="2636201"/>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5"/>
                                <a:srcRect t="17441"/>
                                <a:stretch>
                                  <a:fillRect/>
                                </a:stretch>
                              </pic:blipFill>
                              <pic:spPr>
                                <a:xfrm>
                                  <a:off x="0" y="0"/>
                                  <a:ext cx="3948113" cy="2636201"/>
                                </a:xfrm>
                                <a:prstGeom prst="rect">
                                  <a:avLst/>
                                </a:prstGeom>
                                <a:ln/>
                              </pic:spPr>
                            </pic:pic>
                          </a:graphicData>
                        </a:graphic>
                      </wp:inline>
                    </w:drawing>
                  </w:r>
                </w:p>
              </w:tc>
            </w:tr>
            <w:tr w:rsidR="00085B81" w14:paraId="6930B4A0" w14:textId="77777777">
              <w:tc>
                <w:tcPr>
                  <w:tcW w:w="9800" w:type="dxa"/>
                  <w:shd w:val="clear" w:color="auto" w:fill="auto"/>
                  <w:tcMar>
                    <w:top w:w="100" w:type="dxa"/>
                    <w:left w:w="100" w:type="dxa"/>
                    <w:bottom w:w="100" w:type="dxa"/>
                    <w:right w:w="100" w:type="dxa"/>
                  </w:tcMar>
                </w:tcPr>
                <w:p w14:paraId="4291A9ED"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(f) Prepost time-below-range change</w:t>
                  </w:r>
                </w:p>
              </w:tc>
            </w:tr>
            <w:tr w:rsidR="00085B81" w14:paraId="478FCA32" w14:textId="77777777">
              <w:tc>
                <w:tcPr>
                  <w:tcW w:w="9800" w:type="dxa"/>
                  <w:shd w:val="clear" w:color="auto" w:fill="auto"/>
                  <w:tcMar>
                    <w:top w:w="100" w:type="dxa"/>
                    <w:left w:w="100" w:type="dxa"/>
                    <w:bottom w:w="100" w:type="dxa"/>
                    <w:right w:w="100" w:type="dxa"/>
                  </w:tcMar>
                </w:tcPr>
                <w:p w14:paraId="0C8E3B90" w14:textId="77777777" w:rsidR="00085B81"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C8A9ABA" wp14:editId="6C5EC2EF">
                        <wp:extent cx="4110038" cy="277653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6"/>
                                <a:srcRect t="16472"/>
                                <a:stretch>
                                  <a:fillRect/>
                                </a:stretch>
                              </pic:blipFill>
                              <pic:spPr>
                                <a:xfrm>
                                  <a:off x="0" y="0"/>
                                  <a:ext cx="4110038" cy="2776530"/>
                                </a:xfrm>
                                <a:prstGeom prst="rect">
                                  <a:avLst/>
                                </a:prstGeom>
                                <a:ln/>
                              </pic:spPr>
                            </pic:pic>
                          </a:graphicData>
                        </a:graphic>
                      </wp:inline>
                    </w:drawing>
                  </w:r>
                </w:p>
              </w:tc>
            </w:tr>
          </w:tbl>
          <w:p w14:paraId="724CB38E" w14:textId="77777777" w:rsidR="00085B81" w:rsidRDefault="00085B81">
            <w:pPr>
              <w:widowControl w:val="0"/>
              <w:spacing w:line="240" w:lineRule="auto"/>
              <w:rPr>
                <w:rFonts w:ascii="Times New Roman" w:eastAsia="Times New Roman" w:hAnsi="Times New Roman" w:cs="Times New Roman"/>
              </w:rPr>
            </w:pPr>
          </w:p>
        </w:tc>
      </w:tr>
      <w:tr w:rsidR="00085B81" w14:paraId="422DB42F" w14:textId="77777777">
        <w:trPr>
          <w:jc w:val="center"/>
        </w:trPr>
        <w:tc>
          <w:tcPr>
            <w:tcW w:w="10000" w:type="dxa"/>
            <w:shd w:val="clear" w:color="auto" w:fill="auto"/>
            <w:tcMar>
              <w:top w:w="100" w:type="dxa"/>
              <w:left w:w="100" w:type="dxa"/>
              <w:bottom w:w="100" w:type="dxa"/>
              <w:right w:w="100" w:type="dxa"/>
            </w:tcMar>
          </w:tcPr>
          <w:p w14:paraId="797CC20F" w14:textId="64A0EAC8" w:rsidR="00085B81"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eFigure 11a </w:t>
            </w:r>
            <w:r>
              <w:rPr>
                <w:rFonts w:ascii="Times New Roman" w:eastAsia="Times New Roman" w:hAnsi="Times New Roman" w:cs="Times New Roman"/>
              </w:rPr>
              <w:t xml:space="preserve">Baujat plot plotting for outlier studies in the meta-analysis of </w:t>
            </w:r>
            <w:r w:rsidR="009B4689" w:rsidRPr="009B4689">
              <w:rPr>
                <w:rFonts w:ascii="Times New Roman" w:eastAsia="Times New Roman" w:hAnsi="Times New Roman" w:cs="Times New Roman"/>
              </w:rPr>
              <w:t>primary studies comparing effectiveness of CGM against SMBG/UC between 20</w:t>
            </w:r>
            <w:r w:rsidR="009B4689">
              <w:rPr>
                <w:rFonts w:ascii="Times New Roman" w:eastAsia="Times New Roman" w:hAnsi="Times New Roman" w:cs="Times New Roman"/>
              </w:rPr>
              <w:t>08</w:t>
            </w:r>
            <w:r w:rsidR="009B4689" w:rsidRPr="009B4689">
              <w:rPr>
                <w:rFonts w:ascii="Times New Roman" w:eastAsia="Times New Roman" w:hAnsi="Times New Roman" w:cs="Times New Roman"/>
              </w:rPr>
              <w:t xml:space="preserve"> to 202</w:t>
            </w:r>
            <w:r w:rsidR="009B4689">
              <w:rPr>
                <w:rFonts w:ascii="Times New Roman" w:eastAsia="Times New Roman" w:hAnsi="Times New Roman" w:cs="Times New Roman"/>
              </w:rPr>
              <w:t>3</w:t>
            </w:r>
            <w:r w:rsidR="009B4689" w:rsidRPr="009B4689">
              <w:rPr>
                <w:rFonts w:ascii="Times New Roman" w:eastAsia="Times New Roman" w:hAnsi="Times New Roman" w:cs="Times New Roman"/>
              </w:rPr>
              <w:t xml:space="preserve"> by pooling the </w:t>
            </w:r>
            <w:r>
              <w:rPr>
                <w:rFonts w:ascii="Times New Roman" w:eastAsia="Times New Roman" w:hAnsi="Times New Roman" w:cs="Times New Roman"/>
              </w:rPr>
              <w:t>mean difference in (a) prepost HbA1c change across all studies, (b) prepost HbA1c change across RCTs only, (c) follow-up HbA1c value, (d) prepost time-in-range change, (e) prepost time-above-range and (f) prepost time-below-range  between CGM and SMBG/UC groups. Yang 2021 not seen on eFigures 11a - c  as it has disproportionately greater influence on the overall result and heterogeneity than the remaining studies.</w:t>
            </w:r>
          </w:p>
        </w:tc>
      </w:tr>
    </w:tbl>
    <w:p w14:paraId="6E6636EE" w14:textId="77777777" w:rsidR="00085B81" w:rsidRDefault="00085B81">
      <w:pPr>
        <w:rPr>
          <w:rFonts w:ascii="Times New Roman" w:eastAsia="Times New Roman" w:hAnsi="Times New Roman" w:cs="Times New Roman"/>
        </w:rPr>
      </w:pPr>
    </w:p>
    <w:sectPr w:rsidR="00085B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81"/>
    <w:rsid w:val="00085B81"/>
    <w:rsid w:val="003B6A7B"/>
    <w:rsid w:val="009B4689"/>
    <w:rsid w:val="00DF11B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EE047"/>
  <w15:docId w15:val="{2E2C4D92-DCE1-445A-94C3-130A4180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3B6A7B"/>
    <w:pPr>
      <w:spacing w:after="100"/>
    </w:pPr>
  </w:style>
  <w:style w:type="character" w:styleId="Hyperlink">
    <w:name w:val="Hyperlink"/>
    <w:basedOn w:val="DefaultParagraphFont"/>
    <w:uiPriority w:val="99"/>
    <w:unhideWhenUsed/>
    <w:rsid w:val="003B6A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theme" Target="theme/theme1.xml"/><Relationship Id="rId5" Type="http://schemas.openxmlformats.org/officeDocument/2006/relationships/image" Target="media/image2.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fontTable" Target="fontTable.xml"/><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51</Pages>
  <Words>3944</Words>
  <Characters>22483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Yong Yi Tan</cp:lastModifiedBy>
  <cp:revision>2</cp:revision>
  <dcterms:created xsi:type="dcterms:W3CDTF">2024-11-14T08:11:00Z</dcterms:created>
  <dcterms:modified xsi:type="dcterms:W3CDTF">2024-11-14T08:24:00Z</dcterms:modified>
</cp:coreProperties>
</file>