
<file path=[Content_Types].xml><?xml version="1.0" encoding="utf-8"?>
<Types xmlns="http://schemas.openxmlformats.org/package/2006/content-types">
  <Default Extension="rels" ContentType="application/vnd.openxmlformats-package.relationships+xml"/>
  <Default Extension="bin" ContentType="application/vnd.openxmlformats-officedocument.oleObject"/>
  <Default Extension="wmf" ContentType="image/x-wmf"/>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360"/>
        <w:ind w:right="0" w:left="0" w:firstLine="0"/>
        <w:jc w:val="both"/>
        <w:rPr>
          <w:rFonts w:ascii="Times New Roman" w:hAnsi="Times New Roman" w:cs="Times New Roman" w:eastAsia="Times New Roman"/>
          <w:b/>
          <w:color w:val="auto"/>
          <w:spacing w:val="0"/>
          <w:position w:val="0"/>
          <w:sz w:val="21"/>
          <w:shd w:fill="auto" w:val="clear"/>
        </w:rPr>
      </w:pPr>
      <w:r>
        <w:rPr>
          <w:rFonts w:ascii="Times New Roman" w:hAnsi="Times New Roman" w:cs="Times New Roman" w:eastAsia="Times New Roman"/>
          <w:b/>
          <w:color w:val="auto"/>
          <w:spacing w:val="0"/>
          <w:position w:val="0"/>
          <w:sz w:val="21"/>
          <w:shd w:fill="auto" w:val="clear"/>
        </w:rPr>
        <w:t xml:space="preserve">Table S1 Search formula for each database</w:t>
      </w:r>
    </w:p>
    <w:tbl>
      <w:tblPr/>
      <w:tblGrid>
        <w:gridCol w:w="2234"/>
        <w:gridCol w:w="8385"/>
      </w:tblGrid>
      <w:tr>
        <w:trPr>
          <w:trHeight w:val="1" w:hRule="atLeast"/>
          <w:jc w:val="center"/>
        </w:trPr>
        <w:tc>
          <w:tcPr>
            <w:tcW w:w="223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1"/>
                <w:shd w:fill="auto" w:val="clear"/>
              </w:rPr>
              <w:t xml:space="preserve">Database</w:t>
            </w:r>
          </w:p>
        </w:tc>
        <w:tc>
          <w:tcPr>
            <w:tcW w:w="83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1"/>
                <w:shd w:fill="auto" w:val="clear"/>
              </w:rPr>
              <w:t xml:space="preserve">Search formula</w:t>
            </w:r>
          </w:p>
        </w:tc>
      </w:tr>
      <w:tr>
        <w:trPr>
          <w:trHeight w:val="1" w:hRule="atLeast"/>
          <w:jc w:val="center"/>
        </w:trPr>
        <w:tc>
          <w:tcPr>
            <w:tcW w:w="223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1"/>
                <w:shd w:fill="auto" w:val="clear"/>
              </w:rPr>
              <w:t xml:space="preserve">CNKI</w:t>
            </w:r>
          </w:p>
        </w:tc>
        <w:tc>
          <w:tcPr>
            <w:tcW w:w="83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1"/>
                <w:shd w:fill="auto" w:val="clear"/>
              </w:rPr>
              <w:t xml:space="preserve">SU=('</w:t>
            </w:r>
            <w:r>
              <w:rPr>
                <w:rFonts w:ascii="SimSun" w:hAnsi="SimSun" w:cs="SimSun" w:eastAsia="SimSun"/>
                <w:color w:val="auto"/>
                <w:spacing w:val="0"/>
                <w:position w:val="0"/>
                <w:sz w:val="21"/>
                <w:shd w:fill="auto" w:val="clear"/>
              </w:rPr>
              <w:t xml:space="preserve">妊娠</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怀孕</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妊娠结局</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临床结局</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植入率</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植入</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出生</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出生结局</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活产</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活产率</w:t>
            </w:r>
            <w:r>
              <w:rPr>
                <w:rFonts w:ascii="Times New Roman" w:hAnsi="Times New Roman" w:cs="Times New Roman" w:eastAsia="Times New Roman"/>
                <w:color w:val="auto"/>
                <w:spacing w:val="0"/>
                <w:position w:val="0"/>
                <w:sz w:val="21"/>
                <w:shd w:fill="auto" w:val="clear"/>
              </w:rPr>
              <w:t xml:space="preserve">') AND SU=('</w:t>
            </w:r>
            <w:r>
              <w:rPr>
                <w:rFonts w:ascii="SimSun" w:hAnsi="SimSun" w:cs="SimSun" w:eastAsia="SimSun"/>
                <w:color w:val="auto"/>
                <w:spacing w:val="0"/>
                <w:position w:val="0"/>
                <w:sz w:val="21"/>
                <w:shd w:fill="auto" w:val="clear"/>
              </w:rPr>
              <w:t xml:space="preserve">辅助生殖</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助孕</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体外授精</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胚胎移植</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冻胚</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试管婴儿</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人工授精</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卵泡质内单精子显微注射</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卵泡浆内单精子显微注射</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植入前遗传</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供精</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供卵</w:t>
            </w:r>
            <w:r>
              <w:rPr>
                <w:rFonts w:ascii="Times New Roman" w:hAnsi="Times New Roman" w:cs="Times New Roman" w:eastAsia="Times New Roman"/>
                <w:color w:val="auto"/>
                <w:spacing w:val="0"/>
                <w:position w:val="0"/>
                <w:sz w:val="21"/>
                <w:shd w:fill="auto" w:val="clear"/>
              </w:rPr>
              <w:t xml:space="preserve">'+'IVF'+'ICSI'+'FET'+'PGT'+'PGS'+'PGD'+'ART') AND SU=('</w:t>
            </w:r>
            <w:r>
              <w:rPr>
                <w:rFonts w:ascii="SimSun" w:hAnsi="SimSun" w:cs="SimSun" w:eastAsia="SimSun"/>
                <w:color w:val="auto"/>
                <w:spacing w:val="0"/>
                <w:position w:val="0"/>
                <w:sz w:val="21"/>
                <w:shd w:fill="auto" w:val="clear"/>
              </w:rPr>
              <w:t xml:space="preserve">随机</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对照</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随机对照</w:t>
            </w:r>
            <w:r>
              <w:rPr>
                <w:rFonts w:ascii="Times New Roman" w:hAnsi="Times New Roman" w:cs="Times New Roman" w:eastAsia="Times New Roman"/>
                <w:color w:val="auto"/>
                <w:spacing w:val="0"/>
                <w:position w:val="0"/>
                <w:sz w:val="21"/>
                <w:shd w:fill="auto" w:val="clear"/>
              </w:rPr>
              <w:t xml:space="preserve">'+'RCT')</w:t>
            </w:r>
          </w:p>
        </w:tc>
      </w:tr>
      <w:tr>
        <w:trPr>
          <w:trHeight w:val="1" w:hRule="atLeast"/>
          <w:jc w:val="center"/>
        </w:trPr>
        <w:tc>
          <w:tcPr>
            <w:tcW w:w="223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1"/>
                <w:shd w:fill="auto" w:val="clear"/>
              </w:rPr>
              <w:t xml:space="preserve">Wanfang data</w:t>
            </w:r>
          </w:p>
        </w:tc>
        <w:tc>
          <w:tcPr>
            <w:tcW w:w="83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color w:val="auto"/>
                <w:spacing w:val="0"/>
                <w:position w:val="0"/>
                <w:shd w:fill="auto" w:val="clear"/>
              </w:rPr>
            </w:pPr>
            <w:r>
              <w:rPr>
                <w:rFonts w:ascii="SimSun" w:hAnsi="SimSun" w:cs="SimSun" w:eastAsia="SimSun"/>
                <w:color w:val="auto"/>
                <w:spacing w:val="0"/>
                <w:position w:val="0"/>
                <w:sz w:val="21"/>
                <w:shd w:fill="auto" w:val="clear"/>
              </w:rPr>
              <w:t xml:space="preserve">主题</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妊娠</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怀孕</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妊娠结局</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临床结局</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植入率</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植入</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出生</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出生结局</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活产</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活产率</w:t>
            </w:r>
            <w:r>
              <w:rPr>
                <w:rFonts w:ascii="Times New Roman" w:hAnsi="Times New Roman" w:cs="Times New Roman" w:eastAsia="Times New Roman"/>
                <w:color w:val="auto"/>
                <w:spacing w:val="0"/>
                <w:position w:val="0"/>
                <w:sz w:val="21"/>
                <w:shd w:fill="auto" w:val="clear"/>
              </w:rPr>
              <w:t xml:space="preserve">") and </w:t>
            </w:r>
            <w:r>
              <w:rPr>
                <w:rFonts w:ascii="SimSun" w:hAnsi="SimSun" w:cs="SimSun" w:eastAsia="SimSun"/>
                <w:color w:val="auto"/>
                <w:spacing w:val="0"/>
                <w:position w:val="0"/>
                <w:sz w:val="21"/>
                <w:shd w:fill="auto" w:val="clear"/>
              </w:rPr>
              <w:t xml:space="preserve">主题</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辅助生殖</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助孕</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体外授精</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胚胎移植</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冻胚</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试管婴儿</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人工授精</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卵泡质内单精子显微注射</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卵泡浆内单精子显微注射</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植入前遗传</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供精</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供卵</w:t>
            </w:r>
            <w:r>
              <w:rPr>
                <w:rFonts w:ascii="Times New Roman" w:hAnsi="Times New Roman" w:cs="Times New Roman" w:eastAsia="Times New Roman"/>
                <w:color w:val="auto"/>
                <w:spacing w:val="0"/>
                <w:position w:val="0"/>
                <w:sz w:val="21"/>
                <w:shd w:fill="auto" w:val="clear"/>
              </w:rPr>
              <w:t xml:space="preserve">"or"IVF"or"ICSI"or"FET"or"PGT"or"PGS"or"PGD"or"ART") and </w:t>
            </w:r>
            <w:r>
              <w:rPr>
                <w:rFonts w:ascii="SimSun" w:hAnsi="SimSun" w:cs="SimSun" w:eastAsia="SimSun"/>
                <w:color w:val="auto"/>
                <w:spacing w:val="0"/>
                <w:position w:val="0"/>
                <w:sz w:val="21"/>
                <w:shd w:fill="auto" w:val="clear"/>
              </w:rPr>
              <w:t xml:space="preserve">主题</w:t>
            </w:r>
            <w:r>
              <w:rPr>
                <w:rFonts w:ascii="Times New Roman" w:hAnsi="Times New Roman" w:cs="Times New Roman" w:eastAsia="Times New Roman"/>
                <w:color w:val="auto"/>
                <w:spacing w:val="0"/>
                <w:position w:val="0"/>
                <w:sz w:val="21"/>
                <w:shd w:fill="auto" w:val="clear"/>
              </w:rPr>
              <w:t xml:space="preserve">:("</w:t>
            </w:r>
            <w:r>
              <w:rPr>
                <w:rFonts w:ascii="SimSun" w:hAnsi="SimSun" w:cs="SimSun" w:eastAsia="SimSun"/>
                <w:color w:val="auto"/>
                <w:spacing w:val="0"/>
                <w:position w:val="0"/>
                <w:sz w:val="21"/>
                <w:shd w:fill="auto" w:val="clear"/>
              </w:rPr>
              <w:t xml:space="preserve">随机</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对照</w:t>
            </w:r>
            <w:r>
              <w:rPr>
                <w:rFonts w:ascii="Times New Roman" w:hAnsi="Times New Roman" w:cs="Times New Roman" w:eastAsia="Times New Roman"/>
                <w:color w:val="auto"/>
                <w:spacing w:val="0"/>
                <w:position w:val="0"/>
                <w:sz w:val="21"/>
                <w:shd w:fill="auto" w:val="clear"/>
              </w:rPr>
              <w:t xml:space="preserve">"or"</w:t>
            </w:r>
            <w:r>
              <w:rPr>
                <w:rFonts w:ascii="SimSun" w:hAnsi="SimSun" w:cs="SimSun" w:eastAsia="SimSun"/>
                <w:color w:val="auto"/>
                <w:spacing w:val="0"/>
                <w:position w:val="0"/>
                <w:sz w:val="21"/>
                <w:shd w:fill="auto" w:val="clear"/>
              </w:rPr>
              <w:t xml:space="preserve">随机对照</w:t>
            </w:r>
            <w:r>
              <w:rPr>
                <w:rFonts w:ascii="Times New Roman" w:hAnsi="Times New Roman" w:cs="Times New Roman" w:eastAsia="Times New Roman"/>
                <w:color w:val="auto"/>
                <w:spacing w:val="0"/>
                <w:position w:val="0"/>
                <w:sz w:val="21"/>
                <w:shd w:fill="auto" w:val="clear"/>
              </w:rPr>
              <w:t xml:space="preserve">"or"RCT")</w:t>
            </w:r>
          </w:p>
        </w:tc>
      </w:tr>
      <w:tr>
        <w:trPr>
          <w:trHeight w:val="1" w:hRule="atLeast"/>
          <w:jc w:val="center"/>
        </w:trPr>
        <w:tc>
          <w:tcPr>
            <w:tcW w:w="223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1"/>
                <w:shd w:fill="auto" w:val="clear"/>
              </w:rPr>
              <w:t xml:space="preserve">VIP database</w:t>
            </w:r>
          </w:p>
        </w:tc>
        <w:tc>
          <w:tcPr>
            <w:tcW w:w="83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1"/>
                <w:shd w:fill="auto" w:val="clear"/>
              </w:rPr>
              <w:t xml:space="preserve">U=(</w:t>
            </w:r>
            <w:r>
              <w:rPr>
                <w:rFonts w:ascii="SimSun" w:hAnsi="SimSun" w:cs="SimSun" w:eastAsia="SimSun"/>
                <w:color w:val="auto"/>
                <w:spacing w:val="0"/>
                <w:position w:val="0"/>
                <w:sz w:val="21"/>
                <w:shd w:fill="auto" w:val="clear"/>
              </w:rPr>
              <w:t xml:space="preserve">妊娠</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怀孕</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妊娠结局</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临床结局</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植入率</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植入</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出生</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出生结局</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活产</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活产率</w:t>
            </w:r>
            <w:r>
              <w:rPr>
                <w:rFonts w:ascii="Times New Roman" w:hAnsi="Times New Roman" w:cs="Times New Roman" w:eastAsia="Times New Roman"/>
                <w:color w:val="auto"/>
                <w:spacing w:val="0"/>
                <w:position w:val="0"/>
                <w:sz w:val="21"/>
                <w:shd w:fill="auto" w:val="clear"/>
              </w:rPr>
              <w:t xml:space="preserve">) AND U=(</w:t>
            </w:r>
            <w:r>
              <w:rPr>
                <w:rFonts w:ascii="SimSun" w:hAnsi="SimSun" w:cs="SimSun" w:eastAsia="SimSun"/>
                <w:color w:val="auto"/>
                <w:spacing w:val="0"/>
                <w:position w:val="0"/>
                <w:sz w:val="21"/>
                <w:shd w:fill="auto" w:val="clear"/>
              </w:rPr>
              <w:t xml:space="preserve">辅助生殖</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助孕</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体外授精</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胚胎移植</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冻胚</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试管婴儿</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人工授精</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卵泡质内单精子显微注射</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卵泡浆内单精子显微注射</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植入前遗传</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供精</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供卵</w:t>
            </w:r>
            <w:r>
              <w:rPr>
                <w:rFonts w:ascii="Times New Roman" w:hAnsi="Times New Roman" w:cs="Times New Roman" w:eastAsia="Times New Roman"/>
                <w:color w:val="auto"/>
                <w:spacing w:val="0"/>
                <w:position w:val="0"/>
                <w:sz w:val="21"/>
                <w:shd w:fill="auto" w:val="clear"/>
              </w:rPr>
              <w:t xml:space="preserve"> OR IVF OR ICSI OR FET OR PGT OR PGS OR PGD OR ART) AND U=(</w:t>
            </w:r>
            <w:r>
              <w:rPr>
                <w:rFonts w:ascii="SimSun" w:hAnsi="SimSun" w:cs="SimSun" w:eastAsia="SimSun"/>
                <w:color w:val="auto"/>
                <w:spacing w:val="0"/>
                <w:position w:val="0"/>
                <w:sz w:val="21"/>
                <w:shd w:fill="auto" w:val="clear"/>
              </w:rPr>
              <w:t xml:space="preserve">随机</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对照</w:t>
            </w:r>
            <w:r>
              <w:rPr>
                <w:rFonts w:ascii="Times New Roman" w:hAnsi="Times New Roman" w:cs="Times New Roman" w:eastAsia="Times New Roman"/>
                <w:color w:val="auto"/>
                <w:spacing w:val="0"/>
                <w:position w:val="0"/>
                <w:sz w:val="21"/>
                <w:shd w:fill="auto" w:val="clear"/>
              </w:rPr>
              <w:t xml:space="preserve"> OR </w:t>
            </w:r>
            <w:r>
              <w:rPr>
                <w:rFonts w:ascii="SimSun" w:hAnsi="SimSun" w:cs="SimSun" w:eastAsia="SimSun"/>
                <w:color w:val="auto"/>
                <w:spacing w:val="0"/>
                <w:position w:val="0"/>
                <w:sz w:val="21"/>
                <w:shd w:fill="auto" w:val="clear"/>
              </w:rPr>
              <w:t xml:space="preserve">随机对照</w:t>
            </w:r>
            <w:r>
              <w:rPr>
                <w:rFonts w:ascii="Times New Roman" w:hAnsi="Times New Roman" w:cs="Times New Roman" w:eastAsia="Times New Roman"/>
                <w:color w:val="auto"/>
                <w:spacing w:val="0"/>
                <w:position w:val="0"/>
                <w:sz w:val="21"/>
                <w:shd w:fill="auto" w:val="clear"/>
              </w:rPr>
              <w:t xml:space="preserve"> OR RCT)</w:t>
            </w:r>
          </w:p>
        </w:tc>
      </w:tr>
      <w:tr>
        <w:trPr>
          <w:trHeight w:val="1" w:hRule="atLeast"/>
          <w:jc w:val="center"/>
        </w:trPr>
        <w:tc>
          <w:tcPr>
            <w:tcW w:w="223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1"/>
                <w:shd w:fill="auto" w:val="clear"/>
              </w:rPr>
              <w:t xml:space="preserve">PubMed</w:t>
            </w:r>
          </w:p>
        </w:tc>
        <w:tc>
          <w:tcPr>
            <w:tcW w:w="83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1"/>
                <w:shd w:fill="auto" w:val="clear"/>
              </w:rPr>
              <w:t xml:space="preserve">((gravidity[Title/Abstract]) OR (pregnancy[Title/Abstract]) OR (pregnancy rate[Title/Abstract]) OR (pregnancy rates[Title/Abstract]) OR (pregnancies[Title/Abstract]) OR (pregnancy outcome[Title/Abstract]) OR (pregnancy outcomes[Title/Abstract]) OR (implantation rate[Title/Abstract]) OR (implantation[Title/Abstract] OR (implantation rates[Title/Abstract]) OR (gestation[Title/Abstract]) OR (gestational outcome[Title/Abstract]) OR (gestational outcomes[Title/Abstract]) OR (live birth[Title/Abstract]) OR (live birth rate[Title/Abstract]) OR (live birth rates[Title/Abstract]) OR (live-birth pregnancy[Title/Abstract]) OR (IVF outcome[Title/Abstract]) OR (IVF outcomes[Title/Abstract]) OR (IVF treatment outcome[Title/Abstract]) OR (reproductive outcome[Title/Abstract]) OR (conception[Title/Abstract]) OR (clinical outcome[Title/Abstract]) OR (gestations[Title/Abstract]) OR (reproductive outcomes[Title/Abstract]) OR (pregnant[Title/Abstract]) OR (live birth pregnancies[Title/Abstract]) OR (live-birth pregnancies[Title/Abstract]) OR (live birth pregnancy[Title/Abstract]) OR (live-birth rate[Title/Abstract]) OR (live-birth rates[Title/Abstract]) OR (live-birth[Title/Abstract]) OR (live births[Title/Abstract]) OR (live-births[Title/Abstract]) OR (conceptions[Title/Abstract]) OR (gravidities[Title/Abstract])) AND ((assisted reproductive technology[Title/Abstract]) OR (ART[Title/Abstract]) OR (in vitro fertilization[Title/Abstract]) OR (IVF[Title/Abstract]) OR (intracytoplasmic sperm injection[Title/Abstract]) OR (ICSI[Title/Abstract]) OR (preimplantation genetic diagnosis[Title/Abstract]) OR (preimplantation genetic testing[Title/Abstract]) OR (preimplantation genetic screening[Title/Abstract]) OR (insemination[Title/Abstract]) OR (PGT[Title/Abstract]) OR (PGD[Title/Abstract]) OR (PGS[Title/Abstract]) OR (FET[Title/Abstract]) OR (donor sperm[Title/Abstract]) OR (donor semen[Title/Abstract]) OR (donor egg[Title/Abstract]) OR (donor oocyte[Title/Abstract]) OR (embryo[Title/Abstract]) OR (blastocyst[Title/Abstract])) AND ((randomized controlled trial [Publication Type]))Filters: Humans, English</w:t>
            </w:r>
          </w:p>
        </w:tc>
      </w:tr>
      <w:tr>
        <w:trPr>
          <w:trHeight w:val="1" w:hRule="atLeast"/>
          <w:jc w:val="center"/>
        </w:trPr>
        <w:tc>
          <w:tcPr>
            <w:tcW w:w="223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1"/>
                <w:shd w:fill="auto" w:val="clear"/>
              </w:rPr>
              <w:t xml:space="preserve">Web of Science</w:t>
            </w:r>
          </w:p>
        </w:tc>
        <w:tc>
          <w:tcPr>
            <w:tcW w:w="83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1"/>
                <w:shd w:fill="auto" w:val="clear"/>
              </w:rPr>
              <w:t xml:space="preserve">AB=(gravidity OR pregnancy OR pregnancy rate OR pregnancy rates OR pregnancies OR pregnancy outcome OR pregnancy outcomes OR implantation rate OR implantation OR implantation rates OR gestation OR gestational outcome OR gestational outcomes OR live birth OR live birth rate OR live birth rates OR live-birth pregnancy OR IVF outcome OR IVF outcomes OR IVF treatment outcome OR reproductive outcome OR conception OR clinical outcome OR gestations OR reproductive outcomes OR pregnant OR live birth pregnancies OR live-birth pregnancies OR live birth pregnancy OR live-birth rate OR live-birth rates OR live-birth OR live births OR live-births OR conceptions OR gravidities) AND AB=(infertility OR sterility OR subfertility OR assisted reproductive technology OR ART OR in vitro fertilization OR IVF OR intracytoplasmic sperm injection OR ICSI OR preimplantation genetic diagnosis OR preimplantation genetic testing OR preimplantation genetic screening OR insemination OR PGT OR PGD OR PGS OR FET OR donor sperm OR donor semen OR donor egg OR donor oocyte OR embryo OR blastocyst) AND AB=(randomized controlled trial OR RCTs OR RCT)</w:t>
            </w:r>
          </w:p>
        </w:tc>
      </w:tr>
      <w:tr>
        <w:trPr>
          <w:trHeight w:val="1" w:hRule="atLeast"/>
          <w:jc w:val="center"/>
        </w:trPr>
        <w:tc>
          <w:tcPr>
            <w:tcW w:w="223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1"/>
                <w:shd w:fill="auto" w:val="clear"/>
              </w:rPr>
              <w:t xml:space="preserve">Embase</w:t>
            </w:r>
          </w:p>
        </w:tc>
        <w:tc>
          <w:tcPr>
            <w:tcW w:w="83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1"/>
                <w:shd w:fill="auto" w:val="clear"/>
              </w:rPr>
              <w:t xml:space="preserve">('gravidity':ab,ti OR 'pregnancy':ab,ti OR 'pregnancy rate':ab,ti OR 'pregnancy rates':ab,ti OR 'pregnancies':ab,ti OR 'pregnancy outcome':ab,ti OR 'pregnancy outcomes':ab,ti OR 'implantation rate':ab,ti OR 'implantation':ab,ti OR 'implantation rates':ab,ti OR 'gestation':ab,ti OR 'gestational outcome':ab,ti OR 'gestational outcomes':ab,ti OR 'live birth':ab,ti OR 'live birth rate':ab,ti OR 'live birth rates':ab,ti OR 'live-birth pregnancy':ab,ti OR 'ivf outcome':ab,ti OR 'ivf outcomes':ab,ti OR 'ivf treatment outcome':ab,ti OR 'reproductive outcome':ab,ti OR 'conception':ab,ti OR 'clinical outcome':ab,ti OR 'gestations':ab,ti OR 'reproductive outcomes':ab,ti OR 'pregnant':ab,ti OR 'live birth pregnancies':ab,ti OR 'live-birth pregnancies':ab,ti OR 'live birth pregnancy':ab,ti OR 'live-birth rate':ab,ti OR 'live-birth rates':ab,ti OR 'live-birth':ab,ti OR 'live births':ab,ti OR 'live-births':ab,ti OR 'conceptions':ab,ti OR 'gravidities':ab,ti) AND ('infertility':ab,ti OR 'sterility':ab,ti OR 'subfertility':ab,ti OR 'assisted reproductive technology':ab,ti OR 'art':ab,ti OR 'in vitro fertilization':ab,ti OR 'ivf':ab,ti OR 'intracytoplasmic sperm injection':ab,ti OR 'icsi':ab,ti OR 'preimplantation genetic diagnosis':ab,ti OR 'preimplantation genetic testing':ab,ti OR 'preimplantation genetic screening':ab,ti OR 'insemination':ab,ti OR 'pgt':ab,ti OR 'pgd':ab,ti OR 'pgs':ab,ti OR 'fet':ab,ti OR 'donor sperm':ab,ti OR 'donor semen':ab,ti OR 'donor egg':ab,ti OR 'donor oocyte':ab,ti OR 'embryo':ab,ti OR 'blastocyst':ab,ti) AND ('randomized controlled trial':it OR 'randomized controlled trial':ab,ti OR 'rcts':ab,ti OR 'rct':ab,ti)</w:t>
            </w:r>
          </w:p>
        </w:tc>
      </w:tr>
      <w:tr>
        <w:trPr>
          <w:trHeight w:val="1" w:hRule="atLeast"/>
          <w:jc w:val="center"/>
        </w:trPr>
        <w:tc>
          <w:tcPr>
            <w:tcW w:w="223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1"/>
                <w:shd w:fill="auto" w:val="clear"/>
              </w:rPr>
              <w:t xml:space="preserve">The Cochrane library</w:t>
            </w:r>
          </w:p>
        </w:tc>
        <w:tc>
          <w:tcPr>
            <w:tcW w:w="838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1"/>
                <w:shd w:fill="auto" w:val="clear"/>
              </w:rPr>
              <w:t xml:space="preserve">(((gravidity):ti,ab,kw OR (pregnancy):ti,ab,kw OR (pregnancy rate):ti,ab,kw OR (pregnancy rates):ti,ab,kw OR (pregnancies):ti,ab,kw OR (pregnancy outcome):ti,ab,kw OR (pregnancy outcomes):ti,ab,kw OR (implantation rate):ti,ab,kw OR (implantation):ti,ab,kw OR (implantation rates):ti,ab,kw OR (gestation):ti,ab,kw OR (gestational outcome):ti,ab,kw OR (gestational outcomes):ti,ab,kw OR (live birth):ti,ab,kw OR (live birth rate):ti,ab,kw OR (live birth rates):ti,ab,kw OR (live-birth pregnancy):ti,ab,kw OR (IVF outcome):ti,ab,kw OR (IVF outcomes):ti,ab,kw OR (IVF treatment outcome):ti,ab,kw OR (reproductive outcome):ti,ab,kw OR (conception):ti,ab,kw OR (clinical outcome):ti,ab,kw OR (gestations):ti,ab,kw OR (reproductive outcomes):ti,ab,kw OR (pregnant):ti,ab,kw OR (live birth pregnancies):ti,ab,kw OR (live-birth pregnancies):ti,ab,kw OR (live birth pregnancy):ti,ab,kw OR (live-birth rate):ti,ab,kw OR (live-birth rates):ti,ab,kw OR (live-birth):ti,ab,kw OR (live births):ti,ab,kw OR (live-births):ti,ab,kw OR (conceptions):ti,ab,kw OR (gravidities):ti,ab,kw) AND ((infertility):ti,ab,kw OR (sterility):ti,ab,kw OR (subfertility):ti,ab,kw OR (assisted reproductive technology):ti,ab,kw OR (ART):ti,ab,kw OR (in vitro fertilization):ti,ab,kw OR (IVF):ti,ab,kw OR (intracytoplasmic sperm injection):ti,ab,kw OR (ICSI):ti,ab,kw OR (preimplantation genetic diagnosis):ti,ab,kw OR (preimplantation genetic testing):ti,ab,kw OR (preimplantation genetic screening):ti,ab,kw OR (insemination):ti,ab,kw OR (PGT):ti,ab,kw OR (PGD):ti,ab,kw OR (PGS):ti,ab,kw OR (FET):ti,ab,kw OR (donor sperm):ti,ab,kw OR (donor semen):ti,ab,kw OR (donor egg):ti,ab,kw OR (donor oocyte):ti,ab,kw OR (embryo):ti,ab,kw OR (blastocyst):ti,ab,kw) AND ((randomized controlled trial):ti,ab,kw)) in Trials</w:t>
            </w:r>
          </w:p>
        </w:tc>
      </w:tr>
    </w:tbl>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1"/>
          <w:shd w:fill="auto" w:val="clear"/>
        </w:rPr>
      </w:pPr>
      <w:r>
        <w:rPr>
          <w:rFonts w:ascii="Times New Roman" w:hAnsi="Times New Roman" w:cs="Times New Roman" w:eastAsia="Times New Roman"/>
          <w:b/>
          <w:color w:val="auto"/>
          <w:spacing w:val="0"/>
          <w:position w:val="0"/>
          <w:sz w:val="21"/>
          <w:shd w:fill="auto" w:val="clear"/>
        </w:rPr>
        <w:t xml:space="preserve">Table S2 Comparative effectiveness of different types of interventions for clinical pregnancy rate and retrieved oocytes</w:t>
      </w:r>
    </w:p>
    <w:tbl>
      <w:tblPr/>
      <w:tblGrid>
        <w:gridCol w:w="1574"/>
        <w:gridCol w:w="1575"/>
        <w:gridCol w:w="1575"/>
        <w:gridCol w:w="1575"/>
        <w:gridCol w:w="1575"/>
        <w:gridCol w:w="1575"/>
        <w:gridCol w:w="1575"/>
        <w:gridCol w:w="1575"/>
        <w:gridCol w:w="1575"/>
      </w:tblGrid>
      <w:tr>
        <w:trPr>
          <w:trHeight w:val="1" w:hRule="atLeast"/>
          <w:jc w:val="left"/>
        </w:trPr>
        <w:tc>
          <w:tcPr>
            <w:tcW w:w="1574" w:type="dxa"/>
            <w:tcBorders>
              <w:top w:val="single" w:color="000000" w:sz="4"/>
              <w:left w:val="single" w:color="000000" w:sz="4"/>
              <w:bottom w:val="single" w:color="000000" w:sz="4"/>
              <w:right w:val="single" w:color="000000" w:sz="4"/>
            </w:tcBorders>
            <w:shd w:color="auto" w:fill="d7d7d7" w:val="clear"/>
            <w:tcMar>
              <w:left w:w="108" w:type="dxa"/>
              <w:right w:w="108" w:type="dxa"/>
            </w:tcMar>
            <w:vAlign w:val="bottom"/>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CBT</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18"/>
                <w:shd w:fill="auto" w:val="clear"/>
              </w:rPr>
              <w:t xml:space="preserve">0.22 (0.05,0.98)</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2.01 (0.37,10.83)</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0.50 (0.10,2.58)</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0.38 (0.02,6.52)</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18"/>
                <w:shd w:fill="auto" w:val="clear"/>
              </w:rPr>
              <w:t xml:space="preserve">0.31 (0.11,0.86)</w:t>
            </w:r>
          </w:p>
        </w:tc>
      </w:tr>
      <w:tr>
        <w:trPr>
          <w:trHeight w:val="1" w:hRule="atLeast"/>
          <w:jc w:val="left"/>
        </w:trPr>
        <w:tc>
          <w:tcPr>
            <w:tcW w:w="157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0.76 (0.56,1.04)</w:t>
            </w:r>
          </w:p>
        </w:tc>
        <w:tc>
          <w:tcPr>
            <w:tcW w:w="1575" w:type="dxa"/>
            <w:tcBorders>
              <w:top w:val="single" w:color="000000" w:sz="4"/>
              <w:left w:val="single" w:color="000000" w:sz="4"/>
              <w:bottom w:val="single" w:color="000000" w:sz="4"/>
              <w:right w:val="single" w:color="000000" w:sz="4"/>
            </w:tcBorders>
            <w:shd w:color="auto" w:fill="d7d7d7" w:val="clear"/>
            <w:tcMar>
              <w:left w:w="108" w:type="dxa"/>
              <w:right w:w="108" w:type="dxa"/>
            </w:tcMar>
            <w:vAlign w:val="bottom"/>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AC</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18"/>
                <w:shd w:fill="auto" w:val="clear"/>
              </w:rPr>
              <w:t xml:space="preserve">9.10 (1.63,50.72)</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2.26 (0.42,12.14)</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1.71 (0.10,30.20)</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1.40 (0.47,4.13)</w:t>
            </w:r>
          </w:p>
        </w:tc>
      </w:tr>
      <w:tr>
        <w:trPr>
          <w:trHeight w:val="1" w:hRule="atLeast"/>
          <w:jc w:val="left"/>
        </w:trPr>
        <w:tc>
          <w:tcPr>
            <w:tcW w:w="157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0.83 (0.54,1.27)</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1.08 (0.68,1.72)</w:t>
            </w:r>
          </w:p>
        </w:tc>
        <w:tc>
          <w:tcPr>
            <w:tcW w:w="1575" w:type="dxa"/>
            <w:tcBorders>
              <w:top w:val="single" w:color="000000" w:sz="4"/>
              <w:left w:val="single" w:color="000000" w:sz="4"/>
              <w:bottom w:val="single" w:color="000000" w:sz="4"/>
              <w:right w:val="single" w:color="000000" w:sz="4"/>
            </w:tcBorders>
            <w:shd w:color="auto" w:fill="d7d7d7" w:val="clear"/>
            <w:tcMar>
              <w:left w:w="108" w:type="dxa"/>
              <w:right w:w="108" w:type="dxa"/>
            </w:tcMar>
            <w:vAlign w:val="bottom"/>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LI</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0.25 (0.04,1.59)</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0.19 (0.01,3.68)</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18"/>
                <w:shd w:fill="auto" w:val="clear"/>
              </w:rPr>
              <w:t xml:space="preserve">0.15 (0.04,0.58)</w:t>
            </w:r>
          </w:p>
        </w:tc>
      </w:tr>
      <w:tr>
        <w:trPr>
          <w:trHeight w:val="1" w:hRule="atLeast"/>
          <w:jc w:val="left"/>
        </w:trPr>
        <w:tc>
          <w:tcPr>
            <w:tcW w:w="157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18"/>
                <w:shd w:fill="auto" w:val="clear"/>
              </w:rPr>
              <w:t xml:space="preserve">0.69 (0.49,0.96)</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0.90 (0.61,1.32)</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0.83 (0.51,1.35)</w:t>
            </w:r>
          </w:p>
        </w:tc>
        <w:tc>
          <w:tcPr>
            <w:tcW w:w="1575" w:type="dxa"/>
            <w:tcBorders>
              <w:top w:val="single" w:color="000000" w:sz="4"/>
              <w:left w:val="single" w:color="000000" w:sz="4"/>
              <w:bottom w:val="single" w:color="000000" w:sz="4"/>
              <w:right w:val="single" w:color="000000" w:sz="4"/>
            </w:tcBorders>
            <w:shd w:color="auto" w:fill="d7d7d7" w:val="clear"/>
            <w:tcMar>
              <w:left w:w="108" w:type="dxa"/>
              <w:right w:w="108" w:type="dxa"/>
            </w:tcMar>
            <w:vAlign w:val="bottom"/>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HE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0.76 (0.04,14.53)</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0.62 (0.17,2.24)</w:t>
            </w:r>
          </w:p>
        </w:tc>
      </w:tr>
      <w:tr>
        <w:trPr>
          <w:trHeight w:val="1" w:hRule="atLeast"/>
          <w:jc w:val="left"/>
        </w:trPr>
        <w:tc>
          <w:tcPr>
            <w:tcW w:w="157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0.35 (0.08,1.50)</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0.46 (0.11,1.99)</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0.42 (0.09,1.89)</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0.51 (0.12,2.22)</w:t>
            </w:r>
          </w:p>
        </w:tc>
        <w:tc>
          <w:tcPr>
            <w:tcW w:w="1575" w:type="dxa"/>
            <w:tcBorders>
              <w:top w:val="single" w:color="000000" w:sz="4"/>
              <w:left w:val="single" w:color="000000" w:sz="4"/>
              <w:bottom w:val="single" w:color="000000" w:sz="4"/>
              <w:right w:val="single" w:color="000000" w:sz="4"/>
            </w:tcBorders>
            <w:shd w:color="auto" w:fill="d7d7d7" w:val="clear"/>
            <w:tcMar>
              <w:left w:w="108" w:type="dxa"/>
              <w:right w:w="108" w:type="dxa"/>
            </w:tcMar>
            <w:vAlign w:val="bottom"/>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TES</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r>
      <w:tr>
        <w:trPr>
          <w:trHeight w:val="1" w:hRule="atLeast"/>
          <w:jc w:val="left"/>
        </w:trPr>
        <w:tc>
          <w:tcPr>
            <w:tcW w:w="157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1.21 (0.57,2.57)</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1.59 (0.73,3.44)</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1.47 (0.64,3.36)</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1.76 (0.81,3.87)</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3.47 (0.69,17.49)</w:t>
            </w:r>
          </w:p>
        </w:tc>
        <w:tc>
          <w:tcPr>
            <w:tcW w:w="1575" w:type="dxa"/>
            <w:tcBorders>
              <w:top w:val="single" w:color="000000" w:sz="4"/>
              <w:left w:val="single" w:color="000000" w:sz="4"/>
              <w:bottom w:val="single" w:color="000000" w:sz="4"/>
              <w:right w:val="single" w:color="000000" w:sz="4"/>
            </w:tcBorders>
            <w:shd w:color="auto" w:fill="d7d7d7" w:val="clear"/>
            <w:tcMar>
              <w:left w:w="108" w:type="dxa"/>
              <w:right w:w="108" w:type="dxa"/>
            </w:tcMar>
            <w:vAlign w:val="bottom"/>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MP</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r>
      <w:tr>
        <w:trPr>
          <w:trHeight w:val="1" w:hRule="atLeast"/>
          <w:jc w:val="left"/>
        </w:trPr>
        <w:tc>
          <w:tcPr>
            <w:tcW w:w="157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0.36 (0.09,1.52)</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0.48 (0.11,2.01)</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0.44 (0.10,1.92)</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0.53 (0.12,2.25)</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1.04 (0.14,7.87)</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0.30 (0.06,1.48)</w:t>
            </w:r>
          </w:p>
        </w:tc>
        <w:tc>
          <w:tcPr>
            <w:tcW w:w="1575" w:type="dxa"/>
            <w:tcBorders>
              <w:top w:val="single" w:color="000000" w:sz="4"/>
              <w:left w:val="single" w:color="000000" w:sz="4"/>
              <w:bottom w:val="single" w:color="000000" w:sz="4"/>
              <w:right w:val="single" w:color="000000" w:sz="4"/>
            </w:tcBorders>
            <w:shd w:color="auto" w:fill="d7d7d7" w:val="clear"/>
            <w:tcMar>
              <w:left w:w="108" w:type="dxa"/>
              <w:right w:w="108" w:type="dxa"/>
            </w:tcMar>
            <w:vAlign w:val="bottom"/>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PFMM</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r>
      <w:tr>
        <w:trPr>
          <w:trHeight w:val="1" w:hRule="atLeast"/>
          <w:jc w:val="left"/>
        </w:trPr>
        <w:tc>
          <w:tcPr>
            <w:tcW w:w="157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0.95 (0.65,1.40)</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1.24 (0.81,1.91)</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1.15 (0.69,1.93)</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1.38 (0.88,2.16)</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2.71 (0.61,11.98)</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0.78 (0.35,1.75)</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2.62 (0.61,11.26)</w:t>
            </w:r>
          </w:p>
        </w:tc>
        <w:tc>
          <w:tcPr>
            <w:tcW w:w="1575" w:type="dxa"/>
            <w:tcBorders>
              <w:top w:val="single" w:color="000000" w:sz="4"/>
              <w:left w:val="single" w:color="000000" w:sz="4"/>
              <w:bottom w:val="single" w:color="000000" w:sz="4"/>
              <w:right w:val="single" w:color="000000" w:sz="4"/>
            </w:tcBorders>
            <w:shd w:color="auto" w:fill="d7d7d7" w:val="clear"/>
            <w:tcMar>
              <w:left w:w="108" w:type="dxa"/>
              <w:right w:w="108" w:type="dxa"/>
            </w:tcMar>
            <w:vAlign w:val="bottom"/>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MT</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0.82 (0.06,11.72)</w:t>
            </w:r>
          </w:p>
        </w:tc>
      </w:tr>
      <w:tr>
        <w:trPr>
          <w:trHeight w:val="1" w:hRule="atLeast"/>
          <w:jc w:val="left"/>
        </w:trPr>
        <w:tc>
          <w:tcPr>
            <w:tcW w:w="157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18"/>
                <w:shd w:fill="auto" w:val="clear"/>
              </w:rPr>
              <w:t xml:space="preserve">1.44 (1.21,1.72)</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18"/>
                <w:shd w:fill="auto" w:val="clear"/>
              </w:rPr>
              <w:t xml:space="preserve">1.89 (1.46,2.43)</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18"/>
                <w:shd w:fill="auto" w:val="clear"/>
              </w:rPr>
              <w:t xml:space="preserve">1.75 (1.18,2.57)</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18"/>
                <w:shd w:fill="auto" w:val="clear"/>
              </w:rPr>
              <w:t xml:space="preserve">2.10 (1.57,2.80)</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4.12 (0.97,17.47)</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1.19 (0.57,2.46)</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3.97 (0.96,16.42)</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18"/>
                <w:shd w:fill="auto" w:val="clear"/>
              </w:rPr>
              <w:t xml:space="preserve">1.52 (1.08,2.13)</w:t>
            </w:r>
          </w:p>
        </w:tc>
        <w:tc>
          <w:tcPr>
            <w:tcW w:w="1575" w:type="dxa"/>
            <w:tcBorders>
              <w:top w:val="single" w:color="000000" w:sz="4"/>
              <w:left w:val="single" w:color="000000" w:sz="4"/>
              <w:bottom w:val="single" w:color="000000" w:sz="4"/>
              <w:right w:val="single" w:color="000000" w:sz="4"/>
            </w:tcBorders>
            <w:shd w:color="auto" w:fill="d7d7d7" w:val="clear"/>
            <w:tcMar>
              <w:left w:w="108" w:type="dxa"/>
              <w:right w:w="108" w:type="dxa"/>
            </w:tcMar>
            <w:vAlign w:val="bottom"/>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TAU</w:t>
            </w:r>
          </w:p>
        </w:tc>
      </w:tr>
    </w:tbl>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CBT, cognitive behavioural therapy; AC, acupuncture; LI, lifestyle intervention; HE, health education; TES, transcutanclus electricalacupoint stimulation; MP, mandala painting; PFMM, pelvic floor muscle massage; MT, music therapy</w:t>
      </w: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1"/>
          <w:shd w:fill="auto" w:val="clear"/>
        </w:rPr>
      </w:pPr>
      <w:r>
        <w:rPr>
          <w:rFonts w:ascii="Times New Roman" w:hAnsi="Times New Roman" w:cs="Times New Roman" w:eastAsia="Times New Roman"/>
          <w:b/>
          <w:color w:val="auto"/>
          <w:spacing w:val="0"/>
          <w:position w:val="0"/>
          <w:sz w:val="21"/>
          <w:shd w:fill="auto" w:val="clear"/>
        </w:rPr>
        <w:t xml:space="preserve">Table S3 Comparative effectiveness of different types of interventions for fertilization rate and high quality embryo rate</w:t>
      </w:r>
    </w:p>
    <w:tbl>
      <w:tblPr/>
      <w:tblGrid>
        <w:gridCol w:w="1574"/>
        <w:gridCol w:w="1575"/>
        <w:gridCol w:w="1575"/>
        <w:gridCol w:w="1575"/>
        <w:gridCol w:w="1575"/>
        <w:gridCol w:w="1575"/>
        <w:gridCol w:w="1575"/>
        <w:gridCol w:w="1575"/>
        <w:gridCol w:w="1575"/>
      </w:tblGrid>
      <w:tr>
        <w:trPr>
          <w:trHeight w:val="1" w:hRule="atLeast"/>
          <w:jc w:val="left"/>
        </w:trPr>
        <w:tc>
          <w:tcPr>
            <w:tcW w:w="1574" w:type="dxa"/>
            <w:tcBorders>
              <w:top w:val="single" w:color="000000" w:sz="4"/>
              <w:left w:val="single" w:color="000000" w:sz="4"/>
              <w:bottom w:val="single" w:color="000000" w:sz="4"/>
              <w:right w:val="single" w:color="000000" w:sz="4"/>
            </w:tcBorders>
            <w:shd w:color="auto" w:fill="d7d7d7" w:val="clear"/>
            <w:tcMar>
              <w:left w:w="108" w:type="dxa"/>
              <w:right w:w="108" w:type="dxa"/>
            </w:tcMar>
            <w:vAlign w:val="bottom"/>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CBT</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0.49 (0.22,1.10)</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18"/>
                <w:shd w:fill="auto" w:val="clear"/>
              </w:rPr>
              <w:t xml:space="preserve">0.39 (0.16,0.93)</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0.79 (0.31,2.04)</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0.82 (0.18,3.77)</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18"/>
                <w:shd w:fill="auto" w:val="clear"/>
              </w:rPr>
              <w:t xml:space="preserve">0.41 (0.20,0.84)</w:t>
            </w:r>
          </w:p>
        </w:tc>
      </w:tr>
      <w:tr>
        <w:trPr>
          <w:trHeight w:val="1" w:hRule="atLeast"/>
          <w:jc w:val="left"/>
        </w:trPr>
        <w:tc>
          <w:tcPr>
            <w:tcW w:w="157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0.74 (0.37,1.46)</w:t>
            </w:r>
          </w:p>
        </w:tc>
        <w:tc>
          <w:tcPr>
            <w:tcW w:w="1575" w:type="dxa"/>
            <w:tcBorders>
              <w:top w:val="single" w:color="000000" w:sz="4"/>
              <w:left w:val="single" w:color="000000" w:sz="4"/>
              <w:bottom w:val="single" w:color="000000" w:sz="4"/>
              <w:right w:val="single" w:color="000000" w:sz="4"/>
            </w:tcBorders>
            <w:shd w:color="auto" w:fill="d7d7d7" w:val="clear"/>
            <w:tcMar>
              <w:left w:w="108" w:type="dxa"/>
              <w:right w:w="108" w:type="dxa"/>
            </w:tcMar>
            <w:vAlign w:val="bottom"/>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AC</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0.79 (0.41,1.52)</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1.62 (0.78,3.38)</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1.67 (0.41,6.83)</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0.85 (0.57,1.25)</w:t>
            </w:r>
          </w:p>
        </w:tc>
      </w:tr>
      <w:tr>
        <w:trPr>
          <w:trHeight w:val="1" w:hRule="atLeast"/>
          <w:jc w:val="left"/>
        </w:trPr>
        <w:tc>
          <w:tcPr>
            <w:tcW w:w="157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0.80 (0.39,1.63)</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1.08 (0.56,2.09)</w:t>
            </w:r>
          </w:p>
        </w:tc>
        <w:tc>
          <w:tcPr>
            <w:tcW w:w="1575" w:type="dxa"/>
            <w:tcBorders>
              <w:top w:val="single" w:color="000000" w:sz="4"/>
              <w:left w:val="single" w:color="000000" w:sz="4"/>
              <w:bottom w:val="single" w:color="000000" w:sz="4"/>
              <w:right w:val="single" w:color="000000" w:sz="4"/>
            </w:tcBorders>
            <w:shd w:color="auto" w:fill="d7d7d7" w:val="clear"/>
            <w:tcMar>
              <w:left w:w="108" w:type="dxa"/>
              <w:right w:w="108" w:type="dxa"/>
            </w:tcMar>
            <w:vAlign w:val="bottom"/>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LI</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2.06 (0.91,4.65)</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2.13 (0.50,9.07)</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1.08 (0.63,1.82)</w:t>
            </w:r>
          </w:p>
        </w:tc>
      </w:tr>
      <w:tr>
        <w:trPr>
          <w:trHeight w:val="1" w:hRule="atLeast"/>
          <w:jc w:val="left"/>
        </w:trPr>
        <w:tc>
          <w:tcPr>
            <w:tcW w:w="157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0.71 (0.22,2.35)</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0.96 (0.30,3.08)</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0.89 (0.27,2.90)</w:t>
            </w:r>
          </w:p>
        </w:tc>
        <w:tc>
          <w:tcPr>
            <w:tcW w:w="1575" w:type="dxa"/>
            <w:tcBorders>
              <w:top w:val="single" w:color="000000" w:sz="4"/>
              <w:left w:val="single" w:color="000000" w:sz="4"/>
              <w:bottom w:val="single" w:color="000000" w:sz="4"/>
              <w:right w:val="single" w:color="000000" w:sz="4"/>
            </w:tcBorders>
            <w:shd w:color="auto" w:fill="d7d7d7" w:val="clear"/>
            <w:tcMar>
              <w:left w:w="108" w:type="dxa"/>
              <w:right w:w="108" w:type="dxa"/>
            </w:tcMar>
            <w:vAlign w:val="bottom"/>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HE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1.03 (0.23,4.57)</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18"/>
                <w:shd w:fill="auto" w:val="clear"/>
              </w:rPr>
              <w:t xml:space="preserve">0.52 (0.28,0.97)</w:t>
            </w:r>
          </w:p>
        </w:tc>
      </w:tr>
      <w:tr>
        <w:trPr>
          <w:trHeight w:val="1" w:hRule="atLeast"/>
          <w:jc w:val="left"/>
        </w:trPr>
        <w:tc>
          <w:tcPr>
            <w:tcW w:w="157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1.01 (0.27,3.83)</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1.36 (0.37,5.04)</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1.26 (0.34,4.73)</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1.42 (0.28,7.26)</w:t>
            </w:r>
          </w:p>
        </w:tc>
        <w:tc>
          <w:tcPr>
            <w:tcW w:w="1575" w:type="dxa"/>
            <w:tcBorders>
              <w:top w:val="single" w:color="000000" w:sz="4"/>
              <w:left w:val="single" w:color="000000" w:sz="4"/>
              <w:bottom w:val="single" w:color="000000" w:sz="4"/>
              <w:right w:val="single" w:color="000000" w:sz="4"/>
            </w:tcBorders>
            <w:shd w:color="auto" w:fill="d7d7d7" w:val="clear"/>
            <w:tcMar>
              <w:left w:w="108" w:type="dxa"/>
              <w:right w:w="108" w:type="dxa"/>
            </w:tcMar>
            <w:vAlign w:val="bottom"/>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TES</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0.51 (0.13,1.95)</w:t>
            </w:r>
          </w:p>
        </w:tc>
      </w:tr>
      <w:tr>
        <w:trPr>
          <w:trHeight w:val="1" w:hRule="atLeast"/>
          <w:jc w:val="left"/>
        </w:trPr>
        <w:tc>
          <w:tcPr>
            <w:tcW w:w="157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auto" w:fill="d7d7d7" w:val="clear"/>
            <w:tcMar>
              <w:left w:w="108" w:type="dxa"/>
              <w:right w:w="108" w:type="dxa"/>
            </w:tcMar>
            <w:vAlign w:val="bottom"/>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MP</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r>
      <w:tr>
        <w:trPr>
          <w:trHeight w:val="1" w:hRule="atLeast"/>
          <w:jc w:val="left"/>
        </w:trPr>
        <w:tc>
          <w:tcPr>
            <w:tcW w:w="157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auto" w:fill="d7d7d7" w:val="clear"/>
            <w:tcMar>
              <w:left w:w="108" w:type="dxa"/>
              <w:right w:w="108" w:type="dxa"/>
            </w:tcMar>
            <w:vAlign w:val="bottom"/>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PFMM</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r>
      <w:tr>
        <w:trPr>
          <w:trHeight w:val="1" w:hRule="atLeast"/>
          <w:jc w:val="left"/>
        </w:trPr>
        <w:tc>
          <w:tcPr>
            <w:tcW w:w="157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auto" w:fill="d7d7d7" w:val="clear"/>
            <w:tcMar>
              <w:left w:w="108" w:type="dxa"/>
              <w:right w:w="108" w:type="dxa"/>
            </w:tcMar>
            <w:vAlign w:val="bottom"/>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MT</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r>
      <w:tr>
        <w:trPr>
          <w:trHeight w:val="1" w:hRule="atLeast"/>
          <w:jc w:val="left"/>
        </w:trPr>
        <w:tc>
          <w:tcPr>
            <w:tcW w:w="157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0.83 (0.49,1.39)</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1.12 (0.72,1.74)</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1.03 (0.64,1.68)</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1.16 (0.40,3.41)</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0.82 (0.24,2.81)</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18"/>
                <w:shd w:fill="auto" w:val="clear"/>
              </w:rPr>
              <w:t xml:space="preserve">-</w:t>
            </w:r>
          </w:p>
        </w:tc>
        <w:tc>
          <w:tcPr>
            <w:tcW w:w="1575" w:type="dxa"/>
            <w:tcBorders>
              <w:top w:val="single" w:color="000000" w:sz="4"/>
              <w:left w:val="single" w:color="000000" w:sz="4"/>
              <w:bottom w:val="single" w:color="000000" w:sz="4"/>
              <w:right w:val="single" w:color="000000" w:sz="4"/>
            </w:tcBorders>
            <w:shd w:color="auto" w:fill="d7d7d7" w:val="clear"/>
            <w:tcMar>
              <w:left w:w="108" w:type="dxa"/>
              <w:right w:w="108" w:type="dxa"/>
            </w:tcMar>
            <w:vAlign w:val="bottom"/>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18"/>
                <w:shd w:fill="auto" w:val="clear"/>
              </w:rPr>
              <w:t xml:space="preserve">TAU</w:t>
            </w:r>
          </w:p>
        </w:tc>
      </w:tr>
    </w:tbl>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CBT, cognitive behavioural therapy; AC, acupuncture; LI, lifestyle intervention; HE, health education; TES, transcutanclus electricalacupoint stimulation; MP, mandala painting; PFMM, pelvic floor muscle massage; MT, music therapy</w:t>
      </w: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1"/>
          <w:shd w:fill="FFFF00" w:val="clear"/>
        </w:rPr>
      </w:pPr>
      <w:r>
        <w:rPr>
          <w:rFonts w:ascii="Times New Roman" w:hAnsi="Times New Roman" w:cs="Times New Roman" w:eastAsia="Times New Roman"/>
          <w:b/>
          <w:color w:val="auto"/>
          <w:spacing w:val="0"/>
          <w:position w:val="0"/>
          <w:sz w:val="21"/>
          <w:shd w:fill="auto" w:val="clear"/>
        </w:rPr>
        <w:t xml:space="preserve">Table S4 Comparison of Effect Sizes Between Full Dataset and Sensitivity Analysis</w:t>
      </w:r>
    </w:p>
    <w:tbl>
      <w:tblPr/>
      <w:tblGrid>
        <w:gridCol w:w="1768"/>
        <w:gridCol w:w="2599"/>
        <w:gridCol w:w="2328"/>
      </w:tblGrid>
      <w:tr>
        <w:trPr>
          <w:trHeight w:val="1" w:hRule="atLeast"/>
          <w:jc w:val="left"/>
        </w:trPr>
        <w:tc>
          <w:tcPr>
            <w:tcW w:w="176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6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1"/>
                <w:shd w:fill="auto" w:val="clear"/>
              </w:rPr>
              <w:t xml:space="preserve">Statistical index</w:t>
            </w:r>
          </w:p>
        </w:tc>
        <w:tc>
          <w:tcPr>
            <w:tcW w:w="259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6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1"/>
                <w:shd w:fill="auto" w:val="clear"/>
              </w:rPr>
              <w:t xml:space="preserve">Complete data set</w:t>
            </w:r>
          </w:p>
        </w:tc>
        <w:tc>
          <w:tcPr>
            <w:tcW w:w="232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6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1"/>
                <w:shd w:fill="auto" w:val="clear"/>
              </w:rPr>
              <w:t xml:space="preserve">Subgroup analysis</w:t>
            </w:r>
          </w:p>
        </w:tc>
      </w:tr>
      <w:tr>
        <w:trPr>
          <w:trHeight w:val="1" w:hRule="atLeast"/>
          <w:jc w:val="left"/>
        </w:trPr>
        <w:tc>
          <w:tcPr>
            <w:tcW w:w="176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6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1"/>
                <w:shd w:fill="auto" w:val="clear"/>
              </w:rPr>
              <w:t xml:space="preserve">RR (95%CI)</w:t>
            </w:r>
          </w:p>
        </w:tc>
        <w:tc>
          <w:tcPr>
            <w:tcW w:w="259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6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1"/>
                <w:shd w:fill="auto" w:val="clear"/>
              </w:rPr>
              <w:t xml:space="preserve">1.20 [1.12-  1 .29]</w:t>
            </w:r>
          </w:p>
        </w:tc>
        <w:tc>
          <w:tcPr>
            <w:tcW w:w="232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6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1"/>
                <w:shd w:fill="auto" w:val="clear"/>
              </w:rPr>
              <w:t xml:space="preserve">1.22 [1.12-  1 .33]</w:t>
            </w:r>
          </w:p>
        </w:tc>
      </w:tr>
      <w:tr>
        <w:trPr>
          <w:trHeight w:val="1" w:hRule="atLeast"/>
          <w:jc w:val="left"/>
        </w:trPr>
        <w:tc>
          <w:tcPr>
            <w:tcW w:w="176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6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1"/>
                <w:shd w:fill="auto" w:val="clear"/>
              </w:rPr>
              <w:t xml:space="preserve">I²</w:t>
            </w:r>
          </w:p>
        </w:tc>
        <w:tc>
          <w:tcPr>
            <w:tcW w:w="259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6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1"/>
                <w:shd w:fill="auto" w:val="clear"/>
              </w:rPr>
              <w:t xml:space="preserve">0.0%</w:t>
            </w:r>
          </w:p>
        </w:tc>
        <w:tc>
          <w:tcPr>
            <w:tcW w:w="232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6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1"/>
                <w:shd w:fill="auto" w:val="clear"/>
              </w:rPr>
              <w:t xml:space="preserve">0.0%</w:t>
            </w:r>
          </w:p>
        </w:tc>
      </w:tr>
      <w:tr>
        <w:trPr>
          <w:trHeight w:val="1" w:hRule="atLeast"/>
          <w:jc w:val="left"/>
        </w:trPr>
        <w:tc>
          <w:tcPr>
            <w:tcW w:w="176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6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1"/>
                <w:shd w:fill="auto" w:val="clear"/>
              </w:rPr>
              <w:t xml:space="preserve">Number of studies</w:t>
            </w:r>
          </w:p>
        </w:tc>
        <w:tc>
          <w:tcPr>
            <w:tcW w:w="259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6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1"/>
                <w:shd w:fill="auto" w:val="clear"/>
              </w:rPr>
              <w:t xml:space="preserve">43</w:t>
            </w:r>
          </w:p>
        </w:tc>
        <w:tc>
          <w:tcPr>
            <w:tcW w:w="232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center"/>
          </w:tcPr>
          <w:p>
            <w:pPr>
              <w:spacing w:before="0" w:after="0" w:line="36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1"/>
                <w:shd w:fill="auto" w:val="clear"/>
              </w:rPr>
              <w:t xml:space="preserve">27</w:t>
            </w:r>
          </w:p>
        </w:tc>
      </w:tr>
    </w:tbl>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The data were calculated based on a random effects model</w:t>
      </w: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object w:dxaOrig="4011" w:dyaOrig="1737">
          <v:rect xmlns:o="urn:schemas-microsoft-com:office:office" xmlns:v="urn:schemas-microsoft-com:vml" id="rectole0000000000" style="width:200.550000pt;height:86.8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object w:dxaOrig="2177" w:dyaOrig="5431">
          <v:rect xmlns:o="urn:schemas-microsoft-com:office:office" xmlns:v="urn:schemas-microsoft-com:vml" id="rectole0000000001" style="width:108.850000pt;height:271.5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0" w:line="360"/>
        <w:ind w:right="0" w:left="0" w:firstLine="0"/>
        <w:jc w:val="both"/>
        <w:rPr>
          <w:rFonts w:ascii="Times New Roman" w:hAnsi="Times New Roman" w:cs="Times New Roman" w:eastAsia="Times New Roman"/>
          <w:b/>
          <w:color w:val="auto"/>
          <w:spacing w:val="0"/>
          <w:position w:val="0"/>
          <w:sz w:val="21"/>
          <w:shd w:fill="auto" w:val="clear"/>
        </w:rPr>
      </w:pPr>
      <w:r>
        <w:rPr>
          <w:rFonts w:ascii="Times New Roman" w:hAnsi="Times New Roman" w:cs="Times New Roman" w:eastAsia="Times New Roman"/>
          <w:b/>
          <w:color w:val="auto"/>
          <w:spacing w:val="0"/>
          <w:position w:val="0"/>
          <w:sz w:val="21"/>
          <w:shd w:fill="auto" w:val="clear"/>
        </w:rPr>
        <w:t xml:space="preserve">Figure S1</w:t>
      </w:r>
      <w:r>
        <w:rPr>
          <w:rFonts w:ascii="Times New Roman" w:hAnsi="Times New Roman" w:cs="Times New Roman" w:eastAsia="Times New Roman"/>
          <w:color w:val="auto"/>
          <w:spacing w:val="0"/>
          <w:position w:val="0"/>
          <w:sz w:val="21"/>
          <w:shd w:fill="auto" w:val="clear"/>
        </w:rPr>
        <w:t xml:space="preserve"> </w:t>
      </w:r>
      <w:r>
        <w:rPr>
          <w:rFonts w:ascii="Times New Roman" w:hAnsi="Times New Roman" w:cs="Times New Roman" w:eastAsia="Times New Roman"/>
          <w:b/>
          <w:color w:val="auto"/>
          <w:spacing w:val="0"/>
          <w:position w:val="0"/>
          <w:sz w:val="21"/>
          <w:shd w:fill="auto" w:val="clear"/>
        </w:rPr>
        <w:t xml:space="preserve">Summary results on risk of bias (using RoB2) of including studies</w:t>
      </w:r>
    </w:p>
    <w:p>
      <w:pPr>
        <w:spacing w:before="0" w:after="0" w:line="360"/>
        <w:ind w:right="0" w:left="0" w:firstLine="0"/>
        <w:jc w:val="both"/>
        <w:rPr>
          <w:rFonts w:ascii="Times New Roman" w:hAnsi="Times New Roman" w:cs="Times New Roman" w:eastAsia="Times New Roman"/>
          <w:b/>
          <w:color w:val="auto"/>
          <w:spacing w:val="0"/>
          <w:position w:val="0"/>
          <w:sz w:val="21"/>
          <w:shd w:fill="auto" w:val="clear"/>
        </w:rPr>
      </w:pPr>
      <w:r>
        <w:object w:dxaOrig="6120" w:dyaOrig="6120">
          <v:rect xmlns:o="urn:schemas-microsoft-com:office:office" xmlns:v="urn:schemas-microsoft-com:vml" id="rectole0000000002" style="width:306.000000pt;height:306.00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p>
    <w:p>
      <w:pPr>
        <w:spacing w:before="0" w:after="0" w:line="240"/>
        <w:ind w:right="0" w:left="0" w:firstLine="0"/>
        <w:jc w:val="both"/>
        <w:rPr>
          <w:rFonts w:ascii="Times New Roman" w:hAnsi="Times New Roman" w:cs="Times New Roman" w:eastAsia="Times New Roman"/>
          <w:b/>
          <w:color w:val="auto"/>
          <w:spacing w:val="0"/>
          <w:position w:val="0"/>
          <w:sz w:val="21"/>
          <w:shd w:fill="auto" w:val="clear"/>
        </w:rPr>
      </w:pPr>
      <w:r>
        <w:rPr>
          <w:rFonts w:ascii="Times New Roman" w:hAnsi="Times New Roman" w:cs="Times New Roman" w:eastAsia="Times New Roman"/>
          <w:b/>
          <w:color w:val="auto"/>
          <w:spacing w:val="0"/>
          <w:position w:val="0"/>
          <w:sz w:val="21"/>
          <w:shd w:fill="auto" w:val="clear"/>
        </w:rPr>
        <w:t xml:space="preserve">Figure S2 Network plots of eligible comparisons for primary outcomes</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CBT, cognitive behavioural therapy; AC, acupuncture; LI, lifestyle intervention; HE, health education; TES, transcutanclus electricalacupoint stimulation; MP, mandala painting; PFMM, pelvic floor muscle massage; MT, music therapy; CPR, clinical pregnancy rate (including 43 studies); RO, retrieved oocytes (including 16 studies); FR, fertilization rate (including 10 studies); HQER, high quality embryo rate (including 7 studies)</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object w:dxaOrig="8691" w:dyaOrig="5215">
          <v:rect xmlns:o="urn:schemas-microsoft-com:office:office" xmlns:v="urn:schemas-microsoft-com:vml" id="rectole0000000003" style="width:434.550000pt;height:260.75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3" ShapeID="rectole0000000003" r:id="docRId6"/>
        </w:object>
      </w:r>
    </w:p>
    <w:p>
      <w:pPr>
        <w:spacing w:before="0" w:after="0" w:line="240"/>
        <w:ind w:right="0" w:left="0" w:firstLine="0"/>
        <w:jc w:val="both"/>
        <w:rPr>
          <w:rFonts w:ascii="Times New Roman" w:hAnsi="Times New Roman" w:cs="Times New Roman" w:eastAsia="Times New Roman"/>
          <w:b/>
          <w:color w:val="auto"/>
          <w:spacing w:val="0"/>
          <w:position w:val="0"/>
          <w:sz w:val="21"/>
          <w:shd w:fill="auto" w:val="clear"/>
        </w:rPr>
      </w:pPr>
      <w:r>
        <w:rPr>
          <w:rFonts w:ascii="Times New Roman" w:hAnsi="Times New Roman" w:cs="Times New Roman" w:eastAsia="Times New Roman"/>
          <w:b/>
          <w:color w:val="auto"/>
          <w:spacing w:val="0"/>
          <w:position w:val="0"/>
          <w:sz w:val="21"/>
          <w:shd w:fill="auto" w:val="clear"/>
        </w:rPr>
        <w:t xml:space="preserve">Figure S3 Forest plots of network meta-analysis results for clinical pregnancy rate</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cognitive behavioural therapy; B, acupuncture; C, lifestyle intervention; D, health education; E, transcutanclus electricalacupoint stimulation; F, mandala painting; G, pelvic floor muscle massage; H, music therapy; I, treatment as usual</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object w:dxaOrig="8084" w:dyaOrig="4851">
          <v:rect xmlns:o="urn:schemas-microsoft-com:office:office" xmlns:v="urn:schemas-microsoft-com:vml" id="rectole0000000004" style="width:404.200000pt;height:242.55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Metafile" DrawAspect="Content" ObjectID="0000000004" ShapeID="rectole0000000004" r:id="docRId8"/>
        </w:object>
      </w:r>
    </w:p>
    <w:p>
      <w:pPr>
        <w:spacing w:before="0" w:after="0" w:line="240"/>
        <w:ind w:right="0" w:left="0" w:firstLine="0"/>
        <w:jc w:val="both"/>
        <w:rPr>
          <w:rFonts w:ascii="Times New Roman" w:hAnsi="Times New Roman" w:cs="Times New Roman" w:eastAsia="Times New Roman"/>
          <w:b/>
          <w:color w:val="auto"/>
          <w:spacing w:val="0"/>
          <w:position w:val="0"/>
          <w:sz w:val="21"/>
          <w:shd w:fill="auto" w:val="clear"/>
        </w:rPr>
      </w:pPr>
      <w:r>
        <w:rPr>
          <w:rFonts w:ascii="Times New Roman" w:hAnsi="Times New Roman" w:cs="Times New Roman" w:eastAsia="Times New Roman"/>
          <w:b/>
          <w:color w:val="auto"/>
          <w:spacing w:val="0"/>
          <w:position w:val="0"/>
          <w:sz w:val="21"/>
          <w:shd w:fill="auto" w:val="clear"/>
        </w:rPr>
        <w:t xml:space="preserve">Figure S4 Forest plots of network meta-analysis results for retrieved oocytes</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cognitive behavioural therapy; B, acupuncture; C, lifestyle intervention; D, health education; E, music therapy; F, treatment as usual</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object w:dxaOrig="8695" w:dyaOrig="5217">
          <v:rect xmlns:o="urn:schemas-microsoft-com:office:office" xmlns:v="urn:schemas-microsoft-com:vml" id="rectole0000000005" style="width:434.750000pt;height:260.850000pt" o:preferrelative="t" o:ole="">
            <o:lock v:ext="edit"/>
            <v:imagedata xmlns:r="http://schemas.openxmlformats.org/officeDocument/2006/relationships" r:id="docRId11" o:title=""/>
          </v:rect>
          <o:OLEObject xmlns:r="http://schemas.openxmlformats.org/officeDocument/2006/relationships" xmlns:o="urn:schemas-microsoft-com:office:office" Type="Embed" ProgID="StaticMetafile" DrawAspect="Content" ObjectID="0000000005" ShapeID="rectole0000000005" r:id="docRId10"/>
        </w:object>
      </w:r>
    </w:p>
    <w:p>
      <w:pPr>
        <w:spacing w:before="0" w:after="0" w:line="240"/>
        <w:ind w:right="0" w:left="0" w:firstLine="0"/>
        <w:jc w:val="both"/>
        <w:rPr>
          <w:rFonts w:ascii="Times New Roman" w:hAnsi="Times New Roman" w:cs="Times New Roman" w:eastAsia="Times New Roman"/>
          <w:b/>
          <w:color w:val="auto"/>
          <w:spacing w:val="0"/>
          <w:position w:val="0"/>
          <w:sz w:val="21"/>
          <w:shd w:fill="auto" w:val="clear"/>
        </w:rPr>
      </w:pPr>
      <w:r>
        <w:rPr>
          <w:rFonts w:ascii="Times New Roman" w:hAnsi="Times New Roman" w:cs="Times New Roman" w:eastAsia="Times New Roman"/>
          <w:b/>
          <w:color w:val="auto"/>
          <w:spacing w:val="0"/>
          <w:position w:val="0"/>
          <w:sz w:val="21"/>
          <w:shd w:fill="auto" w:val="clear"/>
        </w:rPr>
        <w:t xml:space="preserve">Figure S5 Forest plots of network meta-analysis results for fertilization rate</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cognitive behavioural therapy; B, acupuncture; C, lifestyle intervention; D, health education; E, transcutanclus electricalacupoint stimulation; F, treatment as usual</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object w:dxaOrig="8194" w:dyaOrig="4918">
          <v:rect xmlns:o="urn:schemas-microsoft-com:office:office" xmlns:v="urn:schemas-microsoft-com:vml" id="rectole0000000006" style="width:409.700000pt;height:245.900000pt" o:preferrelative="t" o:ole="">
            <o:lock v:ext="edit"/>
            <v:imagedata xmlns:r="http://schemas.openxmlformats.org/officeDocument/2006/relationships" r:id="docRId13" o:title=""/>
          </v:rect>
          <o:OLEObject xmlns:r="http://schemas.openxmlformats.org/officeDocument/2006/relationships" xmlns:o="urn:schemas-microsoft-com:office:office" Type="Embed" ProgID="StaticMetafile" DrawAspect="Content" ObjectID="0000000006" ShapeID="rectole0000000006" r:id="docRId12"/>
        </w:object>
      </w:r>
    </w:p>
    <w:p>
      <w:pPr>
        <w:spacing w:before="0" w:after="0" w:line="240"/>
        <w:ind w:right="0" w:left="0" w:firstLine="0"/>
        <w:jc w:val="both"/>
        <w:rPr>
          <w:rFonts w:ascii="Times New Roman" w:hAnsi="Times New Roman" w:cs="Times New Roman" w:eastAsia="Times New Roman"/>
          <w:b/>
          <w:color w:val="auto"/>
          <w:spacing w:val="0"/>
          <w:position w:val="0"/>
          <w:sz w:val="21"/>
          <w:shd w:fill="auto" w:val="clear"/>
        </w:rPr>
      </w:pPr>
      <w:r>
        <w:rPr>
          <w:rFonts w:ascii="Times New Roman" w:hAnsi="Times New Roman" w:cs="Times New Roman" w:eastAsia="Times New Roman"/>
          <w:b/>
          <w:color w:val="auto"/>
          <w:spacing w:val="0"/>
          <w:position w:val="0"/>
          <w:sz w:val="21"/>
          <w:shd w:fill="auto" w:val="clear"/>
        </w:rPr>
        <w:t xml:space="preserve">Figure S6 Forest plots of network meta-analysis results for high quality embryo rate</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cognitive behavioural therapy; B, acupuncture; C, lifestyle intervention; D, health education; E, transcutanclus electricalacupoint stimulation; F, treatment as usual</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object w:dxaOrig="7449" w:dyaOrig="4471">
          <v:rect xmlns:o="urn:schemas-microsoft-com:office:office" xmlns:v="urn:schemas-microsoft-com:vml" id="rectole0000000007" style="width:372.450000pt;height:223.550000pt" o:preferrelative="t" o:ole="">
            <o:lock v:ext="edit"/>
            <v:imagedata xmlns:r="http://schemas.openxmlformats.org/officeDocument/2006/relationships" r:id="docRId15" o:title=""/>
          </v:rect>
          <o:OLEObject xmlns:r="http://schemas.openxmlformats.org/officeDocument/2006/relationships" xmlns:o="urn:schemas-microsoft-com:office:office" Type="Embed" ProgID="StaticMetafile" DrawAspect="Content" ObjectID="0000000007" ShapeID="rectole0000000007" r:id="docRId14"/>
        </w:object>
      </w:r>
    </w:p>
    <w:p>
      <w:pPr>
        <w:spacing w:before="0" w:after="0" w:line="360"/>
        <w:ind w:right="0" w:left="0" w:firstLine="0"/>
        <w:jc w:val="both"/>
        <w:rPr>
          <w:rFonts w:ascii="Times New Roman" w:hAnsi="Times New Roman" w:cs="Times New Roman" w:eastAsia="Times New Roman"/>
          <w:b/>
          <w:color w:val="auto"/>
          <w:spacing w:val="0"/>
          <w:position w:val="0"/>
          <w:sz w:val="21"/>
          <w:shd w:fill="auto" w:val="clear"/>
        </w:rPr>
      </w:pPr>
      <w:r>
        <w:rPr>
          <w:rFonts w:ascii="Times New Roman" w:hAnsi="Times New Roman" w:cs="Times New Roman" w:eastAsia="Times New Roman"/>
          <w:b/>
          <w:color w:val="auto"/>
          <w:spacing w:val="0"/>
          <w:position w:val="0"/>
          <w:sz w:val="21"/>
          <w:shd w:fill="auto" w:val="clear"/>
        </w:rPr>
        <w:t xml:space="preserve">Figure S7 Comparative effectiveness of different interventions: surface under the cumulative ranking curves (SUCRA) for clinical pregnancy rate</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cognitive behavioural therapy; B, acupuncture; C, lifestyle intervention; D, health education; E, transcutanclus electricalacupoint stimulation; F, mandala painting; G, pelvic floor muscle massage; H, music therapy; I, treatment as usual</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object w:dxaOrig="7439" w:dyaOrig="4462">
          <v:rect xmlns:o="urn:schemas-microsoft-com:office:office" xmlns:v="urn:schemas-microsoft-com:vml" id="rectole0000000008" style="width:371.950000pt;height:223.100000pt" o:preferrelative="t" o:ole="">
            <o:lock v:ext="edit"/>
            <v:imagedata xmlns:r="http://schemas.openxmlformats.org/officeDocument/2006/relationships" r:id="docRId17" o:title=""/>
          </v:rect>
          <o:OLEObject xmlns:r="http://schemas.openxmlformats.org/officeDocument/2006/relationships" xmlns:o="urn:schemas-microsoft-com:office:office" Type="Embed" ProgID="StaticMetafile" DrawAspect="Content" ObjectID="0000000008" ShapeID="rectole0000000008" r:id="docRId16"/>
        </w:object>
      </w:r>
    </w:p>
    <w:p>
      <w:pPr>
        <w:spacing w:before="0" w:after="0" w:line="360"/>
        <w:ind w:right="0" w:left="0" w:firstLine="0"/>
        <w:jc w:val="both"/>
        <w:rPr>
          <w:rFonts w:ascii="Times New Roman" w:hAnsi="Times New Roman" w:cs="Times New Roman" w:eastAsia="Times New Roman"/>
          <w:b/>
          <w:color w:val="auto"/>
          <w:spacing w:val="0"/>
          <w:position w:val="0"/>
          <w:sz w:val="21"/>
          <w:shd w:fill="auto" w:val="clear"/>
        </w:rPr>
      </w:pPr>
      <w:r>
        <w:rPr>
          <w:rFonts w:ascii="Times New Roman" w:hAnsi="Times New Roman" w:cs="Times New Roman" w:eastAsia="Times New Roman"/>
          <w:b/>
          <w:color w:val="auto"/>
          <w:spacing w:val="0"/>
          <w:position w:val="0"/>
          <w:sz w:val="21"/>
          <w:shd w:fill="auto" w:val="clear"/>
        </w:rPr>
        <w:t xml:space="preserve">Figure S8 Comparative effectiveness of different interventions: surface under the cumulative ranking curves (SUCRA) for retrieved oocytes</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cognitive behavioural therapy; B, acupuncture; C, lifestyle intervention; D, health education; E, music therapy; F, treatment as usual</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object w:dxaOrig="7554" w:dyaOrig="4533">
          <v:rect xmlns:o="urn:schemas-microsoft-com:office:office" xmlns:v="urn:schemas-microsoft-com:vml" id="rectole0000000009" style="width:377.700000pt;height:226.650000pt" o:preferrelative="t" o:ole="">
            <o:lock v:ext="edit"/>
            <v:imagedata xmlns:r="http://schemas.openxmlformats.org/officeDocument/2006/relationships" r:id="docRId19" o:title=""/>
          </v:rect>
          <o:OLEObject xmlns:r="http://schemas.openxmlformats.org/officeDocument/2006/relationships" xmlns:o="urn:schemas-microsoft-com:office:office" Type="Embed" ProgID="StaticMetafile" DrawAspect="Content" ObjectID="0000000009" ShapeID="rectole0000000009" r:id="docRId18"/>
        </w:object>
      </w:r>
    </w:p>
    <w:p>
      <w:pPr>
        <w:spacing w:before="0" w:after="0" w:line="240"/>
        <w:ind w:right="0" w:left="0" w:firstLine="0"/>
        <w:jc w:val="both"/>
        <w:rPr>
          <w:rFonts w:ascii="Times New Roman" w:hAnsi="Times New Roman" w:cs="Times New Roman" w:eastAsia="Times New Roman"/>
          <w:b/>
          <w:color w:val="auto"/>
          <w:spacing w:val="0"/>
          <w:position w:val="0"/>
          <w:sz w:val="21"/>
          <w:shd w:fill="auto" w:val="clear"/>
        </w:rPr>
      </w:pPr>
      <w:r>
        <w:rPr>
          <w:rFonts w:ascii="Times New Roman" w:hAnsi="Times New Roman" w:cs="Times New Roman" w:eastAsia="Times New Roman"/>
          <w:b/>
          <w:color w:val="auto"/>
          <w:spacing w:val="0"/>
          <w:position w:val="0"/>
          <w:sz w:val="21"/>
          <w:shd w:fill="auto" w:val="clear"/>
        </w:rPr>
        <w:t xml:space="preserve">Figure S9 Comparative effectiveness of different interventions: surface under the cumulative ranking curves (SUCRA)  for fertilization rate</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cognitive behavioural therapy; B, acupuncture; C, lifestyle intervention; D, health education; E, transcutanclus electricalacupoint stimulation; F, treatment as usual</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object w:dxaOrig="7793" w:dyaOrig="4677">
          <v:rect xmlns:o="urn:schemas-microsoft-com:office:office" xmlns:v="urn:schemas-microsoft-com:vml" id="rectole0000000010" style="width:389.650000pt;height:233.850000pt" o:preferrelative="t" o:ole="">
            <o:lock v:ext="edit"/>
            <v:imagedata xmlns:r="http://schemas.openxmlformats.org/officeDocument/2006/relationships" r:id="docRId21" o:title=""/>
          </v:rect>
          <o:OLEObject xmlns:r="http://schemas.openxmlformats.org/officeDocument/2006/relationships" xmlns:o="urn:schemas-microsoft-com:office:office" Type="Embed" ProgID="StaticMetafile" DrawAspect="Content" ObjectID="0000000010" ShapeID="rectole0000000010" r:id="docRId20"/>
        </w:object>
      </w:r>
    </w:p>
    <w:p>
      <w:pPr>
        <w:spacing w:before="0" w:after="0" w:line="360"/>
        <w:ind w:right="0" w:left="0" w:firstLine="0"/>
        <w:jc w:val="both"/>
        <w:rPr>
          <w:rFonts w:ascii="Times New Roman" w:hAnsi="Times New Roman" w:cs="Times New Roman" w:eastAsia="Times New Roman"/>
          <w:b/>
          <w:color w:val="auto"/>
          <w:spacing w:val="0"/>
          <w:position w:val="0"/>
          <w:sz w:val="21"/>
          <w:shd w:fill="auto" w:val="clear"/>
        </w:rPr>
      </w:pPr>
      <w:r>
        <w:rPr>
          <w:rFonts w:ascii="Times New Roman" w:hAnsi="Times New Roman" w:cs="Times New Roman" w:eastAsia="Times New Roman"/>
          <w:b/>
          <w:color w:val="auto"/>
          <w:spacing w:val="0"/>
          <w:position w:val="0"/>
          <w:sz w:val="21"/>
          <w:shd w:fill="auto" w:val="clear"/>
        </w:rPr>
        <w:t xml:space="preserve">Figure S10 Comparative effectiveness of different interventions: surface under the cumulative ranking curves (SUCRA)  for high quality embryo rate</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A, cognitive behavioural therapy; B, acupuncture; C, lifestyle intervention; D, health education; E, transcutanclus electricalacupoint stimulation; F, treatment as usual</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object w:dxaOrig="6518" w:dyaOrig="6518">
          <v:rect xmlns:o="urn:schemas-microsoft-com:office:office" xmlns:v="urn:schemas-microsoft-com:vml" id="rectole0000000011" style="width:325.900000pt;height:325.900000pt" o:preferrelative="t" o:ole="">
            <o:lock v:ext="edit"/>
            <v:imagedata xmlns:r="http://schemas.openxmlformats.org/officeDocument/2006/relationships" r:id="docRId23" o:title=""/>
          </v:rect>
          <o:OLEObject xmlns:r="http://schemas.openxmlformats.org/officeDocument/2006/relationships" xmlns:o="urn:schemas-microsoft-com:office:office" Type="Embed" ProgID="StaticMetafile" DrawAspect="Content" ObjectID="0000000011" ShapeID="rectole0000000011" r:id="docRId22"/>
        </w:object>
      </w: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b/>
          <w:color w:val="auto"/>
          <w:spacing w:val="0"/>
          <w:position w:val="0"/>
          <w:sz w:val="21"/>
          <w:shd w:fill="auto" w:val="clear"/>
        </w:rPr>
        <w:t xml:space="preserve">Figure S11 Network evidence maps for clinical pregnancy rate and retrieved oocytes</w:t>
      </w: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CBT, cognitive behavioural therapy; AC, acupuncture; LI, lifestyle intervention; HE, health education; TES, transcutanclus electricalacupoint stimulation; MP, mandala painting; PFMM, pelvic floor muscle massage; MT, music therapy; TAU, treatment as usual</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object w:dxaOrig="6280" w:dyaOrig="6280">
          <v:rect xmlns:o="urn:schemas-microsoft-com:office:office" xmlns:v="urn:schemas-microsoft-com:vml" id="rectole0000000012" style="width:314.000000pt;height:314.000000pt" o:preferrelative="t" o:ole="">
            <o:lock v:ext="edit"/>
            <v:imagedata xmlns:r="http://schemas.openxmlformats.org/officeDocument/2006/relationships" r:id="docRId25" o:title=""/>
          </v:rect>
          <o:OLEObject xmlns:r="http://schemas.openxmlformats.org/officeDocument/2006/relationships" xmlns:o="urn:schemas-microsoft-com:office:office" Type="Embed" ProgID="StaticMetafile" DrawAspect="Content" ObjectID="0000000012" ShapeID="rectole0000000012" r:id="docRId24"/>
        </w:object>
      </w: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b/>
          <w:color w:val="auto"/>
          <w:spacing w:val="0"/>
          <w:position w:val="0"/>
          <w:sz w:val="21"/>
          <w:shd w:fill="auto" w:val="clear"/>
        </w:rPr>
        <w:t xml:space="preserve">Figure S12 Network evidence maps for </w:t>
      </w:r>
      <w:r>
        <w:rPr>
          <w:rFonts w:ascii="Times New Roman" w:hAnsi="Times New Roman" w:cs="Times New Roman" w:eastAsia="Times New Roman"/>
          <w:b/>
          <w:color w:val="auto"/>
          <w:spacing w:val="0"/>
          <w:position w:val="0"/>
          <w:sz w:val="20"/>
          <w:shd w:fill="auto" w:val="clear"/>
        </w:rPr>
        <w:t xml:space="preserve">fertilization rate and high quality embryo rate</w:t>
      </w: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CBT, cognitive behavioural therapy; AC, acupuncture; LI, lifestyle intervention; HE, health education; TES, transcutanclus electricalacupoint stimulation; TAU, treatment as usual</w:t>
      </w: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object w:dxaOrig="5824" w:dyaOrig="5824">
          <v:rect xmlns:o="urn:schemas-microsoft-com:office:office" xmlns:v="urn:schemas-microsoft-com:vml" id="rectole0000000013" style="width:291.200000pt;height:291.200000pt" o:preferrelative="t" o:ole="">
            <o:lock v:ext="edit"/>
            <v:imagedata xmlns:r="http://schemas.openxmlformats.org/officeDocument/2006/relationships" r:id="docRId27" o:title=""/>
          </v:rect>
          <o:OLEObject xmlns:r="http://schemas.openxmlformats.org/officeDocument/2006/relationships" xmlns:o="urn:schemas-microsoft-com:office:office" Type="Embed" ProgID="StaticMetafile" DrawAspect="Content" ObjectID="0000000013" ShapeID="rectole0000000013" r:id="docRId26"/>
        </w:object>
      </w: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b/>
          <w:color w:val="auto"/>
          <w:spacing w:val="0"/>
          <w:position w:val="0"/>
          <w:sz w:val="21"/>
          <w:shd w:fill="auto" w:val="clear"/>
        </w:rPr>
        <w:t xml:space="preserve">Figure S13 Comparison-adjusted funnel plots for clinical pregnancy rate and retrieved oocytes</w:t>
      </w: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CBT, cognitive behavioural therapy; AC, acupuncture; LI, lifestyle intervention; HE, health education; TES, transcutanclus electricalacupoint stimulation; MP, mandala painting; PFMM, pelvic floor muscle massage; MT, music therapy; TAU, treatment as usual</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object w:dxaOrig="5758" w:dyaOrig="5758">
          <v:rect xmlns:o="urn:schemas-microsoft-com:office:office" xmlns:v="urn:schemas-microsoft-com:vml" id="rectole0000000014" style="width:287.900000pt;height:287.900000pt" o:preferrelative="t" o:ole="">
            <o:lock v:ext="edit"/>
            <v:imagedata xmlns:r="http://schemas.openxmlformats.org/officeDocument/2006/relationships" r:id="docRId29" o:title=""/>
          </v:rect>
          <o:OLEObject xmlns:r="http://schemas.openxmlformats.org/officeDocument/2006/relationships" xmlns:o="urn:schemas-microsoft-com:office:office" Type="Embed" ProgID="StaticMetafile" DrawAspect="Content" ObjectID="0000000014" ShapeID="rectole0000000014" r:id="docRId28"/>
        </w:object>
      </w: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b/>
          <w:color w:val="auto"/>
          <w:spacing w:val="0"/>
          <w:position w:val="0"/>
          <w:sz w:val="21"/>
          <w:shd w:fill="auto" w:val="clear"/>
        </w:rPr>
        <w:t xml:space="preserve">Figure S14 Comparison-adjusted funnel plots for </w:t>
      </w:r>
      <w:r>
        <w:rPr>
          <w:rFonts w:ascii="Times New Roman" w:hAnsi="Times New Roman" w:cs="Times New Roman" w:eastAsia="Times New Roman"/>
          <w:b/>
          <w:color w:val="auto"/>
          <w:spacing w:val="0"/>
          <w:position w:val="0"/>
          <w:sz w:val="20"/>
          <w:shd w:fill="auto" w:val="clear"/>
        </w:rPr>
        <w:t xml:space="preserve">fertilization rate and high quality embryo rate</w:t>
      </w:r>
    </w:p>
    <w:p>
      <w:pPr>
        <w:spacing w:before="0" w:after="0" w:line="24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color w:val="auto"/>
          <w:spacing w:val="0"/>
          <w:position w:val="0"/>
          <w:sz w:val="21"/>
          <w:shd w:fill="auto" w:val="clear"/>
        </w:rPr>
        <w:t xml:space="preserve">CBT, cognitive behavioural therapy; AC, acupuncture; LI, lifestyle intervention; HE, health education; TES, transcutanclus electricalacupoint stimulation; TAU, treatment as usual</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1"/>
          <w:shd w:fill="FFFF00" w:val="clear"/>
        </w:rPr>
      </w:pPr>
      <w:r>
        <w:object w:dxaOrig="13373" w:dyaOrig="6925">
          <v:rect xmlns:o="urn:schemas-microsoft-com:office:office" xmlns:v="urn:schemas-microsoft-com:vml" id="rectole0000000015" style="width:668.650000pt;height:346.250000pt" o:preferrelative="t" o:ole="">
            <o:lock v:ext="edit"/>
            <v:imagedata xmlns:r="http://schemas.openxmlformats.org/officeDocument/2006/relationships" r:id="docRId31" o:title=""/>
          </v:rect>
          <o:OLEObject xmlns:r="http://schemas.openxmlformats.org/officeDocument/2006/relationships" xmlns:o="urn:schemas-microsoft-com:office:office" Type="Embed" ProgID="StaticMetafile" DrawAspect="Content" ObjectID="0000000015" ShapeID="rectole0000000015" r:id="docRId30"/>
        </w:object>
      </w:r>
    </w:p>
    <w:p>
      <w:pPr>
        <w:spacing w:before="0" w:after="0" w:line="240"/>
        <w:ind w:right="0" w:left="0" w:firstLine="0"/>
        <w:jc w:val="both"/>
        <w:rPr>
          <w:rFonts w:ascii="Times New Roman" w:hAnsi="Times New Roman" w:cs="Times New Roman" w:eastAsia="Times New Roman"/>
          <w:color w:val="auto"/>
          <w:spacing w:val="0"/>
          <w:position w:val="0"/>
          <w:sz w:val="21"/>
          <w:shd w:fill="FFFF00" w:val="clear"/>
        </w:rPr>
      </w:pPr>
      <w:r>
        <w:rPr>
          <w:rFonts w:ascii="Times New Roman" w:hAnsi="Times New Roman" w:cs="Times New Roman" w:eastAsia="Times New Roman"/>
          <w:b/>
          <w:color w:val="auto"/>
          <w:spacing w:val="0"/>
          <w:position w:val="0"/>
          <w:sz w:val="21"/>
          <w:shd w:fill="auto" w:val="clear"/>
        </w:rPr>
        <w:t xml:space="preserve">Figure S15 Comparative Forest Plots Before and After Exclusion of Non-Standard Outcome Assessments</w: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object w:dxaOrig="13367" w:dyaOrig="4011">
          <v:rect xmlns:o="urn:schemas-microsoft-com:office:office" xmlns:v="urn:schemas-microsoft-com:vml" id="rectole0000000016" style="width:668.350000pt;height:200.550000pt" o:preferrelative="t" o:ole="">
            <o:lock v:ext="edit"/>
            <v:imagedata xmlns:r="http://schemas.openxmlformats.org/officeDocument/2006/relationships" r:id="docRId33" o:title=""/>
          </v:rect>
          <o:OLEObject xmlns:r="http://schemas.openxmlformats.org/officeDocument/2006/relationships" xmlns:o="urn:schemas-microsoft-com:office:office" Type="Embed" ProgID="StaticMetafile" DrawAspect="Content" ObjectID="0000000016" ShapeID="rectole0000000016" r:id="docRId32"/>
        </w:object>
      </w:r>
    </w:p>
    <w:p>
      <w:pPr>
        <w:spacing w:before="0" w:after="0" w:line="360"/>
        <w:ind w:right="0" w:left="0" w:firstLine="0"/>
        <w:jc w:val="both"/>
        <w:rPr>
          <w:rFonts w:ascii="Times New Roman" w:hAnsi="Times New Roman" w:cs="Times New Roman" w:eastAsia="Times New Roman"/>
          <w:color w:val="auto"/>
          <w:spacing w:val="0"/>
          <w:position w:val="0"/>
          <w:sz w:val="21"/>
          <w:shd w:fill="auto" w:val="clear"/>
        </w:rPr>
      </w:pPr>
      <w:r>
        <w:rPr>
          <w:rFonts w:ascii="Times New Roman" w:hAnsi="Times New Roman" w:cs="Times New Roman" w:eastAsia="Times New Roman"/>
          <w:b/>
          <w:color w:val="auto"/>
          <w:spacing w:val="0"/>
          <w:position w:val="0"/>
          <w:sz w:val="21"/>
          <w:shd w:fill="auto" w:val="clear"/>
        </w:rPr>
        <w:t xml:space="preserve">Figure S16 Comparative Funnel Plots Demonstrating Consistency of Effect Estimates</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3.wmf" Id="docRId7" Type="http://schemas.openxmlformats.org/officeDocument/2006/relationships/image" /><Relationship Target="embeddings/oleObject7.bin" Id="docRId14" Type="http://schemas.openxmlformats.org/officeDocument/2006/relationships/oleObject" /><Relationship Target="media/image11.wmf" Id="docRId23" Type="http://schemas.openxmlformats.org/officeDocument/2006/relationships/image" /><Relationship Target="numbering.xml" Id="docRId34" Type="http://schemas.openxmlformats.org/officeDocument/2006/relationships/numbering" /><Relationship Target="embeddings/oleObject3.bin" Id="docRId6" Type="http://schemas.openxmlformats.org/officeDocument/2006/relationships/oleObject" /><Relationship Target="media/image0.wmf" Id="docRId1" Type="http://schemas.openxmlformats.org/officeDocument/2006/relationships/image" /><Relationship Target="media/image7.wmf" Id="docRId15" Type="http://schemas.openxmlformats.org/officeDocument/2006/relationships/image" /><Relationship Target="embeddings/oleObject11.bin" Id="docRId22" Type="http://schemas.openxmlformats.org/officeDocument/2006/relationships/oleObject" /><Relationship Target="styles.xml" Id="docRId35" Type="http://schemas.openxmlformats.org/officeDocument/2006/relationships/styles" /><Relationship Target="media/image4.wmf" Id="docRId9" Type="http://schemas.openxmlformats.org/officeDocument/2006/relationships/image" /><Relationship Target="embeddings/oleObject0.bin" Id="docRId0" Type="http://schemas.openxmlformats.org/officeDocument/2006/relationships/oleObject" /><Relationship Target="embeddings/oleObject6.bin" Id="docRId12" Type="http://schemas.openxmlformats.org/officeDocument/2006/relationships/oleObject" /><Relationship Target="media/image10.wmf" Id="docRId21" Type="http://schemas.openxmlformats.org/officeDocument/2006/relationships/image" /><Relationship Target="media/image14.wmf" Id="docRId29" Type="http://schemas.openxmlformats.org/officeDocument/2006/relationships/image" /><Relationship Target="embeddings/oleObject4.bin" Id="docRId8" Type="http://schemas.openxmlformats.org/officeDocument/2006/relationships/oleObject" /><Relationship Target="media/image6.wmf" Id="docRId13" Type="http://schemas.openxmlformats.org/officeDocument/2006/relationships/image" /><Relationship Target="embeddings/oleObject10.bin" Id="docRId20" Type="http://schemas.openxmlformats.org/officeDocument/2006/relationships/oleObject" /><Relationship Target="embeddings/oleObject14.bin" Id="docRId28" Type="http://schemas.openxmlformats.org/officeDocument/2006/relationships/oleObject" /><Relationship Target="media/image1.wmf" Id="docRId3" Type="http://schemas.openxmlformats.org/officeDocument/2006/relationships/image" /><Relationship Target="embeddings/oleObject5.bin" Id="docRId10" Type="http://schemas.openxmlformats.org/officeDocument/2006/relationships/oleObject" /><Relationship Target="embeddings/oleObject9.bin" Id="docRId18" Type="http://schemas.openxmlformats.org/officeDocument/2006/relationships/oleObject" /><Relationship Target="embeddings/oleObject1.bin" Id="docRId2" Type="http://schemas.openxmlformats.org/officeDocument/2006/relationships/oleObject" /><Relationship Target="media/image13.wmf" Id="docRId27" Type="http://schemas.openxmlformats.org/officeDocument/2006/relationships/image" /><Relationship Target="embeddings/oleObject15.bin" Id="docRId30" Type="http://schemas.openxmlformats.org/officeDocument/2006/relationships/oleObject" /><Relationship Target="media/image5.wmf" Id="docRId11" Type="http://schemas.openxmlformats.org/officeDocument/2006/relationships/image" /><Relationship Target="media/image9.wmf" Id="docRId19" Type="http://schemas.openxmlformats.org/officeDocument/2006/relationships/image" /><Relationship Target="embeddings/oleObject13.bin" Id="docRId26" Type="http://schemas.openxmlformats.org/officeDocument/2006/relationships/oleObject" /><Relationship Target="media/image15.wmf" Id="docRId31" Type="http://schemas.openxmlformats.org/officeDocument/2006/relationships/image" /><Relationship Target="media/image2.wmf" Id="docRId5" Type="http://schemas.openxmlformats.org/officeDocument/2006/relationships/image" /><Relationship Target="embeddings/oleObject8.bin" Id="docRId16" Type="http://schemas.openxmlformats.org/officeDocument/2006/relationships/oleObject" /><Relationship Target="media/image12.wmf" Id="docRId25" Type="http://schemas.openxmlformats.org/officeDocument/2006/relationships/image" /><Relationship Target="embeddings/oleObject16.bin" Id="docRId32" Type="http://schemas.openxmlformats.org/officeDocument/2006/relationships/oleObject" /><Relationship Target="embeddings/oleObject2.bin" Id="docRId4" Type="http://schemas.openxmlformats.org/officeDocument/2006/relationships/oleObject" /><Relationship Target="media/image8.wmf" Id="docRId17" Type="http://schemas.openxmlformats.org/officeDocument/2006/relationships/image" /><Relationship Target="embeddings/oleObject12.bin" Id="docRId24" Type="http://schemas.openxmlformats.org/officeDocument/2006/relationships/oleObject" /><Relationship Target="media/image16.wmf" Id="docRId33" Type="http://schemas.openxmlformats.org/officeDocument/2006/relationships/image" /></Relationships>
</file>