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D8" w:rsidRPr="00D97B5F" w:rsidRDefault="00170DB6" w:rsidP="00170DB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70DB6">
        <w:rPr>
          <w:rFonts w:ascii="Times New Roman" w:eastAsia="Arial" w:hAnsi="Times New Roman" w:cs="Times New Roman"/>
          <w:b/>
          <w:sz w:val="24"/>
          <w:szCs w:val="24"/>
          <w:lang w:val="en-GB" w:eastAsia="es-ES_tradnl"/>
        </w:rPr>
        <w:t xml:space="preserve">Title: </w:t>
      </w:r>
      <w:r w:rsidR="000D33A1" w:rsidRPr="000D33A1">
        <w:rPr>
          <w:rFonts w:ascii="Times New Roman" w:hAnsi="Times New Roman" w:cs="Times New Roman"/>
          <w:b/>
          <w:sz w:val="24"/>
          <w:szCs w:val="24"/>
          <w:lang w:val="en-US"/>
        </w:rPr>
        <w:t>Gender differences in self-management activation among patients with multiple chronic diseases: a qualitative study</w:t>
      </w:r>
    </w:p>
    <w:p w:rsidR="00D97B5F" w:rsidRDefault="006A5C38" w:rsidP="00170DB6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highlight w:val="white"/>
          <w:lang w:val="en-GB" w:eastAsia="es-ES_tradnl"/>
        </w:rPr>
      </w:pPr>
      <w:r>
        <w:rPr>
          <w:rFonts w:ascii="Times New Roman" w:eastAsia="Arial" w:hAnsi="Times New Roman" w:cs="Times New Roman"/>
          <w:b/>
          <w:sz w:val="24"/>
          <w:szCs w:val="24"/>
          <w:highlight w:val="white"/>
          <w:lang w:val="en-GB" w:eastAsia="es-ES_tradnl"/>
        </w:rPr>
        <w:t xml:space="preserve">Additional </w:t>
      </w:r>
      <w:r w:rsidR="007B18D8">
        <w:rPr>
          <w:rFonts w:ascii="Times New Roman" w:eastAsia="Arial" w:hAnsi="Times New Roman" w:cs="Times New Roman"/>
          <w:b/>
          <w:sz w:val="24"/>
          <w:szCs w:val="24"/>
          <w:highlight w:val="white"/>
          <w:lang w:val="en-GB" w:eastAsia="es-ES_tradnl"/>
        </w:rPr>
        <w:t xml:space="preserve">File 1 </w:t>
      </w:r>
    </w:p>
    <w:p w:rsidR="00170DB6" w:rsidRPr="00170DB6" w:rsidRDefault="00170DB6" w:rsidP="00170DB6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  <w:highlight w:val="white"/>
          <w:lang w:val="en-GB" w:eastAsia="es-ES_tradnl"/>
        </w:rPr>
      </w:pPr>
      <w:r w:rsidRPr="007B18D8">
        <w:rPr>
          <w:rFonts w:ascii="Times New Roman" w:eastAsia="Arial" w:hAnsi="Times New Roman" w:cs="Times New Roman"/>
          <w:sz w:val="24"/>
          <w:szCs w:val="24"/>
          <w:highlight w:val="white"/>
          <w:lang w:val="en-GB" w:eastAsia="es-ES_tradnl"/>
        </w:rPr>
        <w:t>Table 1</w:t>
      </w:r>
      <w:r w:rsidR="00E6339E" w:rsidRPr="007B18D8">
        <w:rPr>
          <w:rFonts w:ascii="Times New Roman" w:eastAsia="Arial" w:hAnsi="Times New Roman" w:cs="Times New Roman"/>
          <w:sz w:val="24"/>
          <w:szCs w:val="24"/>
          <w:highlight w:val="white"/>
          <w:lang w:val="en-GB" w:eastAsia="es-ES_tradnl"/>
        </w:rPr>
        <w:t xml:space="preserve">. </w:t>
      </w:r>
      <w:r w:rsidRPr="007B18D8">
        <w:rPr>
          <w:rFonts w:ascii="Times New Roman" w:eastAsia="Arial" w:hAnsi="Times New Roman" w:cs="Times New Roman"/>
          <w:sz w:val="24"/>
          <w:szCs w:val="24"/>
          <w:highlight w:val="white"/>
          <w:lang w:val="en-GB" w:eastAsia="es-ES_tradnl"/>
        </w:rPr>
        <w:t>Characteristics of 43 patients. Data are presented as mean (SD) or n (%)</w:t>
      </w:r>
    </w:p>
    <w:tbl>
      <w:tblPr>
        <w:tblW w:w="8940" w:type="dxa"/>
        <w:tblLayout w:type="fixed"/>
        <w:tblLook w:val="0600" w:firstRow="0" w:lastRow="0" w:firstColumn="0" w:lastColumn="0" w:noHBand="1" w:noVBand="1"/>
      </w:tblPr>
      <w:tblGrid>
        <w:gridCol w:w="2640"/>
        <w:gridCol w:w="2655"/>
        <w:gridCol w:w="2325"/>
        <w:gridCol w:w="1320"/>
      </w:tblGrid>
      <w:tr w:rsidR="00170DB6" w:rsidRPr="00170DB6" w:rsidTr="005E1F91">
        <w:tc>
          <w:tcPr>
            <w:tcW w:w="264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0DB6" w:rsidRPr="00170DB6" w:rsidRDefault="00170DB6" w:rsidP="00170D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  <w:t>Characteristic</w:t>
            </w:r>
          </w:p>
        </w:tc>
        <w:tc>
          <w:tcPr>
            <w:tcW w:w="2655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0DB6" w:rsidRPr="00170DB6" w:rsidRDefault="00170DB6" w:rsidP="00170D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  <w:t>Woman n= 23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0DB6" w:rsidRPr="00170DB6" w:rsidRDefault="00170DB6" w:rsidP="00170D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  <w:t>Man n= 20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70DB6" w:rsidRPr="00170DB6" w:rsidRDefault="00170DB6" w:rsidP="00170D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  <w:t>p-value</w:t>
            </w:r>
          </w:p>
        </w:tc>
      </w:tr>
      <w:tr w:rsidR="002A4E23" w:rsidRPr="00170DB6" w:rsidTr="00F74153">
        <w:trPr>
          <w:trHeight w:val="424"/>
        </w:trPr>
        <w:tc>
          <w:tcPr>
            <w:tcW w:w="89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2A4E23" w:rsidRDefault="002A4E23" w:rsidP="002A4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  <w:r w:rsidRPr="002A4E23"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  <w:t>Socioeconomic variables</w:t>
            </w:r>
          </w:p>
        </w:tc>
      </w:tr>
      <w:tr w:rsidR="005E1F91" w:rsidRPr="00170DB6" w:rsidTr="005E1F91">
        <w:trPr>
          <w:trHeight w:val="424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5E1F91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5E1F91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Age (year</w:t>
            </w:r>
            <w:r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s</w:t>
            </w:r>
            <w:r w:rsidRPr="005E1F91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)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68.1 (9.69)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70.3 (8.40)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0.427</w:t>
            </w:r>
          </w:p>
        </w:tc>
      </w:tr>
      <w:tr w:rsidR="005E1F91" w:rsidRPr="00170DB6" w:rsidTr="005E1F91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5E1F91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5E1F91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Education level                                                                                                                              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0.823</w:t>
            </w:r>
          </w:p>
        </w:tc>
      </w:tr>
      <w:tr w:rsidR="005E1F91" w:rsidRPr="00170DB6" w:rsidTr="005E1F91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2A4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Only read and write 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4 (17.4%)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2 (10.0%)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170DB6" w:rsidTr="005E1F91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2A4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Primary (School Graduate) 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5 (21.7%)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5 (25.0%)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170DB6" w:rsidTr="005E1F91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2A4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Secondary (Compulsory Secondary Education, Baccalaureate, Intermediate Training Cycle) 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7 (30.4%)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9 (45.0%)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170DB6" w:rsidTr="005E1F91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2A4E23">
            <w:pPr>
              <w:widowControl w:val="0"/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Diploma/Degree or Higher Degree Training Cycle 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6 (26.1%)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3 (15.0%)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170DB6" w:rsidTr="005E1F91">
        <w:tc>
          <w:tcPr>
            <w:tcW w:w="264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2A4E23">
            <w:pPr>
              <w:widowControl w:val="0"/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Bachelor's/Master's degree and/or PhD</w:t>
            </w:r>
          </w:p>
        </w:tc>
        <w:tc>
          <w:tcPr>
            <w:tcW w:w="2655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 (4.35%)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 (5.00%)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5E1F91" w:rsidTr="005E1F91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5E1F91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5E1F91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Employment status                                                                                                                       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5E1F91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5E1F91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5E1F91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5E1F91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0.462</w:t>
            </w:r>
          </w:p>
        </w:tc>
      </w:tr>
      <w:tr w:rsidR="005E1F91" w:rsidRPr="00170DB6" w:rsidTr="005E1F91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Working 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 (4.35%)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 (5.00%)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170DB6" w:rsidTr="005E1F91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Unemployed (available and looking for work)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4 (17.4%)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 (5.00%)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170DB6" w:rsidTr="005E1F91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Studying 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 (4.35%)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 (0.00%)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170DB6" w:rsidTr="005E1F91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Retired or pre-retired 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15 (65.2%)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18 (90.0%)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170DB6" w:rsidTr="005E1F91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Permanently disabled 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 (4.35%)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 (0.00%)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170DB6" w:rsidTr="005E1F91">
        <w:tc>
          <w:tcPr>
            <w:tcW w:w="264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Dedicated to housework</w:t>
            </w:r>
          </w:p>
        </w:tc>
        <w:tc>
          <w:tcPr>
            <w:tcW w:w="2655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 (4.35%)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 (0.00%)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5E1F91" w:rsidTr="005E1F91">
        <w:tc>
          <w:tcPr>
            <w:tcW w:w="2640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5E1F91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5E1F91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Number of cohabitants                                                                                                                 </w:t>
            </w:r>
          </w:p>
        </w:tc>
        <w:tc>
          <w:tcPr>
            <w:tcW w:w="2655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5E1F91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</w:p>
        </w:tc>
        <w:tc>
          <w:tcPr>
            <w:tcW w:w="2325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5E1F91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5E1F91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5E1F91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0.380</w:t>
            </w:r>
          </w:p>
        </w:tc>
      </w:tr>
      <w:tr w:rsidR="005E1F91" w:rsidRPr="00170DB6" w:rsidTr="005E1F91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2A4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9 (39.1%)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4 (20.0%)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170DB6" w:rsidTr="005E1F91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2A4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2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10 (43.5%)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13 (65.0%)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170DB6" w:rsidTr="005E1F91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2A4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3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3 (13.0%)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 (5.00%)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170DB6" w:rsidTr="005E1F91">
        <w:tc>
          <w:tcPr>
            <w:tcW w:w="264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2A4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4</w:t>
            </w:r>
          </w:p>
        </w:tc>
        <w:tc>
          <w:tcPr>
            <w:tcW w:w="2655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 (4.35%)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2 (10.0%)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2A4E23" w:rsidRPr="005E1F91" w:rsidTr="00C76697">
        <w:tc>
          <w:tcPr>
            <w:tcW w:w="8940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2A4E23" w:rsidRDefault="002A4E23" w:rsidP="002A4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  <w:r w:rsidRPr="002A4E23"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  <w:t>Lifestyle</w:t>
            </w:r>
            <w:r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  <w:t xml:space="preserve"> factors</w:t>
            </w:r>
          </w:p>
        </w:tc>
      </w:tr>
      <w:tr w:rsidR="005E1F91" w:rsidRPr="005E1F91" w:rsidTr="005E1F91">
        <w:tc>
          <w:tcPr>
            <w:tcW w:w="2640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5E1F91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5E1F91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Eating habits                                                                                                                                  </w:t>
            </w:r>
          </w:p>
        </w:tc>
        <w:tc>
          <w:tcPr>
            <w:tcW w:w="2655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5E1F91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</w:p>
        </w:tc>
        <w:tc>
          <w:tcPr>
            <w:tcW w:w="2325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5E1F91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5E1F91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5E1F91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0.332</w:t>
            </w:r>
          </w:p>
        </w:tc>
      </w:tr>
      <w:tr w:rsidR="005E1F91" w:rsidRPr="00170DB6" w:rsidTr="005E1F91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2A4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Correct 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19 (82.6%)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13 (65.0%)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170DB6" w:rsidTr="005E1F91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2A4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Can be improved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4 (17.4%)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7 (35.0%)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170DB6" w:rsidTr="005E1F91">
        <w:tc>
          <w:tcPr>
            <w:tcW w:w="264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2A4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Risky </w:t>
            </w:r>
          </w:p>
        </w:tc>
        <w:tc>
          <w:tcPr>
            <w:tcW w:w="2655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 (0.00%)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 (0.00%)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5E1F91" w:rsidTr="005E1F91">
        <w:tc>
          <w:tcPr>
            <w:tcW w:w="2640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5E1F91" w:rsidRDefault="005E1F91" w:rsidP="005E1F91">
            <w:pPr>
              <w:spacing w:after="0" w:line="36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5E1F91">
              <w:rPr>
                <w:rFonts w:ascii="Times New Roman" w:eastAsia="Arial" w:hAnsi="Times New Roman" w:cs="Times New Roman"/>
                <w:sz w:val="18"/>
                <w:szCs w:val="18"/>
                <w:lang w:val="en-GB" w:eastAsia="es-ES_tradnl"/>
              </w:rPr>
              <w:lastRenderedPageBreak/>
              <w:t xml:space="preserve">Physical activity                                                                                                                           </w:t>
            </w:r>
          </w:p>
        </w:tc>
        <w:tc>
          <w:tcPr>
            <w:tcW w:w="2655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5E1F91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</w:p>
        </w:tc>
        <w:tc>
          <w:tcPr>
            <w:tcW w:w="2325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5E1F91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5E1F91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5E1F91">
              <w:rPr>
                <w:rFonts w:ascii="Times New Roman" w:eastAsia="Arial" w:hAnsi="Times New Roman" w:cs="Times New Roman"/>
                <w:sz w:val="18"/>
                <w:szCs w:val="18"/>
                <w:lang w:val="en-GB" w:eastAsia="es-ES_tradnl"/>
              </w:rPr>
              <w:t>0.666</w:t>
            </w:r>
          </w:p>
        </w:tc>
      </w:tr>
      <w:tr w:rsidR="005E1F91" w:rsidRPr="00170DB6" w:rsidTr="005E1F91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2A4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Sufficiently active 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16 (69.6%)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16 (80.0%)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170DB6" w:rsidTr="005E1F91">
        <w:tc>
          <w:tcPr>
            <w:tcW w:w="264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2A4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Insufficiently active</w:t>
            </w:r>
          </w:p>
        </w:tc>
        <w:tc>
          <w:tcPr>
            <w:tcW w:w="2655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7 (30.4%)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4 (20.0%)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5E1F91" w:rsidTr="005E1F91">
        <w:tc>
          <w:tcPr>
            <w:tcW w:w="2640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5E1F91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5E1F91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Smoking habits                                                                                                                               </w:t>
            </w:r>
          </w:p>
        </w:tc>
        <w:tc>
          <w:tcPr>
            <w:tcW w:w="2655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5E1F91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</w:p>
        </w:tc>
        <w:tc>
          <w:tcPr>
            <w:tcW w:w="2325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5E1F91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5E1F91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5E1F91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0.179</w:t>
            </w:r>
          </w:p>
        </w:tc>
      </w:tr>
      <w:tr w:rsidR="005E1F91" w:rsidRPr="00170DB6" w:rsidTr="005E1F91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2A4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Non-smokers without a tobacco environment 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15 (65.2%)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8 (40.0%)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170DB6" w:rsidTr="005E1F91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2A4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Passive smoker 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 (4.35%)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 (0.00%)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170DB6" w:rsidTr="005E1F91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2A4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Daily smoker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 (4.35%)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4 (20.0%)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170DB6" w:rsidTr="005E1F91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2A4E23">
            <w:pPr>
              <w:widowControl w:val="0"/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Ex-smoker with a tobacco environment 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 (4.35%)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 (5.00%)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170DB6" w:rsidTr="005E1F91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2A4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Ex-smokers without a tobacco environment 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 4 (17.4%)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7 (35.0%)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170DB6" w:rsidTr="005E1F91">
        <w:tc>
          <w:tcPr>
            <w:tcW w:w="264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2A4E23">
            <w:pPr>
              <w:widowControl w:val="0"/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Quitting smoking </w:t>
            </w:r>
          </w:p>
        </w:tc>
        <w:tc>
          <w:tcPr>
            <w:tcW w:w="2655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 (4.35%)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 (0.00%)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5E1F91" w:rsidTr="005E1F91">
        <w:tc>
          <w:tcPr>
            <w:tcW w:w="2640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5E1F91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5E1F91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Alcohol consumption                                                                                                                    </w:t>
            </w:r>
          </w:p>
        </w:tc>
        <w:tc>
          <w:tcPr>
            <w:tcW w:w="2655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5E1F91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</w:p>
        </w:tc>
        <w:tc>
          <w:tcPr>
            <w:tcW w:w="2325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5E1F91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5E1F91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5E1F91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0.040</w:t>
            </w:r>
          </w:p>
        </w:tc>
      </w:tr>
      <w:tr w:rsidR="005E1F91" w:rsidRPr="00170DB6" w:rsidTr="005E1F91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2A4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Abstention 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14 (60.9%)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5 (25.0%)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170DB6" w:rsidTr="005E1F91">
        <w:tc>
          <w:tcPr>
            <w:tcW w:w="264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2A4E23">
            <w:pPr>
              <w:widowControl w:val="0"/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Low risk </w:t>
            </w:r>
          </w:p>
        </w:tc>
        <w:tc>
          <w:tcPr>
            <w:tcW w:w="2655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9 (39.1%)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15 (75.0%)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5E1F91" w:rsidTr="005E1F91">
        <w:trPr>
          <w:trHeight w:val="440"/>
        </w:trPr>
        <w:tc>
          <w:tcPr>
            <w:tcW w:w="89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5E1F91" w:rsidRDefault="005E1F91" w:rsidP="005E1F91">
            <w:pPr>
              <w:widowControl w:val="0"/>
              <w:spacing w:after="0" w:line="308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  <w:r w:rsidRPr="005E1F91"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  <w:t>Chronic diseases</w:t>
            </w:r>
          </w:p>
        </w:tc>
      </w:tr>
      <w:tr w:rsidR="002A4E23" w:rsidRPr="005E1F91" w:rsidTr="00D14198">
        <w:tc>
          <w:tcPr>
            <w:tcW w:w="2640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5E1F91" w:rsidRDefault="002A4E23" w:rsidP="00D14198">
            <w:pPr>
              <w:widowControl w:val="0"/>
              <w:spacing w:after="0" w:line="308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5E1F91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Number of chronic diseases                                                                                                          </w:t>
            </w:r>
          </w:p>
        </w:tc>
        <w:tc>
          <w:tcPr>
            <w:tcW w:w="2655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5E1F91" w:rsidRDefault="002A4E23" w:rsidP="00D1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</w:p>
        </w:tc>
        <w:tc>
          <w:tcPr>
            <w:tcW w:w="2325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5E1F91" w:rsidRDefault="002A4E23" w:rsidP="00D1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5E1F91" w:rsidRDefault="002A4E23" w:rsidP="00D1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5E1F91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0.794</w:t>
            </w:r>
          </w:p>
        </w:tc>
      </w:tr>
      <w:tr w:rsidR="002A4E23" w:rsidRPr="00170DB6" w:rsidTr="00D14198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170DB6" w:rsidRDefault="002A4E23" w:rsidP="00D14198">
            <w:pPr>
              <w:widowControl w:val="0"/>
              <w:spacing w:after="0" w:line="307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2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170DB6" w:rsidRDefault="002A4E23" w:rsidP="00D1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4 (100%)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170DB6" w:rsidRDefault="002A4E23" w:rsidP="00D1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 (0.00%)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170DB6" w:rsidRDefault="002A4E23" w:rsidP="00D1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2A4E23" w:rsidRPr="00170DB6" w:rsidTr="00D14198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170DB6" w:rsidRDefault="002A4E23" w:rsidP="00D14198">
            <w:pPr>
              <w:widowControl w:val="0"/>
              <w:spacing w:after="0" w:line="307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3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170DB6" w:rsidRDefault="002A4E23" w:rsidP="00D1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3 (42.9%)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170DB6" w:rsidRDefault="002A4E23" w:rsidP="00D1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4 (57.1%)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170DB6" w:rsidRDefault="002A4E23" w:rsidP="00D1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2A4E23" w:rsidRPr="00170DB6" w:rsidTr="00D14198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170DB6" w:rsidRDefault="002A4E23" w:rsidP="00D14198">
            <w:pPr>
              <w:widowControl w:val="0"/>
              <w:spacing w:after="0" w:line="307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4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170DB6" w:rsidRDefault="002A4E23" w:rsidP="00D1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4 (33.3%)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170DB6" w:rsidRDefault="002A4E23" w:rsidP="00D1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8 (66.7%)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170DB6" w:rsidRDefault="002A4E23" w:rsidP="00D1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2A4E23" w:rsidRPr="00170DB6" w:rsidTr="00D14198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170DB6" w:rsidRDefault="002A4E23" w:rsidP="00D14198">
            <w:pPr>
              <w:widowControl w:val="0"/>
              <w:spacing w:after="0" w:line="307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5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170DB6" w:rsidRDefault="002A4E23" w:rsidP="00D1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9 (69.2%)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170DB6" w:rsidRDefault="002A4E23" w:rsidP="00D1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4 (30.8%)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170DB6" w:rsidRDefault="002A4E23" w:rsidP="00D1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2A4E23" w:rsidRPr="00170DB6" w:rsidTr="00D14198"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170DB6" w:rsidRDefault="002A4E23" w:rsidP="00D14198">
            <w:pPr>
              <w:widowControl w:val="0"/>
              <w:spacing w:after="0" w:line="307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6</w:t>
            </w: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170DB6" w:rsidRDefault="002A4E23" w:rsidP="00D1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3 (50.0%)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170DB6" w:rsidRDefault="002A4E23" w:rsidP="00D1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3 (50.0%)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170DB6" w:rsidRDefault="002A4E23" w:rsidP="00D1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2A4E23" w:rsidRPr="00170DB6" w:rsidTr="00D14198">
        <w:tc>
          <w:tcPr>
            <w:tcW w:w="264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170DB6" w:rsidRDefault="002A4E23" w:rsidP="00D14198">
            <w:pPr>
              <w:widowControl w:val="0"/>
              <w:spacing w:after="0" w:line="307" w:lineRule="auto"/>
              <w:ind w:left="284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7</w:t>
            </w:r>
          </w:p>
        </w:tc>
        <w:tc>
          <w:tcPr>
            <w:tcW w:w="2655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170DB6" w:rsidRDefault="002A4E23" w:rsidP="00D1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 (0.00%)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170DB6" w:rsidRDefault="002A4E23" w:rsidP="00D1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 (100%)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A4E23" w:rsidRPr="00170DB6" w:rsidRDefault="002A4E23" w:rsidP="00D14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</w:p>
        </w:tc>
      </w:tr>
      <w:tr w:rsidR="005E1F91" w:rsidRPr="00170DB6" w:rsidTr="005E1F91"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spacing w:after="0" w:line="308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Type 2 diabetes mellitus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9 (39.1%)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17 (85.0%)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0.006</w:t>
            </w:r>
          </w:p>
        </w:tc>
      </w:tr>
      <w:tr w:rsidR="005E1F91" w:rsidRPr="00170DB6" w:rsidTr="005E1F91"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spacing w:after="0" w:line="308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Type 1 diabetes mellitus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2 (8.70%)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 (0.00%)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0.491</w:t>
            </w:r>
          </w:p>
        </w:tc>
      </w:tr>
      <w:tr w:rsidR="005E1F91" w:rsidRPr="00170DB6" w:rsidTr="005E1F91"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spacing w:after="0" w:line="308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A</w:t>
            </w:r>
            <w:hyperlink r:id="rId4">
              <w:r w:rsidRPr="00170DB6">
                <w:rPr>
                  <w:rFonts w:ascii="Times New Roman" w:eastAsia="Arial" w:hAnsi="Times New Roman" w:cs="Times New Roman"/>
                  <w:sz w:val="18"/>
                  <w:szCs w:val="18"/>
                  <w:highlight w:val="white"/>
                  <w:lang w:val="en-GB" w:eastAsia="es-ES_tradnl"/>
                </w:rPr>
                <w:t>rterial hypertension</w:t>
              </w:r>
            </w:hyperlink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18 (78.3%)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19 (95.0%)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0.192</w:t>
            </w:r>
          </w:p>
        </w:tc>
      </w:tr>
      <w:tr w:rsidR="005E1F91" w:rsidRPr="00170DB6" w:rsidTr="005E1F91"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spacing w:after="0" w:line="308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C</w:t>
            </w:r>
            <w:hyperlink r:id="rId5">
              <w:r w:rsidRPr="00170DB6">
                <w:rPr>
                  <w:rFonts w:ascii="Times New Roman" w:eastAsia="Arial" w:hAnsi="Times New Roman" w:cs="Times New Roman"/>
                  <w:sz w:val="18"/>
                  <w:szCs w:val="18"/>
                  <w:highlight w:val="white"/>
                  <w:lang w:val="en-GB" w:eastAsia="es-ES_tradnl"/>
                </w:rPr>
                <w:t>hronic kidney failure</w:t>
              </w:r>
            </w:hyperlink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6 (26.1%)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6 (30.0%)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1.000</w:t>
            </w:r>
          </w:p>
        </w:tc>
      </w:tr>
      <w:tr w:rsidR="005E1F91" w:rsidRPr="00170DB6" w:rsidTr="005E1F91"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spacing w:after="0" w:line="308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Dyslipidaemia 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14 (60.9%)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11 (55.0%)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0.937</w:t>
            </w:r>
          </w:p>
        </w:tc>
      </w:tr>
      <w:tr w:rsidR="005E1F91" w:rsidRPr="00170DB6" w:rsidTr="005E1F91"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spacing w:after="0" w:line="308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Myasthenia gravis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 (4.35%)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 (0.00%)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1.000</w:t>
            </w:r>
          </w:p>
        </w:tc>
      </w:tr>
      <w:tr w:rsidR="005E1F91" w:rsidRPr="00170DB6" w:rsidTr="005E1F91"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spacing w:after="0" w:line="308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Chronic obstructive pulmonary disease/Asthma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2 (8.70%)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5 (25.0%)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0.222</w:t>
            </w:r>
          </w:p>
        </w:tc>
      </w:tr>
      <w:tr w:rsidR="005E1F91" w:rsidRPr="00170DB6" w:rsidTr="005E1F91"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spacing w:after="0" w:line="308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lastRenderedPageBreak/>
              <w:t xml:space="preserve">Musculoskeletal disorders 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11 (47.8%)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7 (35.0%)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0.589</w:t>
            </w:r>
          </w:p>
        </w:tc>
      </w:tr>
      <w:tr w:rsidR="005E1F91" w:rsidRPr="00170DB6" w:rsidTr="005E1F91"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spacing w:after="0" w:line="308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Obesity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11 (47.8%)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8 (40.0%)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0.836</w:t>
            </w:r>
          </w:p>
        </w:tc>
      </w:tr>
      <w:tr w:rsidR="005E1F91" w:rsidRPr="00170DB6" w:rsidTr="005E1F91">
        <w:trPr>
          <w:trHeight w:val="111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spacing w:after="0" w:line="308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 xml:space="preserve">Ischemic heart disease 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3 (13.0%)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6 (30.0%)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0.263</w:t>
            </w:r>
          </w:p>
        </w:tc>
      </w:tr>
      <w:tr w:rsidR="005E1F91" w:rsidRPr="00170DB6" w:rsidTr="005E1F91"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spacing w:after="0" w:line="308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Skin disorder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2 (8.70%)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 (0.00%)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0.491</w:t>
            </w:r>
          </w:p>
        </w:tc>
      </w:tr>
      <w:tr w:rsidR="005E1F91" w:rsidRPr="00170DB6" w:rsidTr="005E1F91"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spacing w:after="0" w:line="308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Anxiety disorder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7 (30.4%)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2 (10.0%)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0.142</w:t>
            </w:r>
          </w:p>
        </w:tc>
      </w:tr>
      <w:tr w:rsidR="005E1F91" w:rsidRPr="00170DB6" w:rsidTr="005E1F91"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spacing w:after="0" w:line="308" w:lineRule="auto"/>
              <w:rPr>
                <w:rFonts w:ascii="Times New Roman" w:eastAsia="Roboto Condensed" w:hAnsi="Times New Roman" w:cs="Times New Roman"/>
                <w:color w:val="1155CC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At</w:t>
            </w:r>
            <w:hyperlink r:id="rId6">
              <w:r w:rsidRPr="00170DB6">
                <w:rPr>
                  <w:rFonts w:ascii="Times New Roman" w:eastAsia="Arial" w:hAnsi="Times New Roman" w:cs="Times New Roman"/>
                  <w:sz w:val="18"/>
                  <w:szCs w:val="18"/>
                  <w:highlight w:val="white"/>
                  <w:lang w:val="en-GB" w:eastAsia="es-ES_tradnl"/>
                </w:rPr>
                <w:t>rial fibrillation</w:t>
              </w:r>
            </w:hyperlink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4 (17.4%)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3 (15.0%)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1.000</w:t>
            </w:r>
          </w:p>
        </w:tc>
      </w:tr>
      <w:tr w:rsidR="005E1F91" w:rsidRPr="00170DB6" w:rsidTr="005E1F91"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spacing w:after="0" w:line="308" w:lineRule="auto"/>
              <w:rPr>
                <w:rFonts w:ascii="Times New Roman" w:eastAsia="Roboto Condensed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Cancer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4 (17.4%)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4 (20.0%)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1.000</w:t>
            </w:r>
          </w:p>
        </w:tc>
      </w:tr>
      <w:tr w:rsidR="005E1F91" w:rsidRPr="00170DB6" w:rsidTr="005E1F91"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spacing w:after="0" w:line="308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Human Immunodeficiency Virus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 (4.35%)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 (5.00%)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1.000</w:t>
            </w:r>
          </w:p>
        </w:tc>
      </w:tr>
      <w:tr w:rsidR="005E1F91" w:rsidRPr="00170DB6" w:rsidTr="005E1F91"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spacing w:after="0" w:line="308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M</w:t>
            </w:r>
            <w:hyperlink r:id="rId7">
              <w:r w:rsidRPr="00170DB6">
                <w:rPr>
                  <w:rFonts w:ascii="Times New Roman" w:eastAsia="Arial" w:hAnsi="Times New Roman" w:cs="Times New Roman"/>
                  <w:sz w:val="18"/>
                  <w:szCs w:val="18"/>
                  <w:highlight w:val="white"/>
                  <w:lang w:val="en-GB" w:eastAsia="es-ES_tradnl"/>
                </w:rPr>
                <w:t>ultiple sclerosis</w:t>
              </w:r>
            </w:hyperlink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 (4.35%)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0 (0.00%)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F91" w:rsidRPr="00170DB6" w:rsidRDefault="005E1F91" w:rsidP="005E1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</w:pPr>
            <w:r w:rsidRPr="00170DB6">
              <w:rPr>
                <w:rFonts w:ascii="Times New Roman" w:eastAsia="Arial" w:hAnsi="Times New Roman" w:cs="Times New Roman"/>
                <w:sz w:val="18"/>
                <w:szCs w:val="18"/>
                <w:highlight w:val="white"/>
                <w:lang w:val="en-GB" w:eastAsia="es-ES_tradnl"/>
              </w:rPr>
              <w:t>1.000</w:t>
            </w:r>
          </w:p>
        </w:tc>
      </w:tr>
    </w:tbl>
    <w:p w:rsidR="00534A8B" w:rsidRPr="00534A8B" w:rsidRDefault="00534A8B" w:rsidP="00534A8B">
      <w:pPr>
        <w:spacing w:line="276" w:lineRule="auto"/>
        <w:jc w:val="both"/>
        <w:rPr>
          <w:rFonts w:ascii="Times New Roman" w:hAnsi="Times New Roman" w:cs="Times New Roman"/>
          <w:i/>
          <w:lang w:val="en-GB"/>
        </w:rPr>
      </w:pPr>
    </w:p>
    <w:p w:rsidR="00EC7B9D" w:rsidRPr="00534A8B" w:rsidRDefault="0041676F" w:rsidP="00534A8B">
      <w:pPr>
        <w:spacing w:line="276" w:lineRule="auto"/>
        <w:jc w:val="both"/>
        <w:rPr>
          <w:rFonts w:ascii="Times New Roman" w:hAnsi="Times New Roman" w:cs="Times New Roman"/>
          <w:i/>
          <w:lang w:val="en-GB"/>
        </w:rPr>
      </w:pPr>
      <w:r w:rsidRPr="00534A8B">
        <w:rPr>
          <w:rFonts w:ascii="Times New Roman" w:hAnsi="Times New Roman" w:cs="Times New Roman"/>
          <w:i/>
          <w:lang w:val="en-GB"/>
        </w:rPr>
        <w:t>P-values refer to comparisons between male and female participants. For categorical variables with multiple categories (e.g., education level), a global p-value from a Chi-square test is reported. For binary variables (e.g., individual chronic diseases), separate p-values from a Chi-square test (or Fisher’s exact test, where appropriate) are presented.</w:t>
      </w:r>
      <w:bookmarkStart w:id="0" w:name="_GoBack"/>
      <w:bookmarkEnd w:id="0"/>
    </w:p>
    <w:sectPr w:rsidR="00EC7B9D" w:rsidRPr="00534A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 Condensed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K3MDAyszA1NzQysDRT0lEKTi0uzszPAykwrAUAnmnnkiwAAAA="/>
  </w:docVars>
  <w:rsids>
    <w:rsidRoot w:val="00170DB6"/>
    <w:rsid w:val="000D33A1"/>
    <w:rsid w:val="000F13F9"/>
    <w:rsid w:val="00170DB6"/>
    <w:rsid w:val="002A4E23"/>
    <w:rsid w:val="0041676F"/>
    <w:rsid w:val="00534A8B"/>
    <w:rsid w:val="005E1F91"/>
    <w:rsid w:val="006A5C38"/>
    <w:rsid w:val="007B18D8"/>
    <w:rsid w:val="00D97B5F"/>
    <w:rsid w:val="00E6339E"/>
    <w:rsid w:val="00EC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0DE8"/>
  <w15:chartTrackingRefBased/>
  <w15:docId w15:val="{27D14A4D-18DB-4D69-8F58-F2F629872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linguee.es/ingles-espanol/traduccion/multiple+sclerosis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nguee.es/ingles-espanol/traduccion/atrial+fibrillation.html" TargetMode="External"/><Relationship Id="rId5" Type="http://schemas.openxmlformats.org/officeDocument/2006/relationships/hyperlink" Target="https://www.linguee.es/ingles-espanol/traduccion/chronic+kidney+failure.html" TargetMode="External"/><Relationship Id="rId4" Type="http://schemas.openxmlformats.org/officeDocument/2006/relationships/hyperlink" Target="https://www.linguee.es/ingles-espanol/traduccion/arterial+hypertension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686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Tomás Mateos</dc:creator>
  <cp:keywords/>
  <dc:description/>
  <cp:lastModifiedBy>Microsoft Office User</cp:lastModifiedBy>
  <cp:revision>2</cp:revision>
  <dcterms:created xsi:type="dcterms:W3CDTF">2025-05-31T11:43:00Z</dcterms:created>
  <dcterms:modified xsi:type="dcterms:W3CDTF">2025-05-31T11:43:00Z</dcterms:modified>
</cp:coreProperties>
</file>