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A42EA" w14:textId="53A48854" w:rsidR="009B006F" w:rsidRPr="005D42F1" w:rsidRDefault="00947163" w:rsidP="00052AF4">
      <w:pPr>
        <w:pStyle w:val="Title"/>
        <w:rPr>
          <w:sz w:val="52"/>
          <w:szCs w:val="52"/>
          <w:lang w:val="en-GB"/>
        </w:rPr>
      </w:pPr>
      <w:r w:rsidRPr="0DF31873">
        <w:rPr>
          <w:sz w:val="52"/>
          <w:szCs w:val="52"/>
          <w:lang w:val="en-GB"/>
        </w:rPr>
        <w:t xml:space="preserve">Supplemental </w:t>
      </w:r>
      <w:r w:rsidR="00DD4AB8" w:rsidRPr="0DF31873">
        <w:rPr>
          <w:sz w:val="52"/>
          <w:szCs w:val="52"/>
          <w:lang w:val="en-GB"/>
        </w:rPr>
        <w:t>Appendix</w:t>
      </w:r>
      <w:r w:rsidRPr="0DF31873">
        <w:rPr>
          <w:sz w:val="52"/>
          <w:szCs w:val="52"/>
          <w:lang w:val="en-GB"/>
        </w:rPr>
        <w:t>:</w:t>
      </w:r>
      <w:r w:rsidR="007569F5">
        <w:rPr>
          <w:sz w:val="52"/>
          <w:szCs w:val="52"/>
          <w:lang w:val="en-GB"/>
        </w:rPr>
        <w:t xml:space="preserve"> Pregnancy-related death</w:t>
      </w:r>
      <w:r w:rsidR="00FC7390">
        <w:rPr>
          <w:sz w:val="52"/>
          <w:szCs w:val="52"/>
          <w:lang w:val="en-GB"/>
        </w:rPr>
        <w:t xml:space="preserve"> rates</w:t>
      </w:r>
      <w:r w:rsidR="381C4A8E" w:rsidRPr="0DF31873">
        <w:rPr>
          <w:sz w:val="52"/>
          <w:szCs w:val="52"/>
          <w:lang w:val="en-GB"/>
        </w:rPr>
        <w:t xml:space="preserve"> </w:t>
      </w:r>
      <w:r w:rsidR="00AD2E33" w:rsidRPr="0DF31873">
        <w:rPr>
          <w:sz w:val="52"/>
          <w:szCs w:val="52"/>
          <w:lang w:val="en-GB"/>
        </w:rPr>
        <w:t>by county, race, and ethnicity in the US, 2000–</w:t>
      </w:r>
      <w:r w:rsidR="007569F5">
        <w:rPr>
          <w:sz w:val="52"/>
          <w:szCs w:val="52"/>
          <w:lang w:val="en-GB"/>
        </w:rPr>
        <w:t>20</w:t>
      </w:r>
      <w:r w:rsidR="00AD2E33" w:rsidRPr="0DF31873">
        <w:rPr>
          <w:sz w:val="52"/>
          <w:szCs w:val="52"/>
          <w:lang w:val="en-GB"/>
        </w:rPr>
        <w:t>1</w:t>
      </w:r>
      <w:r w:rsidR="054CC83A" w:rsidRPr="0DF31873">
        <w:rPr>
          <w:sz w:val="52"/>
          <w:szCs w:val="52"/>
          <w:lang w:val="en-GB"/>
        </w:rPr>
        <w:t>9</w:t>
      </w:r>
    </w:p>
    <w:p w14:paraId="05E589AE" w14:textId="69A7A14F" w:rsidR="00B643A1" w:rsidRPr="004C277A" w:rsidRDefault="00B643A1" w:rsidP="00A467F8">
      <w:pPr>
        <w:spacing w:after="0" w:line="360" w:lineRule="auto"/>
        <w:contextualSpacing/>
        <w:rPr>
          <w:rFonts w:asciiTheme="majorHAnsi" w:hAnsiTheme="majorHAnsi" w:cstheme="majorHAnsi"/>
          <w:lang w:val="en-GB"/>
        </w:rPr>
      </w:pPr>
    </w:p>
    <w:sdt>
      <w:sdtPr>
        <w:rPr>
          <w:rFonts w:asciiTheme="minorHAnsi" w:eastAsiaTheme="minorEastAsia" w:hAnsiTheme="minorHAnsi" w:cstheme="majorHAnsi"/>
          <w:color w:val="auto"/>
          <w:sz w:val="22"/>
          <w:szCs w:val="22"/>
          <w:shd w:val="clear" w:color="auto" w:fill="E6E6E6"/>
          <w:lang w:val="en-GB"/>
        </w:rPr>
        <w:id w:val="154040000"/>
        <w:docPartObj>
          <w:docPartGallery w:val="Table of Contents"/>
          <w:docPartUnique/>
        </w:docPartObj>
      </w:sdtPr>
      <w:sdtEndPr>
        <w:rPr>
          <w:b/>
          <w:bCs/>
          <w:noProof/>
        </w:rPr>
      </w:sdtEndPr>
      <w:sdtContent>
        <w:p w14:paraId="76C85A7B" w14:textId="58F7A3B8" w:rsidR="00686D14" w:rsidRPr="00905607" w:rsidRDefault="00686D14" w:rsidP="00A467F8">
          <w:pPr>
            <w:pStyle w:val="TOCHeading"/>
            <w:spacing w:before="0" w:line="360" w:lineRule="auto"/>
            <w:contextualSpacing/>
            <w:rPr>
              <w:rFonts w:cstheme="majorHAnsi"/>
              <w:color w:val="auto"/>
              <w:lang w:val="en-GB"/>
            </w:rPr>
          </w:pPr>
          <w:r w:rsidRPr="00905607">
            <w:rPr>
              <w:rFonts w:cstheme="majorHAnsi"/>
              <w:color w:val="auto"/>
              <w:lang w:val="en-GB"/>
            </w:rPr>
            <w:t>Contents</w:t>
          </w:r>
        </w:p>
        <w:p w14:paraId="5EEE49D6" w14:textId="4DC3C653" w:rsidR="0069775F" w:rsidRPr="00C46E61" w:rsidRDefault="00686D14">
          <w:pPr>
            <w:pStyle w:val="TOC1"/>
            <w:tabs>
              <w:tab w:val="right" w:leader="dot" w:pos="9350"/>
            </w:tabs>
            <w:rPr>
              <w:rFonts w:asciiTheme="majorHAnsi" w:eastAsiaTheme="minorEastAsia" w:hAnsiTheme="majorHAnsi" w:cstheme="majorHAnsi"/>
              <w:noProof/>
              <w:kern w:val="2"/>
              <w:sz w:val="24"/>
              <w:szCs w:val="24"/>
              <w14:ligatures w14:val="standardContextual"/>
            </w:rPr>
          </w:pPr>
          <w:r w:rsidRPr="00C46E61">
            <w:rPr>
              <w:rFonts w:asciiTheme="majorHAnsi" w:hAnsiTheme="majorHAnsi" w:cstheme="majorHAnsi"/>
              <w:color w:val="2B579A"/>
              <w:shd w:val="clear" w:color="auto" w:fill="E6E6E6"/>
              <w:lang w:val="en-GB"/>
            </w:rPr>
            <w:fldChar w:fldCharType="begin"/>
          </w:r>
          <w:r w:rsidRPr="00C46E61">
            <w:rPr>
              <w:rFonts w:asciiTheme="majorHAnsi" w:hAnsiTheme="majorHAnsi" w:cstheme="majorHAnsi"/>
              <w:lang w:val="en-GB"/>
            </w:rPr>
            <w:instrText xml:space="preserve"> TOC \o "1-3" \h \z \u </w:instrText>
          </w:r>
          <w:r w:rsidRPr="00C46E61">
            <w:rPr>
              <w:rFonts w:asciiTheme="majorHAnsi" w:hAnsiTheme="majorHAnsi" w:cstheme="majorHAnsi"/>
              <w:color w:val="2B579A"/>
              <w:shd w:val="clear" w:color="auto" w:fill="E6E6E6"/>
              <w:lang w:val="en-GB"/>
            </w:rPr>
            <w:fldChar w:fldCharType="separate"/>
          </w:r>
          <w:hyperlink w:anchor="_Toc175308170" w:history="1">
            <w:r w:rsidR="0069775F" w:rsidRPr="00C46E61">
              <w:rPr>
                <w:rStyle w:val="Hyperlink"/>
                <w:rFonts w:asciiTheme="majorHAnsi" w:hAnsiTheme="majorHAnsi" w:cstheme="majorHAnsi"/>
                <w:noProof/>
                <w:lang w:val="en-GB"/>
              </w:rPr>
              <w:t>1 GATHER Checklist</w:t>
            </w:r>
            <w:r w:rsidR="0069775F" w:rsidRPr="00C46E61">
              <w:rPr>
                <w:rFonts w:asciiTheme="majorHAnsi" w:hAnsiTheme="majorHAnsi" w:cstheme="majorHAnsi"/>
                <w:noProof/>
                <w:webHidden/>
              </w:rPr>
              <w:tab/>
            </w:r>
            <w:r w:rsidR="0069775F" w:rsidRPr="00C46E61">
              <w:rPr>
                <w:rFonts w:asciiTheme="majorHAnsi" w:hAnsiTheme="majorHAnsi" w:cstheme="majorHAnsi"/>
                <w:noProof/>
                <w:webHidden/>
              </w:rPr>
              <w:fldChar w:fldCharType="begin"/>
            </w:r>
            <w:r w:rsidR="0069775F" w:rsidRPr="00C46E61">
              <w:rPr>
                <w:rFonts w:asciiTheme="majorHAnsi" w:hAnsiTheme="majorHAnsi" w:cstheme="majorHAnsi"/>
                <w:noProof/>
                <w:webHidden/>
              </w:rPr>
              <w:instrText xml:space="preserve"> PAGEREF _Toc175308170 \h </w:instrText>
            </w:r>
            <w:r w:rsidR="0069775F" w:rsidRPr="00C46E61">
              <w:rPr>
                <w:rFonts w:asciiTheme="majorHAnsi" w:hAnsiTheme="majorHAnsi" w:cstheme="majorHAnsi"/>
                <w:noProof/>
                <w:webHidden/>
              </w:rPr>
            </w:r>
            <w:r w:rsidR="0069775F"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3</w:t>
            </w:r>
            <w:r w:rsidR="0069775F" w:rsidRPr="00C46E61">
              <w:rPr>
                <w:rFonts w:asciiTheme="majorHAnsi" w:hAnsiTheme="majorHAnsi" w:cstheme="majorHAnsi"/>
                <w:noProof/>
                <w:webHidden/>
              </w:rPr>
              <w:fldChar w:fldCharType="end"/>
            </w:r>
          </w:hyperlink>
        </w:p>
        <w:p w14:paraId="76936E7B" w14:textId="1D34658E" w:rsidR="0069775F" w:rsidRPr="00C46E61" w:rsidRDefault="0069775F">
          <w:pPr>
            <w:pStyle w:val="TOC1"/>
            <w:tabs>
              <w:tab w:val="right" w:leader="dot" w:pos="9350"/>
            </w:tabs>
            <w:rPr>
              <w:rFonts w:asciiTheme="majorHAnsi" w:eastAsiaTheme="minorEastAsia" w:hAnsiTheme="majorHAnsi" w:cstheme="majorHAnsi"/>
              <w:noProof/>
              <w:kern w:val="2"/>
              <w:sz w:val="24"/>
              <w:szCs w:val="24"/>
              <w14:ligatures w14:val="standardContextual"/>
            </w:rPr>
          </w:pPr>
          <w:hyperlink w:anchor="_Toc175308171" w:history="1">
            <w:r w:rsidRPr="00C46E61">
              <w:rPr>
                <w:rStyle w:val="Hyperlink"/>
                <w:rFonts w:asciiTheme="majorHAnsi" w:hAnsiTheme="majorHAnsi" w:cstheme="majorHAnsi"/>
                <w:noProof/>
                <w:lang w:val="en-GB"/>
              </w:rPr>
              <w:t>2 Supplemental Methods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_Toc175308171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4</w:t>
            </w:r>
            <w:r w:rsidRPr="00C46E61">
              <w:rPr>
                <w:rFonts w:asciiTheme="majorHAnsi" w:hAnsiTheme="majorHAnsi" w:cstheme="majorHAnsi"/>
                <w:noProof/>
                <w:webHidden/>
              </w:rPr>
              <w:fldChar w:fldCharType="end"/>
            </w:r>
          </w:hyperlink>
        </w:p>
        <w:p w14:paraId="1102596D" w14:textId="15F82EB3"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72" w:history="1">
            <w:r w:rsidRPr="00C46E61">
              <w:rPr>
                <w:rStyle w:val="Hyperlink"/>
                <w:rFonts w:asciiTheme="majorHAnsi" w:hAnsiTheme="majorHAnsi" w:cstheme="majorHAnsi"/>
                <w:noProof/>
                <w:lang w:val="en-GB"/>
              </w:rPr>
              <w:t>2.1 Deaths and population data processing</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_Toc175308172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4</w:t>
            </w:r>
            <w:r w:rsidRPr="00C46E61">
              <w:rPr>
                <w:rFonts w:asciiTheme="majorHAnsi" w:hAnsiTheme="majorHAnsi" w:cstheme="majorHAnsi"/>
                <w:noProof/>
                <w:webHidden/>
              </w:rPr>
              <w:fldChar w:fldCharType="end"/>
            </w:r>
          </w:hyperlink>
        </w:p>
        <w:p w14:paraId="222D5E13" w14:textId="35DE9959"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73" w:history="1">
            <w:r w:rsidRPr="00C46E61">
              <w:rPr>
                <w:rStyle w:val="Hyperlink"/>
                <w:rFonts w:asciiTheme="majorHAnsi" w:hAnsiTheme="majorHAnsi" w:cstheme="majorHAnsi"/>
                <w:noProof/>
                <w:lang w:val="en-GB"/>
              </w:rPr>
              <w:t>2.2 Cause list, misdiagnosis correction, and garbage code redistribution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_Toc175308173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5</w:t>
            </w:r>
            <w:r w:rsidRPr="00C46E61">
              <w:rPr>
                <w:rFonts w:asciiTheme="majorHAnsi" w:hAnsiTheme="majorHAnsi" w:cstheme="majorHAnsi"/>
                <w:noProof/>
                <w:webHidden/>
              </w:rPr>
              <w:fldChar w:fldCharType="end"/>
            </w:r>
          </w:hyperlink>
        </w:p>
        <w:p w14:paraId="417ED093" w14:textId="3A329DE7"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74" w:history="1">
            <w:r w:rsidRPr="00C46E61">
              <w:rPr>
                <w:rStyle w:val="Hyperlink"/>
                <w:rFonts w:asciiTheme="majorHAnsi" w:hAnsiTheme="majorHAnsi" w:cstheme="majorHAnsi"/>
                <w:noProof/>
                <w:lang w:val="en-GB"/>
              </w:rPr>
              <w:t>2.3 Covariate imputation and smoothing</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_Toc175308174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w:t>
            </w:r>
            <w:r w:rsidRPr="00C46E61">
              <w:rPr>
                <w:rFonts w:asciiTheme="majorHAnsi" w:hAnsiTheme="majorHAnsi" w:cstheme="majorHAnsi"/>
                <w:noProof/>
                <w:webHidden/>
              </w:rPr>
              <w:fldChar w:fldCharType="end"/>
            </w:r>
          </w:hyperlink>
        </w:p>
        <w:p w14:paraId="391470CB" w14:textId="5642D915"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75" w:history="1">
            <w:r w:rsidRPr="00C46E61">
              <w:rPr>
                <w:rStyle w:val="Hyperlink"/>
                <w:rFonts w:asciiTheme="majorHAnsi" w:hAnsiTheme="majorHAnsi" w:cstheme="majorHAnsi"/>
                <w:noProof/>
                <w:lang w:val="en-GB"/>
              </w:rPr>
              <w:t>2.4 Small-area model specification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_Toc175308175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9</w:t>
            </w:r>
            <w:r w:rsidRPr="00C46E61">
              <w:rPr>
                <w:rFonts w:asciiTheme="majorHAnsi" w:hAnsiTheme="majorHAnsi" w:cstheme="majorHAnsi"/>
                <w:noProof/>
                <w:webHidden/>
              </w:rPr>
              <w:fldChar w:fldCharType="end"/>
            </w:r>
          </w:hyperlink>
        </w:p>
        <w:p w14:paraId="6037E9F8" w14:textId="505A4DC7"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76" w:history="1">
            <w:r w:rsidRPr="00C46E61">
              <w:rPr>
                <w:rStyle w:val="Hyperlink"/>
                <w:rFonts w:asciiTheme="majorHAnsi" w:hAnsiTheme="majorHAnsi" w:cstheme="majorHAnsi"/>
                <w:noProof/>
                <w:lang w:val="en-GB"/>
              </w:rPr>
              <w:t>County and racial and ethnic population model</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_Toc175308176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10</w:t>
            </w:r>
            <w:r w:rsidRPr="00C46E61">
              <w:rPr>
                <w:rFonts w:asciiTheme="majorHAnsi" w:hAnsiTheme="majorHAnsi" w:cstheme="majorHAnsi"/>
                <w:noProof/>
                <w:webHidden/>
              </w:rPr>
              <w:fldChar w:fldCharType="end"/>
            </w:r>
          </w:hyperlink>
        </w:p>
        <w:p w14:paraId="5C17C135" w14:textId="371F447E"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77" w:history="1">
            <w:r w:rsidRPr="00C46E61">
              <w:rPr>
                <w:rStyle w:val="Hyperlink"/>
                <w:rFonts w:asciiTheme="majorHAnsi" w:hAnsiTheme="majorHAnsi" w:cstheme="majorHAnsi"/>
                <w:noProof/>
                <w:lang w:val="en-GB"/>
              </w:rPr>
              <w:t>County-level model</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_Toc175308177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16</w:t>
            </w:r>
            <w:r w:rsidRPr="00C46E61">
              <w:rPr>
                <w:rFonts w:asciiTheme="majorHAnsi" w:hAnsiTheme="majorHAnsi" w:cstheme="majorHAnsi"/>
                <w:noProof/>
                <w:webHidden/>
              </w:rPr>
              <w:fldChar w:fldCharType="end"/>
            </w:r>
          </w:hyperlink>
        </w:p>
        <w:p w14:paraId="165C0099" w14:textId="68BF3D5A"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78" w:history="1">
            <w:r w:rsidRPr="00C46E61">
              <w:rPr>
                <w:rStyle w:val="Hyperlink"/>
                <w:rFonts w:asciiTheme="majorHAnsi" w:hAnsiTheme="majorHAnsi" w:cstheme="majorHAnsi"/>
                <w:noProof/>
                <w:lang w:val="en-GB"/>
              </w:rPr>
              <w:t>Hyperprior sensitivity analysis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_Toc175308178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17</w:t>
            </w:r>
            <w:r w:rsidRPr="00C46E61">
              <w:rPr>
                <w:rFonts w:asciiTheme="majorHAnsi" w:hAnsiTheme="majorHAnsi" w:cstheme="majorHAnsi"/>
                <w:noProof/>
                <w:webHidden/>
              </w:rPr>
              <w:fldChar w:fldCharType="end"/>
            </w:r>
          </w:hyperlink>
        </w:p>
        <w:p w14:paraId="628FA819" w14:textId="5C2D821F"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79" w:history="1">
            <w:r w:rsidRPr="00C46E61">
              <w:rPr>
                <w:rStyle w:val="Hyperlink"/>
                <w:rFonts w:asciiTheme="majorHAnsi" w:hAnsiTheme="majorHAnsi" w:cstheme="majorHAnsi"/>
                <w:noProof/>
                <w:lang w:val="en-GB"/>
              </w:rPr>
              <w:t>2.5 Small-area model validation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_Toc175308179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18</w:t>
            </w:r>
            <w:r w:rsidRPr="00C46E61">
              <w:rPr>
                <w:rFonts w:asciiTheme="majorHAnsi" w:hAnsiTheme="majorHAnsi" w:cstheme="majorHAnsi"/>
                <w:noProof/>
                <w:webHidden/>
              </w:rPr>
              <w:fldChar w:fldCharType="end"/>
            </w:r>
          </w:hyperlink>
        </w:p>
        <w:p w14:paraId="3C30C1F7" w14:textId="59F65830"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0" w:history="1">
            <w:r w:rsidRPr="00C46E61">
              <w:rPr>
                <w:rStyle w:val="Hyperlink"/>
                <w:rFonts w:asciiTheme="majorHAnsi" w:hAnsiTheme="majorHAnsi" w:cstheme="majorHAnsi"/>
                <w:noProof/>
                <w:lang w:val="en-GB"/>
              </w:rPr>
              <w:t>Approach</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_Toc175308180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18</w:t>
            </w:r>
            <w:r w:rsidRPr="00C46E61">
              <w:rPr>
                <w:rFonts w:asciiTheme="majorHAnsi" w:hAnsiTheme="majorHAnsi" w:cstheme="majorHAnsi"/>
                <w:noProof/>
                <w:webHidden/>
              </w:rPr>
              <w:fldChar w:fldCharType="end"/>
            </w:r>
          </w:hyperlink>
        </w:p>
        <w:p w14:paraId="358DF660" w14:textId="19C8D28D"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1" w:history="1">
            <w:r w:rsidRPr="00C46E61">
              <w:rPr>
                <w:rStyle w:val="Hyperlink"/>
                <w:rFonts w:asciiTheme="majorHAnsi" w:hAnsiTheme="majorHAnsi" w:cstheme="majorHAnsi"/>
                <w:noProof/>
                <w:lang w:val="en-GB"/>
              </w:rPr>
              <w:t>Results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_Toc175308181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21</w:t>
            </w:r>
            <w:r w:rsidRPr="00C46E61">
              <w:rPr>
                <w:rFonts w:asciiTheme="majorHAnsi" w:hAnsiTheme="majorHAnsi" w:cstheme="majorHAnsi"/>
                <w:noProof/>
                <w:webHidden/>
              </w:rPr>
              <w:fldChar w:fldCharType="end"/>
            </w:r>
          </w:hyperlink>
        </w:p>
        <w:p w14:paraId="22318BF5" w14:textId="137943D9"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82" w:history="1">
            <w:r w:rsidRPr="00C46E61">
              <w:rPr>
                <w:rStyle w:val="Hyperlink"/>
                <w:rFonts w:asciiTheme="majorHAnsi" w:hAnsiTheme="majorHAnsi" w:cstheme="majorHAnsi"/>
                <w:noProof/>
                <w:lang w:val="en-GB"/>
              </w:rPr>
              <w:t>2.6 Derivation of misclassification ratios by county, age, sex, and racial and ethnic population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_Toc175308182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22</w:t>
            </w:r>
            <w:r w:rsidRPr="00C46E61">
              <w:rPr>
                <w:rFonts w:asciiTheme="majorHAnsi" w:hAnsiTheme="majorHAnsi" w:cstheme="majorHAnsi"/>
                <w:noProof/>
                <w:webHidden/>
              </w:rPr>
              <w:fldChar w:fldCharType="end"/>
            </w:r>
          </w:hyperlink>
        </w:p>
        <w:p w14:paraId="61D2E9A1" w14:textId="5DDE5067"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3" w:history="1">
            <w:r w:rsidRPr="00C46E61">
              <w:rPr>
                <w:rStyle w:val="Hyperlink"/>
                <w:rFonts w:asciiTheme="majorHAnsi" w:hAnsiTheme="majorHAnsi" w:cstheme="majorHAnsi"/>
                <w:noProof/>
                <w:lang w:val="en-GB"/>
              </w:rPr>
              <w:t>Extraction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_Toc175308183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22</w:t>
            </w:r>
            <w:r w:rsidRPr="00C46E61">
              <w:rPr>
                <w:rFonts w:asciiTheme="majorHAnsi" w:hAnsiTheme="majorHAnsi" w:cstheme="majorHAnsi"/>
                <w:noProof/>
                <w:webHidden/>
              </w:rPr>
              <w:fldChar w:fldCharType="end"/>
            </w:r>
          </w:hyperlink>
        </w:p>
        <w:p w14:paraId="7359A518" w14:textId="5A2B7741"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4" w:history="1">
            <w:r w:rsidRPr="00C46E61">
              <w:rPr>
                <w:rStyle w:val="Hyperlink"/>
                <w:rFonts w:asciiTheme="majorHAnsi" w:hAnsiTheme="majorHAnsi" w:cstheme="majorHAnsi"/>
                <w:noProof/>
                <w:lang w:val="en-GB"/>
              </w:rPr>
              <w:t>Combination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_Toc175308184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23</w:t>
            </w:r>
            <w:r w:rsidRPr="00C46E61">
              <w:rPr>
                <w:rFonts w:asciiTheme="majorHAnsi" w:hAnsiTheme="majorHAnsi" w:cstheme="majorHAnsi"/>
                <w:noProof/>
                <w:webHidden/>
              </w:rPr>
              <w:fldChar w:fldCharType="end"/>
            </w:r>
          </w:hyperlink>
        </w:p>
        <w:p w14:paraId="511F813B" w14:textId="1D6215D2"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5" w:history="1">
            <w:r w:rsidRPr="00C46E61">
              <w:rPr>
                <w:rStyle w:val="Hyperlink"/>
                <w:rFonts w:asciiTheme="majorHAnsi" w:hAnsiTheme="majorHAnsi" w:cstheme="majorHAnsi"/>
                <w:noProof/>
                <w:lang w:val="en-GB"/>
              </w:rPr>
              <w:t>Mortality rate adjustment</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_Toc175308185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24</w:t>
            </w:r>
            <w:r w:rsidRPr="00C46E61">
              <w:rPr>
                <w:rFonts w:asciiTheme="majorHAnsi" w:hAnsiTheme="majorHAnsi" w:cstheme="majorHAnsi"/>
                <w:noProof/>
                <w:webHidden/>
              </w:rPr>
              <w:fldChar w:fldCharType="end"/>
            </w:r>
          </w:hyperlink>
        </w:p>
        <w:p w14:paraId="40AD837C" w14:textId="40431B33"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86" w:history="1">
            <w:r w:rsidRPr="00C46E61">
              <w:rPr>
                <w:rStyle w:val="Hyperlink"/>
                <w:rFonts w:asciiTheme="majorHAnsi" w:hAnsiTheme="majorHAnsi" w:cstheme="majorHAnsi"/>
                <w:noProof/>
                <w:lang w:val="en-GB"/>
              </w:rPr>
              <w:t>2.7 Calibration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_Toc175308186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24</w:t>
            </w:r>
            <w:r w:rsidRPr="00C46E61">
              <w:rPr>
                <w:rFonts w:asciiTheme="majorHAnsi" w:hAnsiTheme="majorHAnsi" w:cstheme="majorHAnsi"/>
                <w:noProof/>
                <w:webHidden/>
              </w:rPr>
              <w:fldChar w:fldCharType="end"/>
            </w:r>
          </w:hyperlink>
        </w:p>
        <w:p w14:paraId="5B99F7B9" w14:textId="2185844D" w:rsidR="0069775F" w:rsidRPr="00C46E61" w:rsidRDefault="0069775F">
          <w:pPr>
            <w:pStyle w:val="TOC3"/>
            <w:rPr>
              <w:rFonts w:asciiTheme="majorHAnsi" w:eastAsiaTheme="minorEastAsia" w:hAnsiTheme="majorHAnsi" w:cstheme="majorHAnsi"/>
              <w:noProof/>
              <w:kern w:val="2"/>
              <w:sz w:val="24"/>
              <w:szCs w:val="24"/>
              <w14:ligatures w14:val="standardContextual"/>
            </w:rPr>
          </w:pPr>
          <w:hyperlink w:anchor="_Toc175308187" w:history="1">
            <w:r w:rsidRPr="00C46E61">
              <w:rPr>
                <w:rStyle w:val="Hyperlink"/>
                <w:rFonts w:asciiTheme="majorHAnsi" w:hAnsiTheme="majorHAnsi" w:cstheme="majorHAnsi"/>
                <w:noProof/>
                <w:lang w:val="en-GB"/>
              </w:rPr>
              <w:t>Impact of misclassification adjustment and calibration</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_Toc175308187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26</w:t>
            </w:r>
            <w:r w:rsidRPr="00C46E61">
              <w:rPr>
                <w:rFonts w:asciiTheme="majorHAnsi" w:hAnsiTheme="majorHAnsi" w:cstheme="majorHAnsi"/>
                <w:noProof/>
                <w:webHidden/>
              </w:rPr>
              <w:fldChar w:fldCharType="end"/>
            </w:r>
          </w:hyperlink>
        </w:p>
        <w:p w14:paraId="3CC15F94" w14:textId="6589C209"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88" w:history="1">
            <w:r w:rsidRPr="00C46E61">
              <w:rPr>
                <w:rStyle w:val="Hyperlink"/>
                <w:rFonts w:asciiTheme="majorHAnsi" w:hAnsiTheme="majorHAnsi" w:cstheme="majorHAnsi"/>
                <w:noProof/>
                <w:lang w:val="en-GB"/>
              </w:rPr>
              <w:t>2.8 References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_Toc175308188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28</w:t>
            </w:r>
            <w:r w:rsidRPr="00C46E61">
              <w:rPr>
                <w:rFonts w:asciiTheme="majorHAnsi" w:hAnsiTheme="majorHAnsi" w:cstheme="majorHAnsi"/>
                <w:noProof/>
                <w:webHidden/>
              </w:rPr>
              <w:fldChar w:fldCharType="end"/>
            </w:r>
          </w:hyperlink>
        </w:p>
        <w:p w14:paraId="617C95C4" w14:textId="49A3E1A5" w:rsidR="0069775F" w:rsidRPr="00C46E61" w:rsidRDefault="0069775F">
          <w:pPr>
            <w:pStyle w:val="TOC1"/>
            <w:tabs>
              <w:tab w:val="right" w:leader="dot" w:pos="9350"/>
            </w:tabs>
            <w:rPr>
              <w:rFonts w:asciiTheme="majorHAnsi" w:eastAsiaTheme="minorEastAsia" w:hAnsiTheme="majorHAnsi" w:cstheme="majorHAnsi"/>
              <w:noProof/>
              <w:kern w:val="2"/>
              <w:sz w:val="24"/>
              <w:szCs w:val="24"/>
              <w14:ligatures w14:val="standardContextual"/>
            </w:rPr>
          </w:pPr>
          <w:hyperlink w:anchor="_Toc175308189" w:history="1">
            <w:r w:rsidRPr="00C46E61">
              <w:rPr>
                <w:rStyle w:val="Hyperlink"/>
                <w:rFonts w:asciiTheme="majorHAnsi" w:hAnsiTheme="majorHAnsi" w:cstheme="majorHAnsi"/>
                <w:noProof/>
                <w:lang w:val="en-GB"/>
              </w:rPr>
              <w:t>3 Supplemental Methods Tables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_Toc175308189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30</w:t>
            </w:r>
            <w:r w:rsidRPr="00C46E61">
              <w:rPr>
                <w:rFonts w:asciiTheme="majorHAnsi" w:hAnsiTheme="majorHAnsi" w:cstheme="majorHAnsi"/>
                <w:noProof/>
                <w:webHidden/>
              </w:rPr>
              <w:fldChar w:fldCharType="end"/>
            </w:r>
          </w:hyperlink>
        </w:p>
        <w:p w14:paraId="038A7AB7" w14:textId="4E389ADC"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0" w:history="1">
            <w:r w:rsidRPr="00C46E61">
              <w:rPr>
                <w:rStyle w:val="Hyperlink"/>
                <w:rFonts w:asciiTheme="majorHAnsi" w:hAnsiTheme="majorHAnsi" w:cstheme="majorHAnsi"/>
                <w:noProof/>
                <w:lang w:val="en-GB"/>
              </w:rPr>
              <w:t>3.1 Counties combined to create historically stable units of analysis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_Toc175308190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30</w:t>
            </w:r>
            <w:r w:rsidRPr="00C46E61">
              <w:rPr>
                <w:rFonts w:asciiTheme="majorHAnsi" w:hAnsiTheme="majorHAnsi" w:cstheme="majorHAnsi"/>
                <w:noProof/>
                <w:webHidden/>
              </w:rPr>
              <w:fldChar w:fldCharType="end"/>
            </w:r>
          </w:hyperlink>
        </w:p>
        <w:p w14:paraId="72927147" w14:textId="52F65981"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1" w:history="1">
            <w:r w:rsidRPr="00C46E61">
              <w:rPr>
                <w:rStyle w:val="Hyperlink"/>
                <w:rFonts w:asciiTheme="majorHAnsi" w:hAnsiTheme="majorHAnsi" w:cstheme="majorHAnsi"/>
                <w:noProof/>
                <w:lang w:val="en-GB"/>
              </w:rPr>
              <w:t>3.2 Deaths and population data sources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_Toc175308191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32</w:t>
            </w:r>
            <w:r w:rsidRPr="00C46E61">
              <w:rPr>
                <w:rFonts w:asciiTheme="majorHAnsi" w:hAnsiTheme="majorHAnsi" w:cstheme="majorHAnsi"/>
                <w:noProof/>
                <w:webHidden/>
              </w:rPr>
              <w:fldChar w:fldCharType="end"/>
            </w:r>
          </w:hyperlink>
        </w:p>
        <w:p w14:paraId="7710B6D6" w14:textId="35E4A206"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2" w:history="1">
            <w:r w:rsidRPr="00C46E61">
              <w:rPr>
                <w:rStyle w:val="Hyperlink"/>
                <w:rFonts w:asciiTheme="majorHAnsi" w:hAnsiTheme="majorHAnsi" w:cstheme="majorHAnsi"/>
                <w:noProof/>
                <w:lang w:val="en-GB"/>
              </w:rPr>
              <w:t>3.3 GBD cause list and associated ICD-10 codes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_Toc175308192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33</w:t>
            </w:r>
            <w:r w:rsidRPr="00C46E61">
              <w:rPr>
                <w:rFonts w:asciiTheme="majorHAnsi" w:hAnsiTheme="majorHAnsi" w:cstheme="majorHAnsi"/>
                <w:noProof/>
                <w:webHidden/>
              </w:rPr>
              <w:fldChar w:fldCharType="end"/>
            </w:r>
          </w:hyperlink>
        </w:p>
        <w:p w14:paraId="57432E4C" w14:textId="38B07390"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3" w:history="1">
            <w:r w:rsidRPr="00C46E61">
              <w:rPr>
                <w:rStyle w:val="Hyperlink"/>
                <w:rFonts w:asciiTheme="majorHAnsi" w:hAnsiTheme="majorHAnsi" w:cstheme="majorHAnsi"/>
                <w:noProof/>
                <w:lang w:val="en-GB"/>
              </w:rPr>
              <w:t>3.4 Covariate data sources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_Toc175308193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49</w:t>
            </w:r>
            <w:r w:rsidRPr="00C46E61">
              <w:rPr>
                <w:rFonts w:asciiTheme="majorHAnsi" w:hAnsiTheme="majorHAnsi" w:cstheme="majorHAnsi"/>
                <w:noProof/>
                <w:webHidden/>
              </w:rPr>
              <w:fldChar w:fldCharType="end"/>
            </w:r>
          </w:hyperlink>
        </w:p>
        <w:p w14:paraId="4753EB82" w14:textId="361720F5"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4" w:history="1">
            <w:r w:rsidRPr="00C46E61">
              <w:rPr>
                <w:rStyle w:val="Hyperlink"/>
                <w:rFonts w:asciiTheme="majorHAnsi" w:hAnsiTheme="majorHAnsi" w:cstheme="majorHAnsi"/>
                <w:noProof/>
                <w:lang w:val="en-GB"/>
              </w:rPr>
              <w:t>3.5 Population mask</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_Toc175308194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52</w:t>
            </w:r>
            <w:r w:rsidRPr="00C46E61">
              <w:rPr>
                <w:rFonts w:asciiTheme="majorHAnsi" w:hAnsiTheme="majorHAnsi" w:cstheme="majorHAnsi"/>
                <w:noProof/>
                <w:webHidden/>
              </w:rPr>
              <w:fldChar w:fldCharType="end"/>
            </w:r>
          </w:hyperlink>
        </w:p>
        <w:p w14:paraId="797EA228" w14:textId="52D8A472"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5" w:history="1">
            <w:r w:rsidRPr="00C46E61">
              <w:rPr>
                <w:rStyle w:val="Hyperlink"/>
                <w:rFonts w:asciiTheme="majorHAnsi" w:hAnsiTheme="majorHAnsi" w:cstheme="majorHAnsi"/>
                <w:noProof/>
                <w:lang w:val="en-GB"/>
              </w:rPr>
              <w:t>3.6 Hyperparameter posterior means and standard errors for maternal mortality model</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_Toc175308195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54</w:t>
            </w:r>
            <w:r w:rsidRPr="00C46E61">
              <w:rPr>
                <w:rFonts w:asciiTheme="majorHAnsi" w:hAnsiTheme="majorHAnsi" w:cstheme="majorHAnsi"/>
                <w:noProof/>
                <w:webHidden/>
              </w:rPr>
              <w:fldChar w:fldCharType="end"/>
            </w:r>
          </w:hyperlink>
        </w:p>
        <w:p w14:paraId="0A1FC0C3" w14:textId="76FAA681"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6" w:history="1">
            <w:r w:rsidRPr="00C46E61">
              <w:rPr>
                <w:rStyle w:val="Hyperlink"/>
                <w:rFonts w:asciiTheme="majorHAnsi" w:hAnsiTheme="majorHAnsi" w:cstheme="majorHAnsi"/>
                <w:noProof/>
                <w:lang w:val="en-GB"/>
              </w:rPr>
              <w:t>3.7 County and racial and ethnic populations in the all-cause mortality validation set</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_Toc175308196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56</w:t>
            </w:r>
            <w:r w:rsidRPr="00C46E61">
              <w:rPr>
                <w:rFonts w:asciiTheme="majorHAnsi" w:hAnsiTheme="majorHAnsi" w:cstheme="majorHAnsi"/>
                <w:noProof/>
                <w:webHidden/>
              </w:rPr>
              <w:fldChar w:fldCharType="end"/>
            </w:r>
          </w:hyperlink>
        </w:p>
        <w:p w14:paraId="7F329F6D" w14:textId="1224C8BE"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7" w:history="1">
            <w:r w:rsidRPr="00C46E61">
              <w:rPr>
                <w:rStyle w:val="Hyperlink"/>
                <w:rFonts w:asciiTheme="majorHAnsi" w:hAnsiTheme="majorHAnsi" w:cstheme="majorHAnsi"/>
                <w:noProof/>
                <w:lang w:val="en-GB"/>
              </w:rPr>
              <w:t>3.8 All-cause mortality model validation results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_Toc175308197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61</w:t>
            </w:r>
            <w:r w:rsidRPr="00C46E61">
              <w:rPr>
                <w:rFonts w:asciiTheme="majorHAnsi" w:hAnsiTheme="majorHAnsi" w:cstheme="majorHAnsi"/>
                <w:noProof/>
                <w:webHidden/>
              </w:rPr>
              <w:fldChar w:fldCharType="end"/>
            </w:r>
          </w:hyperlink>
        </w:p>
        <w:p w14:paraId="541B0757" w14:textId="2E76EFDF"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198" w:history="1">
            <w:r w:rsidRPr="00C46E61">
              <w:rPr>
                <w:rStyle w:val="Hyperlink"/>
                <w:rFonts w:asciiTheme="majorHAnsi" w:hAnsiTheme="majorHAnsi" w:cstheme="majorHAnsi"/>
                <w:noProof/>
                <w:lang w:val="en-GB"/>
              </w:rPr>
              <w:t>3.9 Definitions of maternal mortality terms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_Toc175308198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63</w:t>
            </w:r>
            <w:r w:rsidRPr="00C46E61">
              <w:rPr>
                <w:rFonts w:asciiTheme="majorHAnsi" w:hAnsiTheme="majorHAnsi" w:cstheme="majorHAnsi"/>
                <w:noProof/>
                <w:webHidden/>
              </w:rPr>
              <w:fldChar w:fldCharType="end"/>
            </w:r>
          </w:hyperlink>
        </w:p>
        <w:p w14:paraId="2BF5806E" w14:textId="4C8DFE07" w:rsidR="0069775F" w:rsidRPr="00C46E61" w:rsidRDefault="0069775F">
          <w:pPr>
            <w:pStyle w:val="TOC1"/>
            <w:tabs>
              <w:tab w:val="right" w:leader="dot" w:pos="9350"/>
            </w:tabs>
            <w:rPr>
              <w:rFonts w:asciiTheme="majorHAnsi" w:eastAsiaTheme="minorEastAsia" w:hAnsiTheme="majorHAnsi" w:cstheme="majorHAnsi"/>
              <w:noProof/>
              <w:kern w:val="2"/>
              <w:sz w:val="24"/>
              <w:szCs w:val="24"/>
              <w14:ligatures w14:val="standardContextual"/>
            </w:rPr>
          </w:pPr>
          <w:hyperlink w:anchor="_Toc175308199" w:history="1">
            <w:r w:rsidRPr="00C46E61">
              <w:rPr>
                <w:rStyle w:val="Hyperlink"/>
                <w:rFonts w:asciiTheme="majorHAnsi" w:hAnsiTheme="majorHAnsi" w:cstheme="majorHAnsi"/>
                <w:noProof/>
                <w:lang w:val="en-GB"/>
              </w:rPr>
              <w:t>4 Supplemental Methods Figures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_Toc175308199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64</w:t>
            </w:r>
            <w:r w:rsidRPr="00C46E61">
              <w:rPr>
                <w:rFonts w:asciiTheme="majorHAnsi" w:hAnsiTheme="majorHAnsi" w:cstheme="majorHAnsi"/>
                <w:noProof/>
                <w:webHidden/>
              </w:rPr>
              <w:fldChar w:fldCharType="end"/>
            </w:r>
          </w:hyperlink>
        </w:p>
        <w:p w14:paraId="044CBE0D" w14:textId="05EE2F9A"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200" w:history="1">
            <w:r w:rsidRPr="00C46E61">
              <w:rPr>
                <w:rStyle w:val="Hyperlink"/>
                <w:rFonts w:asciiTheme="majorHAnsi" w:hAnsiTheme="majorHAnsi" w:cstheme="majorHAnsi"/>
                <w:noProof/>
                <w:lang w:val="en-GB"/>
              </w:rPr>
              <w:t>4.1 Analysis flow chart</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_Toc175308200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64</w:t>
            </w:r>
            <w:r w:rsidRPr="00C46E61">
              <w:rPr>
                <w:rFonts w:asciiTheme="majorHAnsi" w:hAnsiTheme="majorHAnsi" w:cstheme="majorHAnsi"/>
                <w:noProof/>
                <w:webHidden/>
              </w:rPr>
              <w:fldChar w:fldCharType="end"/>
            </w:r>
          </w:hyperlink>
        </w:p>
        <w:p w14:paraId="0F23B425" w14:textId="1C75D465"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201" w:history="1">
            <w:r w:rsidRPr="00C46E61">
              <w:rPr>
                <w:rStyle w:val="Hyperlink"/>
                <w:rFonts w:asciiTheme="majorHAnsi" w:hAnsiTheme="majorHAnsi" w:cstheme="majorHAnsi"/>
                <w:noProof/>
                <w:lang w:val="en-GB"/>
              </w:rPr>
              <w:t>4.2 Hyperprior sensitivity analysis results for selected Level 2 causes of death</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_Toc175308201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65</w:t>
            </w:r>
            <w:r w:rsidRPr="00C46E61">
              <w:rPr>
                <w:rFonts w:asciiTheme="majorHAnsi" w:hAnsiTheme="majorHAnsi" w:cstheme="majorHAnsi"/>
                <w:noProof/>
                <w:webHidden/>
              </w:rPr>
              <w:fldChar w:fldCharType="end"/>
            </w:r>
          </w:hyperlink>
        </w:p>
        <w:p w14:paraId="67C2A47D" w14:textId="121C526D"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202" w:history="1">
            <w:r w:rsidRPr="00C46E61">
              <w:rPr>
                <w:rStyle w:val="Hyperlink"/>
                <w:rFonts w:asciiTheme="majorHAnsi" w:hAnsiTheme="majorHAnsi" w:cstheme="majorHAnsi"/>
                <w:noProof/>
                <w:lang w:val="en-GB"/>
              </w:rPr>
              <w:t>4.3 All-cause mortality model validation results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_Toc175308202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67</w:t>
            </w:r>
            <w:r w:rsidRPr="00C46E61">
              <w:rPr>
                <w:rFonts w:asciiTheme="majorHAnsi" w:hAnsiTheme="majorHAnsi" w:cstheme="majorHAnsi"/>
                <w:noProof/>
                <w:webHidden/>
              </w:rPr>
              <w:fldChar w:fldCharType="end"/>
            </w:r>
          </w:hyperlink>
        </w:p>
        <w:p w14:paraId="312D4054" w14:textId="1E3D8F53"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203" w:history="1">
            <w:r w:rsidRPr="00C46E61">
              <w:rPr>
                <w:rStyle w:val="Hyperlink"/>
                <w:rFonts w:asciiTheme="majorHAnsi" w:hAnsiTheme="majorHAnsi" w:cstheme="majorHAnsi"/>
                <w:noProof/>
                <w:lang w:val="en-GB"/>
              </w:rPr>
              <w:t>4.4 Impact of misclassification adjustment on national age-standardised all-cause mortality</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_Toc175308203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68</w:t>
            </w:r>
            <w:r w:rsidRPr="00C46E61">
              <w:rPr>
                <w:rFonts w:asciiTheme="majorHAnsi" w:hAnsiTheme="majorHAnsi" w:cstheme="majorHAnsi"/>
                <w:noProof/>
                <w:webHidden/>
              </w:rPr>
              <w:fldChar w:fldCharType="end"/>
            </w:r>
          </w:hyperlink>
        </w:p>
        <w:p w14:paraId="3009A617" w14:textId="5FF52EC8" w:rsidR="0069775F" w:rsidRPr="00C46E61" w:rsidRDefault="0069775F">
          <w:pPr>
            <w:pStyle w:val="TOC2"/>
            <w:rPr>
              <w:rFonts w:asciiTheme="majorHAnsi" w:eastAsiaTheme="minorEastAsia" w:hAnsiTheme="majorHAnsi" w:cstheme="majorHAnsi"/>
              <w:noProof/>
              <w:kern w:val="2"/>
              <w:sz w:val="24"/>
              <w:szCs w:val="24"/>
              <w14:ligatures w14:val="standardContextual"/>
            </w:rPr>
          </w:pPr>
          <w:hyperlink w:anchor="_Toc175308204" w:history="1">
            <w:r w:rsidRPr="00C46E61">
              <w:rPr>
                <w:rStyle w:val="Hyperlink"/>
                <w:rFonts w:asciiTheme="majorHAnsi" w:hAnsiTheme="majorHAnsi" w:cstheme="majorHAnsi"/>
                <w:noProof/>
                <w:lang w:val="en-GB"/>
              </w:rPr>
              <w:t>4.5 Impact of misclassification adjustment on county age-standardised all-cause mortality estimates</w:t>
            </w:r>
            <w:r w:rsidRPr="00C46E61">
              <w:rPr>
                <w:rFonts w:asciiTheme="majorHAnsi" w:hAnsiTheme="majorHAnsi" w:cstheme="majorHAnsi"/>
                <w:noProof/>
                <w:webHidden/>
              </w:rPr>
              <w:tab/>
            </w:r>
            <w:r w:rsidRPr="00C46E61">
              <w:rPr>
                <w:rFonts w:asciiTheme="majorHAnsi" w:hAnsiTheme="majorHAnsi" w:cstheme="majorHAnsi"/>
                <w:noProof/>
                <w:webHidden/>
              </w:rPr>
              <w:fldChar w:fldCharType="begin"/>
            </w:r>
            <w:r w:rsidRPr="00C46E61">
              <w:rPr>
                <w:rFonts w:asciiTheme="majorHAnsi" w:hAnsiTheme="majorHAnsi" w:cstheme="majorHAnsi"/>
                <w:noProof/>
                <w:webHidden/>
              </w:rPr>
              <w:instrText xml:space="preserve"> PAGEREF _Toc175308204 \h </w:instrText>
            </w:r>
            <w:r w:rsidRPr="00C46E61">
              <w:rPr>
                <w:rFonts w:asciiTheme="majorHAnsi" w:hAnsiTheme="majorHAnsi" w:cstheme="majorHAnsi"/>
                <w:noProof/>
                <w:webHidden/>
              </w:rPr>
            </w:r>
            <w:r w:rsidRPr="00C46E61">
              <w:rPr>
                <w:rFonts w:asciiTheme="majorHAnsi" w:hAnsiTheme="majorHAnsi" w:cstheme="majorHAnsi"/>
                <w:noProof/>
                <w:webHidden/>
              </w:rPr>
              <w:fldChar w:fldCharType="separate"/>
            </w:r>
            <w:r w:rsidR="001B75D3" w:rsidRPr="00C46E61">
              <w:rPr>
                <w:rFonts w:asciiTheme="majorHAnsi" w:hAnsiTheme="majorHAnsi" w:cstheme="majorHAnsi"/>
                <w:noProof/>
                <w:webHidden/>
              </w:rPr>
              <w:t>69</w:t>
            </w:r>
            <w:r w:rsidRPr="00C46E61">
              <w:rPr>
                <w:rFonts w:asciiTheme="majorHAnsi" w:hAnsiTheme="majorHAnsi" w:cstheme="majorHAnsi"/>
                <w:noProof/>
                <w:webHidden/>
              </w:rPr>
              <w:fldChar w:fldCharType="end"/>
            </w:r>
          </w:hyperlink>
        </w:p>
        <w:p w14:paraId="7F440E86" w14:textId="7D359672" w:rsidR="00686D14" w:rsidRPr="00905607" w:rsidRDefault="00686D14" w:rsidP="00A467F8">
          <w:pPr>
            <w:spacing w:after="0" w:line="360" w:lineRule="auto"/>
            <w:contextualSpacing/>
            <w:rPr>
              <w:rFonts w:asciiTheme="majorHAnsi" w:hAnsiTheme="majorHAnsi" w:cstheme="majorHAnsi"/>
              <w:lang w:val="en-GB"/>
            </w:rPr>
          </w:pPr>
          <w:r w:rsidRPr="00C46E61">
            <w:rPr>
              <w:rFonts w:asciiTheme="majorHAnsi" w:hAnsiTheme="majorHAnsi" w:cstheme="majorHAnsi"/>
              <w:b/>
              <w:bCs/>
              <w:noProof/>
              <w:color w:val="2B579A"/>
              <w:shd w:val="clear" w:color="auto" w:fill="E6E6E6"/>
              <w:lang w:val="en-GB"/>
            </w:rPr>
            <w:fldChar w:fldCharType="end"/>
          </w:r>
        </w:p>
      </w:sdtContent>
    </w:sdt>
    <w:p w14:paraId="4AE83863" w14:textId="77777777" w:rsidR="006F5257" w:rsidRDefault="006F5257" w:rsidP="00E11990">
      <w:pPr>
        <w:spacing w:after="0" w:line="240" w:lineRule="auto"/>
        <w:contextualSpacing/>
        <w:rPr>
          <w:rFonts w:asciiTheme="majorHAnsi" w:hAnsiTheme="majorHAnsi" w:cstheme="majorHAnsi"/>
          <w:lang w:val="en-GB"/>
        </w:rPr>
        <w:sectPr w:rsidR="006F5257" w:rsidSect="008B1C9A">
          <w:headerReference w:type="default" r:id="rId11"/>
          <w:footerReference w:type="default" r:id="rId12"/>
          <w:pgSz w:w="12240" w:h="15840"/>
          <w:pgMar w:top="1440" w:right="1440" w:bottom="1440" w:left="1440" w:header="720" w:footer="720" w:gutter="0"/>
          <w:cols w:space="720"/>
          <w:docGrid w:linePitch="360"/>
        </w:sectPr>
      </w:pPr>
    </w:p>
    <w:p w14:paraId="2B796982" w14:textId="6567FC20" w:rsidR="004D101A" w:rsidRPr="004C277A" w:rsidRDefault="004D101A" w:rsidP="004D101A">
      <w:pPr>
        <w:pStyle w:val="Heading1"/>
        <w:spacing w:before="0" w:line="240" w:lineRule="auto"/>
        <w:contextualSpacing/>
        <w:rPr>
          <w:rFonts w:eastAsiaTheme="minorEastAsia"/>
          <w:lang w:val="en-GB"/>
        </w:rPr>
      </w:pPr>
      <w:bookmarkStart w:id="0" w:name="_Toc398087407"/>
      <w:bookmarkStart w:id="1" w:name="_Toc175308170"/>
      <w:r w:rsidRPr="53F40C93">
        <w:rPr>
          <w:rFonts w:eastAsiaTheme="minorEastAsia"/>
          <w:lang w:val="en-GB"/>
        </w:rPr>
        <w:lastRenderedPageBreak/>
        <w:t>1 GATHER Checklist</w:t>
      </w:r>
      <w:bookmarkEnd w:id="0"/>
      <w:bookmarkEnd w:id="1"/>
    </w:p>
    <w:p w14:paraId="6BD17D49" w14:textId="77777777" w:rsidR="004D101A" w:rsidRPr="004C277A" w:rsidRDefault="004D101A" w:rsidP="004D101A">
      <w:pPr>
        <w:spacing w:after="0" w:line="240" w:lineRule="auto"/>
        <w:rPr>
          <w:lang w:val="en-GB"/>
        </w:rPr>
      </w:pPr>
    </w:p>
    <w:tbl>
      <w:tblPr>
        <w:tblStyle w:val="TableGridLight"/>
        <w:tblW w:w="9350" w:type="dxa"/>
        <w:tblLayout w:type="fixed"/>
        <w:tblCellMar>
          <w:left w:w="29" w:type="dxa"/>
          <w:right w:w="29" w:type="dxa"/>
        </w:tblCellMar>
        <w:tblLook w:val="04A0" w:firstRow="1" w:lastRow="0" w:firstColumn="1" w:lastColumn="0" w:noHBand="0" w:noVBand="1"/>
      </w:tblPr>
      <w:tblGrid>
        <w:gridCol w:w="800"/>
        <w:gridCol w:w="6300"/>
        <w:gridCol w:w="2250"/>
      </w:tblGrid>
      <w:tr w:rsidR="004D101A" w:rsidRPr="00F96DB8" w14:paraId="5C606455" w14:textId="77777777" w:rsidTr="00E6101C">
        <w:tc>
          <w:tcPr>
            <w:tcW w:w="800" w:type="dxa"/>
          </w:tcPr>
          <w:p w14:paraId="5EC04A49"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Item #</w:t>
            </w:r>
          </w:p>
        </w:tc>
        <w:tc>
          <w:tcPr>
            <w:tcW w:w="6300" w:type="dxa"/>
          </w:tcPr>
          <w:p w14:paraId="11EEBA99"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br w:type="page"/>
              <w:t>Checklist item</w:t>
            </w:r>
          </w:p>
        </w:tc>
        <w:tc>
          <w:tcPr>
            <w:tcW w:w="2250" w:type="dxa"/>
          </w:tcPr>
          <w:p w14:paraId="0E793E86"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Description of Compliance </w:t>
            </w:r>
          </w:p>
        </w:tc>
      </w:tr>
      <w:tr w:rsidR="004D101A" w:rsidRPr="00F96DB8" w14:paraId="1067E1EB" w14:textId="77777777" w:rsidTr="00E6101C">
        <w:tc>
          <w:tcPr>
            <w:tcW w:w="9350" w:type="dxa"/>
            <w:gridSpan w:val="3"/>
          </w:tcPr>
          <w:p w14:paraId="78F5FFEB" w14:textId="77777777" w:rsidR="004D101A" w:rsidRPr="00F96DB8" w:rsidRDefault="004D101A" w:rsidP="00E6101C">
            <w:pPr>
              <w:rPr>
                <w:rFonts w:asciiTheme="majorHAnsi" w:hAnsiTheme="majorHAnsi" w:cstheme="majorHAnsi"/>
                <w:bCs/>
                <w:sz w:val="18"/>
                <w:szCs w:val="18"/>
              </w:rPr>
            </w:pPr>
            <w:r w:rsidRPr="00F96DB8">
              <w:rPr>
                <w:rFonts w:asciiTheme="majorHAnsi" w:hAnsiTheme="majorHAnsi" w:cstheme="majorHAnsi"/>
                <w:bCs/>
                <w:sz w:val="18"/>
                <w:szCs w:val="18"/>
              </w:rPr>
              <w:t>Objectives and funding</w:t>
            </w:r>
          </w:p>
        </w:tc>
      </w:tr>
      <w:tr w:rsidR="004D101A" w:rsidRPr="00F96DB8" w14:paraId="3ECDA813" w14:textId="77777777" w:rsidTr="00E6101C">
        <w:tc>
          <w:tcPr>
            <w:tcW w:w="800" w:type="dxa"/>
          </w:tcPr>
          <w:p w14:paraId="7C52BE79"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w:t>
            </w:r>
          </w:p>
        </w:tc>
        <w:tc>
          <w:tcPr>
            <w:tcW w:w="6300" w:type="dxa"/>
          </w:tcPr>
          <w:p w14:paraId="0D621A73"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Define the indicator(s), populations (including age, sex, and geographic entities), and </w:t>
            </w:r>
            <w:proofErr w:type="gramStart"/>
            <w:r w:rsidRPr="00F96DB8">
              <w:rPr>
                <w:rFonts w:asciiTheme="majorHAnsi" w:hAnsiTheme="majorHAnsi" w:cstheme="majorHAnsi"/>
                <w:sz w:val="18"/>
                <w:szCs w:val="18"/>
              </w:rPr>
              <w:t>time period</w:t>
            </w:r>
            <w:proofErr w:type="gramEnd"/>
            <w:r w:rsidRPr="00F96DB8">
              <w:rPr>
                <w:rFonts w:asciiTheme="majorHAnsi" w:hAnsiTheme="majorHAnsi" w:cstheme="majorHAnsi"/>
                <w:sz w:val="18"/>
                <w:szCs w:val="18"/>
              </w:rPr>
              <w:t>(s) for which estimates were made.</w:t>
            </w:r>
          </w:p>
        </w:tc>
        <w:tc>
          <w:tcPr>
            <w:tcW w:w="2250" w:type="dxa"/>
          </w:tcPr>
          <w:p w14:paraId="079D763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Abstract, Introduction, Methods sections</w:t>
            </w:r>
          </w:p>
        </w:tc>
      </w:tr>
      <w:tr w:rsidR="004D101A" w:rsidRPr="00F96DB8" w14:paraId="4881E7FC" w14:textId="77777777" w:rsidTr="00E6101C">
        <w:tc>
          <w:tcPr>
            <w:tcW w:w="800" w:type="dxa"/>
            <w:shd w:val="clear" w:color="auto" w:fill="auto"/>
          </w:tcPr>
          <w:p w14:paraId="72B5B74B"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2</w:t>
            </w:r>
          </w:p>
        </w:tc>
        <w:tc>
          <w:tcPr>
            <w:tcW w:w="6300" w:type="dxa"/>
            <w:shd w:val="clear" w:color="auto" w:fill="auto"/>
          </w:tcPr>
          <w:p w14:paraId="4045A2A5"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List the funding sources for the work.</w:t>
            </w:r>
          </w:p>
        </w:tc>
        <w:tc>
          <w:tcPr>
            <w:tcW w:w="2250" w:type="dxa"/>
            <w:shd w:val="clear" w:color="auto" w:fill="auto"/>
          </w:tcPr>
          <w:p w14:paraId="4A7D6B15"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Article Information</w:t>
            </w:r>
          </w:p>
        </w:tc>
      </w:tr>
      <w:tr w:rsidR="004D101A" w:rsidRPr="00F96DB8" w14:paraId="2D815935" w14:textId="77777777" w:rsidTr="00E6101C">
        <w:tc>
          <w:tcPr>
            <w:tcW w:w="9350" w:type="dxa"/>
            <w:gridSpan w:val="3"/>
            <w:shd w:val="clear" w:color="auto" w:fill="BFBFBF" w:themeFill="background1" w:themeFillShade="BF"/>
          </w:tcPr>
          <w:p w14:paraId="3AAD82D8" w14:textId="77777777" w:rsidR="004D101A" w:rsidRPr="00F96DB8" w:rsidRDefault="004D101A" w:rsidP="00E6101C">
            <w:pPr>
              <w:rPr>
                <w:rFonts w:asciiTheme="majorHAnsi" w:hAnsiTheme="majorHAnsi" w:cstheme="majorHAnsi"/>
                <w:b/>
                <w:sz w:val="18"/>
                <w:szCs w:val="18"/>
              </w:rPr>
            </w:pPr>
            <w:r w:rsidRPr="00F96DB8">
              <w:rPr>
                <w:rFonts w:asciiTheme="majorHAnsi" w:hAnsiTheme="majorHAnsi" w:cstheme="majorHAnsi"/>
                <w:sz w:val="18"/>
                <w:szCs w:val="18"/>
              </w:rPr>
              <w:t>Data Inputs</w:t>
            </w:r>
          </w:p>
        </w:tc>
      </w:tr>
      <w:tr w:rsidR="004D101A" w:rsidRPr="00F96DB8" w14:paraId="27A80E88" w14:textId="77777777" w:rsidTr="00E6101C">
        <w:tc>
          <w:tcPr>
            <w:tcW w:w="9350" w:type="dxa"/>
            <w:gridSpan w:val="3"/>
            <w:shd w:val="clear" w:color="auto" w:fill="D9D9D9" w:themeFill="background1" w:themeFillShade="D9"/>
          </w:tcPr>
          <w:p w14:paraId="56481DB2" w14:textId="77777777" w:rsidR="004D101A" w:rsidRPr="00F96DB8" w:rsidRDefault="004D101A" w:rsidP="00E6101C">
            <w:pPr>
              <w:rPr>
                <w:rFonts w:asciiTheme="majorHAnsi" w:hAnsiTheme="majorHAnsi" w:cstheme="majorHAnsi"/>
                <w:b/>
                <w:bCs/>
                <w:i/>
                <w:iCs/>
                <w:sz w:val="18"/>
                <w:szCs w:val="18"/>
              </w:rPr>
            </w:pPr>
            <w:r w:rsidRPr="00F96DB8">
              <w:rPr>
                <w:rFonts w:asciiTheme="majorHAnsi" w:hAnsiTheme="majorHAnsi" w:cstheme="majorHAnsi"/>
                <w:b/>
                <w:bCs/>
                <w:i/>
                <w:iCs/>
                <w:sz w:val="18"/>
                <w:szCs w:val="18"/>
              </w:rPr>
              <w:t xml:space="preserve">   For all data inputs from multiple sources that are synthesized as part of the study:</w:t>
            </w:r>
          </w:p>
        </w:tc>
      </w:tr>
      <w:tr w:rsidR="004D101A" w:rsidRPr="00F96DB8" w14:paraId="113AEE38" w14:textId="77777777" w:rsidTr="00E6101C">
        <w:tc>
          <w:tcPr>
            <w:tcW w:w="800" w:type="dxa"/>
          </w:tcPr>
          <w:p w14:paraId="75423B37"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3</w:t>
            </w:r>
          </w:p>
        </w:tc>
        <w:tc>
          <w:tcPr>
            <w:tcW w:w="6300" w:type="dxa"/>
          </w:tcPr>
          <w:p w14:paraId="08E69596"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Describe how the data were identified and how the data were accessed. </w:t>
            </w:r>
          </w:p>
        </w:tc>
        <w:tc>
          <w:tcPr>
            <w:tcW w:w="2250" w:type="dxa"/>
          </w:tcPr>
          <w:p w14:paraId="11053E7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Methods section</w:t>
            </w:r>
          </w:p>
        </w:tc>
      </w:tr>
      <w:tr w:rsidR="004D101A" w:rsidRPr="00F96DB8" w14:paraId="71F2B12E" w14:textId="77777777" w:rsidTr="00E6101C">
        <w:tc>
          <w:tcPr>
            <w:tcW w:w="800" w:type="dxa"/>
            <w:shd w:val="clear" w:color="auto" w:fill="auto"/>
          </w:tcPr>
          <w:p w14:paraId="1CD1A5A6"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4</w:t>
            </w:r>
          </w:p>
        </w:tc>
        <w:tc>
          <w:tcPr>
            <w:tcW w:w="6300" w:type="dxa"/>
            <w:shd w:val="clear" w:color="auto" w:fill="auto"/>
          </w:tcPr>
          <w:p w14:paraId="31CC99D6"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Specify the inclusion and exclusion criteria. Identify all ad-hoc exclusions.</w:t>
            </w:r>
          </w:p>
        </w:tc>
        <w:tc>
          <w:tcPr>
            <w:tcW w:w="2250" w:type="dxa"/>
            <w:shd w:val="clear" w:color="auto" w:fill="auto"/>
          </w:tcPr>
          <w:p w14:paraId="113679FE"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Methods section</w:t>
            </w:r>
          </w:p>
        </w:tc>
      </w:tr>
      <w:tr w:rsidR="004D101A" w:rsidRPr="00F96DB8" w14:paraId="18A3D513" w14:textId="77777777" w:rsidTr="00E6101C">
        <w:tc>
          <w:tcPr>
            <w:tcW w:w="800" w:type="dxa"/>
            <w:shd w:val="clear" w:color="auto" w:fill="auto"/>
          </w:tcPr>
          <w:p w14:paraId="06841C7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5</w:t>
            </w:r>
          </w:p>
        </w:tc>
        <w:tc>
          <w:tcPr>
            <w:tcW w:w="6300" w:type="dxa"/>
            <w:shd w:val="clear" w:color="auto" w:fill="auto"/>
          </w:tcPr>
          <w:p w14:paraId="154594BF"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 </w:t>
            </w:r>
          </w:p>
        </w:tc>
        <w:tc>
          <w:tcPr>
            <w:tcW w:w="2250" w:type="dxa"/>
            <w:shd w:val="clear" w:color="auto" w:fill="auto"/>
          </w:tcPr>
          <w:p w14:paraId="296812BE" w14:textId="31C0D3C0" w:rsidR="004D101A" w:rsidRPr="00F96DB8" w:rsidRDefault="004D101A" w:rsidP="00DD4AB8">
            <w:pPr>
              <w:rPr>
                <w:rFonts w:asciiTheme="majorHAnsi" w:hAnsiTheme="majorHAnsi" w:cstheme="majorHAnsi"/>
                <w:sz w:val="18"/>
                <w:szCs w:val="18"/>
              </w:rPr>
            </w:pPr>
            <w:r w:rsidRPr="00F96DB8">
              <w:rPr>
                <w:rFonts w:asciiTheme="majorHAnsi" w:hAnsiTheme="majorHAnsi" w:cstheme="majorHAnsi"/>
                <w:sz w:val="18"/>
                <w:szCs w:val="18"/>
              </w:rPr>
              <w:t xml:space="preserve">Methods section, Supplemental Methods, </w:t>
            </w:r>
            <w:r w:rsidR="00DD4AB8" w:rsidRPr="00F96DB8">
              <w:rPr>
                <w:rFonts w:asciiTheme="majorHAnsi" w:hAnsiTheme="majorHAnsi" w:cstheme="majorHAnsi"/>
                <w:sz w:val="18"/>
                <w:szCs w:val="18"/>
              </w:rPr>
              <w:t>Appendix sections 3.2</w:t>
            </w:r>
            <w:r w:rsidR="002077A8" w:rsidRPr="00F96DB8">
              <w:rPr>
                <w:rFonts w:asciiTheme="majorHAnsi" w:hAnsiTheme="majorHAnsi" w:cstheme="majorHAnsi"/>
                <w:sz w:val="18"/>
                <w:szCs w:val="18"/>
              </w:rPr>
              <w:t>–</w:t>
            </w:r>
            <w:r w:rsidR="00DD4AB8" w:rsidRPr="00F96DB8">
              <w:rPr>
                <w:rFonts w:asciiTheme="majorHAnsi" w:hAnsiTheme="majorHAnsi" w:cstheme="majorHAnsi"/>
                <w:sz w:val="18"/>
                <w:szCs w:val="18"/>
              </w:rPr>
              <w:t>3.3</w:t>
            </w:r>
          </w:p>
        </w:tc>
      </w:tr>
      <w:tr w:rsidR="004D101A" w:rsidRPr="00F96DB8" w14:paraId="3CC10BC0" w14:textId="77777777" w:rsidTr="00E6101C">
        <w:tc>
          <w:tcPr>
            <w:tcW w:w="800" w:type="dxa"/>
            <w:shd w:val="clear" w:color="auto" w:fill="auto"/>
          </w:tcPr>
          <w:p w14:paraId="6031E968"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6</w:t>
            </w:r>
          </w:p>
        </w:tc>
        <w:tc>
          <w:tcPr>
            <w:tcW w:w="6300" w:type="dxa"/>
            <w:shd w:val="clear" w:color="auto" w:fill="auto"/>
          </w:tcPr>
          <w:p w14:paraId="75D41AC3"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Identify and describe any categories of input data that have potentially important biases (e.g., based on characteristics listed in item 5).</w:t>
            </w:r>
          </w:p>
        </w:tc>
        <w:tc>
          <w:tcPr>
            <w:tcW w:w="2250" w:type="dxa"/>
            <w:shd w:val="clear" w:color="auto" w:fill="auto"/>
          </w:tcPr>
          <w:p w14:paraId="65139ED4"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Methods section</w:t>
            </w:r>
          </w:p>
        </w:tc>
      </w:tr>
      <w:tr w:rsidR="004D101A" w:rsidRPr="00F96DB8" w14:paraId="11AA19C4" w14:textId="77777777" w:rsidTr="00E6101C">
        <w:tc>
          <w:tcPr>
            <w:tcW w:w="9350" w:type="dxa"/>
            <w:gridSpan w:val="3"/>
            <w:shd w:val="clear" w:color="auto" w:fill="D9D9D9" w:themeFill="background1" w:themeFillShade="D9"/>
          </w:tcPr>
          <w:p w14:paraId="54EC8B55" w14:textId="77777777" w:rsidR="004D101A" w:rsidRPr="00F96DB8" w:rsidRDefault="004D101A" w:rsidP="00E6101C">
            <w:pPr>
              <w:rPr>
                <w:rFonts w:asciiTheme="majorHAnsi" w:hAnsiTheme="majorHAnsi" w:cstheme="majorHAnsi"/>
                <w:b/>
                <w:bCs/>
                <w:i/>
                <w:iCs/>
                <w:sz w:val="18"/>
                <w:szCs w:val="18"/>
              </w:rPr>
            </w:pPr>
            <w:r w:rsidRPr="00F96DB8">
              <w:rPr>
                <w:rFonts w:asciiTheme="majorHAnsi" w:hAnsiTheme="majorHAnsi" w:cstheme="majorHAnsi"/>
                <w:b/>
                <w:bCs/>
                <w:i/>
                <w:iCs/>
                <w:sz w:val="18"/>
                <w:szCs w:val="18"/>
              </w:rPr>
              <w:t xml:space="preserve">   For data inputs that contribute to the analysis but were not synthesized as part of the study:</w:t>
            </w:r>
          </w:p>
        </w:tc>
      </w:tr>
      <w:tr w:rsidR="004D101A" w:rsidRPr="00F96DB8" w14:paraId="33DA7FD8" w14:textId="77777777" w:rsidTr="00E6101C">
        <w:tc>
          <w:tcPr>
            <w:tcW w:w="800" w:type="dxa"/>
            <w:shd w:val="clear" w:color="auto" w:fill="auto"/>
          </w:tcPr>
          <w:p w14:paraId="45AB3E88"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7</w:t>
            </w:r>
          </w:p>
        </w:tc>
        <w:tc>
          <w:tcPr>
            <w:tcW w:w="6300" w:type="dxa"/>
            <w:shd w:val="clear" w:color="auto" w:fill="auto"/>
          </w:tcPr>
          <w:p w14:paraId="558AC870"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Describe and give sources for any other data inputs. </w:t>
            </w:r>
          </w:p>
        </w:tc>
        <w:tc>
          <w:tcPr>
            <w:tcW w:w="2250" w:type="dxa"/>
            <w:shd w:val="clear" w:color="auto" w:fill="auto"/>
          </w:tcPr>
          <w:p w14:paraId="48385325"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N/A</w:t>
            </w:r>
          </w:p>
        </w:tc>
      </w:tr>
      <w:tr w:rsidR="004D101A" w:rsidRPr="00F96DB8" w14:paraId="760D2F8D" w14:textId="77777777" w:rsidTr="00E6101C">
        <w:tc>
          <w:tcPr>
            <w:tcW w:w="9350" w:type="dxa"/>
            <w:gridSpan w:val="3"/>
            <w:shd w:val="clear" w:color="auto" w:fill="D9D9D9" w:themeFill="background1" w:themeFillShade="D9"/>
          </w:tcPr>
          <w:p w14:paraId="60674D4B" w14:textId="77777777" w:rsidR="004D101A" w:rsidRPr="00F96DB8" w:rsidRDefault="004D101A" w:rsidP="00E6101C">
            <w:pPr>
              <w:rPr>
                <w:rFonts w:asciiTheme="majorHAnsi" w:hAnsiTheme="majorHAnsi" w:cstheme="majorHAnsi"/>
                <w:b/>
                <w:bCs/>
                <w:i/>
                <w:iCs/>
                <w:sz w:val="18"/>
                <w:szCs w:val="18"/>
              </w:rPr>
            </w:pPr>
            <w:r w:rsidRPr="00F96DB8">
              <w:rPr>
                <w:rFonts w:asciiTheme="majorHAnsi" w:hAnsiTheme="majorHAnsi" w:cstheme="majorHAnsi"/>
                <w:b/>
                <w:bCs/>
                <w:i/>
                <w:iCs/>
                <w:sz w:val="18"/>
                <w:szCs w:val="18"/>
              </w:rPr>
              <w:t xml:space="preserve">   For all data inputs:</w:t>
            </w:r>
          </w:p>
        </w:tc>
      </w:tr>
      <w:tr w:rsidR="004D101A" w:rsidRPr="00F96DB8" w14:paraId="1CA8554B" w14:textId="77777777" w:rsidTr="00E6101C">
        <w:tc>
          <w:tcPr>
            <w:tcW w:w="800" w:type="dxa"/>
            <w:shd w:val="clear" w:color="auto" w:fill="auto"/>
          </w:tcPr>
          <w:p w14:paraId="72E63758"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8</w:t>
            </w:r>
          </w:p>
        </w:tc>
        <w:tc>
          <w:tcPr>
            <w:tcW w:w="6300" w:type="dxa"/>
            <w:shd w:val="clear" w:color="auto" w:fill="auto"/>
          </w:tcPr>
          <w:p w14:paraId="04E62661"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Provide all data inputs in a file format from which data can be efficiently extracted (e.g., a spreadsheet rather than a PDF), including all relevant meta-data listed in item 5. For any data </w:t>
            </w:r>
            <w:proofErr w:type="gramStart"/>
            <w:r w:rsidRPr="00F96DB8">
              <w:rPr>
                <w:rFonts w:asciiTheme="majorHAnsi" w:hAnsiTheme="majorHAnsi" w:cstheme="majorHAnsi"/>
                <w:sz w:val="18"/>
                <w:szCs w:val="18"/>
              </w:rPr>
              <w:t>inputs</w:t>
            </w:r>
            <w:proofErr w:type="gramEnd"/>
            <w:r w:rsidRPr="00F96DB8">
              <w:rPr>
                <w:rFonts w:asciiTheme="majorHAnsi" w:hAnsiTheme="majorHAnsi" w:cstheme="majorHAnsi"/>
                <w:sz w:val="18"/>
                <w:szCs w:val="18"/>
              </w:rPr>
              <w:t xml:space="preserve"> that cannot be shared because of ethical or legal reasons, such as third-party ownership, provide a contact name or the name of the institution that retains the right to the data.</w:t>
            </w:r>
          </w:p>
        </w:tc>
        <w:tc>
          <w:tcPr>
            <w:tcW w:w="2250" w:type="dxa"/>
            <w:shd w:val="clear" w:color="auto" w:fill="auto"/>
          </w:tcPr>
          <w:p w14:paraId="0C5B1103" w14:textId="77777777" w:rsidR="004D101A" w:rsidRPr="00F96DB8" w:rsidRDefault="004D101A" w:rsidP="00E6101C">
            <w:pPr>
              <w:rPr>
                <w:rFonts w:asciiTheme="majorHAnsi" w:hAnsiTheme="majorHAnsi" w:cstheme="majorHAnsi"/>
                <w:sz w:val="18"/>
                <w:szCs w:val="18"/>
              </w:rPr>
            </w:pPr>
            <w:proofErr w:type="spellStart"/>
            <w:r w:rsidRPr="00F96DB8">
              <w:rPr>
                <w:rFonts w:asciiTheme="majorHAnsi" w:hAnsiTheme="majorHAnsi" w:cstheme="majorHAnsi"/>
                <w:sz w:val="18"/>
                <w:szCs w:val="18"/>
              </w:rPr>
              <w:t>GHDx</w:t>
            </w:r>
            <w:proofErr w:type="spellEnd"/>
            <w:r w:rsidRPr="00F96DB8">
              <w:rPr>
                <w:rFonts w:asciiTheme="majorHAnsi" w:hAnsiTheme="majorHAnsi" w:cstheme="majorHAnsi"/>
                <w:sz w:val="18"/>
                <w:szCs w:val="18"/>
              </w:rPr>
              <w:t xml:space="preserve"> link (upon publication)</w:t>
            </w:r>
          </w:p>
        </w:tc>
      </w:tr>
      <w:tr w:rsidR="004D101A" w:rsidRPr="00F96DB8" w14:paraId="3232BA35" w14:textId="77777777" w:rsidTr="00E6101C">
        <w:tc>
          <w:tcPr>
            <w:tcW w:w="9350" w:type="dxa"/>
            <w:gridSpan w:val="3"/>
            <w:shd w:val="clear" w:color="auto" w:fill="BFBFBF" w:themeFill="background1" w:themeFillShade="BF"/>
          </w:tcPr>
          <w:p w14:paraId="00DCD061"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Data analysis</w:t>
            </w:r>
          </w:p>
        </w:tc>
      </w:tr>
      <w:tr w:rsidR="004D101A" w:rsidRPr="00F96DB8" w14:paraId="6092533D" w14:textId="77777777" w:rsidTr="00E6101C">
        <w:tc>
          <w:tcPr>
            <w:tcW w:w="800" w:type="dxa"/>
            <w:shd w:val="clear" w:color="auto" w:fill="auto"/>
          </w:tcPr>
          <w:p w14:paraId="5F1E5A18"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9</w:t>
            </w:r>
          </w:p>
        </w:tc>
        <w:tc>
          <w:tcPr>
            <w:tcW w:w="6300" w:type="dxa"/>
            <w:shd w:val="clear" w:color="auto" w:fill="auto"/>
          </w:tcPr>
          <w:p w14:paraId="2A734411"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Provide a conceptual overview of the data analysis method. A diagram may be helpful. </w:t>
            </w:r>
          </w:p>
        </w:tc>
        <w:tc>
          <w:tcPr>
            <w:tcW w:w="2250" w:type="dxa"/>
            <w:shd w:val="clear" w:color="auto" w:fill="auto"/>
          </w:tcPr>
          <w:p w14:paraId="23070D34" w14:textId="7DC1FE69" w:rsidR="004D101A" w:rsidRPr="00F96DB8" w:rsidRDefault="004D101A" w:rsidP="00DD4AB8">
            <w:pPr>
              <w:rPr>
                <w:rFonts w:asciiTheme="majorHAnsi" w:hAnsiTheme="majorHAnsi" w:cstheme="majorHAnsi"/>
                <w:sz w:val="18"/>
                <w:szCs w:val="18"/>
              </w:rPr>
            </w:pPr>
            <w:r w:rsidRPr="00F96DB8">
              <w:rPr>
                <w:rFonts w:asciiTheme="majorHAnsi" w:hAnsiTheme="majorHAnsi" w:cstheme="majorHAnsi"/>
                <w:sz w:val="18"/>
                <w:szCs w:val="18"/>
              </w:rPr>
              <w:t xml:space="preserve">Methods section, </w:t>
            </w:r>
            <w:r w:rsidR="00DD4AB8" w:rsidRPr="00F96DB8">
              <w:rPr>
                <w:rFonts w:asciiTheme="majorHAnsi" w:hAnsiTheme="majorHAnsi" w:cstheme="majorHAnsi"/>
                <w:sz w:val="18"/>
                <w:szCs w:val="18"/>
              </w:rPr>
              <w:t>appendix section 4.1</w:t>
            </w:r>
          </w:p>
        </w:tc>
      </w:tr>
      <w:tr w:rsidR="004D101A" w:rsidRPr="00F96DB8" w14:paraId="587349B5" w14:textId="77777777" w:rsidTr="00E6101C">
        <w:tc>
          <w:tcPr>
            <w:tcW w:w="800" w:type="dxa"/>
            <w:shd w:val="clear" w:color="auto" w:fill="auto"/>
          </w:tcPr>
          <w:p w14:paraId="689032B5"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10</w:t>
            </w:r>
          </w:p>
        </w:tc>
        <w:tc>
          <w:tcPr>
            <w:tcW w:w="6300" w:type="dxa"/>
            <w:shd w:val="clear" w:color="auto" w:fill="auto"/>
          </w:tcPr>
          <w:p w14:paraId="7EF64B00"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Provide a detailed description of all steps of the analysis, including mathematical formulae. This description should cover, as relevant, data cleaning, data pre-processing, data adjustments and weighting of data sources, and mathematical or statistical model(s). </w:t>
            </w:r>
          </w:p>
        </w:tc>
        <w:tc>
          <w:tcPr>
            <w:tcW w:w="2250" w:type="dxa"/>
            <w:shd w:val="clear" w:color="auto" w:fill="auto"/>
          </w:tcPr>
          <w:p w14:paraId="49A84BDD" w14:textId="17CBDCF1" w:rsidR="004D101A" w:rsidRPr="00F96DB8" w:rsidRDefault="004D101A" w:rsidP="00DD4AB8">
            <w:pPr>
              <w:rPr>
                <w:rFonts w:asciiTheme="majorHAnsi" w:hAnsiTheme="majorHAnsi" w:cstheme="majorHAnsi"/>
                <w:sz w:val="18"/>
                <w:szCs w:val="18"/>
              </w:rPr>
            </w:pPr>
            <w:r w:rsidRPr="00F96DB8">
              <w:rPr>
                <w:rFonts w:asciiTheme="majorHAnsi" w:hAnsiTheme="majorHAnsi" w:cstheme="majorHAnsi"/>
                <w:sz w:val="18"/>
                <w:szCs w:val="18"/>
              </w:rPr>
              <w:t xml:space="preserve">Methods section, </w:t>
            </w:r>
            <w:r w:rsidR="00DD4AB8" w:rsidRPr="00F96DB8">
              <w:rPr>
                <w:rFonts w:asciiTheme="majorHAnsi" w:hAnsiTheme="majorHAnsi" w:cstheme="majorHAnsi"/>
                <w:sz w:val="18"/>
                <w:szCs w:val="18"/>
              </w:rPr>
              <w:t>Appendix section 2</w:t>
            </w:r>
          </w:p>
        </w:tc>
      </w:tr>
      <w:tr w:rsidR="004D101A" w:rsidRPr="00F96DB8" w14:paraId="1162D356" w14:textId="77777777" w:rsidTr="00E6101C">
        <w:tc>
          <w:tcPr>
            <w:tcW w:w="800" w:type="dxa"/>
            <w:shd w:val="clear" w:color="auto" w:fill="auto"/>
          </w:tcPr>
          <w:p w14:paraId="59DF7839"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11</w:t>
            </w:r>
          </w:p>
        </w:tc>
        <w:tc>
          <w:tcPr>
            <w:tcW w:w="6300" w:type="dxa"/>
            <w:shd w:val="clear" w:color="auto" w:fill="auto"/>
          </w:tcPr>
          <w:p w14:paraId="6D1409E2"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Describe how candidate models were evaluated and how the final model(s) were selected.</w:t>
            </w:r>
          </w:p>
        </w:tc>
        <w:tc>
          <w:tcPr>
            <w:tcW w:w="2250" w:type="dxa"/>
            <w:shd w:val="clear" w:color="auto" w:fill="auto"/>
          </w:tcPr>
          <w:p w14:paraId="34CC0183" w14:textId="0CD66BC8" w:rsidR="004D101A" w:rsidRPr="00F96DB8" w:rsidRDefault="00DD4AB8" w:rsidP="00E6101C">
            <w:pPr>
              <w:rPr>
                <w:rFonts w:asciiTheme="majorHAnsi" w:hAnsiTheme="majorHAnsi" w:cstheme="majorHAnsi"/>
                <w:sz w:val="18"/>
                <w:szCs w:val="18"/>
              </w:rPr>
            </w:pPr>
            <w:r w:rsidRPr="00F96DB8">
              <w:rPr>
                <w:rFonts w:asciiTheme="majorHAnsi" w:hAnsiTheme="majorHAnsi" w:cstheme="majorHAnsi"/>
                <w:sz w:val="18"/>
                <w:szCs w:val="18"/>
              </w:rPr>
              <w:t>Appendix section 2</w:t>
            </w:r>
          </w:p>
        </w:tc>
      </w:tr>
      <w:tr w:rsidR="004D101A" w:rsidRPr="00F96DB8" w14:paraId="69220D69" w14:textId="77777777" w:rsidTr="00E6101C">
        <w:tc>
          <w:tcPr>
            <w:tcW w:w="800" w:type="dxa"/>
            <w:shd w:val="clear" w:color="auto" w:fill="auto"/>
          </w:tcPr>
          <w:p w14:paraId="17524E6E"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12</w:t>
            </w:r>
          </w:p>
        </w:tc>
        <w:tc>
          <w:tcPr>
            <w:tcW w:w="6300" w:type="dxa"/>
            <w:shd w:val="clear" w:color="auto" w:fill="auto"/>
          </w:tcPr>
          <w:p w14:paraId="4B9790A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Provide the results of an evaluation of model performance, if done, as well as the results of any relevant sensitivity analysis.</w:t>
            </w:r>
          </w:p>
        </w:tc>
        <w:tc>
          <w:tcPr>
            <w:tcW w:w="2250" w:type="dxa"/>
            <w:shd w:val="clear" w:color="auto" w:fill="auto"/>
          </w:tcPr>
          <w:p w14:paraId="109617F7" w14:textId="59B23123" w:rsidR="004D101A" w:rsidRPr="00F96DB8" w:rsidRDefault="00DD4AB8" w:rsidP="00E6101C">
            <w:pPr>
              <w:rPr>
                <w:rFonts w:asciiTheme="majorHAnsi" w:hAnsiTheme="majorHAnsi" w:cstheme="majorHAnsi"/>
                <w:sz w:val="18"/>
                <w:szCs w:val="18"/>
              </w:rPr>
            </w:pPr>
            <w:r w:rsidRPr="00F96DB8">
              <w:rPr>
                <w:rFonts w:asciiTheme="majorHAnsi" w:hAnsiTheme="majorHAnsi" w:cstheme="majorHAnsi"/>
                <w:sz w:val="18"/>
                <w:szCs w:val="18"/>
              </w:rPr>
              <w:t>Appendix section 2</w:t>
            </w:r>
          </w:p>
        </w:tc>
      </w:tr>
      <w:tr w:rsidR="004D101A" w:rsidRPr="00F96DB8" w14:paraId="5B62A75A" w14:textId="77777777" w:rsidTr="00E6101C">
        <w:tc>
          <w:tcPr>
            <w:tcW w:w="800" w:type="dxa"/>
            <w:shd w:val="clear" w:color="auto" w:fill="auto"/>
          </w:tcPr>
          <w:p w14:paraId="5A695534"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13</w:t>
            </w:r>
          </w:p>
        </w:tc>
        <w:tc>
          <w:tcPr>
            <w:tcW w:w="6300" w:type="dxa"/>
            <w:shd w:val="clear" w:color="auto" w:fill="auto"/>
          </w:tcPr>
          <w:p w14:paraId="15F6807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Describe methods for calculating uncertainty of the estimates. State which sources of uncertainty were, and were not, accounted for in the uncertainty analysis.</w:t>
            </w:r>
          </w:p>
        </w:tc>
        <w:tc>
          <w:tcPr>
            <w:tcW w:w="2250" w:type="dxa"/>
            <w:shd w:val="clear" w:color="auto" w:fill="auto"/>
          </w:tcPr>
          <w:p w14:paraId="2CABF1A9" w14:textId="732F50D3"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Methods section, </w:t>
            </w:r>
            <w:r w:rsidR="00DD4AB8" w:rsidRPr="00F96DB8">
              <w:rPr>
                <w:rFonts w:asciiTheme="majorHAnsi" w:hAnsiTheme="majorHAnsi" w:cstheme="majorHAnsi"/>
                <w:sz w:val="18"/>
                <w:szCs w:val="18"/>
              </w:rPr>
              <w:t>Appendix section 2</w:t>
            </w:r>
          </w:p>
        </w:tc>
      </w:tr>
      <w:tr w:rsidR="004D101A" w:rsidRPr="00F96DB8" w14:paraId="740B5C90" w14:textId="77777777" w:rsidTr="00E6101C">
        <w:tc>
          <w:tcPr>
            <w:tcW w:w="800" w:type="dxa"/>
          </w:tcPr>
          <w:p w14:paraId="72BB020E"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14</w:t>
            </w:r>
          </w:p>
        </w:tc>
        <w:tc>
          <w:tcPr>
            <w:tcW w:w="6300" w:type="dxa"/>
          </w:tcPr>
          <w:p w14:paraId="0B4AD58A"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State how analytic or statistical source code used to generate estimates can be accessed.</w:t>
            </w:r>
          </w:p>
        </w:tc>
        <w:tc>
          <w:tcPr>
            <w:tcW w:w="2250" w:type="dxa"/>
          </w:tcPr>
          <w:p w14:paraId="50EECBC0" w14:textId="77777777" w:rsidR="004D101A" w:rsidRPr="00F96DB8" w:rsidRDefault="004D101A" w:rsidP="00E6101C">
            <w:pPr>
              <w:rPr>
                <w:rFonts w:asciiTheme="majorHAnsi" w:hAnsiTheme="majorHAnsi" w:cstheme="majorHAnsi"/>
                <w:sz w:val="18"/>
                <w:szCs w:val="18"/>
              </w:rPr>
            </w:pPr>
            <w:proofErr w:type="spellStart"/>
            <w:r w:rsidRPr="00F96DB8">
              <w:rPr>
                <w:rFonts w:asciiTheme="majorHAnsi" w:hAnsiTheme="majorHAnsi" w:cstheme="majorHAnsi"/>
                <w:sz w:val="18"/>
                <w:szCs w:val="18"/>
              </w:rPr>
              <w:t>GHDx</w:t>
            </w:r>
            <w:proofErr w:type="spellEnd"/>
            <w:r w:rsidRPr="00F96DB8">
              <w:rPr>
                <w:rFonts w:asciiTheme="majorHAnsi" w:hAnsiTheme="majorHAnsi" w:cstheme="majorHAnsi"/>
                <w:sz w:val="18"/>
                <w:szCs w:val="18"/>
              </w:rPr>
              <w:t xml:space="preserve"> link (upon publication)</w:t>
            </w:r>
          </w:p>
        </w:tc>
      </w:tr>
      <w:tr w:rsidR="004D101A" w:rsidRPr="00F96DB8" w14:paraId="3BD32176" w14:textId="77777777" w:rsidTr="00E6101C">
        <w:tc>
          <w:tcPr>
            <w:tcW w:w="9350" w:type="dxa"/>
            <w:gridSpan w:val="3"/>
          </w:tcPr>
          <w:p w14:paraId="72EAFC04" w14:textId="77777777" w:rsidR="004D101A" w:rsidRPr="00F96DB8" w:rsidRDefault="004D101A" w:rsidP="00E6101C">
            <w:pPr>
              <w:rPr>
                <w:rFonts w:asciiTheme="majorHAnsi" w:hAnsiTheme="majorHAnsi" w:cstheme="majorHAnsi"/>
                <w:b/>
                <w:sz w:val="18"/>
                <w:szCs w:val="18"/>
              </w:rPr>
            </w:pPr>
            <w:r w:rsidRPr="00F96DB8">
              <w:rPr>
                <w:rFonts w:asciiTheme="majorHAnsi" w:hAnsiTheme="majorHAnsi" w:cstheme="majorHAnsi"/>
                <w:sz w:val="18"/>
                <w:szCs w:val="18"/>
              </w:rPr>
              <w:t>Results and Discussion</w:t>
            </w:r>
          </w:p>
        </w:tc>
      </w:tr>
      <w:tr w:rsidR="004D101A" w:rsidRPr="00F96DB8" w14:paraId="44F9D878" w14:textId="77777777" w:rsidTr="00E6101C">
        <w:tc>
          <w:tcPr>
            <w:tcW w:w="800" w:type="dxa"/>
          </w:tcPr>
          <w:p w14:paraId="2DB77706"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15</w:t>
            </w:r>
          </w:p>
        </w:tc>
        <w:tc>
          <w:tcPr>
            <w:tcW w:w="6300" w:type="dxa"/>
          </w:tcPr>
          <w:p w14:paraId="725DDBC5"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Provide published estimates in a file format from which data can be efficiently extracted.</w:t>
            </w:r>
          </w:p>
        </w:tc>
        <w:tc>
          <w:tcPr>
            <w:tcW w:w="2250" w:type="dxa"/>
          </w:tcPr>
          <w:p w14:paraId="15C5166C" w14:textId="77777777" w:rsidR="004D101A" w:rsidRPr="00F96DB8" w:rsidRDefault="004D101A" w:rsidP="00E6101C">
            <w:pPr>
              <w:rPr>
                <w:rFonts w:asciiTheme="majorHAnsi" w:hAnsiTheme="majorHAnsi" w:cstheme="majorHAnsi"/>
                <w:sz w:val="18"/>
                <w:szCs w:val="18"/>
              </w:rPr>
            </w:pPr>
            <w:proofErr w:type="spellStart"/>
            <w:r w:rsidRPr="00F96DB8">
              <w:rPr>
                <w:rFonts w:asciiTheme="majorHAnsi" w:hAnsiTheme="majorHAnsi" w:cstheme="majorHAnsi"/>
                <w:sz w:val="18"/>
                <w:szCs w:val="18"/>
              </w:rPr>
              <w:t>GHDx</w:t>
            </w:r>
            <w:proofErr w:type="spellEnd"/>
            <w:r w:rsidRPr="00F96DB8">
              <w:rPr>
                <w:rFonts w:asciiTheme="majorHAnsi" w:hAnsiTheme="majorHAnsi" w:cstheme="majorHAnsi"/>
                <w:sz w:val="18"/>
                <w:szCs w:val="18"/>
              </w:rPr>
              <w:t xml:space="preserve"> link (upon publication)</w:t>
            </w:r>
          </w:p>
        </w:tc>
      </w:tr>
      <w:tr w:rsidR="004D101A" w:rsidRPr="00F96DB8" w14:paraId="226172B2" w14:textId="77777777" w:rsidTr="00E6101C">
        <w:tc>
          <w:tcPr>
            <w:tcW w:w="800" w:type="dxa"/>
            <w:shd w:val="clear" w:color="auto" w:fill="auto"/>
          </w:tcPr>
          <w:p w14:paraId="3FF24604"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16</w:t>
            </w:r>
          </w:p>
        </w:tc>
        <w:tc>
          <w:tcPr>
            <w:tcW w:w="6300" w:type="dxa"/>
            <w:shd w:val="clear" w:color="auto" w:fill="auto"/>
          </w:tcPr>
          <w:p w14:paraId="4C74D9CD"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Report a quantitative measure of the uncertainty of the estimates (e.g. uncertainty intervals).</w:t>
            </w:r>
          </w:p>
        </w:tc>
        <w:tc>
          <w:tcPr>
            <w:tcW w:w="2250" w:type="dxa"/>
            <w:shd w:val="clear" w:color="auto" w:fill="auto"/>
          </w:tcPr>
          <w:p w14:paraId="39D458DA"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 xml:space="preserve">Results section, </w:t>
            </w:r>
            <w:proofErr w:type="spellStart"/>
            <w:r w:rsidRPr="00F96DB8">
              <w:rPr>
                <w:rFonts w:asciiTheme="majorHAnsi" w:hAnsiTheme="majorHAnsi" w:cstheme="majorHAnsi"/>
                <w:sz w:val="18"/>
                <w:szCs w:val="18"/>
              </w:rPr>
              <w:t>GHDx</w:t>
            </w:r>
            <w:proofErr w:type="spellEnd"/>
            <w:r w:rsidRPr="00F96DB8">
              <w:rPr>
                <w:rFonts w:asciiTheme="majorHAnsi" w:hAnsiTheme="majorHAnsi" w:cstheme="majorHAnsi"/>
                <w:sz w:val="18"/>
                <w:szCs w:val="18"/>
              </w:rPr>
              <w:t xml:space="preserve"> link (upon publication)</w:t>
            </w:r>
          </w:p>
        </w:tc>
      </w:tr>
      <w:tr w:rsidR="004D101A" w:rsidRPr="00F96DB8" w14:paraId="5625E91F" w14:textId="77777777" w:rsidTr="00E6101C">
        <w:tc>
          <w:tcPr>
            <w:tcW w:w="800" w:type="dxa"/>
            <w:shd w:val="clear" w:color="auto" w:fill="auto"/>
          </w:tcPr>
          <w:p w14:paraId="0F79E5CB"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17</w:t>
            </w:r>
          </w:p>
        </w:tc>
        <w:tc>
          <w:tcPr>
            <w:tcW w:w="6300" w:type="dxa"/>
            <w:shd w:val="clear" w:color="auto" w:fill="auto"/>
          </w:tcPr>
          <w:p w14:paraId="52714907" w14:textId="77777777" w:rsidR="004D101A" w:rsidRPr="00F96DB8" w:rsidRDefault="004D101A" w:rsidP="00E6101C">
            <w:pPr>
              <w:rPr>
                <w:rFonts w:asciiTheme="majorHAnsi" w:hAnsiTheme="majorHAnsi" w:cstheme="majorHAnsi"/>
                <w:sz w:val="18"/>
                <w:szCs w:val="18"/>
              </w:rPr>
            </w:pPr>
            <w:proofErr w:type="gramStart"/>
            <w:r w:rsidRPr="00F96DB8">
              <w:rPr>
                <w:rFonts w:asciiTheme="majorHAnsi" w:hAnsiTheme="majorHAnsi" w:cstheme="majorHAnsi"/>
                <w:sz w:val="18"/>
                <w:szCs w:val="18"/>
              </w:rPr>
              <w:t>Interpret</w:t>
            </w:r>
            <w:proofErr w:type="gramEnd"/>
            <w:r w:rsidRPr="00F96DB8">
              <w:rPr>
                <w:rFonts w:asciiTheme="majorHAnsi" w:hAnsiTheme="majorHAnsi" w:cstheme="majorHAnsi"/>
                <w:sz w:val="18"/>
                <w:szCs w:val="18"/>
              </w:rPr>
              <w:t xml:space="preserve"> results </w:t>
            </w:r>
            <w:proofErr w:type="gramStart"/>
            <w:r w:rsidRPr="00F96DB8">
              <w:rPr>
                <w:rFonts w:asciiTheme="majorHAnsi" w:hAnsiTheme="majorHAnsi" w:cstheme="majorHAnsi"/>
                <w:sz w:val="18"/>
                <w:szCs w:val="18"/>
              </w:rPr>
              <w:t>in light of</w:t>
            </w:r>
            <w:proofErr w:type="gramEnd"/>
            <w:r w:rsidRPr="00F96DB8">
              <w:rPr>
                <w:rFonts w:asciiTheme="majorHAnsi" w:hAnsiTheme="majorHAnsi" w:cstheme="majorHAnsi"/>
                <w:sz w:val="18"/>
                <w:szCs w:val="18"/>
              </w:rPr>
              <w:t xml:space="preserve"> existing evidence. If updating a previous set of estimates, describe the reasons for changes in estimates.</w:t>
            </w:r>
          </w:p>
        </w:tc>
        <w:tc>
          <w:tcPr>
            <w:tcW w:w="2250" w:type="dxa"/>
            <w:shd w:val="clear" w:color="auto" w:fill="auto"/>
          </w:tcPr>
          <w:p w14:paraId="5F0B78CB"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Introduction, Discussion sections</w:t>
            </w:r>
          </w:p>
        </w:tc>
      </w:tr>
      <w:tr w:rsidR="004D101A" w:rsidRPr="00F96DB8" w14:paraId="3BE71EFC" w14:textId="77777777" w:rsidTr="00E6101C">
        <w:tc>
          <w:tcPr>
            <w:tcW w:w="800" w:type="dxa"/>
            <w:shd w:val="clear" w:color="auto" w:fill="auto"/>
          </w:tcPr>
          <w:p w14:paraId="076D4140"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18</w:t>
            </w:r>
          </w:p>
        </w:tc>
        <w:tc>
          <w:tcPr>
            <w:tcW w:w="6300" w:type="dxa"/>
            <w:shd w:val="clear" w:color="auto" w:fill="auto"/>
          </w:tcPr>
          <w:p w14:paraId="056CF8D0"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Discuss limitations of the estimates. Include a discussion of any modelling assumptions or data limitations that affect interpretation of the estimates.</w:t>
            </w:r>
          </w:p>
        </w:tc>
        <w:tc>
          <w:tcPr>
            <w:tcW w:w="2250" w:type="dxa"/>
            <w:shd w:val="clear" w:color="auto" w:fill="auto"/>
          </w:tcPr>
          <w:p w14:paraId="4091FEC2" w14:textId="77777777" w:rsidR="004D101A" w:rsidRPr="00F96DB8" w:rsidRDefault="004D101A" w:rsidP="00E6101C">
            <w:pPr>
              <w:rPr>
                <w:rFonts w:asciiTheme="majorHAnsi" w:hAnsiTheme="majorHAnsi" w:cstheme="majorHAnsi"/>
                <w:sz w:val="18"/>
                <w:szCs w:val="18"/>
              </w:rPr>
            </w:pPr>
            <w:r w:rsidRPr="00F96DB8">
              <w:rPr>
                <w:rFonts w:asciiTheme="majorHAnsi" w:hAnsiTheme="majorHAnsi" w:cstheme="majorHAnsi"/>
                <w:sz w:val="18"/>
                <w:szCs w:val="18"/>
              </w:rPr>
              <w:t>Discussion section</w:t>
            </w:r>
          </w:p>
        </w:tc>
      </w:tr>
    </w:tbl>
    <w:p w14:paraId="2C9C8077" w14:textId="77777777" w:rsidR="004D101A" w:rsidRPr="004C277A" w:rsidRDefault="004D101A" w:rsidP="004D101A">
      <w:pPr>
        <w:spacing w:after="0" w:line="240" w:lineRule="auto"/>
        <w:contextualSpacing/>
        <w:rPr>
          <w:i/>
          <w:lang w:val="en-GB"/>
        </w:rPr>
      </w:pPr>
    </w:p>
    <w:p w14:paraId="0AF923AF" w14:textId="472AF124" w:rsidR="004D101A" w:rsidRPr="00F96DB8" w:rsidRDefault="004D101A" w:rsidP="004D101A">
      <w:pPr>
        <w:spacing w:after="0" w:line="240" w:lineRule="auto"/>
        <w:contextualSpacing/>
        <w:rPr>
          <w:rFonts w:asciiTheme="majorHAnsi" w:hAnsiTheme="majorHAnsi" w:cstheme="majorHAnsi"/>
          <w:lang w:val="en-GB"/>
        </w:rPr>
      </w:pPr>
      <w:r w:rsidRPr="00F96DB8">
        <w:rPr>
          <w:rFonts w:asciiTheme="majorHAnsi" w:hAnsiTheme="majorHAnsi" w:cstheme="majorHAnsi"/>
          <w:lang w:val="en-GB"/>
        </w:rPr>
        <w:t xml:space="preserve">Checklist template obtained from: </w:t>
      </w:r>
      <w:hyperlink r:id="rId13" w:history="1">
        <w:r w:rsidRPr="00F96DB8">
          <w:rPr>
            <w:rFonts w:asciiTheme="majorHAnsi" w:hAnsiTheme="majorHAnsi" w:cstheme="majorHAnsi"/>
          </w:rPr>
          <w:t>http://gather-statement.org/</w:t>
        </w:r>
      </w:hyperlink>
      <w:r w:rsidR="00BE7D0B" w:rsidRPr="00F96DB8">
        <w:rPr>
          <w:rFonts w:asciiTheme="majorHAnsi" w:hAnsiTheme="majorHAnsi" w:cstheme="majorHAnsi"/>
        </w:rPr>
        <w:t xml:space="preserve">  </w:t>
      </w:r>
      <w:r w:rsidRPr="00F96DB8">
        <w:rPr>
          <w:rFonts w:asciiTheme="majorHAnsi" w:hAnsiTheme="majorHAnsi" w:cstheme="majorHAnsi"/>
          <w:lang w:val="en-GB"/>
        </w:rPr>
        <w:t xml:space="preserve"> </w:t>
      </w:r>
    </w:p>
    <w:p w14:paraId="024A8D67" w14:textId="00173440" w:rsidR="00867892" w:rsidRPr="00F96DB8" w:rsidRDefault="004D101A" w:rsidP="00452056">
      <w:pPr>
        <w:pStyle w:val="Heading1"/>
        <w:spacing w:before="0" w:line="360" w:lineRule="auto"/>
        <w:contextualSpacing/>
        <w:rPr>
          <w:rFonts w:eastAsiaTheme="minorEastAsia" w:cstheme="majorHAnsi"/>
          <w:lang w:val="en-GB"/>
        </w:rPr>
      </w:pPr>
      <w:bookmarkStart w:id="2" w:name="_Toc254090878"/>
      <w:bookmarkStart w:id="3" w:name="_Toc175308171"/>
      <w:r w:rsidRPr="00F96DB8">
        <w:rPr>
          <w:rFonts w:eastAsiaTheme="minorEastAsia" w:cstheme="majorHAnsi"/>
          <w:lang w:val="en-GB"/>
        </w:rPr>
        <w:lastRenderedPageBreak/>
        <w:t>2</w:t>
      </w:r>
      <w:r w:rsidR="009664F9" w:rsidRPr="00F96DB8">
        <w:rPr>
          <w:rFonts w:eastAsiaTheme="minorEastAsia" w:cstheme="majorHAnsi"/>
          <w:lang w:val="en-GB"/>
        </w:rPr>
        <w:t xml:space="preserve"> </w:t>
      </w:r>
      <w:r w:rsidR="009B006F" w:rsidRPr="00F96DB8">
        <w:rPr>
          <w:rFonts w:eastAsiaTheme="minorEastAsia" w:cstheme="majorHAnsi"/>
          <w:lang w:val="en-GB"/>
        </w:rPr>
        <w:t>Supplemental Methods</w:t>
      </w:r>
      <w:bookmarkEnd w:id="2"/>
      <w:bookmarkEnd w:id="3"/>
    </w:p>
    <w:p w14:paraId="153C25E3" w14:textId="0C5DF2A1" w:rsidR="00452056" w:rsidRPr="00F96DB8" w:rsidRDefault="00452056" w:rsidP="20C712B2">
      <w:pPr>
        <w:spacing w:line="360" w:lineRule="auto"/>
        <w:rPr>
          <w:rFonts w:asciiTheme="majorHAnsi" w:hAnsiTheme="majorHAnsi" w:cstheme="majorHAnsi"/>
          <w:lang w:val="en-GB"/>
        </w:rPr>
      </w:pPr>
      <w:r w:rsidRPr="00F96DB8">
        <w:rPr>
          <w:rFonts w:asciiTheme="majorHAnsi" w:hAnsiTheme="majorHAnsi" w:cstheme="majorHAnsi"/>
          <w:lang w:val="en-GB"/>
        </w:rPr>
        <w:t xml:space="preserve">The methods used for this analysis </w:t>
      </w:r>
      <w:r w:rsidR="4FDE974C" w:rsidRPr="00F96DB8">
        <w:rPr>
          <w:rFonts w:asciiTheme="majorHAnsi" w:hAnsiTheme="majorHAnsi" w:cstheme="majorHAnsi"/>
          <w:lang w:val="en-GB"/>
        </w:rPr>
        <w:t>are the same as used for other analyses of cause-specific mortality by county and racial and ethnic population,</w:t>
      </w:r>
      <w:r w:rsidR="00216E1E" w:rsidRPr="00F96DB8">
        <w:rPr>
          <w:rFonts w:asciiTheme="majorHAnsi" w:hAnsiTheme="majorHAnsi" w:cstheme="majorHAnsi"/>
          <w:lang w:val="en-GB"/>
        </w:rPr>
        <w:fldChar w:fldCharType="begin"/>
      </w:r>
      <w:r w:rsidR="008E1282">
        <w:rPr>
          <w:rFonts w:asciiTheme="majorHAnsi" w:hAnsiTheme="majorHAnsi" w:cstheme="majorHAnsi"/>
          <w:lang w:val="en-GB"/>
        </w:rPr>
        <w:instrText xml:space="preserve"> ADDIN ZOTERO_ITEM CSL_CITATION {"citationID":"FaLK13Du","properties":{"unsorted":true,"formattedCitation":"\\super 1,2\\nosupersub{}","plainCitation":"1,2","noteIndex":0},"citationItems":[{"id":44875,"uris":["http://zotero.org/groups/2703628/items/F4BQJ3XD"],"itemData":{"id":44875,"type":"article-journal","abstract":"Background\nLarge disparities in mortality exist across racial–ethnic groups and by location in the USA, but the extent to which racial–ethnic disparities vary by location, or how these patterns vary by cause of death, is not well understood. We aimed to estimate age-standardised mortality by racial–ethnic group, county, and cause of death and describe the intersection between racial–ethnic and place-based disparities in mortality in the USA, comparing patterns across health conditions.\nMethods\nWe applied small-area estimation models to death certificate data from the US National Vital Statistics system and population data from the US National Center for Health Statistics to estimate mortality by age, sex, county, and racial–ethnic group annually from 2000 to 2019 for 19 broad causes of death. Race and ethnicity were categorised as non-Latino and non-Hispanic American Indian or Alaska Native (AIAN), non-Latino and non-Hispanic Asian or Pacific Islander (Asian), non-Latino and non-Hispanic Black (Black), Latino or Hispanic (Latino), and non-Latino and non-Hispanic White (White). We adjusted these mortality rates to correct for misreporting of race and ethnicity on death certificates and generated age-standardised results using direct standardisation to the 2010 US census population.\nFindings\nFrom 2000 to 2019, across 3110 US counties, racial–ethnic disparities in age-standardised mortality were noted for all causes of death considered. Mortality was substantially higher in the AIAN population (all-cause mortality 1028·2 [95% uncertainty interval 922·2–1142·3] per 100 000 population in 2019) and Black population (953·5 [947·5–958·8] per 100 000) than in the White population (802·5 [800·3–804·7] per 100 000), but substantially lower in the Asian population (442·3 [429·3–455·0] per 100 000) and Latino population (595·6 [583·7–606·8] per 100 000), and this pattern was found for most causes of death. However, there were exceptions to this pattern, and the exact order among racial–ethnic groups, magnitude of the disparity in both absolute and relative terms, and change over time in this magnitude varied considerably by cause of death. Similarly, substantial geographical variation in mortality was observed for all causes of death, both overall and within each racial–ethnic group. Racial–ethnic disparities observed at the national level reflect widespread disparities at the county level, although the magnitude of these disparities varied widely among counties. Certain patterns of disparity were nearly universal among counties; for example, in 2019, mortality was higher among the AIAN population than the White population in at least 95% of counties for skin and subcutaneous diseases (455 [97·8%] of 465 counties with unmasked estimates) and HIV/AIDS and sexually transmitted infections (458 [98·5%] counties), and mortality was higher among the Black population than the White population in nearly all counties for skin and subcutaneous diseases (1436 [96·6%] of 1486 counties), diabetes and kidney diseases (1473 [99·1%]), maternal and neonatal disorders (1486 [100·0%] counties), and HIV/AIDS and sexually transmitted infections (1486 [100·0%] counties).\nInterpretation\nDisparities in mortality among racial–ethnic groups are ubiquitous, occurring across locations in the USA and for a wide range of health conditions. There is an urgent need to address the shared structural factors driving these widespread disparities.\nFunding\nNational Institute on Minority Health and Health Disparities; National Heart, Lung, and Blood Institute; National Cancer Institute; National Institute on Aging; National Institute of Arthritis and Musculoskeletal and Skin Diseases; Office of Disease Prevention; and Office of Behavioral and Social Sciences Research, US National Institutes of Health.","container-title":"Lancet","DOI":"10.1016/S0140-6736(23)01088-7","ISSN":"0140-6736","issue":"10407","journalAbbreviation":"Lancet","page":"1065-1082","source":"ScienceDirect","title":"Cause-specific mortality by county, race, and ethnicity in the USA, 2000–19: a systematic analysis of health disparities","title-short":"Cause-specific mortality by county, race, and ethnicity in the usa, 2000–19","volume":"402","author":[{"family":"Dwyer-Lindgren","given":"Laura"},{"family":"Kendrick","given":"Parkes"},{"family":"Kelly","given":"Yekaterina O"},{"family":"Baumann","given":"Mathew M"},{"family":"Compton","given":"Kelly"},{"family":"Blacker","given":"Brigette F"},{"family":"Daoud","given":"Farah"},{"family":"Li","given":"Zhuochen"},{"family":"Mouhanna","given":"Farah"},{"family":"Nassereldine","given":"Hasan"},{"family":"Schmidt","given":"Chris"},{"family":"Sylte","given":"Dillon O"},{"family":"Hay","given":"Simon I"},{"family":"Mensah","given":"George A"},{"family":"Nápoles","given":"Anna M"},{"family":"Pérez-Stable","given":"Eliseo J"},{"family":"Murray","given":"Christopher J L"},{"family":"Mokdad","given":"Ali H"}],"issued":{"date-parts":[["2023",9,23]]}},"label":"page"},{"id":42962,"uris":["http://zotero.org/groups/2703628/items/WF82MPZ5"],"itemData":{"id":42962,"type":"article-journal","container-title":"The Lancet Regional Health – Americas","DOI":"10.1016/j.lana.2023.100547","ISSN":"2667-193X","journalAbbreviation":"The Lancet Regional Health – Americas","language":"English","note":"publisher: Elsevier","source":"www.thelancet.com","title":"The burden of stomach cancer mortality by county, race, and ethnicity in the USA, 2000–2019: a systematic analysis of health disparities","title-short":"The burden of stomach cancer mortality by county, race, and ethnicity in the USA, 2000–2019","URL":"https://www.thelancet.com/journals/lanam/article/PIIS2667-193X(23)00121-7/fulltext#%20","volume":"24","author":[{"family":"Kendrick","given":"Parkes"},{"family":"Kelly","given":"Yekaterina O."},{"family":"Baumann","given":"Mathew M."},{"family":"Compton","given":"Kelly"},{"family":"Blacker","given":"Brigette F."},{"family":"Daoud","given":"Farah"},{"family":"Li","given":"Zhuochen"},{"family":"Mouhanna","given":"Farah"},{"family":"Nassereldine","given":"Hasan"},{"family":"Schmidt","given":"Chris"},{"family":"Sylte","given":"Dillon O."},{"family":"Force","given":"Lisa M."},{"family":"Hay","given":"Simon I."},{"family":"Rodriquez","given":"Erik J."},{"family":"Mensah","given":"George A."},{"family":"Nápoles","given":"Anna M."},{"family":"Pérez-Stable","given":"Eliseo J."},{"family":"Murray","given":"Christopher J. L."},{"family":"Mokdad","given":"Ali H."},{"family":"Dwyer-Lindgren","given":"Laura"}],"accessed":{"date-parts":[["2023",10,3]]},"issued":{"date-parts":[["2023",8,1]]}},"label":"page"}],"schema":"https://github.com/citation-style-language/schema/raw/master/csl-citation.json"} </w:instrText>
      </w:r>
      <w:r w:rsidR="00216E1E" w:rsidRPr="00F96DB8">
        <w:rPr>
          <w:rFonts w:asciiTheme="majorHAnsi" w:hAnsiTheme="majorHAnsi" w:cstheme="majorHAnsi"/>
          <w:lang w:val="en-GB"/>
        </w:rPr>
        <w:fldChar w:fldCharType="separate"/>
      </w:r>
      <w:r w:rsidR="008E1282" w:rsidRPr="008E1282">
        <w:rPr>
          <w:rFonts w:ascii="Calibri Light" w:hAnsi="Calibri Light" w:cs="Calibri Light"/>
          <w:vertAlign w:val="superscript"/>
        </w:rPr>
        <w:t>1,2</w:t>
      </w:r>
      <w:r w:rsidR="00216E1E" w:rsidRPr="00F96DB8">
        <w:rPr>
          <w:rFonts w:asciiTheme="majorHAnsi" w:hAnsiTheme="majorHAnsi" w:cstheme="majorHAnsi"/>
          <w:lang w:val="en-GB"/>
        </w:rPr>
        <w:fldChar w:fldCharType="end"/>
      </w:r>
      <w:r w:rsidR="4FDE974C" w:rsidRPr="00F96DB8">
        <w:rPr>
          <w:rFonts w:asciiTheme="majorHAnsi" w:hAnsiTheme="majorHAnsi" w:cstheme="majorHAnsi"/>
          <w:lang w:val="en-GB"/>
        </w:rPr>
        <w:t xml:space="preserve"> and</w:t>
      </w:r>
      <w:r w:rsidRPr="00F96DB8">
        <w:rPr>
          <w:rFonts w:asciiTheme="majorHAnsi" w:hAnsiTheme="majorHAnsi" w:cstheme="majorHAnsi"/>
          <w:lang w:val="en-GB"/>
        </w:rPr>
        <w:t xml:space="preserve"> are an extension of methods previously developed for estimating all-cause mortality by county and racial</w:t>
      </w:r>
      <w:r w:rsidR="00133CED" w:rsidRPr="00F96DB8">
        <w:rPr>
          <w:rFonts w:asciiTheme="majorHAnsi" w:hAnsiTheme="majorHAnsi" w:cstheme="majorHAnsi"/>
          <w:lang w:val="en-GB"/>
        </w:rPr>
        <w:t xml:space="preserve"> and </w:t>
      </w:r>
      <w:r w:rsidRPr="00F96DB8">
        <w:rPr>
          <w:rFonts w:asciiTheme="majorHAnsi" w:hAnsiTheme="majorHAnsi" w:cstheme="majorHAnsi"/>
          <w:lang w:val="en-GB"/>
        </w:rPr>
        <w:t xml:space="preserve">ethnic </w:t>
      </w:r>
      <w:r w:rsidR="00133CED" w:rsidRPr="00F96DB8">
        <w:rPr>
          <w:rFonts w:asciiTheme="majorHAnsi" w:hAnsiTheme="majorHAnsi" w:cstheme="majorHAnsi"/>
          <w:lang w:val="en-GB"/>
        </w:rPr>
        <w:t>population</w:t>
      </w:r>
      <w:r w:rsidRPr="00F96DB8">
        <w:rPr>
          <w:rFonts w:asciiTheme="majorHAnsi" w:hAnsiTheme="majorHAnsi" w:cstheme="majorHAnsi"/>
          <w:lang w:val="en-GB"/>
        </w:rPr>
        <w:t xml:space="preserve"> in the US</w:t>
      </w:r>
      <w:r w:rsidR="006D302A" w:rsidRPr="00F96DB8">
        <w:rPr>
          <w:rFonts w:asciiTheme="majorHAnsi" w:hAnsiTheme="majorHAnsi" w:cstheme="majorHAnsi"/>
          <w:lang w:val="en-GB"/>
        </w:rPr>
        <w:t>A</w:t>
      </w:r>
      <w:r w:rsidRPr="00F96DB8">
        <w:rPr>
          <w:rFonts w:asciiTheme="majorHAnsi" w:hAnsiTheme="majorHAnsi" w:cstheme="majorHAnsi"/>
          <w:lang w:val="en-GB"/>
        </w:rPr>
        <w:t>.</w:t>
      </w:r>
      <w:r w:rsidRPr="00F96DB8">
        <w:rPr>
          <w:rFonts w:asciiTheme="majorHAnsi" w:hAnsiTheme="majorHAnsi" w:cstheme="majorHAnsi"/>
          <w:lang w:val="en-GB"/>
        </w:rPr>
        <w:fldChar w:fldCharType="begin"/>
      </w:r>
      <w:r w:rsidR="00CD15EE">
        <w:rPr>
          <w:rFonts w:asciiTheme="majorHAnsi" w:hAnsiTheme="majorHAnsi" w:cstheme="majorHAnsi"/>
          <w:lang w:val="en-GB"/>
        </w:rPr>
        <w:instrText xml:space="preserve"> ADDIN ZOTERO_ITEM CSL_CITATION {"citationID":"kCX6LaDA","properties":{"formattedCitation":"\\super 3\\nosupersub{}","plainCitation":"3","noteIndex":0},"citationItems":[{"id":42737,"uris":["http://zotero.org/groups/2703628/items/E85NTHHB"],"itemData":{"id":42737,"type":"article-journal","container-title":"Lancet","DOI":"10.1016/S0140-6736(22)00876-5","ISSN":"0140-6736, 1474-547X","issue":"10345","journalAbbreviation":"Lancet","language":"English","note":"publisher: Elsevier\nPMID: 35717994","page":"25-38","source":"www.thelancet.com","title":"Life expectancy by county, race, and ethnicity in the usa, 2000–19: a systematic analysis of health disparities","title-short":"Life expectancy by county, race, and ethnicity in the usa, 2000–19","volume":"400","author":[{"family":"Dwyer-Lindgren","given":"Laura"},{"family":"Kendrick","given":"Parkes"},{"family":"Kelly","given":"Yekaterina O."},{"family":"Sylte","given":"Dillon O."},{"family":"Schmidt","given":"Chris"},{"family":"Blacker","given":"Brigette F."},{"family":"Daoud","given":"Farah"},{"family":"Abdi","given":"Amal A."},{"family":"Baumann","given":"Mathew"},{"family":"Mouhanna","given":"Farah"},{"family":"Kahn","given":"Ethan"},{"family":"Hay","given":"Simon I."},{"family":"Mensah","given":"George A."},{"family":"Nápoles","given":"Anna M."},{"family":"Pérez-Stable","given":"Eliseo J."},{"family":"Shiels","given":"Meredith"},{"family":"Freedman","given":"Neal"},{"family":"Arias","given":"Elizabeth"},{"family":"George","given":"Stephanie A."},{"family":"Murray","given":"David M."},{"family":"Phillips","given":"John WR"},{"family":"Spittel","given":"Michael L."},{"family":"Murray","given":"Christopher JL"},{"family":"Mokdad","given":"Ali H."}],"issued":{"date-parts":[["2022",7,2]]}}}],"schema":"https://github.com/citation-style-language/schema/raw/master/csl-citation.json"} </w:instrText>
      </w:r>
      <w:r w:rsidRPr="00F96DB8">
        <w:rPr>
          <w:rFonts w:asciiTheme="majorHAnsi" w:hAnsiTheme="majorHAnsi" w:cstheme="majorHAnsi"/>
          <w:lang w:val="en-GB"/>
        </w:rPr>
        <w:fldChar w:fldCharType="separate"/>
      </w:r>
      <w:r w:rsidR="00667CAA" w:rsidRPr="00F96DB8">
        <w:rPr>
          <w:rFonts w:asciiTheme="majorHAnsi" w:hAnsiTheme="majorHAnsi" w:cstheme="majorHAnsi"/>
          <w:szCs w:val="24"/>
          <w:vertAlign w:val="superscript"/>
        </w:rPr>
        <w:t>3</w:t>
      </w:r>
      <w:r w:rsidRPr="00F96DB8">
        <w:rPr>
          <w:rFonts w:asciiTheme="majorHAnsi" w:hAnsiTheme="majorHAnsi" w:cstheme="majorHAnsi"/>
          <w:lang w:val="en-GB"/>
        </w:rPr>
        <w:fldChar w:fldCharType="end"/>
      </w:r>
      <w:r w:rsidR="004914B2">
        <w:rPr>
          <w:rFonts w:asciiTheme="majorHAnsi" w:hAnsiTheme="majorHAnsi" w:cstheme="majorHAnsi"/>
          <w:lang w:val="en-GB"/>
        </w:rPr>
        <w:t xml:space="preserve"> </w:t>
      </w:r>
      <w:r w:rsidR="0048315D">
        <w:rPr>
          <w:rFonts w:asciiTheme="majorHAnsi" w:hAnsiTheme="majorHAnsi" w:cstheme="majorHAnsi"/>
          <w:lang w:val="en-GB"/>
        </w:rPr>
        <w:t xml:space="preserve">The description below applies to all causes </w:t>
      </w:r>
      <w:r w:rsidR="002918C1">
        <w:rPr>
          <w:rFonts w:asciiTheme="majorHAnsi" w:hAnsiTheme="majorHAnsi" w:cstheme="majorHAnsi"/>
          <w:lang w:val="en-GB"/>
        </w:rPr>
        <w:t>of death model</w:t>
      </w:r>
      <w:r w:rsidR="001D60D6">
        <w:rPr>
          <w:rFonts w:asciiTheme="majorHAnsi" w:hAnsiTheme="majorHAnsi" w:cstheme="majorHAnsi"/>
          <w:lang w:val="en-GB"/>
        </w:rPr>
        <w:t xml:space="preserve">led, including maternal mortality, the focus of this </w:t>
      </w:r>
      <w:r w:rsidR="00F50821">
        <w:rPr>
          <w:rFonts w:asciiTheme="majorHAnsi" w:hAnsiTheme="majorHAnsi" w:cstheme="majorHAnsi"/>
          <w:lang w:val="en-GB"/>
        </w:rPr>
        <w:t>analysis</w:t>
      </w:r>
      <w:r w:rsidR="001D60D6">
        <w:rPr>
          <w:rFonts w:asciiTheme="majorHAnsi" w:hAnsiTheme="majorHAnsi" w:cstheme="majorHAnsi"/>
          <w:lang w:val="en-GB"/>
        </w:rPr>
        <w:t xml:space="preserve">. </w:t>
      </w:r>
    </w:p>
    <w:p w14:paraId="6CB93D61" w14:textId="77777777" w:rsidR="00452056" w:rsidRPr="00F96DB8" w:rsidRDefault="00452056" w:rsidP="001B332D">
      <w:pPr>
        <w:spacing w:line="240" w:lineRule="auto"/>
        <w:rPr>
          <w:rFonts w:asciiTheme="majorHAnsi" w:hAnsiTheme="majorHAnsi" w:cstheme="majorHAnsi"/>
          <w:lang w:val="en-GB"/>
        </w:rPr>
      </w:pPr>
    </w:p>
    <w:p w14:paraId="77912264" w14:textId="7DB49C05" w:rsidR="00942DAF" w:rsidRPr="00F96DB8" w:rsidRDefault="00BE6ED3" w:rsidP="136EDF08">
      <w:pPr>
        <w:pStyle w:val="Heading2"/>
        <w:spacing w:before="0" w:line="360" w:lineRule="auto"/>
        <w:contextualSpacing/>
        <w:rPr>
          <w:rFonts w:eastAsiaTheme="minorEastAsia" w:cstheme="majorHAnsi"/>
          <w:lang w:val="en-GB"/>
        </w:rPr>
      </w:pPr>
      <w:bookmarkStart w:id="4" w:name="_Toc1141163155"/>
      <w:bookmarkStart w:id="5" w:name="_Toc175308172"/>
      <w:r w:rsidRPr="00F96DB8">
        <w:rPr>
          <w:rFonts w:eastAsiaTheme="minorEastAsia" w:cstheme="majorHAnsi"/>
          <w:lang w:val="en-GB"/>
        </w:rPr>
        <w:t>2.1 Deaths and population data p</w:t>
      </w:r>
      <w:r w:rsidR="00942DAF" w:rsidRPr="00F96DB8">
        <w:rPr>
          <w:rFonts w:eastAsiaTheme="minorEastAsia" w:cstheme="majorHAnsi"/>
          <w:lang w:val="en-GB"/>
        </w:rPr>
        <w:t>rocessing</w:t>
      </w:r>
      <w:bookmarkEnd w:id="4"/>
      <w:bookmarkEnd w:id="5"/>
    </w:p>
    <w:p w14:paraId="4AAE2E3D" w14:textId="3ADD7776" w:rsidR="006D302A" w:rsidRPr="00F96DB8" w:rsidRDefault="0027350B" w:rsidP="587A6DCD">
      <w:pPr>
        <w:spacing w:after="0" w:line="360" w:lineRule="auto"/>
        <w:contextualSpacing/>
        <w:rPr>
          <w:rFonts w:asciiTheme="majorHAnsi" w:eastAsia="Calibri" w:hAnsiTheme="majorHAnsi" w:cstheme="majorHAnsi"/>
          <w:color w:val="000000" w:themeColor="text1"/>
          <w:lang w:val="en-GB"/>
        </w:rPr>
      </w:pPr>
      <w:r w:rsidRPr="00F96DB8">
        <w:rPr>
          <w:rFonts w:asciiTheme="majorHAnsi" w:hAnsiTheme="majorHAnsi" w:cstheme="majorHAnsi"/>
          <w:lang w:val="en-GB"/>
        </w:rPr>
        <w:t xml:space="preserve">We used de-identified death records from the National Vital Statistics System (NVSS) and population estimates from the National </w:t>
      </w:r>
      <w:proofErr w:type="spellStart"/>
      <w:r w:rsidRPr="00F96DB8">
        <w:rPr>
          <w:rFonts w:asciiTheme="majorHAnsi" w:hAnsiTheme="majorHAnsi" w:cstheme="majorHAnsi"/>
          <w:lang w:val="en-GB"/>
        </w:rPr>
        <w:t>Center</w:t>
      </w:r>
      <w:proofErr w:type="spellEnd"/>
      <w:r w:rsidRPr="00F96DB8">
        <w:rPr>
          <w:rFonts w:asciiTheme="majorHAnsi" w:hAnsiTheme="majorHAnsi" w:cstheme="majorHAnsi"/>
          <w:lang w:val="en-GB"/>
        </w:rPr>
        <w:t xml:space="preserve"> for Health Statistics (NCHS) for the years 2000–19 for this analysis (section 3.2). </w:t>
      </w:r>
      <w:r w:rsidR="00317444" w:rsidRPr="00F96DB8">
        <w:rPr>
          <w:rFonts w:asciiTheme="majorHAnsi" w:eastAsia="Calibri" w:hAnsiTheme="majorHAnsi" w:cstheme="majorHAnsi"/>
          <w:color w:val="000000" w:themeColor="text1"/>
          <w:lang w:val="en-GB"/>
        </w:rPr>
        <w:t xml:space="preserve">This analysis uses the </w:t>
      </w:r>
      <w:r w:rsidR="00370CF1" w:rsidRPr="00F96DB8">
        <w:rPr>
          <w:rFonts w:asciiTheme="majorHAnsi" w:eastAsia="Calibri" w:hAnsiTheme="majorHAnsi" w:cstheme="majorHAnsi"/>
          <w:color w:val="000000" w:themeColor="text1"/>
          <w:lang w:val="en-GB"/>
        </w:rPr>
        <w:t>racial and ethnic populations</w:t>
      </w:r>
      <w:r w:rsidR="00317444" w:rsidRPr="00F96DB8">
        <w:rPr>
          <w:rFonts w:asciiTheme="majorHAnsi" w:eastAsia="Calibri" w:hAnsiTheme="majorHAnsi" w:cstheme="majorHAnsi"/>
          <w:color w:val="000000" w:themeColor="text1"/>
          <w:lang w:val="en-GB"/>
        </w:rPr>
        <w:t xml:space="preserve"> as specified in the standards for federal data collection on race and ethnicity issued by the Office of Management and Budget (OMB) in 1977.</w:t>
      </w:r>
      <w:r w:rsidRPr="00F96DB8">
        <w:rPr>
          <w:rFonts w:asciiTheme="majorHAnsi" w:eastAsia="Calibri" w:hAnsiTheme="majorHAnsi" w:cstheme="majorHAnsi"/>
          <w:color w:val="000000" w:themeColor="text1"/>
          <w:lang w:val="en-GB"/>
        </w:rPr>
        <w:fldChar w:fldCharType="begin"/>
      </w:r>
      <w:r w:rsidR="00CD15EE">
        <w:rPr>
          <w:rFonts w:asciiTheme="majorHAnsi" w:eastAsia="Calibri" w:hAnsiTheme="majorHAnsi" w:cstheme="majorHAnsi"/>
          <w:color w:val="000000" w:themeColor="text1"/>
          <w:lang w:val="en-GB"/>
        </w:rPr>
        <w:instrText xml:space="preserve"> ADDIN ZOTERO_ITEM CSL_CITATION {"citationID":"uK6rqYXi","properties":{"formattedCitation":"\\super 4\\nosupersub{}","plainCitation":"4","noteIndex":0},"citationItems":[{"id":41843,"uris":["http://zotero.org/groups/2703628/items/NZTHH53G","http://zotero.org/groups/2703628/items/QFIV8EFX"],"itemData":{"id":41843,"type":"webpage","title":"OMB DIRECTIVE 15: RACE AND ETHNIC STANDARDS FOR FEDERAL STATISTICS AND ADMINISTRATIVE REPORTING","URL":"https://wonder-cdc-gov.offcampus.lib.washington.edu/wonder/help/populations/bridged-race/directive15.html","accessed":{"date-parts":[["2023",6,13]]}}}],"schema":"https://github.com/citation-style-language/schema/raw/master/csl-citation.json"} </w:instrText>
      </w:r>
      <w:r w:rsidRPr="00F96DB8">
        <w:rPr>
          <w:rFonts w:asciiTheme="majorHAnsi" w:eastAsia="Calibri" w:hAnsiTheme="majorHAnsi" w:cstheme="majorHAnsi"/>
          <w:color w:val="000000" w:themeColor="text1"/>
          <w:lang w:val="en-GB"/>
        </w:rPr>
        <w:fldChar w:fldCharType="separate"/>
      </w:r>
      <w:r w:rsidR="00667CAA" w:rsidRPr="00F96DB8">
        <w:rPr>
          <w:rFonts w:asciiTheme="majorHAnsi" w:hAnsiTheme="majorHAnsi" w:cstheme="majorHAnsi"/>
          <w:szCs w:val="24"/>
          <w:vertAlign w:val="superscript"/>
        </w:rPr>
        <w:t>4</w:t>
      </w:r>
      <w:r w:rsidRPr="00F96DB8">
        <w:rPr>
          <w:rFonts w:asciiTheme="majorHAnsi" w:eastAsia="Calibri" w:hAnsiTheme="majorHAnsi" w:cstheme="majorHAnsi"/>
          <w:color w:val="000000" w:themeColor="text1"/>
          <w:lang w:val="en-GB"/>
        </w:rPr>
        <w:fldChar w:fldCharType="end"/>
      </w:r>
      <w:r w:rsidR="00317444" w:rsidRPr="00F96DB8">
        <w:rPr>
          <w:rFonts w:asciiTheme="majorHAnsi" w:eastAsia="Calibri" w:hAnsiTheme="majorHAnsi" w:cstheme="majorHAnsi"/>
          <w:color w:val="000000" w:themeColor="text1"/>
          <w:lang w:val="en-GB"/>
        </w:rPr>
        <w:t xml:space="preserve"> These standards were updated in 1997 to require that federal data collection systems provide separate Asian and Native Hawaiian </w:t>
      </w:r>
      <w:r w:rsidR="00FC7390">
        <w:rPr>
          <w:rFonts w:asciiTheme="majorHAnsi" w:eastAsia="Calibri" w:hAnsiTheme="majorHAnsi" w:cstheme="majorHAnsi"/>
          <w:color w:val="000000" w:themeColor="text1"/>
          <w:lang w:val="en-GB"/>
        </w:rPr>
        <w:t>or</w:t>
      </w:r>
      <w:r w:rsidR="00317444" w:rsidRPr="00F96DB8">
        <w:rPr>
          <w:rFonts w:asciiTheme="majorHAnsi" w:eastAsia="Calibri" w:hAnsiTheme="majorHAnsi" w:cstheme="majorHAnsi"/>
          <w:color w:val="000000" w:themeColor="text1"/>
          <w:lang w:val="en-GB"/>
        </w:rPr>
        <w:t xml:space="preserve"> Pacific Islander (NHPI) </w:t>
      </w:r>
      <w:r w:rsidR="004C0A10" w:rsidRPr="00F96DB8">
        <w:rPr>
          <w:rFonts w:asciiTheme="majorHAnsi" w:eastAsia="Calibri" w:hAnsiTheme="majorHAnsi" w:cstheme="majorHAnsi"/>
          <w:color w:val="000000" w:themeColor="text1"/>
          <w:lang w:val="en-GB"/>
        </w:rPr>
        <w:t>population</w:t>
      </w:r>
      <w:r w:rsidR="00317444" w:rsidRPr="00F96DB8">
        <w:rPr>
          <w:rFonts w:asciiTheme="majorHAnsi" w:eastAsia="Calibri" w:hAnsiTheme="majorHAnsi" w:cstheme="majorHAnsi"/>
          <w:color w:val="000000" w:themeColor="text1"/>
          <w:lang w:val="en-GB"/>
        </w:rPr>
        <w:t>s, and to allow individuals to identify as two or more races.</w:t>
      </w:r>
      <w:r w:rsidRPr="00F96DB8">
        <w:rPr>
          <w:rFonts w:asciiTheme="majorHAnsi" w:eastAsia="Calibri" w:hAnsiTheme="majorHAnsi" w:cstheme="majorHAnsi"/>
          <w:color w:val="000000" w:themeColor="text1"/>
          <w:lang w:val="en-GB"/>
        </w:rPr>
        <w:fldChar w:fldCharType="begin"/>
      </w:r>
      <w:r w:rsidR="00667CAA" w:rsidRPr="00F96DB8">
        <w:rPr>
          <w:rFonts w:asciiTheme="majorHAnsi" w:eastAsia="Calibri" w:hAnsiTheme="majorHAnsi" w:cstheme="majorHAnsi"/>
          <w:color w:val="000000" w:themeColor="text1"/>
          <w:lang w:val="en-GB"/>
        </w:rPr>
        <w:instrText xml:space="preserve"> ADDIN ZOTERO_ITEM CSL_CITATION {"citationID":"YWkgPXNC","properties":{"formattedCitation":"\\super 5\\nosupersub{}","plainCitation":"5","noteIndex":0},"citationItems":[{"id":38779,"uris":["http://zotero.org/groups/2703628/items/I7JFCG8U"],"itemData":{"id":38779,"type":"article-journal","abstract":"See the President's daily schedule, explore behind-the-scenes photos from inside the White House, and find out all the ways you can engage with the most interactive administration in our country's history.","container-title":"Federal Register","issue":"210","language":"en","page":"58782-58790","title":"Revisions to the Standards for the Classification of Federal Data on Race and Ethnicity","volume":"62","author":[{"literal":"Office of Management and Budget"}],"issued":{"date-parts":[["1997",10,30]]}}}],"schema":"https://github.com/citation-style-language/schema/raw/master/csl-citation.json"} </w:instrText>
      </w:r>
      <w:r w:rsidRPr="00F96DB8">
        <w:rPr>
          <w:rFonts w:asciiTheme="majorHAnsi" w:eastAsia="Calibri" w:hAnsiTheme="majorHAnsi" w:cstheme="majorHAnsi"/>
          <w:color w:val="000000" w:themeColor="text1"/>
          <w:lang w:val="en-GB"/>
        </w:rPr>
        <w:fldChar w:fldCharType="separate"/>
      </w:r>
      <w:r w:rsidR="00667CAA" w:rsidRPr="00F96DB8">
        <w:rPr>
          <w:rFonts w:asciiTheme="majorHAnsi" w:hAnsiTheme="majorHAnsi" w:cstheme="majorHAnsi"/>
          <w:szCs w:val="24"/>
          <w:vertAlign w:val="superscript"/>
        </w:rPr>
        <w:t>5</w:t>
      </w:r>
      <w:r w:rsidRPr="00F96DB8">
        <w:rPr>
          <w:rFonts w:asciiTheme="majorHAnsi" w:eastAsia="Calibri" w:hAnsiTheme="majorHAnsi" w:cstheme="majorHAnsi"/>
          <w:color w:val="000000" w:themeColor="text1"/>
          <w:lang w:val="en-GB"/>
        </w:rPr>
        <w:fldChar w:fldCharType="end"/>
      </w:r>
      <w:r w:rsidR="00317444" w:rsidRPr="00F96DB8">
        <w:rPr>
          <w:rFonts w:asciiTheme="majorHAnsi" w:eastAsia="Calibri" w:hAnsiTheme="majorHAnsi" w:cstheme="majorHAnsi"/>
          <w:color w:val="000000" w:themeColor="text1"/>
          <w:lang w:val="en-GB"/>
        </w:rPr>
        <w:t xml:space="preserve"> However, these changes were not implemented on death certificates in all states until 2017,</w:t>
      </w:r>
      <w:r w:rsidRPr="00F96DB8">
        <w:rPr>
          <w:rFonts w:asciiTheme="majorHAnsi" w:eastAsia="Calibri" w:hAnsiTheme="majorHAnsi" w:cstheme="majorHAnsi"/>
          <w:color w:val="000000" w:themeColor="text1"/>
          <w:lang w:val="en-GB"/>
        </w:rPr>
        <w:fldChar w:fldCharType="begin"/>
      </w:r>
      <w:r w:rsidR="00667CAA" w:rsidRPr="00F96DB8">
        <w:rPr>
          <w:rFonts w:asciiTheme="majorHAnsi" w:eastAsia="Calibri" w:hAnsiTheme="majorHAnsi" w:cstheme="majorHAnsi"/>
          <w:color w:val="000000" w:themeColor="text1"/>
          <w:lang w:val="en-GB"/>
        </w:rPr>
        <w:instrText xml:space="preserve"> ADDIN ZOTERO_ITEM CSL_CITATION {"citationID":"7mYeyChP","properties":{"formattedCitation":"\\super 6\\nosupersub{}","plainCitation":"6","noteIndex":0},"citationItems":[{"id":38858,"uris":["http://zotero.org/groups/2703628/items/KRENPXTV"],"itemData":{"id":38858,"type":"article-journal","abstract":"Objectives—This report presents final 2017 data on U.S. deaths, death rates, life expectancy, infant mortality, and trends, by selected characteristics such as age, sex, Hispanic origin and race, state of residence, and cause of death.\nMethods—Information reported on death certificates is presented in descriptive tabulations. The original records are filed in state registration offices. Statistical information is compiled in a national database through the Vital Statistics Cooperative Program of the National Center for Health Statistics. Causes of death are processed in accordance with the International Classification of Diseases, 10th Revision.\nResults—In 2017, a total of 2,813,503 deaths were reported in the United States. The age-adjusted death rate was 731.9 deaths per 100,000 U.S. standard population, an increase of 0.4% from the 2016 rate. Life expectancy at birth was 78.6 years, a decrease of 0.1 year from the 2016 rate. Life expectancy decreased from 2016 to 2017 for non-Hispanic white males (0.1 year) and non-Hispanic black males (0.1), and increased for nonHispanic black females (0.1). Age-specific death rates increased in 2017 from 2016 for age groups 25–34, 35–44, and 85 and over, and decreased for age groups under 1 and 45–54. The 15 leading causes of death in 2017 remained the same as in 2016 although, two causes exchanged ranks. Chronic liver disease and cirrhosis, the 12th leading cause of death in 2016, became the 11th leading cause of death in 2017, while Septicemia, the 11th leading cause of death in 2016, became the 12th leading cause of death in 2017. The infant mortality rate, 5.79 infant deaths per 1,000 live births in 2017, did not change significantly from the rate of 5.87 in 2016.\nConclusions—The age-adjusted death rate for the total, male, and female populations increased from 2016 to 2017 and life expectancy at birth decreased in 2017 for the total and male populations.","container-title":"National Vital Statistics Reports","issue":"9","language":"en","source":"Zotero","title":"Deaths: final data for 2017","URL":"https://www.cdc.gov/nchs/data/nvsr/nvsr68/nvsr68_09-508.pdf","volume":"68","author":[{"family":"Kochanek","given":"Kenneth D"},{"family":"Murphy","given":"Sherry L"},{"family":"Xu","given":"Jiaquan"},{"family":"Arias","given":"Elizabeth"}],"accessed":{"date-parts":[["2019",12,23]]},"issued":{"date-parts":[["2019"]]}}}],"schema":"https://github.com/citation-style-language/schema/raw/master/csl-citation.json"} </w:instrText>
      </w:r>
      <w:r w:rsidRPr="00F96DB8">
        <w:rPr>
          <w:rFonts w:asciiTheme="majorHAnsi" w:eastAsia="Calibri" w:hAnsiTheme="majorHAnsi" w:cstheme="majorHAnsi"/>
          <w:color w:val="000000" w:themeColor="text1"/>
          <w:lang w:val="en-GB"/>
        </w:rPr>
        <w:fldChar w:fldCharType="separate"/>
      </w:r>
      <w:r w:rsidR="00667CAA" w:rsidRPr="00F96DB8">
        <w:rPr>
          <w:rFonts w:asciiTheme="majorHAnsi" w:hAnsiTheme="majorHAnsi" w:cstheme="majorHAnsi"/>
          <w:szCs w:val="24"/>
          <w:vertAlign w:val="superscript"/>
        </w:rPr>
        <w:t>6</w:t>
      </w:r>
      <w:r w:rsidRPr="00F96DB8">
        <w:rPr>
          <w:rFonts w:asciiTheme="majorHAnsi" w:eastAsia="Calibri" w:hAnsiTheme="majorHAnsi" w:cstheme="majorHAnsi"/>
          <w:color w:val="000000" w:themeColor="text1"/>
          <w:lang w:val="en-GB"/>
        </w:rPr>
        <w:fldChar w:fldCharType="end"/>
      </w:r>
      <w:r w:rsidR="00317444" w:rsidRPr="00F96DB8">
        <w:rPr>
          <w:rFonts w:asciiTheme="majorHAnsi" w:eastAsia="Calibri" w:hAnsiTheme="majorHAnsi" w:cstheme="majorHAnsi"/>
          <w:color w:val="000000" w:themeColor="text1"/>
          <w:lang w:val="en-GB"/>
        </w:rPr>
        <w:t xml:space="preserve"> and estimates of misclassification of </w:t>
      </w:r>
      <w:r w:rsidR="00370CF1" w:rsidRPr="00F96DB8">
        <w:rPr>
          <w:rFonts w:asciiTheme="majorHAnsi" w:eastAsia="Calibri" w:hAnsiTheme="majorHAnsi" w:cstheme="majorHAnsi"/>
          <w:color w:val="000000" w:themeColor="text1"/>
          <w:lang w:val="en-GB"/>
        </w:rPr>
        <w:t>racial and ethnic population</w:t>
      </w:r>
      <w:r w:rsidR="00317444" w:rsidRPr="00F96DB8">
        <w:rPr>
          <w:rFonts w:asciiTheme="majorHAnsi" w:eastAsia="Calibri" w:hAnsiTheme="majorHAnsi" w:cstheme="majorHAnsi"/>
          <w:color w:val="000000" w:themeColor="text1"/>
          <w:lang w:val="en-GB"/>
        </w:rPr>
        <w:t xml:space="preserve"> on death certificates are currently only available using the 1977 categorisation.</w:t>
      </w:r>
      <w:r w:rsidRPr="00F96DB8">
        <w:rPr>
          <w:rFonts w:asciiTheme="majorHAnsi" w:eastAsia="Calibri" w:hAnsiTheme="majorHAnsi" w:cstheme="majorHAnsi"/>
          <w:color w:val="000000" w:themeColor="text1"/>
          <w:lang w:val="en-GB"/>
        </w:rPr>
        <w:fldChar w:fldCharType="begin"/>
      </w:r>
      <w:r w:rsidR="00CD15EE">
        <w:rPr>
          <w:rFonts w:asciiTheme="majorHAnsi" w:eastAsia="Calibri" w:hAnsiTheme="majorHAnsi" w:cstheme="majorHAnsi"/>
          <w:color w:val="000000" w:themeColor="text1"/>
          <w:lang w:val="en-GB"/>
        </w:rPr>
        <w:instrText xml:space="preserve"> ADDIN ZOTERO_ITEM CSL_CITATION {"citationID":"qDiWuRqv","properties":{"formattedCitation":"\\super 7\\nosupersub{}","plainCitation":"7","noteIndex":0},"citationItems":[{"id":39199,"uris":["http://zotero.org/groups/2703628/items/TWBKEKIV"],"itemData":{"id":39199,"type":"article-journal","abstract":"Objectives\nThis report presents the findings of an updated study of the validity of race and Hispanic-origin reporting on death certificates in the United States, and its impact on race- and Hispanic origin-specific death rates.\n\nMethods\nThe latest version of the National Longitudinal Mortality Study (NLMS) was used to evaluate the classification of race and Hispanic origin on death certificates for deaths occurring in 1999–2011 to decedents in NLMS. To evaluate change over time, these results were compared with those of a study based on an earlier version of NLMS that evaluated the quality of race and ethnicity classification on death certificates for 1979–1989 and 1990–1998. NLMS consists of a series of annual Current Population Survey files (1973 and 1978–2011) and a sample of the 1980 decennial census linked to death certificates for 1979–2011. Pooled 2009–2011 vital statistics mortality data and 2010 decennial census population data were used to estimate and compare observed and corrected race- and Hispanic origin-specific death rates.\n\nResults\nRace and ethnicity reporting on death certificates continued to be highly accurate for both white and black populations during the 1999–2011 period. Misclassification remained high at 40% for the American Indian or Alaska Native (AIAN) population. It improved, from 5% to 3%, for the Hispanic population, and from 7% to 3% for the Asian or Pacific Islander (API) population. Decedent characteristics such as place of residence and nativity affected the quality of reporting on the death certificate. Effects of misclassification on death rates were large for the AIAN population but not significant for the Hispanic or API populations.","container-title":"Vital and Health Statistics. Series 2, Data Evaluation and Methods Research","ISSN":"2333-0872","issue":"172","journalAbbreviation":"Vital Health Stat 2","language":"eng","note":"PMID: 28436642","page":"1-21","source":"PubMed","title":"The Validity of Race and Hispanic-origin Reporting on Death Certificates in the United States: An Update","title-short":"The Validity of Race and Hispanic-origin Reporting on Death Certificates in the United States","author":[{"family":"Arias","given":"Elizabeth"},{"family":"Heron","given":"Melonie"},{"family":"Hakes","given":"Jahn"}],"issued":{"date-parts":[["2016",8,1]]}}}],"schema":"https://github.com/citation-style-language/schema/raw/master/csl-citation.json"} </w:instrText>
      </w:r>
      <w:r w:rsidRPr="00F96DB8">
        <w:rPr>
          <w:rFonts w:asciiTheme="majorHAnsi" w:eastAsia="Calibri" w:hAnsiTheme="majorHAnsi" w:cstheme="majorHAnsi"/>
          <w:color w:val="000000" w:themeColor="text1"/>
          <w:lang w:val="en-GB"/>
        </w:rPr>
        <w:fldChar w:fldCharType="separate"/>
      </w:r>
      <w:r w:rsidR="00667CAA" w:rsidRPr="00F96DB8">
        <w:rPr>
          <w:rFonts w:asciiTheme="majorHAnsi" w:hAnsiTheme="majorHAnsi" w:cstheme="majorHAnsi"/>
          <w:szCs w:val="24"/>
          <w:vertAlign w:val="superscript"/>
        </w:rPr>
        <w:t>7</w:t>
      </w:r>
      <w:r w:rsidRPr="00F96DB8">
        <w:rPr>
          <w:rFonts w:asciiTheme="majorHAnsi" w:eastAsia="Calibri" w:hAnsiTheme="majorHAnsi" w:cstheme="majorHAnsi"/>
          <w:color w:val="000000" w:themeColor="text1"/>
          <w:lang w:val="en-GB"/>
        </w:rPr>
        <w:fldChar w:fldCharType="end"/>
      </w:r>
      <w:r w:rsidR="00317444" w:rsidRPr="00F96DB8">
        <w:rPr>
          <w:rFonts w:asciiTheme="majorHAnsi" w:eastAsia="Calibri" w:hAnsiTheme="majorHAnsi" w:cstheme="majorHAnsi"/>
          <w:color w:val="000000" w:themeColor="text1"/>
          <w:lang w:val="en-GB"/>
        </w:rPr>
        <w:t xml:space="preserve"> Additionally, it is not possible to entirely disaggregate the Asian and NHPI populations in death certificate data prior to 2011, owing to the use of a combined Other Asian and Pacific Islander residual category for individuals who are Asian or NHPI but not one of the specific nationalities listed on death certificates (</w:t>
      </w:r>
      <w:proofErr w:type="spellStart"/>
      <w:r w:rsidR="00317444" w:rsidRPr="00F96DB8">
        <w:rPr>
          <w:rFonts w:asciiTheme="majorHAnsi" w:eastAsia="Calibri" w:hAnsiTheme="majorHAnsi" w:cstheme="majorHAnsi"/>
          <w:color w:val="000000" w:themeColor="text1"/>
          <w:lang w:val="en-GB"/>
        </w:rPr>
        <w:t>eg</w:t>
      </w:r>
      <w:proofErr w:type="spellEnd"/>
      <w:r w:rsidR="00317444" w:rsidRPr="00F96DB8">
        <w:rPr>
          <w:rFonts w:asciiTheme="majorHAnsi" w:eastAsia="Calibri" w:hAnsiTheme="majorHAnsi" w:cstheme="majorHAnsi"/>
          <w:color w:val="000000" w:themeColor="text1"/>
          <w:lang w:val="en-GB"/>
        </w:rPr>
        <w:t>, Chinese or Hawaiian).</w:t>
      </w:r>
    </w:p>
    <w:p w14:paraId="3C1A29AF" w14:textId="77777777" w:rsidR="00E90B37" w:rsidRPr="00F96DB8" w:rsidRDefault="00E90B37" w:rsidP="0027350B">
      <w:pPr>
        <w:spacing w:after="0" w:line="360" w:lineRule="auto"/>
        <w:contextualSpacing/>
        <w:rPr>
          <w:rFonts w:asciiTheme="majorHAnsi" w:hAnsiTheme="majorHAnsi" w:cstheme="majorHAnsi"/>
          <w:lang w:val="en-GB"/>
        </w:rPr>
      </w:pPr>
    </w:p>
    <w:p w14:paraId="57A12A22" w14:textId="1B429042" w:rsidR="0027350B" w:rsidRPr="00F96DB8" w:rsidRDefault="0027350B" w:rsidP="0027350B">
      <w:pPr>
        <w:spacing w:after="0" w:line="360" w:lineRule="auto"/>
        <w:contextualSpacing/>
        <w:rPr>
          <w:rFonts w:asciiTheme="majorHAnsi" w:hAnsiTheme="majorHAnsi" w:cstheme="majorHAnsi"/>
          <w:lang w:val="en-GB"/>
        </w:rPr>
      </w:pPr>
      <w:r w:rsidRPr="00F96DB8">
        <w:rPr>
          <w:rFonts w:asciiTheme="majorHAnsi" w:hAnsiTheme="majorHAnsi" w:cstheme="majorHAnsi"/>
          <w:lang w:val="en-GB"/>
        </w:rPr>
        <w:t>Deaths were tabulated by county, age group (0, 1–4, 5–9, …, 80–84, 85+ years of age), sex, racial</w:t>
      </w:r>
      <w:r w:rsidR="00133CED" w:rsidRPr="00F96DB8">
        <w:rPr>
          <w:rFonts w:asciiTheme="majorHAnsi" w:hAnsiTheme="majorHAnsi" w:cstheme="majorHAnsi"/>
          <w:lang w:val="en-GB"/>
        </w:rPr>
        <w:t xml:space="preserve"> and </w:t>
      </w:r>
      <w:r w:rsidRPr="00F96DB8">
        <w:rPr>
          <w:rFonts w:asciiTheme="majorHAnsi" w:hAnsiTheme="majorHAnsi" w:cstheme="majorHAnsi"/>
          <w:lang w:val="en-GB"/>
        </w:rPr>
        <w:t xml:space="preserve">ethnic </w:t>
      </w:r>
      <w:r w:rsidR="00133CED" w:rsidRPr="00F96DB8">
        <w:rPr>
          <w:rFonts w:asciiTheme="majorHAnsi" w:hAnsiTheme="majorHAnsi" w:cstheme="majorHAnsi"/>
          <w:lang w:val="en-GB"/>
        </w:rPr>
        <w:t>population</w:t>
      </w:r>
      <w:r w:rsidRPr="00F96DB8">
        <w:rPr>
          <w:rFonts w:asciiTheme="majorHAnsi" w:hAnsiTheme="majorHAnsi" w:cstheme="majorHAnsi"/>
          <w:lang w:val="en-GB"/>
        </w:rPr>
        <w:t>, year, and cause. In cases where age was missing (0.0177% of deaths), we calculated the proportion of deaths within each age group by state, year, sex, and racial</w:t>
      </w:r>
      <w:r w:rsidR="00133CED" w:rsidRPr="00F96DB8">
        <w:rPr>
          <w:rFonts w:asciiTheme="majorHAnsi" w:hAnsiTheme="majorHAnsi" w:cstheme="majorHAnsi"/>
          <w:lang w:val="en-GB"/>
        </w:rPr>
        <w:t xml:space="preserve"> and </w:t>
      </w:r>
      <w:r w:rsidRPr="00F96DB8">
        <w:rPr>
          <w:rFonts w:asciiTheme="majorHAnsi" w:hAnsiTheme="majorHAnsi" w:cstheme="majorHAnsi"/>
          <w:lang w:val="en-GB"/>
        </w:rPr>
        <w:t xml:space="preserve">ethnic </w:t>
      </w:r>
      <w:r w:rsidR="00133CED" w:rsidRPr="00F96DB8">
        <w:rPr>
          <w:rFonts w:asciiTheme="majorHAnsi" w:hAnsiTheme="majorHAnsi" w:cstheme="majorHAnsi"/>
          <w:lang w:val="en-GB"/>
        </w:rPr>
        <w:t>population</w:t>
      </w:r>
      <w:r w:rsidRPr="00F96DB8">
        <w:rPr>
          <w:rFonts w:asciiTheme="majorHAnsi" w:hAnsiTheme="majorHAnsi" w:cstheme="majorHAnsi"/>
          <w:lang w:val="en-GB"/>
        </w:rPr>
        <w:t xml:space="preserve"> among those entries with age information and then reapportioned deaths without age information using these proportions. This approach effectively assumes that age is missing at random. We are unable to verify this assumption; however, we believe it’s unlikely that violations of this assumption would substantively impact the results of our analysis, given the rarity of missing age in the deaths data. In cases where death records were missing information on race or where race was coded as “other” (0</w:t>
      </w:r>
      <w:r w:rsidR="00CE3804" w:rsidRPr="00F96DB8">
        <w:rPr>
          <w:rFonts w:asciiTheme="majorHAnsi" w:hAnsiTheme="majorHAnsi" w:cstheme="majorHAnsi"/>
          <w:lang w:val="en-GB"/>
        </w:rPr>
        <w:t>.</w:t>
      </w:r>
      <w:r w:rsidRPr="00F96DB8">
        <w:rPr>
          <w:rFonts w:asciiTheme="majorHAnsi" w:hAnsiTheme="majorHAnsi" w:cstheme="majorHAnsi"/>
          <w:lang w:val="en-GB"/>
        </w:rPr>
        <w:t>63%), NCHS imputed a value. In cases where multiple race information was collected and decedents were identified as two or more races (0</w:t>
      </w:r>
      <w:r w:rsidR="00CE3804" w:rsidRPr="00F96DB8">
        <w:rPr>
          <w:rFonts w:asciiTheme="majorHAnsi" w:hAnsiTheme="majorHAnsi" w:cstheme="majorHAnsi"/>
          <w:lang w:val="en-GB"/>
        </w:rPr>
        <w:t>.</w:t>
      </w:r>
      <w:r w:rsidRPr="00F96DB8">
        <w:rPr>
          <w:rFonts w:asciiTheme="majorHAnsi" w:hAnsiTheme="majorHAnsi" w:cstheme="majorHAnsi"/>
          <w:lang w:val="en-GB"/>
        </w:rPr>
        <w:t>29%), NVSS included an imputed or “bridged” race value that corresponds to the predicted “primary” race for each decedent.</w:t>
      </w:r>
      <w:r w:rsidRPr="00F96DB8">
        <w:rPr>
          <w:rFonts w:asciiTheme="majorHAnsi" w:hAnsiTheme="majorHAnsi" w:cstheme="majorHAnsi"/>
          <w:lang w:val="en-GB"/>
        </w:rPr>
        <w:fldChar w:fldCharType="begin"/>
      </w:r>
      <w:r w:rsidR="00667CAA" w:rsidRPr="00F96DB8">
        <w:rPr>
          <w:rFonts w:asciiTheme="majorHAnsi" w:hAnsiTheme="majorHAnsi" w:cstheme="majorHAnsi"/>
          <w:lang w:val="en-GB"/>
        </w:rPr>
        <w:instrText xml:space="preserve"> ADDIN ZOTERO_ITEM CSL_CITATION {"citationID":"TNkN3z58","properties":{"formattedCitation":"\\super 6\\nosupersub{}","plainCitation":"6","noteIndex":0},"citationItems":[{"id":38858,"uris":["http://zotero.org/groups/2703628/items/KRENPXTV"],"itemData":{"id":38858,"type":"article-journal","abstract":"Objectives—This report presents final 2017 data on U.S. deaths, death rates, life expectancy, infant mortality, and trends, by selected characteristics such as age, sex, Hispanic origin and race, state of residence, and cause of death.\nMethods—Information reported on death certificates is presented in descriptive tabulations. The original records are filed in state registration offices. Statistical information is compiled in a national database through the Vital Statistics Cooperative Program of the National Center for Health Statistics. Causes of death are processed in accordance with the International Classification of Diseases, 10th Revision.\nResults—In 2017, a total of 2,813,503 deaths were reported in the United States. The age-adjusted death rate was 731.9 deaths per 100,000 U.S. standard population, an increase of 0.4% from the 2016 rate. Life expectancy at birth was 78.6 years, a decrease of 0.1 year from the 2016 rate. Life expectancy decreased from 2016 to 2017 for non-Hispanic white males (0.1 year) and non-Hispanic black males (0.1), and increased for nonHispanic black females (0.1). Age-specific death rates increased in 2017 from 2016 for age groups 25–34, 35–44, and 85 and over, and decreased for age groups under 1 and 45–54. The 15 leading causes of death in 2017 remained the same as in 2016 although, two causes exchanged ranks. Chronic liver disease and cirrhosis, the 12th leading cause of death in 2016, became the 11th leading cause of death in 2017, while Septicemia, the 11th leading cause of death in 2016, became the 12th leading cause of death in 2017. The infant mortality rate, 5.79 infant deaths per 1,000 live births in 2017, did not change significantly from the rate of 5.87 in 2016.\nConclusions—The age-adjusted death rate for the total, male, and female populations increased from 2016 to 2017 and life expectancy at birth decreased in 2017 for the total and male populations.","container-title":"National Vital Statistics Reports","issue":"9","language":"en","source":"Zotero","title":"Deaths: final data for 2017","URL":"https://www.cdc.gov/nchs/data/nvsr/nvsr68/nvsr68_09-508.pdf","volume":"68","author":[{"family":"Kochanek","given":"Kenneth D"},{"family":"Murphy","given":"Sherry L"},{"family":"Xu","given":"Jiaquan"},{"family":"Arias","given":"Elizabeth"}],"accessed":{"date-parts":[["2019",12,23]]},"issued":{"date-parts":[["2019"]]}}}],"schema":"https://github.com/citation-style-language/schema/raw/master/csl-citation.json"} </w:instrText>
      </w:r>
      <w:r w:rsidRPr="00F96DB8">
        <w:rPr>
          <w:rFonts w:asciiTheme="majorHAnsi" w:hAnsiTheme="majorHAnsi" w:cstheme="majorHAnsi"/>
          <w:lang w:val="en-GB"/>
        </w:rPr>
        <w:fldChar w:fldCharType="separate"/>
      </w:r>
      <w:r w:rsidR="00667CAA" w:rsidRPr="00F96DB8">
        <w:rPr>
          <w:rFonts w:asciiTheme="majorHAnsi" w:hAnsiTheme="majorHAnsi" w:cstheme="majorHAnsi"/>
          <w:szCs w:val="24"/>
          <w:vertAlign w:val="superscript"/>
        </w:rPr>
        <w:t>6</w:t>
      </w:r>
      <w:r w:rsidRPr="00F96DB8">
        <w:rPr>
          <w:rFonts w:asciiTheme="majorHAnsi" w:hAnsiTheme="majorHAnsi" w:cstheme="majorHAnsi"/>
          <w:lang w:val="en-GB"/>
        </w:rPr>
        <w:fldChar w:fldCharType="end"/>
      </w:r>
      <w:r w:rsidRPr="00F96DB8">
        <w:rPr>
          <w:rFonts w:asciiTheme="majorHAnsi" w:hAnsiTheme="majorHAnsi" w:cstheme="majorHAnsi"/>
          <w:lang w:val="en-GB"/>
        </w:rPr>
        <w:t xml:space="preserve"> We used these imputed and bridged </w:t>
      </w:r>
      <w:r w:rsidRPr="00F96DB8">
        <w:rPr>
          <w:rFonts w:asciiTheme="majorHAnsi" w:hAnsiTheme="majorHAnsi" w:cstheme="majorHAnsi"/>
          <w:lang w:val="en-GB"/>
        </w:rPr>
        <w:lastRenderedPageBreak/>
        <w:t>values for the present analysis. NCHS does not impute missing Latino ethnicity (0</w:t>
      </w:r>
      <w:r w:rsidR="00CE3804" w:rsidRPr="00F96DB8">
        <w:rPr>
          <w:rFonts w:asciiTheme="majorHAnsi" w:hAnsiTheme="majorHAnsi" w:cstheme="majorHAnsi"/>
          <w:lang w:val="en-GB"/>
        </w:rPr>
        <w:t>.</w:t>
      </w:r>
      <w:r w:rsidRPr="00F96DB8">
        <w:rPr>
          <w:rFonts w:asciiTheme="majorHAnsi" w:hAnsiTheme="majorHAnsi" w:cstheme="majorHAnsi"/>
          <w:lang w:val="en-GB"/>
        </w:rPr>
        <w:t xml:space="preserve">29%); for the purposes of this analysis, deaths among individuals with unknown Latino ethnicity were redistributed in proportion to the size of the Latino and non-Latino populations in the same county, race, age, sex, and </w:t>
      </w:r>
      <w:proofErr w:type="gramStart"/>
      <w:r w:rsidRPr="00F96DB8">
        <w:rPr>
          <w:rFonts w:asciiTheme="majorHAnsi" w:hAnsiTheme="majorHAnsi" w:cstheme="majorHAnsi"/>
          <w:lang w:val="en-GB"/>
        </w:rPr>
        <w:t>time period</w:t>
      </w:r>
      <w:proofErr w:type="gramEnd"/>
      <w:r w:rsidRPr="00F96DB8">
        <w:rPr>
          <w:rFonts w:asciiTheme="majorHAnsi" w:hAnsiTheme="majorHAnsi" w:cstheme="majorHAnsi"/>
          <w:lang w:val="en-GB"/>
        </w:rPr>
        <w:t xml:space="preserve">. To ensure stable ratios for this redistribution, we pooled data over time as needed to achieve a minimum population of 50. </w:t>
      </w:r>
      <w:r w:rsidRPr="00F96DB8">
        <w:rPr>
          <w:rStyle w:val="normaltextrun"/>
          <w:rFonts w:asciiTheme="majorHAnsi" w:hAnsiTheme="majorHAnsi" w:cstheme="majorHAnsi"/>
          <w:color w:val="000000"/>
          <w:shd w:val="clear" w:color="auto" w:fill="FFFFFF"/>
        </w:rPr>
        <w:t xml:space="preserve">This threshold of 50 is somewhat </w:t>
      </w:r>
      <w:proofErr w:type="gramStart"/>
      <w:r w:rsidRPr="00F96DB8">
        <w:rPr>
          <w:rStyle w:val="normaltextrun"/>
          <w:rFonts w:asciiTheme="majorHAnsi" w:hAnsiTheme="majorHAnsi" w:cstheme="majorHAnsi"/>
          <w:color w:val="000000"/>
          <w:shd w:val="clear" w:color="auto" w:fill="FFFFFF"/>
        </w:rPr>
        <w:t>arbitrary, but</w:t>
      </w:r>
      <w:proofErr w:type="gramEnd"/>
      <w:r w:rsidRPr="00F96DB8">
        <w:rPr>
          <w:rStyle w:val="normaltextrun"/>
          <w:rFonts w:asciiTheme="majorHAnsi" w:hAnsiTheme="majorHAnsi" w:cstheme="majorHAnsi"/>
          <w:color w:val="000000"/>
          <w:shd w:val="clear" w:color="auto" w:fill="FFFFFF"/>
        </w:rPr>
        <w:t xml:space="preserve"> was selected </w:t>
      </w:r>
      <w:proofErr w:type="gramStart"/>
      <w:r w:rsidRPr="00F96DB8">
        <w:rPr>
          <w:rStyle w:val="normaltextrun"/>
          <w:rFonts w:asciiTheme="majorHAnsi" w:hAnsiTheme="majorHAnsi" w:cstheme="majorHAnsi"/>
          <w:color w:val="000000"/>
          <w:shd w:val="clear" w:color="auto" w:fill="FFFFFF"/>
        </w:rPr>
        <w:t>in an attempt to</w:t>
      </w:r>
      <w:proofErr w:type="gramEnd"/>
      <w:r w:rsidRPr="00F96DB8">
        <w:rPr>
          <w:rStyle w:val="normaltextrun"/>
          <w:rFonts w:asciiTheme="majorHAnsi" w:hAnsiTheme="majorHAnsi" w:cstheme="majorHAnsi"/>
          <w:color w:val="000000"/>
          <w:shd w:val="clear" w:color="auto" w:fill="FFFFFF"/>
        </w:rPr>
        <w:t xml:space="preserve"> balance the need for stable ratios with the desire to have ratios that reflect the distribution of the population within as specific a time-range as possible. </w:t>
      </w:r>
    </w:p>
    <w:p w14:paraId="49812D4D" w14:textId="3768D287" w:rsidR="00074444" w:rsidRPr="00F96DB8" w:rsidRDefault="00074444" w:rsidP="5CDEEBFB">
      <w:pPr>
        <w:spacing w:after="0" w:line="360" w:lineRule="auto"/>
        <w:contextualSpacing/>
        <w:rPr>
          <w:rFonts w:asciiTheme="majorHAnsi" w:hAnsiTheme="majorHAnsi" w:cstheme="majorHAnsi"/>
          <w:lang w:val="en-GB"/>
        </w:rPr>
      </w:pPr>
    </w:p>
    <w:p w14:paraId="314E3347" w14:textId="49991F09" w:rsidR="00074444" w:rsidRPr="00F96DB8" w:rsidRDefault="00074444" w:rsidP="18A04E42">
      <w:pPr>
        <w:pStyle w:val="Heading2"/>
        <w:spacing w:before="0" w:line="360" w:lineRule="auto"/>
        <w:contextualSpacing/>
        <w:rPr>
          <w:rFonts w:eastAsiaTheme="minorEastAsia" w:cstheme="majorHAnsi"/>
          <w:lang w:val="en-GB"/>
        </w:rPr>
      </w:pPr>
      <w:bookmarkStart w:id="6" w:name="_Toc175308173"/>
      <w:r w:rsidRPr="00F96DB8">
        <w:rPr>
          <w:rFonts w:eastAsiaTheme="minorEastAsia" w:cstheme="majorHAnsi"/>
          <w:lang w:val="en-GB"/>
        </w:rPr>
        <w:t>2.2 C</w:t>
      </w:r>
      <w:r w:rsidR="002C0222" w:rsidRPr="00F96DB8">
        <w:rPr>
          <w:rFonts w:eastAsiaTheme="minorEastAsia" w:cstheme="majorHAnsi"/>
          <w:lang w:val="en-GB"/>
        </w:rPr>
        <w:t xml:space="preserve">ause </w:t>
      </w:r>
      <w:r w:rsidR="00DF3268" w:rsidRPr="00F96DB8">
        <w:rPr>
          <w:rFonts w:eastAsiaTheme="minorEastAsia" w:cstheme="majorHAnsi"/>
          <w:lang w:val="en-GB"/>
        </w:rPr>
        <w:t>list, misdiagnosis c</w:t>
      </w:r>
      <w:r w:rsidR="002C0222" w:rsidRPr="00F96DB8">
        <w:rPr>
          <w:rFonts w:eastAsiaTheme="minorEastAsia" w:cstheme="majorHAnsi"/>
          <w:lang w:val="en-GB"/>
        </w:rPr>
        <w:t xml:space="preserve">orrection, and </w:t>
      </w:r>
      <w:r w:rsidR="00DF3268" w:rsidRPr="00F96DB8">
        <w:rPr>
          <w:rFonts w:eastAsiaTheme="minorEastAsia" w:cstheme="majorHAnsi"/>
          <w:lang w:val="en-GB"/>
        </w:rPr>
        <w:t>garbage c</w:t>
      </w:r>
      <w:r w:rsidRPr="00F96DB8">
        <w:rPr>
          <w:rFonts w:eastAsiaTheme="minorEastAsia" w:cstheme="majorHAnsi"/>
          <w:lang w:val="en-GB"/>
        </w:rPr>
        <w:t xml:space="preserve">ode </w:t>
      </w:r>
      <w:r w:rsidR="00DF3268" w:rsidRPr="00F96DB8">
        <w:rPr>
          <w:rFonts w:eastAsiaTheme="minorEastAsia" w:cstheme="majorHAnsi"/>
          <w:lang w:val="en-GB"/>
        </w:rPr>
        <w:t>r</w:t>
      </w:r>
      <w:r w:rsidRPr="00F96DB8">
        <w:rPr>
          <w:rFonts w:eastAsiaTheme="minorEastAsia" w:cstheme="majorHAnsi"/>
          <w:lang w:val="en-GB"/>
        </w:rPr>
        <w:t>edistribution</w:t>
      </w:r>
      <w:bookmarkEnd w:id="6"/>
    </w:p>
    <w:p w14:paraId="67FA1ADF" w14:textId="017F9302" w:rsidR="0027350B" w:rsidRPr="00F96DB8" w:rsidRDefault="0027350B" w:rsidP="0027350B">
      <w:pPr>
        <w:spacing w:after="0" w:line="360" w:lineRule="auto"/>
        <w:contextualSpacing/>
        <w:rPr>
          <w:rFonts w:asciiTheme="majorHAnsi" w:hAnsiTheme="majorHAnsi" w:cstheme="majorHAnsi"/>
          <w:lang w:val="en-GB"/>
        </w:rPr>
      </w:pPr>
      <w:r w:rsidRPr="00F96DB8">
        <w:rPr>
          <w:rFonts w:asciiTheme="majorHAnsi" w:hAnsiTheme="majorHAnsi" w:cstheme="majorHAnsi"/>
          <w:lang w:val="en-GB"/>
        </w:rPr>
        <w:t>We used the cause list developed for the Global Burden of Disease</w:t>
      </w:r>
      <w:r w:rsidR="005137B9" w:rsidRPr="00F96DB8">
        <w:rPr>
          <w:rFonts w:asciiTheme="majorHAnsi" w:hAnsiTheme="majorHAnsi" w:cstheme="majorHAnsi"/>
          <w:lang w:val="en-GB"/>
        </w:rPr>
        <w:t>s, Injuries, and Risk Factors (GBD) 2021</w:t>
      </w:r>
      <w:r w:rsidRPr="00F96DB8">
        <w:rPr>
          <w:rFonts w:asciiTheme="majorHAnsi" w:hAnsiTheme="majorHAnsi" w:cstheme="majorHAnsi"/>
          <w:lang w:val="en-GB"/>
        </w:rPr>
        <w:t xml:space="preserve"> </w:t>
      </w:r>
      <w:r w:rsidR="005137B9" w:rsidRPr="00F96DB8">
        <w:rPr>
          <w:rFonts w:asciiTheme="majorHAnsi" w:hAnsiTheme="majorHAnsi" w:cstheme="majorHAnsi"/>
          <w:lang w:val="en-GB"/>
        </w:rPr>
        <w:t>s</w:t>
      </w:r>
      <w:r w:rsidRPr="00F96DB8">
        <w:rPr>
          <w:rFonts w:asciiTheme="majorHAnsi" w:hAnsiTheme="majorHAnsi" w:cstheme="majorHAnsi"/>
          <w:lang w:val="en-GB"/>
        </w:rPr>
        <w:t xml:space="preserve">tudy for this analysis. The GBD cause list is arranged hierarchically in </w:t>
      </w:r>
      <w:r w:rsidR="005137B9" w:rsidRPr="00F96DB8">
        <w:rPr>
          <w:rFonts w:asciiTheme="majorHAnsi" w:hAnsiTheme="majorHAnsi" w:cstheme="majorHAnsi"/>
          <w:lang w:val="en-GB"/>
        </w:rPr>
        <w:t>four</w:t>
      </w:r>
      <w:r w:rsidRPr="00F96DB8">
        <w:rPr>
          <w:rFonts w:asciiTheme="majorHAnsi" w:hAnsiTheme="majorHAnsi" w:cstheme="majorHAnsi"/>
          <w:lang w:val="en-GB"/>
        </w:rPr>
        <w:t xml:space="preserve"> levels; within each level, the cause list is designed such that each death is assigned to exactly one cause. Level 1 includes three broad groups of causes (communicable, maternal, neonatal, and nutritional diseases; non-communicable diseases; and injuries), </w:t>
      </w:r>
      <w:r w:rsidR="005137B9" w:rsidRPr="00F96DB8">
        <w:rPr>
          <w:rFonts w:asciiTheme="majorHAnsi" w:hAnsiTheme="majorHAnsi" w:cstheme="majorHAnsi"/>
          <w:lang w:val="en-GB"/>
        </w:rPr>
        <w:t>L</w:t>
      </w:r>
      <w:r w:rsidRPr="00F96DB8">
        <w:rPr>
          <w:rFonts w:asciiTheme="majorHAnsi" w:hAnsiTheme="majorHAnsi" w:cstheme="majorHAnsi"/>
          <w:lang w:val="en-GB"/>
        </w:rPr>
        <w:t xml:space="preserve">evel 2 includes 21 more detailed cause groupings, </w:t>
      </w:r>
      <w:r w:rsidR="005137B9" w:rsidRPr="00F96DB8">
        <w:rPr>
          <w:rFonts w:asciiTheme="majorHAnsi" w:hAnsiTheme="majorHAnsi" w:cstheme="majorHAnsi"/>
          <w:lang w:val="en-GB"/>
        </w:rPr>
        <w:t>L</w:t>
      </w:r>
      <w:r w:rsidRPr="00F96DB8">
        <w:rPr>
          <w:rFonts w:asciiTheme="majorHAnsi" w:hAnsiTheme="majorHAnsi" w:cstheme="majorHAnsi"/>
          <w:lang w:val="en-GB"/>
        </w:rPr>
        <w:t xml:space="preserve">evel 3 includes 139 specific causes, and </w:t>
      </w:r>
      <w:r w:rsidR="005137B9" w:rsidRPr="00F96DB8">
        <w:rPr>
          <w:rFonts w:asciiTheme="majorHAnsi" w:hAnsiTheme="majorHAnsi" w:cstheme="majorHAnsi"/>
          <w:lang w:val="en-GB"/>
        </w:rPr>
        <w:t>L</w:t>
      </w:r>
      <w:r w:rsidRPr="00F96DB8">
        <w:rPr>
          <w:rFonts w:asciiTheme="majorHAnsi" w:hAnsiTheme="majorHAnsi" w:cstheme="majorHAnsi"/>
          <w:lang w:val="en-GB"/>
        </w:rPr>
        <w:t xml:space="preserve">evel 4 is the most detailed with 226 causes (including 102 </w:t>
      </w:r>
      <w:r w:rsidR="005137B9" w:rsidRPr="00F96DB8">
        <w:rPr>
          <w:rFonts w:asciiTheme="majorHAnsi" w:hAnsiTheme="majorHAnsi" w:cstheme="majorHAnsi"/>
          <w:lang w:val="en-GB"/>
        </w:rPr>
        <w:t>L</w:t>
      </w:r>
      <w:r w:rsidRPr="00F96DB8">
        <w:rPr>
          <w:rFonts w:asciiTheme="majorHAnsi" w:hAnsiTheme="majorHAnsi" w:cstheme="majorHAnsi"/>
          <w:lang w:val="en-GB"/>
        </w:rPr>
        <w:t xml:space="preserve">evel 3 causes that are not further disaggregated at </w:t>
      </w:r>
      <w:r w:rsidR="005137B9" w:rsidRPr="00F96DB8">
        <w:rPr>
          <w:rFonts w:asciiTheme="majorHAnsi" w:hAnsiTheme="majorHAnsi" w:cstheme="majorHAnsi"/>
          <w:lang w:val="en-GB"/>
        </w:rPr>
        <w:t>L</w:t>
      </w:r>
      <w:r w:rsidRPr="00F96DB8">
        <w:rPr>
          <w:rFonts w:asciiTheme="majorHAnsi" w:hAnsiTheme="majorHAnsi" w:cstheme="majorHAnsi"/>
          <w:lang w:val="en-GB"/>
        </w:rPr>
        <w:t>evel 4). We utili</w:t>
      </w:r>
      <w:r w:rsidR="005137B9" w:rsidRPr="00F96DB8">
        <w:rPr>
          <w:rFonts w:asciiTheme="majorHAnsi" w:hAnsiTheme="majorHAnsi" w:cstheme="majorHAnsi"/>
          <w:lang w:val="en-GB"/>
        </w:rPr>
        <w:t>s</w:t>
      </w:r>
      <w:r w:rsidRPr="00F96DB8">
        <w:rPr>
          <w:rFonts w:asciiTheme="majorHAnsi" w:hAnsiTheme="majorHAnsi" w:cstheme="majorHAnsi"/>
          <w:lang w:val="en-GB"/>
        </w:rPr>
        <w:t xml:space="preserve">ed the map developed by the GBD study to translate ICD-10 codes into GBD causes (section 3.3). </w:t>
      </w:r>
    </w:p>
    <w:p w14:paraId="5CFFF527" w14:textId="0FCF48D4" w:rsidR="18A04E42" w:rsidRPr="00F96DB8" w:rsidRDefault="18A04E42" w:rsidP="18A04E42">
      <w:pPr>
        <w:spacing w:after="0" w:line="360" w:lineRule="auto"/>
        <w:contextualSpacing/>
        <w:rPr>
          <w:rFonts w:asciiTheme="majorHAnsi" w:hAnsiTheme="majorHAnsi" w:cstheme="majorHAnsi"/>
          <w:lang w:val="en-GB"/>
        </w:rPr>
      </w:pPr>
    </w:p>
    <w:p w14:paraId="56DD6B3D" w14:textId="4D1649CD" w:rsidR="005D0BD0" w:rsidRPr="00F96DB8" w:rsidRDefault="005D0BD0" w:rsidP="005D0BD0">
      <w:pPr>
        <w:spacing w:after="0" w:line="360" w:lineRule="auto"/>
        <w:contextualSpacing/>
        <w:rPr>
          <w:rFonts w:asciiTheme="majorHAnsi" w:hAnsiTheme="majorHAnsi" w:cstheme="majorHAnsi"/>
          <w:lang w:val="en-GB"/>
        </w:rPr>
      </w:pPr>
      <w:r w:rsidRPr="00F96DB8">
        <w:rPr>
          <w:rFonts w:asciiTheme="majorHAnsi" w:hAnsiTheme="majorHAnsi" w:cstheme="majorHAnsi"/>
          <w:lang w:val="en-GB"/>
        </w:rPr>
        <w:t>Previous studies have identified two issues that require adjustments to the underlying cause of death codes recorded in death certificate data. First, trends in mortality due to Alzhe</w:t>
      </w:r>
      <w:r w:rsidR="00440AB6" w:rsidRPr="00F96DB8">
        <w:rPr>
          <w:rFonts w:asciiTheme="majorHAnsi" w:hAnsiTheme="majorHAnsi" w:cstheme="majorHAnsi"/>
          <w:lang w:val="en-GB"/>
        </w:rPr>
        <w:t>i</w:t>
      </w:r>
      <w:r w:rsidRPr="00F96DB8">
        <w:rPr>
          <w:rFonts w:asciiTheme="majorHAnsi" w:hAnsiTheme="majorHAnsi" w:cstheme="majorHAnsi"/>
          <w:lang w:val="en-GB"/>
        </w:rPr>
        <w:t>mer’s disease and other dementias, Parkinson’s disease, and atrial fibrillation and flutter based on death certificate data are often inconsistent with trends in prevalence and case-fatality from other data sources. This inconsistency is thought be the result of changes over time and differences by location in coding practices related to these causes. Second, many deaths are observed to have been assigned an underlying cause of death code that instead refers to an intermediate or immediate cause of death (</w:t>
      </w:r>
      <w:proofErr w:type="spellStart"/>
      <w:r w:rsidRPr="00F96DB8">
        <w:rPr>
          <w:rFonts w:asciiTheme="majorHAnsi" w:hAnsiTheme="majorHAnsi" w:cstheme="majorHAnsi"/>
          <w:lang w:val="en-GB"/>
        </w:rPr>
        <w:t>eg</w:t>
      </w:r>
      <w:proofErr w:type="spellEnd"/>
      <w:r w:rsidRPr="00F96DB8">
        <w:rPr>
          <w:rFonts w:asciiTheme="majorHAnsi" w:hAnsiTheme="majorHAnsi" w:cstheme="majorHAnsi"/>
          <w:lang w:val="en-GB"/>
        </w:rPr>
        <w:t>, cardiopulmonary arrest) or that is insufficiently specific (</w:t>
      </w:r>
      <w:proofErr w:type="spellStart"/>
      <w:r w:rsidRPr="00F96DB8">
        <w:rPr>
          <w:rFonts w:asciiTheme="majorHAnsi" w:hAnsiTheme="majorHAnsi" w:cstheme="majorHAnsi"/>
          <w:lang w:val="en-GB"/>
        </w:rPr>
        <w:t>eg</w:t>
      </w:r>
      <w:proofErr w:type="spellEnd"/>
      <w:r w:rsidRPr="00F96DB8">
        <w:rPr>
          <w:rFonts w:asciiTheme="majorHAnsi" w:hAnsiTheme="majorHAnsi" w:cstheme="majorHAnsi"/>
          <w:lang w:val="en-GB"/>
        </w:rPr>
        <w:t>, malignant neoplasm of other and ill-defined sites); these codes are referred to as “garbage codes.”</w:t>
      </w:r>
      <w:r w:rsidRPr="00F96DB8">
        <w:rPr>
          <w:rFonts w:asciiTheme="majorHAnsi" w:hAnsiTheme="majorHAnsi" w:cstheme="majorHAnsi"/>
          <w:lang w:val="en-GB"/>
        </w:rPr>
        <w:fldChar w:fldCharType="begin"/>
      </w:r>
      <w:r w:rsidR="00BA0E90">
        <w:rPr>
          <w:rFonts w:asciiTheme="majorHAnsi" w:hAnsiTheme="majorHAnsi" w:cstheme="majorHAnsi"/>
          <w:lang w:val="en-GB"/>
        </w:rPr>
        <w:instrText xml:space="preserve"> ADDIN ZOTERO_ITEM CSL_CITATION {"citationID":"dJewWPeN","properties":{"formattedCitation":"\\super 8\\nosupersub{}","plainCitation":"8","noteIndex":0},"citationItems":[{"id":"wdkIiMrh/vhyUcgOw","uris":["http://zotero.org/users/74831/items/2S2K3PU4"],"itemData":{"id":21,"type":"article-journal","abstract":"Coverage and quality of cause-of-death (CoD) data varies across countries and time. Valid, reliable, and comparable assessments of trends in causes of death from even the best systems are limited by three problems: a) changes in the International Statistical Classification of Diseases and Related Health Problems (ICD) over time; b) the use of tabulation lists where substantial detail on causes of death is lost; and c) many deaths assigned to causes that cannot or should not be considered underlying causes of death, often called garbage codes (GCs). The Global Burden of Disease Study and the World Health Organization have developed various methods to enhance comparability of CoD data. In this study, we attempt to build on these approaches to enhance the utility of national cause-of-death data for public health analysis.","container-title":"Population Health Metrics","DOI":"10.1186/1478-7954-8-9","ISSN":"1478-7954","journalAbbreviation":"Population Health Metrics","note":"PMCID: PMC2873308","page":"9","source":"BioMed Central","title":"Algorithms for enhancing public health utility of national causes-of-death data","volume":"8","author":[{"family":"Naghavi","given":"Mohsen"},{"family":"Makela","given":"Susanna"},{"family":"Foreman","given":"Kyle"},{"family":"O'Brien","given":"Janaki"},{"family":"Pourmalek","given":"Farshad"},{"family":"Lozano","given":"Rafael"}],"issued":{"date-parts":[["2010"]]}}}],"schema":"https://github.com/citation-style-language/schema/raw/master/csl-citation.json"} </w:instrText>
      </w:r>
      <w:r w:rsidRPr="00F96DB8">
        <w:rPr>
          <w:rFonts w:asciiTheme="majorHAnsi" w:hAnsiTheme="majorHAnsi" w:cstheme="majorHAnsi"/>
          <w:lang w:val="en-GB"/>
        </w:rPr>
        <w:fldChar w:fldCharType="separate"/>
      </w:r>
      <w:r w:rsidR="00667CAA" w:rsidRPr="00F96DB8">
        <w:rPr>
          <w:rFonts w:asciiTheme="majorHAnsi" w:hAnsiTheme="majorHAnsi" w:cstheme="majorHAnsi"/>
          <w:szCs w:val="24"/>
          <w:vertAlign w:val="superscript"/>
        </w:rPr>
        <w:t>8</w:t>
      </w:r>
      <w:r w:rsidRPr="00F96DB8">
        <w:rPr>
          <w:rFonts w:asciiTheme="majorHAnsi" w:hAnsiTheme="majorHAnsi" w:cstheme="majorHAnsi"/>
          <w:lang w:val="en-GB"/>
        </w:rPr>
        <w:fldChar w:fldCharType="end"/>
      </w:r>
      <w:r w:rsidRPr="00F96DB8">
        <w:rPr>
          <w:rFonts w:asciiTheme="majorHAnsi" w:hAnsiTheme="majorHAnsi" w:cstheme="majorHAnsi"/>
          <w:lang w:val="en-GB"/>
        </w:rPr>
        <w:t xml:space="preserve"> Failure to address garbage codes may result in erroneous geographic and temporal patterns as the prevalence of garbage codes varies over time and by location, and may also lead to incorrect relative rankings among causes as the likelihood that a death is assigned a garbage code varies by true underlying cause of death.</w:t>
      </w:r>
    </w:p>
    <w:p w14:paraId="086F3F0F" w14:textId="77777777" w:rsidR="005D0BD0" w:rsidRPr="00F96DB8" w:rsidRDefault="005D0BD0" w:rsidP="005D0BD0">
      <w:pPr>
        <w:spacing w:after="0" w:line="360" w:lineRule="auto"/>
        <w:contextualSpacing/>
        <w:rPr>
          <w:rFonts w:asciiTheme="majorHAnsi" w:hAnsiTheme="majorHAnsi" w:cstheme="majorHAnsi"/>
          <w:lang w:val="en-GB"/>
        </w:rPr>
      </w:pPr>
    </w:p>
    <w:p w14:paraId="54376750" w14:textId="6F73A362" w:rsidR="00942DAF" w:rsidRPr="00F96DB8" w:rsidRDefault="005D0BD0" w:rsidP="005D0BD0">
      <w:pPr>
        <w:spacing w:after="0" w:line="360" w:lineRule="auto"/>
        <w:contextualSpacing/>
        <w:rPr>
          <w:rFonts w:asciiTheme="majorHAnsi" w:hAnsiTheme="majorHAnsi" w:cstheme="majorHAnsi"/>
          <w:lang w:val="en-GB"/>
        </w:rPr>
      </w:pPr>
      <w:r w:rsidRPr="00F96DB8">
        <w:rPr>
          <w:rFonts w:asciiTheme="majorHAnsi" w:hAnsiTheme="majorHAnsi" w:cstheme="majorHAnsi"/>
          <w:lang w:val="en-GB"/>
        </w:rPr>
        <w:lastRenderedPageBreak/>
        <w:t>We used an existing suite of methods developed by the GBD</w:t>
      </w:r>
      <w:r w:rsidR="00B752C3" w:rsidRPr="00F96DB8">
        <w:rPr>
          <w:rFonts w:asciiTheme="majorHAnsi" w:hAnsiTheme="majorHAnsi" w:cstheme="majorHAnsi"/>
          <w:lang w:val="en-GB"/>
        </w:rPr>
        <w:t xml:space="preserve"> study</w:t>
      </w:r>
      <w:r w:rsidRPr="00F96DB8">
        <w:rPr>
          <w:rFonts w:asciiTheme="majorHAnsi" w:hAnsiTheme="majorHAnsi" w:cstheme="majorHAnsi"/>
          <w:lang w:val="en-GB"/>
        </w:rPr>
        <w:t xml:space="preserve"> to address these two issues.</w:t>
      </w:r>
      <w:r w:rsidRPr="00F96DB8">
        <w:rPr>
          <w:rFonts w:asciiTheme="majorHAnsi" w:hAnsiTheme="majorHAnsi" w:cstheme="majorHAnsi"/>
          <w:lang w:val="en-GB"/>
        </w:rPr>
        <w:fldChar w:fldCharType="begin"/>
      </w:r>
      <w:r w:rsidR="00CD15EE">
        <w:rPr>
          <w:rFonts w:asciiTheme="majorHAnsi" w:hAnsiTheme="majorHAnsi" w:cstheme="majorHAnsi"/>
          <w:lang w:val="en-GB"/>
        </w:rPr>
        <w:instrText xml:space="preserve"> ADDIN ZOTERO_ITEM CSL_CITATION {"citationID":"ekf8yt7m","properties":{"formattedCitation":"\\super 9\\nosupersub{}","plainCitation":"9","noteIndex":0},"citationItems":[{"id":45695,"uris":["http://zotero.org/groups/2703628/items/QQS9P6BF"],"itemData":{"id":45695,"type":"article-journal","container-title":"The Lancet","DOI":"10.1016/S0140-6736(24)00367-2","ISSN":"0140-6736, 1474-547X","issue":"10440","journalAbbreviation":"The Lancet","language":"English","note":"publisher: Elsevier\nPMID: 38582094","page":"2100-2132","source":"www.thelancet.com","title":"Global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1990–2021","volume":"403","author":[{"family":"Naghavi","given":"Mohsen"},{"family":"Ong","given":"Kanyin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Habtegiorgis"},{"family":"Abbafati","given":"Cristiana"},{"family":"Abbasgholizadeh","given":"Rouzbeh"},{"family":"Abbasian","given":"Mohammadreza"},{"family":"Abbasi-Kangevari","given":"Mohsen"},{"family":"Abbastabar","given":"Hedayat"},{"family":"ElHafeez","given":"Samar Abd"},{"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Aberhe"},{"family":"Abtahi","given":"Dariush"},{"family":"Rumeileh","given":"Samir Abu"},{"family":"Abualruz","given":"Hasan"},{"family":"Abubakar","given":"Bilyaminu"},{"family":"Abu-Gharbieh","given":"Eman"},{"family":"Abu-Rmeileh","given":"Niveen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Ahmed"},{"family":"Akyirem","given":"Samuel"},{"family":"Hamad","given":"Hanadi Al"},{"family":"Hasan","given":"Syed Mahfuz Al"},{"family":"Alahdab","given":"Fares"},{"family":"Alalalmeh","given":"Samer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Mulat"},{"family":"Quintanilla","given":"Beatriz Paulina Ayala"},{"family":"Ayatollahi","given":"Haleh"},{"family":"Ayuso-Mateos","given":"Jose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Hossein"},{"family":"Behzadifar","given":"Masoud"},{"family":"Beiranvand","given":"Maryam"},{"family":"Ramirez","given":"Diana Fernanda Bejarano"},{"family":"Béjot","given":"Yannick"},{"family":"Belay","given":"Sefealem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Afolabi"},{"family":"Boloor","given":"Archith"},{"family":"Hashemi","given":"Milad Bonakdar"},{"family":"Bonny","given":"Aime"},{"family":"Bora","given":"Kaustubh"},{"family":"Basara","given":"Berrak Bora"},{"family":"Borhany","given":"Hamed"},{"family":"Borzutzky","given":"Arturo"},{"family":"Bouaoud","given":"Souad"},{"family":"Boustany","given":"Antoine"},{"family":"Boxe","given":"Christopher"},{"family":"Boyko","given":"Edward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A."},{"family":"Santos","given":"Florentino Luciano Caetano","dropping-particle":"dos"},{"family":"Calina","given":"Daniela"},{"family":"Cámera","given":"Luis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dropping-particle":"paula"},{"family":"Dadana","given":"Sriharsha"},{"family":"Dadras","given":"Omid"},{"family":"Dai","given":"Siyu"},{"family":"Dai","given":"Xiaochen"},{"family":"Dai","given":"Zhaoli"},{"family":"Dalli","given":"Lachlan L."},{"family":"Damiani","given":"Giovanni"},{"family":"Gela","given":"Jiregna Darega"},{"family":"Das","given":"Jai K."},{"family":"Das","given":"Saswati"},{"family":"Das","given":"Subasish"},{"family":"Dascalu","given":"Ana Maria"},{"family":"Dash","given":"Nihar Ranjan"},{"family":"Dashti","given":"Mohsen"},{"family":"Dastiridou","given":"Anna"},{"family":"Davey","given":"Gail"},{"family":"Dávila-Cervantes","given":"Claudio Alberto"},{"family":"Weaver","given":"Nicole Davis"},{"family":"Davletov","given":"Kairat"},{"family":"Leo","given":"Diego De"},{"family":"Luca","given":"Katie","dropping-particle":"de"},{"family":"Debele","given":"Aklilu Tamire"},{"family":"Debopadhaya","given":"Shayom"},{"family":"Degenhardt","given":"Louisa"},{"family":"Dehghan","given":"Azizallah"},{"family":"Deitesfeld","given":"Lee"},{"family":"Bo'","given":"Cristian Del"},{"family":"Delgado-Enciso","given":"Ivan"},{"family":"Demessa","given":"Berecha Hundessa"},{"family":"Demetriades","given":"Andreas K."},{"family":"Deng","given":"Ke"},{"family":"Deng","given":"Xinlei"},{"family":"Denova-Gutiérrez","given":"Edgar"},{"family":"Deravi","given":"Niloofar"},{"family":"Dereje","given":"Nebiyu"},{"family":"Dervenis","given":"Nikolaos"},{"family":"Dervišević","given":"Emina"},{"family":"Jarlais","given":"Don C. Des"},{"family":"Desai","given":"Hardik Dineshbhai"},{"family":"Desai","given":"Rupak"},{"family":"Devanbu","given":"Vinoth Gnana Chellaiyan"},{"family":"Dewan","given":"Syed Masudur Rahman"},{"family":"Dhali","given":"Arkadeep"},{"family":"Dhama","given":"Kuldeep"},{"family":"Dhimal","given":"Meghnath"},{"family":"Dhingra","given":"Sameer"},{"family":"Dhulipala","given":"Vishal R."},{"family":"Silva","given":"Diana Dias","dropping-particle":"da"},{"family":"Diaz","given":"Daniel"},{"family":"Diaz","given":"Michael J."},{"family":"Dima","given":"Adriana"},{"family":"Ding","given":"Delaney D."},{"family":"Ding","given":"Huanghe"},{"family":"Dinis-Oliveira","given":"Ricardo Jorge"},{"family":"Dirac","given":"M. Ashworth"},{"family":"Djalalinia","given":"Shirin"},{"family":"Do","given":"Thao Huynh Phuong"},{"family":"Prado","given":"Camila Bruneli","dropping-particle":"do"},{"family":"Doaei","given":"Saeid"},{"family":"Dodangeh","given":"Masoud"},{"family":"Dodangeh","given":"Milad"},{"family":"Dohare","given":"Sushil"},{"family":"Dokova","given":"Klara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Ray"},{"family":"Santos","given":"Wendel Mombaque","dropping-particle":"dos"},{"family":"Doshi","given":"Rajkumar"},{"family":"Doshmangir","given":"Leila"},{"family":"Dowou","given":"Robert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Cyrus"},{"family":"Sayed","given":"Iman El"},{"family":"Elbarazi","given":"Iffat"},{"family":"Elema","given":"Teshome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I."},{"family":"Bain","given":"Luchuo Engelbert"},{"family":"Erkhembayar","given":"Ryenchindorj"},{"family":"Esezobor","given":"Christopher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 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Yaser"},{"family":"Ghasemi","given":"Mohammad-Reza"},{"family":"Dabaghi","given":"Ghazal Ghasempour"},{"family":"Ghasemzadeh","given":"Afsaneh"},{"family":"Ghashghaee","given":"Ahmad"},{"family":"Ghassemi","given":"Fariba"},{"family":"Ghazy","given":"Ramy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Vajargah","given":"Pooyan Ghorbani"},{"family":"Ghoshal","given":"Aloke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Mahbub"},{"family":"Hossain","given":"Sahadat"},{"family":"Hosseini","given":"Mohammad-Salar"},{"family":"Hosseinzadeh","given":"Hassan"},{"family":"Hosseinzadeh","given":"Mehdi"},{"family":"Adli","given":"Ahmad Hosseinzadeh"},{"family":"Hostiuc","given":"Mihaela"},{"family":"Hostiuc","given":"Sorin"},{"family":"Hsairi","given":"Mohamed"},{"family":"Hsieh","given":"Vivian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Kazeem"},{"family":"S","given":"Suthanthira Kannan"},{"family":"Kansal","given":"Sushil Kumar"},{"family":"Kantar","given":"Rami S."},{"family":"Kapoor","given":"Neeti"},{"family":"Karajizadeh","given":"Mehrdad"},{"family":"Karanth","given":"Shama D."},{"family":"Karasneh","given":"Reema A."},{"family":"Karaye","given":"Ibraheem M."},{"family":"Karch","given":"André"},{"family":"Karim","given":"Asima"},{"family":"Karimi","given":"Salah Eddin"},{"family":"Behnagh","given":"Arman Karimi"},{"family":"Kashoo","given":"Faizan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Ali"},{"family":"Suheb","given":"Mahammed Ziauddin Khan"},{"family":"Khanmohammadi","given":"Shaghayegh"},{"family":"Khatab","given":"Khaled"},{"family":"Khatami","given":"Fatemeh"},{"family":"Khatatbeh","given":"Haitham"},{"family":"Khatatbeh","given":"Moawiah Mohammad"},{"family":"Khavandegar","given":"Armin"},{"family":"Kashani","given":"Hamid Reza Khayat"},{"family":"Khidri","given":"Feriha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A."},{"family":"Laxminarayana","given":"Sindhura Lakshmi Koulmane"},{"family":"Krishan","given":"Kewal"},{"family":"Krishna","given":"Hare"},{"family":"Krishna","given":"Varun"},{"family":"Krishnamoorthy","given":"Vijay"},{"family":"Krishnamoorthy","given":"Yuvaraj"},{"family":"Krohn","given":"Kris J."},{"family":"Defo","given":"Barthelemy Kuate"},{"family":"Bicer","given":"Burcu Kucuk"},{"family":"Kuddus","given":"Md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Hmwe"},{"family":"Vecchia","given":"Carlo La"},{"family":"Lacey","given":"Ben"},{"family":"Ladan","given":"Muhammad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Fatima"},{"family":"Rad","given":"Elaheh Malakan"},{"family":"Maled","given":"Venkatesh"},{"family":"Malekzadeh","given":"Reza"},{"family":"Malhotra","given":"Armaan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Kumar"},{"family":"Mehra","given":"Rahul"},{"family":"Mehrabani-Zeinabad","given":"Kamran"},{"family":"Nasab","given":"Entezar Mehrabi"},{"family":"Meto","given":"Tesfahun Mekene"},{"family":"Meles","given":"Gebrekiros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 K."},{"family":"Sadeghi","given":"Pouya Mir Mohammad"},{"family":"Mirica","given":"Andreea"},{"family":"Mirijello","given":"Antonio"},{"family":"Mirrakhimov","given":"Erkin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Ali"},{"family":"Ghalibaf","given":"AmirAli Moodi"},{"family":"Moradi","given":"Maryam"},{"family":"Moradi","given":"Yousef"},{"family":"Moradi-Lakeh","given":"Maziar"},{"family":"Moradzadeh","given":"Maliheh"},{"family":"Moraga","given":"Paula"},{"family":"Morawska","given":"Lidia"},{"family":"Moreira","given":"Rafael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Ehsan"},{"family":"Khaneghah","given":"Amin Mousavi"},{"family":"Mpolya","given":"Emmanuel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Rashid"},{"family":"Ansari","given":"Noureddin Nakhostin"},{"family":"Nangia","given":"Vinay"},{"family":"Naqvi","given":"Atta Abbas"},{"family":"Swamy","given":"Sreenivas Narasimha"},{"family":"Narayana","given":"Aparna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A."},{"family":"Bali","given":"Ahmed Omar"},{"family":"Omer","given":"Goran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O."},{"family":"Ozten","given":"Yaz"},{"family":"A","given":"Mahesh Padukudru P."},{"family":"Padron-Monedero","given":"Alicia"},{"family":"Padubidri","given":"Jagadish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D."},{"family":"Pantazopoulos","given":"Ioannis"},{"family":"Stoian","given":"Anca Mihaela Pantea"},{"family":"Papadopoulou","given":"Paraskevi"},{"family":"Parikh","given":"Romil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Suresh"},{"family":"Paudel","given":"Uttam"},{"family":"Toroudi","given":"Hamidreza Pazoki"},{"family":"Pease","given":"Spencer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Sady"},{"family":"Alhambra","given":"Daniel Prieto"},{"family":"Priscilla","given":"Tina"},{"family":"Pritchett","given":"Natalie"},{"family":"Purohit","given":"Bharathi M."},{"family":"Puvvula","given":"Jagadeesh"},{"family":"Qasim","given":"Nameer Hashim"},{"family":"Qattea","given":"Ibrahim"},{"family":"Qazi","given":"Asma Saleem"},{"family":"Qian","given":"Gangzhen"},{"family":"Qiu","given":"Suli"},{"family":"Qureshi","given":"Maryam Faiz"},{"family":"Rad","given":"Mehrdad Rabiee"},{"family":"Radfar","given":"Amir"},{"family":"Radhakrishnan","given":"Raghu Anekal"},{"family":"Radhakrishnan","given":"Venkatraman"},{"family":"Shahraki","given":"Hadi Raeisi"},{"family":"Rafferty","given":"Quinn"},{"family":"Raggi","given":"Alberto"},{"family":"Raghav","given":"Pankaja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Babu","given":"Giridhara Rathnaiah"},{"family":"Rauniyar","given":"Santosh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Ur"},{"family":"Reifels","given":"Lennart"},{"family":"Jr","given":"Robert C. Reiner"},{"family":"Remuzzi","given":"Giuseppe"},{"family":"Reyes","given":"Luis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M."},{"family":"Rynkiewicz","given":"Andrzej"},{"family":"N","given":"Chandan S."},{"family":"Saad","given":"Aly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Zaman"},{"family":"Sagar","given":"Rajesh"},{"family":"Saghazadeh","given":"Amene"},{"family":"Sagoe","given":"Dominic"},{"family":"Sharif-Askari","given":"Fatemeh Saheb"},{"family":"Sharif-Askari","given":"Narjes Saheb"},{"family":"Sahebkar","given":"Amirhossein"},{"family":"Sahoo","given":"Soumya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Y."},{"family":"Salimi","given":"Sohrab"},{"family":"Kafil","given":"Hossein Samadi"},{"family":"Samadzadeh","given":"Sara"},{"family":"Samargandy","given":"Saad"},{"family":"Samodra","given":"Yoseph Leonardo"},{"family":"Samy","given":"Abdallah M."},{"family":"Sanabria","given":"Juan"},{"family":"Sanna","given":"Francesca"},{"family":"Santomauro","given":"Damian Francesco"},{"family":"Santos","given":"Itamar S."},{"family":"Santric-Milicevic","given":"Milena M."},{"family":"Jose","given":"Bruno Piassi Sao"},{"family":"Sarasmita","given":"Made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A."},{"family":"Stortecky","given":"Stefan"},{"family":"Subramaniyan","given":"Vetriselvan"},{"family":"Suleman","given":"Muhammad"},{"family":"Abdulkader","given":"Rizwan Suliankatchi"},{"family":"Sultana","given":"Abida"},{"family":"Sun","given":"Haitong Zhe"},{"family":"Sun","given":"Jing"},{"family":"Sundström","given":"Johan"},{"family":"Sunkersing","given":"David"},{"family":"Sunnerhagen","given":"Katharina S."},{"family":"Swain","given":"Chandan Kumar"},{"family":"Szarpak","given":"Lukasz"},{"family":"Szeto","given":"Mindy D."},{"family":"Szócska","given":"Miklós"},{"family":"Damavandi","given":"Payam Tabaee"},{"family":"Tabarés-Seisdedos","given":"Rafael"},{"family":"Tabatabaei","given":"Seyyed Mohammad"},{"family":"Malazy","given":"Ozra Tabatabaei"},{"family":"Tabatabaeizadeh","given":"Seyed-Amir"},{"family":"Tabatabai","given":"Shima"},{"family":"Tabish","given":"Mohammad"},{"family":"Tadakamadla","given":"Jyothi"},{"family":"Tadakamadla","given":"Santosh Kumar"},{"family":"Abkenar","given":"Yasaman Taheri"},{"family":"Soodejani","given":"Moslem Taheri"},{"family":"Taiba","given":"Jabeen"},{"family":"Takahashi","given":"Ken"},{"family":"Talaat","given":"Iman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Enowbeyang"},{"family":"Oliaee","given":"Razieh Tavakoli"},{"family":"Tavangar","given":"Seyed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Govindaraj"},{"family":"Valizadeh","given":"Rohollah"},{"family":"Velde","given":"Sarah M. Van","dropping-particle":"de"},{"family":"Eynde","given":"Jef Van","dropping-particle":"den"},{"family":"Varga","given":"Orsolya"},{"family":"Vart","given":"Priya"},{"family":"Varthya","given":"Shoban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L."}],"issued":{"date-parts":[["2024",5,18]]}}}],"schema":"https://github.com/citation-style-language/schema/raw/master/csl-citation.json"} </w:instrText>
      </w:r>
      <w:r w:rsidRPr="00F96DB8">
        <w:rPr>
          <w:rFonts w:asciiTheme="majorHAnsi" w:hAnsiTheme="majorHAnsi" w:cstheme="majorHAnsi"/>
          <w:lang w:val="en-GB"/>
        </w:rPr>
        <w:fldChar w:fldCharType="separate"/>
      </w:r>
      <w:r w:rsidR="00CD15EE" w:rsidRPr="00CD15EE">
        <w:rPr>
          <w:rFonts w:ascii="Calibri Light" w:hAnsi="Calibri Light" w:cs="Calibri Light"/>
          <w:vertAlign w:val="superscript"/>
        </w:rPr>
        <w:t>9</w:t>
      </w:r>
      <w:r w:rsidRPr="00F96DB8">
        <w:rPr>
          <w:rFonts w:asciiTheme="majorHAnsi" w:hAnsiTheme="majorHAnsi" w:cstheme="majorHAnsi"/>
          <w:lang w:val="en-GB"/>
        </w:rPr>
        <w:fldChar w:fldCharType="end"/>
      </w:r>
      <w:r w:rsidRPr="00F96DB8">
        <w:rPr>
          <w:rFonts w:asciiTheme="majorHAnsi" w:hAnsiTheme="majorHAnsi" w:cstheme="majorHAnsi"/>
          <w:lang w:val="en-GB"/>
        </w:rPr>
        <w:t xml:space="preserve"> In the first case, this suite of methods operates by reassigning some proportion of deaths originally assigned to other causes to Alzheimer’s disease and other dementias, Parkinson’s disease, or atrial fibrillation and flutter to address under-coding; or by reassigning some proportion of deaths originally assigned to Alzheimer’s disease and other dementias to other causes to address over-coding (Parkinson’s disease and atrial fibrillation and flutter are assumed to only ever be under-coded). In the second case, this suite of methods operates by reassigning deaths originally assigned to garbage codes to likely true underlying causes of death. In both cases, the key details are determining the “target” causes for any deaths being reassigned and determining the proportion of these deaths to be reassigned to each specific target cause. A variety of methods are used to determine the target causes and the redistribution proportions, which are described elsewhere.</w:t>
      </w:r>
      <w:r w:rsidRPr="00F96DB8">
        <w:rPr>
          <w:rFonts w:asciiTheme="majorHAnsi" w:hAnsiTheme="majorHAnsi" w:cstheme="majorHAnsi"/>
          <w:lang w:val="en-GB"/>
        </w:rPr>
        <w:fldChar w:fldCharType="begin"/>
      </w:r>
      <w:r w:rsidR="00881AB8">
        <w:rPr>
          <w:rFonts w:asciiTheme="majorHAnsi" w:hAnsiTheme="majorHAnsi" w:cstheme="majorHAnsi"/>
          <w:lang w:val="en-GB"/>
        </w:rPr>
        <w:instrText xml:space="preserve"> ADDIN ZOTERO_ITEM CSL_CITATION {"citationID":"7eqQBBk8","properties":{"formattedCitation":"\\super 9\\nosupersub{}","plainCitation":"9","noteIndex":0},"citationItems":[{"id":45695,"uris":["http://zotero.org/groups/2703628/items/QQS9P6BF"],"itemData":{"id":45695,"type":"article-journal","container-title":"The Lancet","DOI":"10.1016/S0140-6736(24)00367-2","ISSN":"0140-6736, 1474-547X","issue":"10440","journalAbbreviation":"The Lancet","language":"English","note":"publisher: Elsevier\nPMID: 38582094","page":"2100-2132","source":"www.thelancet.com","title":"Global burden of 288 causes of death and life expectancy decomposition in 204 countries and territories and 811 subnational locations, 1990–2021: a systematic analysis for the Global Burden of Disease Study 2021","title-short":"Global burden of 288 causes of death and life expectancy decomposition in 204 countries and territories and 811 subnational locations, 1990–2021","volume":"403","author":[{"family":"Naghavi","given":"Mohsen"},{"family":"Ong","given":"Kanyin Liane"},{"family":"Aali","given":"Amirali"},{"family":"Ababneh","given":"Hazim S."},{"family":"Abate","given":"Yohannes Habtegiorgis"},{"family":"Abbafati","given":"Cristiana"},{"family":"Abbasgholizadeh","given":"Rouzbeh"},{"family":"Abbasian","given":"Mohammadreza"},{"family":"Abbasi-Kangevari","given":"Mohsen"},{"family":"Abbastabar","given":"Hedayat"},{"family":"ElHafeez","given":"Samar Abd"},{"family":"Abdelmasseh","given":"Michael"},{"family":"Abd-Elsalam","given":"Sherief"},{"family":"Abdelwahab","given":"Ahmed"},{"family":"Abdollahi","given":"Mohammad"},{"family":"Abdollahifar","given":"Mohammad-Amin"},{"family":"Abdoun","given":"Meriem"},{"family":"Abdulah","given":"Deldar Morad"},{"family":"Abdullahi","given":"Auwal"},{"family":"Abebe","given":"Mesfin"},{"family":"Abebe","given":"Samrawit Shawel"},{"family":"Abedi","given":"Aidin"},{"family":"Abegaz","given":"Kedir Hussein"},{"family":"Abhilash","given":"E. S."},{"family":"Abidi","given":"Hassan"},{"family":"Abiodun","given":"Olumide"},{"family":"Aboagye","given":"Richard Gyan"},{"family":"Abolhassani","given":"Hassan"},{"family":"Abolmaali","given":"Meysam"},{"family":"Abouzid","given":"Mohamed"},{"family":"Aboye","given":"Girma Beressa"},{"family":"Abreu","given":"Lucas Guimarães"},{"family":"Abrha","given":"Woldu Aberhe"},{"family":"Abtahi","given":"Dariush"},{"family":"Rumeileh","given":"Samir Abu"},{"family":"Abualruz","given":"Hasan"},{"family":"Abubakar","given":"Bilyaminu"},{"family":"Abu-Gharbieh","given":"Eman"},{"family":"Abu-Rmeileh","given":"Niveen ME"},{"family":"Aburuz","given":"Salahdein"},{"family":"Abu-Zaid","given":"Ahmed"},{"family":"Accrombessi","given":"Manfred Mario Kokou"},{"family":"Adal","given":"Tadele Girum"},{"family":"Adamu","given":"Abdu A."},{"family":"Addo","given":"Isaac Yeboah"},{"family":"Addolorato","given":"Giovanni"},{"family":"Adebiyi","given":"Akindele Olupelumi"},{"family":"Adekanmbi","given":"Victor"},{"family":"Adepoju","given":"Abiola Victor"},{"family":"Adetunji","given":"Charles Oluwaseun"},{"family":"Adetunji","given":"Juliana Bunmi"},{"family":"Adeyeoluwa","given":"Temitayo Esther"},{"family":"Adeyinka","given":"Daniel Adedayo"},{"family":"Adeyomoye","given":"Olorunsola Israel"},{"family":"Admass","given":"Biruk Adie Adie"},{"family":"Adnani","given":"Qorinah Estiningtyas Sakilah"},{"family":"Adra","given":"Saryia"},{"family":"Afolabi","given":"Aanuoluwapo Adeyimika"},{"family":"Afzal","given":"Muhammad Sohail"},{"family":"Afzal","given":"Saira"},{"family":"Agampodi","given":"Suneth Buddhika"},{"family":"Agasthi","given":"Pradyumna"},{"family":"Aggarwal","given":"Manik"},{"family":"Aghamiri","given":"Shahin"},{"family":"Agide","given":"Feleke Doyore"},{"family":"Agodi","given":"Antonella"},{"family":"Agrawal","given":"Anurag"},{"family":"Agyemang-Duah","given":"Williams"},{"family":"Ahinkorah","given":"Bright Opoku"},{"family":"Ahmad","given":"Aqeel"},{"family":"Ahmad","given":"Danish"},{"family":"Ahmad","given":"Firdos"},{"family":"Ahmad","given":"Muayyad M."},{"family":"Ahmad","given":"Sajjad"},{"family":"Ahmad","given":"Shahzaib"},{"family":"Ahmad","given":"Tauseef"},{"family":"Ahmadi","given":"Keivan"},{"family":"Ahmadzade","given":"Amir Mahmoud"},{"family":"Ahmed","given":"Ali"},{"family":"Ahmed","given":"Ayman"},{"family":"Ahmed","given":"Haroon"},{"family":"Ahmed","given":"Luai A."},{"family":"Ahmed","given":"Mehrunnisha Sharif"},{"family":"Ahmed","given":"Meqdad Saleh"},{"family":"Ahmed","given":"Muktar Beshir"},{"family":"Ahmed","given":"Syed Anees"},{"family":"Ajami","given":"Marjan"},{"family":"Aji","given":"Budi"},{"family":"Akara","given":"Essona Matatom"},{"family":"Akbarialiabad","given":"Hossein"},{"family":"Akinosoglou","given":"Karolina"},{"family":"Akinyemiju","given":"Tomi"},{"family":"Akkaif","given":"Mohammed Ahmed"},{"family":"Akyirem","given":"Samuel"},{"family":"Hamad","given":"Hanadi Al"},{"family":"Hasan","given":"Syed Mahfuz Al"},{"family":"Alahdab","given":"Fares"},{"family":"Alalalmeh","given":"Samer O."},{"family":"Alalwan","given":"Tariq A."},{"family":"Al-Aly","given":"Ziyad"},{"family":"Alam","given":"Khurshid"},{"family":"Alam","given":"Manjurul"},{"family":"Alam","given":"Noore"},{"family":"Al-amer","given":"Rasmieh Mustafa"},{"family":"Alanezi","given":"Fahad Mashhour"},{"family":"Alanzi","given":"Turki M."},{"family":"Al-Azzam","given":"Sayer"},{"family":"Albakri","given":"Almaza"},{"family":"Albashtawy","given":"Mohammed"},{"family":"AlBataineh","given":"Mohammad T."},{"family":"Alcalde-Rabanal","given":"Jacqueline Elizabeth"},{"family":"Aldawsari","given":"Khalifah A."},{"family":"Aldhaleei","given":"Wafa A."},{"family":"Aldridge","given":"Robert W."},{"family":"Alema","given":"Haileselasie Berhane"},{"family":"Alemayohu","given":"Mulubirhan Assefa"},{"family":"Alemi","given":"Sharifullah"},{"family":"Alemu","given":"Yihun Mulugeta"},{"family":"Al-Gheethi","given":"Adel Ali Saeed"},{"family":"Alhabib","given":"Khalid F."},{"family":"Alhalaiqa","given":"Fadwa Alhalaiqa Naji"},{"family":"Al-Hanawi","given":"Mohammed Khaled"},{"family":"Ali","given":"Abid"},{"family":"Ali","given":"Amjad"},{"family":"Ali","given":"Liaqat"},{"family":"Ali","given":"Mohammed Usman"},{"family":"Ali","given":"Rafat"},{"family":"Ali","given":"Shahid"},{"family":"Ali","given":"Syed Shujait Shujait"},{"family":"Alicandro","given":"Gianfranco"},{"family":"Alif","given":"Sheikh Mohammad"},{"family":"Alikhani","given":"Reyhaneh"},{"family":"Alimohamadi","given":"Yousef"},{"family":"Aliyi","given":"Ahmednur Adem"},{"family":"Aljasir","given":"Mohammad A. M."},{"family":"Aljunid","given":"Syed Mohamed"},{"family":"Alla","given":"François"},{"family":"Allebeck","given":"Peter"},{"family":"Al-Marwani","given":"Sabah"},{"family":"Al-Maweri","given":"Sadeq Ali Ali"},{"family":"Almazan","given":"Joseph Uy"},{"family":"Al-Mekhlafi","given":"Hesham M."},{"family":"Almidani","given":"Louay"},{"family":"Almidani","given":"Omar"},{"family":"Alomari","given":"Mahmoud A."},{"family":"Al-Omari","given":"Basem"},{"family":"Alonso","given":"Jordi"},{"family":"Alqahtani","given":"Jaber S."},{"family":"Alqalyoobi","given":"Shehabaldin"},{"family":"Alqutaibi","given":"Ahmed Yaseen"},{"family":"Al-Sabah","given":"Salman Khalifah"},{"family":"Altaany","given":"Zaid"},{"family":"Altaf","given":"Awais"},{"family":"Al-Tawfiq","given":"Jaffar A."},{"family":"Altirkawi","given":"Khalid A."},{"family":"Aluh","given":"Deborah Oyine"},{"family":"Alvis-Guzman","given":"Nelson"},{"family":"Alwafi","given":"Hassan"},{"family":"Al-Worafi","given":"Yaser Mohammed"},{"family":"Aly","given":"Hany"},{"family":"Aly","given":"Safwat"},{"family":"Alzoubi","given":"Karem H."},{"family":"Amani","given":"Reza"},{"family":"Amare","given":"Azmeraw T."},{"family":"Amegbor","given":"Prince M."},{"family":"Ameyaw","given":"Edward Kwabena"},{"family":"Amin","given":"Tarek Tawfik"},{"family":"Amindarolzarbi","given":"Alireza"},{"family":"Amiri","given":"Sohrab"},{"family":"Amirzade-Iranaq","given":"Mohammad Hosein"},{"family":"Amu","given":"Hubert"},{"family":"Amugsi","given":"Dickson A."},{"family":"Amusa","given":"Ganiyu Adeniyi"},{"family":"Ancuceanu","given":"Robert"},{"family":"Anderlini","given":"Deanna"},{"family":"Anderson","given":"David B."},{"family":"Andrade","given":"Pedro Prata"},{"family":"Andrei","given":"Catalina Liliana"},{"family":"Andrei","given":"Tudorel"},{"family":"Angus","given":"Colin"},{"family":"Anil","given":"Abhishek"},{"family":"Anil","given":"Sneha"},{"family":"Anoushiravani","given":"Amir"},{"family":"Ansari","given":"Hossein"},{"family":"Ansariadi","given":"Ansariadi"},{"family":"Ansari-Moghaddam","given":"Alireza"},{"family":"Antony","given":"Catherine M."},{"family":"Antriyandarti","given":"Ernoiz"},{"family":"Anvari","given":"Davood"},{"family":"Anvari","given":"Saeid"},{"family":"Anwar","given":"Saleha"},{"family":"Anwar","given":"Sumadi Lukman"},{"family":"Anwer","given":"Razique"},{"family":"Anyasodor","given":"Anayochukwu Edward"},{"family":"Aqeel","given":"Muhammad"},{"family":"Arab","given":"Juan Pablo"},{"family":"Arabloo","given":"Jalal"},{"family":"Arafat","given":"Mosab"},{"family":"Aravkin","given":"Aleksandr Y."},{"family":"Areda","given":"Demelash"},{"family":"Aremu","given":"Abdulfatai"},{"family":"Aremu","given":"Olatunde"},{"family":"Ariffin","given":"Hany"},{"family":"Arkew","given":"Mesay"},{"family":"Armocida","given":"Benedetta"},{"family":"Arndt","given":"Michael Benjamin"},{"family":"Ärnlöv","given":"Johan"},{"family":"Arooj","given":"Mahwish"},{"family":"Artamonov","given":"Anton A."},{"family":"Arulappan","given":"Judie"},{"family":"Aruleba","given":"Raphael Taiwo"},{"family":"Arumugam","given":"Ashokan"},{"family":"Asaad","given":"Malke"},{"family":"Asadi-Lari","given":"Mohsen"},{"family":"Asgedom","given":"Akeza Awealom"},{"family":"Asghariahmadabad","given":"Mona"},{"family":"Asghari-Jafarabadi","given":"Mohammad"},{"family":"Ashraf","given":"Muhammad"},{"family":"Aslani","given":"Armin"},{"family":"Astell-Burt","given":"Thomas"},{"family":"Athar","given":"Mohammad"},{"family":"Athari","given":"Seyyed Shamsadin"},{"family":"Atinafu","given":"Bantalem Tilaye Tilaye"},{"family":"Atlaw","given":"Habtamu Wondmagegn"},{"family":"Atorkey","given":"Prince"},{"family":"Atout","given":"Maha Moh'd Wahbi"},{"family":"Atreya","given":"Alok"},{"family":"Aujayeb","given":"Avinash"},{"family":"Ausloos","given":"Marcel"},{"family":"Avan","given":"Abolfazl"},{"family":"Awedew","given":"Atalel Fentahun"},{"family":"Aweke","given":"Amlaku Mulat"},{"family":"Quintanilla","given":"Beatriz Paulina Ayala"},{"family":"Ayatollahi","given":"Haleh"},{"family":"Ayuso-Mateos","given":"Jose L."},{"family":"Ayyoubzadeh","given":"Seyed Mohammad"},{"family":"Azadnajafabad","given":"Sina"},{"family":"Azevedo","given":"Rui M. S."},{"family":"Azzam","given":"Ahmed Y."},{"family":"B","given":"Darshan B."},{"family":"Babu","given":"Abraham Samuel"},{"family":"Badar","given":"Muhammad"},{"family":"Badiye","given":"Ashish D."},{"family":"Baghdadi","given":"Soroush"},{"family":"Bagheri","given":"Nasser"},{"family":"Bagherieh","given":"Sara"},{"family":"Bah","given":"Sulaiman"},{"family":"Bahadorikhalili","given":"Saeed"},{"family":"Bahmanziari","given":"Najmeh"},{"family":"Bai","given":"Ruhai"},{"family":"Baig","given":"Atif Amin"},{"family":"Baker","given":"Jennifer L."},{"family":"Bako","given":"Abdulaziz T."},{"family":"Bakshi","given":"Ravleen Kaur"},{"family":"Balakrishnan","given":"Senthilkumar"},{"family":"Balasubramanian","given":"Madhan"},{"family":"Baltatu","given":"Ovidiu Constantin"},{"family":"Bam","given":"Kiran"},{"family":"Banach","given":"Maciej"},{"family":"Bandyopadhyay","given":"Soham"},{"family":"Banik","given":"Palash Chandra"},{"family":"Bansal","given":"Hansi"},{"family":"Bansal","given":"Kannu"},{"family":"Barbic","given":"Franca"},{"family":"Barchitta","given":"Martina"},{"family":"Bardhan","given":"Mainak"},{"family":"Bardideh","given":"Erfan"},{"family":"Barker-Collo","given":"Suzanne Lyn"},{"family":"Bärnighausen","given":"Till Winfried"},{"family":"Barone-Adesi","given":"Francesco"},{"family":"Barqawi","given":"Hiba Jawdat"},{"family":"Barrero","given":"Lope H."},{"family":"Barrow","given":"Amadou"},{"family":"Barteit","given":"Sandra"},{"family":"Barua","given":"Lingkan"},{"family":"Basharat","given":"Zarrin"},{"family":"Bashiri","given":"Azadeh"},{"family":"Basiru","given":"Afisu"},{"family":"Baskaran","given":"Pritish"},{"family":"Basnyat","given":"Buddha"},{"family":"Bassat","given":"Quique"},{"family":"Basso","given":"João Diogo"},{"family":"Basting","given":"Ann V. L."},{"family":"Basu","given":"Sanjay"},{"family":"Batra","given":"Kavita"},{"family":"Baune","given":"Bernhard T."},{"family":"Bayati","given":"Mohsen"},{"family":"Bayileyegn","given":"Nebiyou Simegnew"},{"family":"Beaney","given":"Thomas"},{"family":"Bedi","given":"Neeraj"},{"family":"Beghi","given":"Massimiliano"},{"family":"Behboudi","given":"Emad"},{"family":"Behera","given":"Priyamadhaba"},{"family":"Behnoush","given":"Amir Hossein"},{"family":"Behzadifar","given":"Masoud"},{"family":"Beiranvand","given":"Maryam"},{"family":"Ramirez","given":"Diana Fernanda Bejarano"},{"family":"Béjot","given":"Yannick"},{"family":"Belay","given":"Sefealem Assefa"},{"family":"Belete","given":"Chalie Mulu"},{"family":"Bell","given":"Michelle L."},{"family":"Bello","given":"Muhammad Bashir"},{"family":"Bello","given":"Olorunjuwon Omolaja"},{"family":"Belo","given":"Luis"},{"family":"Beloukas","given":"Apostolos"},{"family":"Bender","given":"Rose Grace"},{"family":"Bensenor","given":"Isabela M."},{"family":"Beran","given":"Azizullah"},{"family":"Berezvai","given":"Zombor"},{"family":"Berhie","given":"Alemshet Yirga"},{"family":"Berice","given":"Betyna N."},{"family":"Bernstein","given":"Robert S."},{"family":"Bertolacci","given":"Gregory J."},{"family":"Bettencourt","given":"Paulo J. G."},{"family":"Beyene","given":"Kebede A."},{"family":"Bhagat","given":"Devidas S."},{"family":"Bhagavathula","given":"Akshaya Srikanth"},{"family":"Bhala","given":"Neeraj"},{"family":"Bhalla","given":"Ashish"},{"family":"Bhandari","given":"Dinesh"},{"family":"Bhangdia","given":"Kayleigh"},{"family":"Bhardwaj","given":"Nikha"},{"family":"Bhardwaj","given":"Pankaj"},{"family":"Bhardwaj","given":"Prarthna V."},{"family":"Bhargava","given":"Ashish"},{"family":"Bhaskar","given":"Sonu"},{"family":"Bhat","given":"Vivek"},{"family":"Bhatti","given":"Gurjit Kaur"},{"family":"Bhatti","given":"Jasvinder Singh"},{"family":"Bhatti","given":"Manpreet S."},{"family":"Bhatti","given":"Rajbir"},{"family":"Bhutta","given":"Zulfiqar A."},{"family":"Bikbov","given":"Boris"},{"family":"Bishai","given":"Jessica Devin"},{"family":"Bisignano","given":"Catherine"},{"family":"Bisulli","given":"Francesca"},{"family":"Biswas","given":"Atanu"},{"family":"Biswas","given":"Bijit"},{"family":"Bitaraf","given":"Saeid"},{"family":"Bitew","given":"Bikes Destaw"},{"family":"Bitra","given":"Veera R."},{"family":"Bjørge","given":"Tone"},{"family":"Boachie","given":"Micheal Kofi"},{"family":"Boampong","given":"Mary Sefa"},{"family":"Bobirca","given":"Anca Vasilica"},{"family":"Bodolica","given":"Virginia"},{"family":"Bodunrin","given":"Aadam Olalekan"},{"family":"Bogale","given":"Eyob Ketema"},{"family":"Bogale","given":"Kassawmar Angaw"},{"family":"Bohlouli","given":"Somayeh"},{"family":"Bolarinwa","given":"Obasanjo Afolabi"},{"family":"Boloor","given":"Archith"},{"family":"Hashemi","given":"Milad Bonakdar"},{"family":"Bonny","given":"Aime"},{"family":"Bora","given":"Kaustubh"},{"family":"Basara","given":"Berrak Bora"},{"family":"Borhany","given":"Hamed"},{"family":"Borzutzky","given":"Arturo"},{"family":"Bouaoud","given":"Souad"},{"family":"Boustany","given":"Antoine"},{"family":"Boxe","given":"Christopher"},{"family":"Boyko","given":"Edward J."},{"family":"Brady","given":"Oliver J."},{"family":"Braithwaite","given":"Dejana"},{"family":"Brant","given":"Luisa C."},{"family":"Brauer","given":"Michael"},{"family":"Brazinova","given":"Alexandra"},{"family":"Brazo-Sayavera","given":"Javier"},{"family":"Breitborde","given":"Nicholas J. K."},{"family":"Breitner","given":"Susanne"},{"family":"Brenner","given":"Hermann"},{"family":"Briko","given":"Andrey Nikolaevich"},{"family":"Briko","given":"Nikolay Ivanovich"},{"family":"Britton","given":"Gabrielle"},{"family":"Brown","given":"Julie"},{"family":"Brugha","given":"Traolach"},{"family":"Bulamu","given":"Norma B."},{"family":"Bulto","given":"Lemma N."},{"family":"Buonsenso","given":"Danilo"},{"family":"Burns","given":"Richard A."},{"family":"Busse","given":"Reinhard"},{"family":"Bustanji","given":"Yasser"},{"family":"Butt","given":"Nadeem Shafique"},{"family":"Butt","given":"Zahid A."},{"family":"Santos","given":"Florentino Luciano Caetano","dropping-particle":"dos"},{"family":"Calina","given":"Daniela"},{"family":"Cámera","given":"Luis Alberto"},{"family":"Campos","given":"Luciana Aparecida"},{"family":"Campos-Nonato","given":"Ismael R."},{"family":"Cao","given":"Chao"},{"family":"Cao","given":"Yin"},{"family":"Capodici","given":"Angelo"},{"family":"Cárdenas","given":"Rosario"},{"family":"Carr","given":"Sinclair"},{"family":"Carreras","given":"Giulia"},{"family":"Carrero","given":"Juan J."},{"family":"Carugno","given":"Andrea"},{"family":"Carvalheiro","given":"Cristina G."},{"family":"Carvalho","given":"Felix"},{"family":"Carvalho","given":"Márcia"},{"family":"Castaldelli-Maia","given":"Joao Mauricio"},{"family":"Castañeda-Orjuela","given":"Carlos A."},{"family":"Castelpietra","given":"Giulio"},{"family":"Catalá-López","given":"Ferrán"},{"family":"Catapano","given":"Alberico L."},{"family":"Cattaruzza","given":"Maria Sofia"},{"family":"Cederroth","given":"Christopher R."},{"family":"Cegolon","given":"Luca"},{"family":"Cembranel","given":"Francieli"},{"family":"Cenderadewi","given":"Muthia"},{"family":"Cercy","given":"Kelly M."},{"family":"Cerin","given":"Ester"},{"family":"Cevik","given":"Muge"},{"family":"Chadwick","given":"Joshua"},{"family":"Chahine","given":"Yaacoub"},{"family":"Chakraborty","given":"Chiranjib"},{"family":"Chakraborty","given":"Promit Ananyo"},{"family":"Chan","given":"Jeffrey Shi Kai"},{"family":"Chan","given":"Raymond N. C."},{"family":"Chandika","given":"Rama Mohan"},{"family":"Chandrasekar","given":"Eeshwar K."},{"family":"Chang","given":"Chin-Kuo"},{"family":"Chang","given":"Jung-Chen"},{"family":"Chanie","given":"Gashaw Sisay"},{"family":"Charalampous","given":"Periklis"},{"family":"Chattu","given":"Vijay Kumar"},{"family":"Chaturvedi","given":"Pankaj"},{"family":"Chatzimavridou-Grigoriadou","given":"Victoria"},{"family":"Chaurasia","given":"Akhilanand"},{"family":"Chen","given":"Angela W."},{"family":"Chen","given":"An-Tian"},{"family":"Chen","given":"Catherine S."},{"family":"Chen","given":"Haowei"},{"family":"Chen","given":"Meng Xuan"},{"family":"Chen","given":"Simiao"},{"family":"Cheng","given":"Ching-Yu"},{"family":"Cheng","given":"Esther T. W."},{"family":"Cherbuin","given":"Nicolas"},{"family":"Cheru","given":"Wondimye Ashenafi"},{"family":"Chien","given":"Ju-Huei"},{"family":"Chimed-Ochir","given":"Odgerel"},{"family":"Chimoriya","given":"Ritesh"},{"family":"Ching","given":"Patrick R."},{"family":"Chirinos-Caceres","given":"Jesus Lorenzo"},{"family":"Chitheer","given":"Abdulaal"},{"family":"Cho","given":"William C. S."},{"family":"Chong","given":"Bryan"},{"family":"Chopra","given":"Hitesh"},{"family":"Choudhari","given":"Sonali Gajanan"},{"family":"Chowdhury","given":"Rajiv"},{"family":"Christopher","given":"Devasahayam J."},{"family":"Chukwu","given":"Isaac Sunday"},{"family":"Chung","given":"Eric"},{"family":"Chung","given":"Erin"},{"family":"Chung","given":"Eunice"},{"family":"Chung","given":"Sheng-Chia"},{"family":"Chutiyami","given":"Muhammad"},{"family":"Cindi","given":"Zinhle"},{"family":"Cioffi","given":"Iolanda"},{"family":"Claassens","given":"Mareli M."},{"family":"Claro","given":"Rafael M."},{"family":"Coberly","given":"Kaleb"},{"family":"Cogen","given":"Rebecca M."},{"family":"Columbus","given":"Alyssa"},{"family":"Comfort","given":"Haley"},{"family":"Conde","given":"Joao"},{"family":"Cortese","given":"Samuele"},{"family":"Cortesi","given":"Paolo Angelo"},{"family":"Costa","given":"Vera Marisa"},{"family":"Costanzo","given":"Simona"},{"family":"Cousin","given":"Ewerton"},{"family":"Couto","given":"Rosa A. S."},{"family":"Cowden","given":"Richard G."},{"family":"Cramer","given":"Kenneth Michael"},{"family":"Criqui","given":"Michael H."},{"family":"Cruz-Martins","given":"Natália"},{"family":"Cuadra-Hernández","given":"Silvia Magali"},{"family":"Culbreth","given":"Garland T."},{"family":"Cullen","given":"Patricia"},{"family":"Cunningham","given":"Matthew"},{"family":"Curado","given":"Maria","dropping-particle":"paula"},{"family":"Dadana","given":"Sriharsha"},{"family":"Dadras","given":"Omid"},{"family":"Dai","given":"Siyu"},{"family":"Dai","given":"Xiaochen"},{"family":"Dai","given":"Zhaoli"},{"family":"Dalli","given":"Lachlan L."},{"family":"Damiani","given":"Giovanni"},{"family":"Gela","given":"Jiregna Darega"},{"family":"Das","given":"Jai K."},{"family":"Das","given":"Saswati"},{"family":"Das","given":"Subasish"},{"family":"Dascalu","given":"Ana Maria"},{"family":"Dash","given":"Nihar Ranjan"},{"family":"Dashti","given":"Mohsen"},{"family":"Dastiridou","given":"Anna"},{"family":"Davey","given":"Gail"},{"family":"Dávila-Cervantes","given":"Claudio Alberto"},{"family":"Weaver","given":"Nicole Davis"},{"family":"Davletov","given":"Kairat"},{"family":"Leo","given":"Diego De"},{"family":"Luca","given":"Katie","dropping-particle":"de"},{"family":"Debele","given":"Aklilu Tamire"},{"family":"Debopadhaya","given":"Shayom"},{"family":"Degenhardt","given":"Louisa"},{"family":"Dehghan","given":"Azizallah"},{"family":"Deitesfeld","given":"Lee"},{"family":"Bo'","given":"Cristian Del"},{"family":"Delgado-Enciso","given":"Ivan"},{"family":"Demessa","given":"Berecha Hundessa"},{"family":"Demetriades","given":"Andreas K."},{"family":"Deng","given":"Ke"},{"family":"Deng","given":"Xinlei"},{"family":"Denova-Gutiérrez","given":"Edgar"},{"family":"Deravi","given":"Niloofar"},{"family":"Dereje","given":"Nebiyu"},{"family":"Dervenis","given":"Nikolaos"},{"family":"Dervišević","given":"Emina"},{"family":"Jarlais","given":"Don C. Des"},{"family":"Desai","given":"Hardik Dineshbhai"},{"family":"Desai","given":"Rupak"},{"family":"Devanbu","given":"Vinoth Gnana Chellaiyan"},{"family":"Dewan","given":"Syed Masudur Rahman"},{"family":"Dhali","given":"Arkadeep"},{"family":"Dhama","given":"Kuldeep"},{"family":"Dhimal","given":"Meghnath"},{"family":"Dhingra","given":"Sameer"},{"family":"Dhulipala","given":"Vishal R."},{"family":"Silva","given":"Diana Dias","dropping-particle":"da"},{"family":"Diaz","given":"Daniel"},{"family":"Diaz","given":"Michael J."},{"family":"Dima","given":"Adriana"},{"family":"Ding","given":"Delaney D."},{"family":"Ding","given":"Huanghe"},{"family":"Dinis-Oliveira","given":"Ricardo Jorge"},{"family":"Dirac","given":"M. Ashworth"},{"family":"Djalalinia","given":"Shirin"},{"family":"Do","given":"Thao Huynh Phuong"},{"family":"Prado","given":"Camila Bruneli","dropping-particle":"do"},{"family":"Doaei","given":"Saeid"},{"family":"Dodangeh","given":"Masoud"},{"family":"Dodangeh","given":"Milad"},{"family":"Dohare","given":"Sushil"},{"family":"Dokova","given":"Klara Georgieva"},{"family":"Dolecek","given":"Christiane"},{"family":"Dominguez","given":"Regina-Mae Villanueva"},{"family":"Dong","given":"Wanyue"},{"family":"Dongarwar","given":"Deepa"},{"family":"D'Oria","given":"Mario"},{"family":"Dorostkar","given":"Fariba"},{"family":"Dorsey","given":"E. Ray"},{"family":"Santos","given":"Wendel Mombaque","dropping-particle":"dos"},{"family":"Doshi","given":"Rajkumar"},{"family":"Doshmangir","given":"Leila"},{"family":"Dowou","given":"Robert Kokou"},{"family":"Driscoll","given":"Tim Robert"},{"family":"Dsouza","given":"Haneil Larson"},{"family":"Dsouza","given":"Viola"},{"family":"Du","given":"Mi"},{"family":"Dube","given":"John"},{"family":"Duncan","given":"Bruce B."},{"family":"Duraes","given":"Andre Rodrigues"},{"family":"Duraisamy","given":"Senbagam"},{"family":"Durojaiye","given":"Oyewole Christopher"},{"family":"Dwyer-Lindgren","given":"Laura"},{"family":"Dzianach","given":"Paulina Agnieszka"},{"family":"Dziedzic","given":"Arkadiusz Marian"},{"family":"E'mar","given":"Abdel Rahman"},{"family":"Eboreime","given":"Ejemai"},{"family":"Ebrahimi","given":"Alireza"},{"family":"Echieh","given":"Chidiebere Peter"},{"family":"Edinur","given":"Hisham Atan"},{"family":"Edvardsson","given":"David"},{"family":"Edvardsson","given":"Kristina"},{"family":"Efendi","given":"Defi"},{"family":"Efendi","given":"Ferry"},{"family":"Effendi","given":"Diyan Ermawan"},{"family":"Eikemo","given":"Terje Andreas"},{"family":"Eini","given":"Ebrahim"},{"family":"Ekholuenetale","given":"Michael"},{"family":"Ekundayo","given":"Temitope Cyrus"},{"family":"Sayed","given":"Iman El"},{"family":"Elbarazi","given":"Iffat"},{"family":"Elema","given":"Teshome Bekele"},{"family":"Elemam","given":"Noha Mousaad"},{"family":"Elgar","given":"Frank J."},{"family":"Elgendy","given":"Islam Y."},{"family":"ElGohary","given":"Ghada Metwally Tawfik"},{"family":"Elhabashy","given":"Hala Rashad"},{"family":"Elhadi","given":"Muhammed"},{"family":"El-Huneidi","given":"Waseem"},{"family":"Elilo","given":"Legesse Tesfaye"},{"family":"Elmeligy","given":"Omar Abdelsadek Abdou"},{"family":"Elmonem","given":"Mohamed A."},{"family":"Elshaer","given":"Mohammed"},{"family":"Elsohaby","given":"Ibrahim"},{"family":"Emeto","given":"Theophilus I."},{"family":"Bain","given":"Luchuo Engelbert"},{"family":"Erkhembayar","given":"Ryenchindorj"},{"family":"Esezobor","given":"Christopher Imokhuede"},{"family":"Eshrati","given":"Babak"},{"family":"Eskandarieh","given":"Sharareh"},{"family":"Espinosa-Montero","given":"Juan"},{"family":"Esubalew","given":"Habtamu"},{"family":"Etaee","given":"Farshid"},{"family":"Fabin","given":"Natalia"},{"family":"Fadaka","given":"Adewale Oluwaseun"},{"family":"Fagbamigbe","given":"Adeniyi Francis"},{"family":"Fahim","given":"Ayesha"},{"family":"Fahimi","given":"Saman"},{"family":"Fakhri-Demeshghieh","given":"Aliasghar"},{"family":"Falzone","given":"Luca"},{"family":"Fareed","given":"Mohammad"},{"family":"Farinha","given":"Carla Sofia e Sá"},{"family":"Faris","given":"MoezAlIslam Ezzat Mahmoud"},{"family":"Faris","given":"Pawan Sirwan"},{"family":"Faro","given":"Andre"},{"family":"Fasanmi","given":"Abidemi Omolara"},{"family":"Fatehizadeh","given":"Ali"},{"family":"Fattahi","given":"Hamed"},{"family":"Fauk","given":"Nelsensius Klau"},{"family":"Fazeli","given":"Pooria"},{"family":"Feigin","given":"Valery L."},{"family":"Feizkhah","given":"Alireza"},{"family":"Fekadu","given":"Ginenus"},{"family":"Feng","given":"Xiaoru"},{"family":"Fereshtehnejad","given":"Seyed-Mohammad"},{"family":"Feroze","given":"Abdullah Hamid"},{"family":"Ferrante","given":"Daniela"},{"family":"Ferrari","given":"Alize J."},{"family":"Ferreira","given":"Nuno"},{"family":"Fetensa","given":"Getahun"},{"family":"Feyisa","given":"Bikila Regassa"},{"family":"Filip","given":"Irina"},{"family":"Fischer","given":"Florian"},{"family":"Flavel","given":"Joanne"},{"family":"Flood","given":"David"},{"family":"Florin","given":"Bobirca Teodor"},{"family":"Foigt","given":"Nataliya A."},{"family":"Folayan","given":"Morenike Oluwatoyin"},{"family":"Fomenkov","given":"Artem Alekseevich"},{"family":"Foroutan","given":"Behzad"},{"family":"Foroutan","given":"Masoud"},{"family":"Forthun","given":"Ingeborg"},{"family":"Fortuna","given":"Daniela"},{"family":"Foschi","given":"Matteo"},{"family":"Fowobaje","given":"Kayode Raphael"},{"family":"Francis","given":"Kate Louise"},{"family":"Franklin","given":"Richard Charles"},{"family":"Freitas","given":"Alberto"},{"family":"Friedman","given":"Joseph"},{"family":"Friedman","given":"Sara D."},{"family":"Fukumoto","given":"Takeshi"},{"family":"Fuller","given":"John E."},{"family":"Fux","given":"Blima"},{"family":"Gaal","given":"Peter Andras"},{"family":"Gadanya","given":"Muktar A."},{"family":"Gaidhane","given":"Abhay Motiramji"},{"family":"Gaihre","given":"Santosh"},{"family":"Gakidou","given":"Emmanuela"},{"family":"Galali","given":"Yaseen"},{"family":"Galles","given":"Natalie C."},{"family":"Gallus","given":"Silvano"},{"family":"Ganbat","given":"Mandukhai"},{"family":"Gandhi","given":"Aravind P."},{"family":"Ganesan","given":"Balasankar"},{"family":"Ganiyani","given":"Mohammad Arfat"},{"family":"Garcia-Gordillo","given":"M. A."},{"family":"Gardner","given":"William M."},{"family":"Garg","given":"Jalaj"},{"family":"Garg","given":"Naval"},{"family":"Gautam","given":"Rupesh K."},{"family":"Gbadamosi","given":"Semiu Olatunde"},{"family":"Gebi","given":"Tilaye Gebru"},{"family":"Gebregergis","given":"Miglas W."},{"family":"Gebrehiwot","given":"Mesfin"},{"family":"Gebremeskel","given":"Teferi Gebru"},{"family":"Georgescu","given":"Simona Roxana"},{"family":"Getachew","given":"Tamirat"},{"family":"Gething","given":"Peter W."},{"family":"Getie","given":"Molla"},{"family":"Ghadiri","given":"Keyghobad"},{"family":"Ghahramani","given":"Sulmaz"},{"family":"Ghailan","given":"Khalid Yaser"},{"family":"Ghasemi","given":"Mohammad-Reza"},{"family":"Dabaghi","given":"Ghazal Ghasempour"},{"family":"Ghasemzadeh","given":"Afsaneh"},{"family":"Ghashghaee","given":"Ahmad"},{"family":"Ghassemi","given":"Fariba"},{"family":"Ghazy","given":"Ramy Mohamed"},{"family":"Ghimire","given":"Ajnish"},{"family":"Ghoba","given":"Sama"},{"family":"Gholamalizadeh","given":"Maryam"},{"family":"Gholamian","given":"Asadollah"},{"family":"Gholamrezanezhad","given":"Ali"},{"family":"Gholizadeh","given":"Nasim"},{"family":"Ghorbani","given":"Mahsa"},{"family":"Vajargah","given":"Pooyan Ghorbani"},{"family":"Ghoshal","given":"Aloke Gopal"},{"family":"Gill","given":"Paramjit Singh"},{"family":"Gill","given":"Tiffany K."},{"family":"Gillum","given":"Richard F."},{"family":"Ginindza","given":"Themba G."},{"family":"Girmay","given":"Alem"},{"family":"Glasbey","given":"James C."},{"family":"Gnedovskaya","given":"Elena V."},{"family":"Göbölös","given":"Laszlo"},{"family":"Godinho","given":"Myron Anthony"},{"family":"Goel","given":"Amit"},{"family":"Golchin","given":"Ali"},{"family":"Goldust","given":"Mohamad"},{"family":"Golechha","given":"Mahaveer"},{"family":"Goleij","given":"Pouya"},{"family":"Gomes","given":"Nelson G. M."},{"family":"Gona","given":"Philimon N."},{"family":"Gopalani","given":"Sameer Vali"},{"family":"Gorini","given":"Giuseppe"},{"family":"Goudarzi","given":"Houman"},{"family":"Goulart","given":"Alessandra C."},{"family":"Goulart","given":"Bárbara Niegia Garcia"},{"family":"Goyal","given":"Anmol"},{"family":"Grada","given":"Ayman"},{"family":"Graham","given":"Simon Matthew"},{"family":"Grivna","given":"Michal"},{"family":"Grosso","given":"Giuseppe"},{"family":"Guan","given":"Shi-Yang"},{"family":"Guarducci","given":"Giovanni"},{"family":"Gubari","given":"Mohammed Ibrahim Mohialdeen"},{"family":"Gudeta","given":"Mesay Dechasa"},{"family":"Guha","given":"Avirup"},{"family":"Guicciardi","given":"Stefano"},{"family":"Guimarães","given":"Rafael Alves"},{"family":"Gulati","given":"Snigdha"},{"family":"Gunawardane","given":"Damitha Asanga"},{"family":"Gunturu","given":"Sasidhar"},{"family":"Guo","given":"Cui"},{"family":"Gupta","given":"Anish Kumar"},{"family":"Gupta","given":"Bhawna"},{"family":"Gupta","given":"Manoj Kumar"},{"family":"Gupta","given":"Mohak"},{"family":"Gupta","given":"Rajat Das"},{"family":"Gupta","given":"Rajeev"},{"family":"Gupta","given":"Sapna"},{"family":"Gupta","given":"Veer Bala"},{"family":"Gupta","given":"Vijai Kumar"},{"family":"Gupta","given":"Vivek Kumar"},{"family":"Gurmessa","given":"Lami"},{"family":"Gutiérrez","given":"Reyna Alma"},{"family":"Habibzadeh","given":"Farrokh"},{"family":"Habibzadeh","given":"Parham"},{"family":"Haddadi","given":"Rasool"},{"family":"Hadei","given":"Mostafa"},{"family":"Hadi","given":"Najah R."},{"family":"Haep","given":"Nils"},{"family":"Hafezi-Nejad","given":"Nima"},{"family":"Hailu","given":"Alemayehu"},{"family":"Haj-Mirzaian","given":"Arvin"},{"family":"Halboub","given":"Esam S."},{"family":"Hall","given":"Brian J."},{"family":"Haller","given":"Sebastian"},{"family":"Halwani","given":"Rabih"},{"family":"Hamadeh","given":"Randah R."},{"family":"Hameed","given":"Sajid"},{"family":"Hamidi","given":"Samer"},{"family":"Hamilton","given":"Erin B."},{"family":"Han","given":"Chieh"},{"family":"Han","given":"Qiuxia"},{"family":"Hanif","given":"Asif"},{"family":"Hanifi","given":"Nasrin"},{"family":"Hankey","given":"Graeme J."},{"family":"Hanna","given":"Fahad"},{"family":"Hannan","given":"Md Abdul"},{"family":"Haque","given":"Md Nuruzzaman"},{"family":"Harapan","given":"Harapan"},{"family":"Hargono","given":"Arief"},{"family":"Haro","given":"Josep Maria"},{"family":"Hasaballah","given":"Ahmed I."},{"family":"Hasan","given":"Ikramul"},{"family":"Hasan","given":"M. Tasdik"},{"family":"Hasani","given":"Hamidreza"},{"family":"Hasanian","given":"Mohammad"},{"family":"Hashi","given":"Abdiwahab"},{"family":"Hasnain","given":"Md Saquib"},{"family":"Hassan","given":"Ikrama"},{"family":"Hassanipour","given":"Soheil"},{"family":"Hassankhani","given":"Hadi"},{"family":"Haubold","given":"Johannes"},{"family":"Havmoeller","given":"Rasmus J."},{"family":"Hay","given":"Simon I."},{"family":"He","given":"Jiawei"},{"family":"Hebert","given":"Jeffrey J."},{"family":"Hegazi","given":"Omar E."},{"family":"Heidari","given":"Golnaz"},{"family":"Heidari","given":"Mohammad"},{"family":"Heidari-Foroozan","given":"Mahsa"},{"family":"Helfer","given":"Bartosz"},{"family":"Hendrie","given":"Delia"},{"family":"Herrera-Serna","given":"Brenda Yuliana"},{"family":"Herteliu","given":"Claudiu"},{"family":"Hesami","given":"Hamed"},{"family":"Hezam","given":"Kamal"},{"family":"Hill","given":"Catherine L."},{"family":"Hiraike","given":"Yuta"},{"family":"Holla","given":"Ramesh"},{"family":"Horita","given":"Nobuyuki"},{"family":"Hossain","given":"Md Mahbub"},{"family":"Hossain","given":"Sahadat"},{"family":"Hosseini","given":"Mohammad-Salar"},{"family":"Hosseinzadeh","given":"Hassan"},{"family":"Hosseinzadeh","given":"Mehdi"},{"family":"Adli","given":"Ahmad Hosseinzadeh"},{"family":"Hostiuc","given":"Mihaela"},{"family":"Hostiuc","given":"Sorin"},{"family":"Hsairi","given":"Mohamed"},{"family":"Hsieh","given":"Vivian Chia-rong"},{"family":"Hsu","given":"Rebecca L."},{"family":"Hu","given":"Chengxi"},{"family":"Huang","given":"Junjie"},{"family":"Hultström","given":"Michael"},{"family":"Humayun","given":"Ayesha"},{"family":"Hundie","given":"Tsegaye Gebreyes"},{"family":"Hussain","given":"Javid"},{"family":"Hussain","given":"M. Azhar"},{"family":"Hussein","given":"Nawfal R."},{"family":"Hussien","given":"Foziya Mohammed"},{"family":"Huynh","given":"Hong-Han"},{"family":"Hwang","given":"Bing-Fang"},{"family":"Ibitoye","given":"Segun Emmanuel"},{"family":"Ibrahim","given":"Khalid S."},{"family":"Iftikhar","given":"Pulwasha Maria"},{"family":"Ijo","given":"Desta"},{"family":"Ikiroma","given":"Adalia I."},{"family":"Ikuta","given":"Kevin S."},{"family":"Ikwegbue","given":"Paul Chukwudi"},{"family":"Ilesanmi","given":"Olayinka Stephen"},{"family":"Ilic","given":"Irena M."},{"family":"Ilic","given":"Milena D."},{"family":"Imam","given":"Mohammad Tarique"},{"family":"Immurana","given":"Mustapha"},{"family":"Inamdar","given":"Sumant"},{"family":"Indriasih","given":"Endang"},{"family":"Iqhrammullah","given":"Muhammad"},{"family":"Iradukunda","given":"Arnaud"},{"family":"Iregbu","given":"Kenneth Chukwuemeka"},{"family":"Islam","given":"Md Rabiul"},{"family":"Islam","given":"Sheikh Mohammed Shariful"},{"family":"Islami","given":"Farhad"},{"family":"Ismail","given":"Faisal"},{"family":"Ismail","given":"Nahlah Elkudssiah"},{"family":"Iso","given":"Hiroyasu"},{"family":"Isola","given":"Gaetano"},{"family":"Iwagami","given":"Masao"},{"family":"Iwu","given":"Chidozie C. D."},{"family":"Iyamu","given":"Ihoghosa Osamuyi"},{"family":"Iyer","given":"Mahalaxmi"},{"family":"J","given":"Linda Merin"},{"family":"Jaafari","given":"Jalil"},{"family":"Jacob","given":"Louis"},{"family":"Jacobsen","given":"Kathryn H."},{"family":"Jadidi-Niaragh","given":"Farhad"},{"family":"Jafarinia","given":"Morteza"},{"family":"Jafarzadeh","given":"Abdollah"},{"family":"Jaggi","given":"Khushleen"},{"family":"Jahankhani","given":"Kasra"},{"family":"Jahanmehr","given":"Nader"},{"family":"Jahrami","given":"Haitham"},{"family":"Jain","given":"Nityanand"},{"family":"Jairoun","given":"Ammar Abdulrahman"},{"family":"Jaiswal","given":"Abhishek"},{"family":"Jamshidi","given":"Elham"},{"family":"Janko","given":"Mark M."},{"family":"Jatau","given":"Abubakar Ibrahim"},{"family":"Javadov","given":"Sabzali"},{"family":"Javaheri","given":"Tahereh"},{"family":"Jayapal","given":"Sathish Kumar"},{"family":"Jayaram","given":"Shubha"},{"family":"Jebai","given":"Rime"},{"family":"Jee","given":"Sun Ha"},{"family":"Jeganathan","given":"Jayakumar"},{"family":"Jha","given":"Anil K."},{"family":"Jha","given":"Ravi Prakash"},{"family":"Jiang","given":"Heng"},{"family":"Jin","given":"Yingzhao"},{"family":"Johnson","given":"Olatunji"},{"family":"Jokar","given":"Mohammad"},{"family":"Jonas","given":"Jost B."},{"family":"Joo","given":"Tamas"},{"family":"Joseph","given":"Abel"},{"family":"Joseph","given":"Nitin"},{"family":"Joshua","given":"Charity Ehimwenma"},{"family":"Joshy","given":"Grace"},{"family":"Jozwiak","given":"Jacek Jerzy"},{"family":"Jürisson","given":"Mikk"},{"family":"K","given":"Vaishali"},{"family":"Kaambwa","given":"Billingsley"},{"family":"Kabir","given":"Ali"},{"family":"Kabir","given":"Zubair"},{"family":"Kadashetti","given":"Vidya"},{"family":"Kadir","given":"Dler Hussein"},{"family":"Kalani","given":"Rizwan"},{"family":"Kalankesh","given":"Laleh R."},{"family":"Kalankesh","given":"Leila R."},{"family":"Kaliyadan","given":"Feroze"},{"family":"Kalra","given":"Sanjay"},{"family":"Kamal","given":"Vineet Kumar"},{"family":"Kamarajah","given":"Sivesh Kathir"},{"family":"Kamath","given":"Rajesh"},{"family":"Kamiab","given":"Zahra"},{"family":"Kamyari","given":"Naser"},{"family":"Kanagasabai","given":"Thanigaivelan"},{"family":"Kanchan","given":"Tanuj"},{"family":"Kandel","given":"Himal"},{"family":"Kanmanthareddy","given":"Arun R."},{"family":"Kanmiki","given":"Edmund Wedam"},{"family":"Kanmodi","given":"Kehinde Kazeem"},{"family":"S","given":"Suthanthira Kannan"},{"family":"Kansal","given":"Sushil Kumar"},{"family":"Kantar","given":"Rami S."},{"family":"Kapoor","given":"Neeti"},{"family":"Karajizadeh","given":"Mehrdad"},{"family":"Karanth","given":"Shama D."},{"family":"Karasneh","given":"Reema A."},{"family":"Karaye","given":"Ibraheem M."},{"family":"Karch","given":"André"},{"family":"Karim","given":"Asima"},{"family":"Karimi","given":"Salah Eddin"},{"family":"Behnagh","given":"Arman Karimi"},{"family":"Kashoo","given":"Faizan Zaffar"},{"family":"Kasnazani","given":"Qalandar Hussein Abdulkarim"},{"family":"Kasraei","given":"Hengameh"},{"family":"Kassebaum","given":"Nicholas J."},{"family":"Kassel","given":"Molly B."},{"family":"Kauppila","given":"Joonas H."},{"family":"Kaur","given":"Navjot"},{"family":"Kawakami","given":"Norito"},{"family":"Kayode","given":"Gbenga A."},{"family":"Kazemi","given":"Foad"},{"family":"Kazemian","given":"Sina"},{"family":"Kazmi","given":"Tahseen Haider"},{"family":"Kebebew","given":"Getu Mosisa"},{"family":"Kebede","given":"Adera Debella"},{"family":"Kebede","given":"Fassikaw"},{"family":"Keflie","given":"Tibebeselassie S."},{"family":"Keiyoro","given":"Peter Njenga"},{"family":"Keller","given":"Cathleen"},{"family":"Kelly","given":"Jaimon Terence"},{"family":"Kempen","given":"John H."},{"family":"Kerr","given":"Jessica A."},{"family":"Kesse-Guyot","given":"Emmanuelle"},{"family":"Khajuria","given":"Himanshu"},{"family":"Khalaji","given":"Amirmohammad"},{"family":"Khalid","given":"Nauman"},{"family":"Khalil","given":"Anees Ahmed"},{"family":"Khalilian","given":"Alireza"},{"family":"Khamesipour","given":"Faham"},{"family":"Khan","given":"Ajmal"},{"family":"Khan","given":"Asaduzzaman"},{"family":"Khan","given":"Gulfaraz"},{"family":"Khan","given":"Ikramullah"},{"family":"Khan","given":"Imteyaz A."},{"family":"Khan","given":"M. Nuruzzaman"},{"family":"Khan","given":"Maseer"},{"family":"Khan","given":"Mohammad Jobair"},{"family":"Khan","given":"Moien AB"},{"family":"Khan","given":"Zeeshan Ali"},{"family":"Suheb","given":"Mahammed Ziauddin Khan"},{"family":"Khanmohammadi","given":"Shaghayegh"},{"family":"Khatab","given":"Khaled"},{"family":"Khatami","given":"Fatemeh"},{"family":"Khatatbeh","given":"Haitham"},{"family":"Khatatbeh","given":"Moawiah Mohammad"},{"family":"Khavandegar","given":"Armin"},{"family":"Kashani","given":"Hamid Reza Khayat"},{"family":"Khidri","given":"Feriha Fatima"},{"family":"Khodadoust","given":"Elaheh"},{"family":"Khorgamphar","given":"Mohammad"},{"family":"Khormali","given":"Moein"},{"family":"Khorrami","given":"Zahra"},{"family":"Khosravi","given":"Ahmad"},{"family":"Khosravi","given":"Mohammad Ali"},{"family":"Kifle","given":"Zemene Demelash"},{"family":"Kim","given":"Grace"},{"family":"Kim","given":"Jihee"},{"family":"Kim","given":"Kwanghyun"},{"family":"Kim","given":"Min Seo"},{"family":"Kim","given":"Yun Jin"},{"family":"Kimokoti","given":"Ruth W."},{"family":"Kinzel","given":"Kasey E."},{"family":"Kisa","given":"Adnan"},{"family":"Kisa","given":"Sezer"},{"family":"Klu","given":"Desmond"},{"family":"Knudsen","given":"Ann Kristin Skrindo"},{"family":"Kocarnik","given":"Jonathan M."},{"family":"Kochhar","given":"Sonali"},{"family":"Kocsis","given":"Timea"},{"family":"Koh","given":"David S. Q."},{"family":"Kolahi","given":"Ali-Asghar"},{"family":"Kolves","given":"Kairi"},{"family":"Kompani","given":"Farzad"},{"family":"Koren","given":"Gerbrand"},{"family":"Kosen","given":"Soewarta"},{"family":"Kostev","given":"Karel"},{"family":"Koul","given":"Parvaiz A."},{"family":"Laxminarayana","given":"Sindhura Lakshmi Koulmane"},{"family":"Krishan","given":"Kewal"},{"family":"Krishna","given":"Hare"},{"family":"Krishna","given":"Varun"},{"family":"Krishnamoorthy","given":"Vijay"},{"family":"Krishnamoorthy","given":"Yuvaraj"},{"family":"Krohn","given":"Kris J."},{"family":"Defo","given":"Barthelemy Kuate"},{"family":"Bicer","given":"Burcu Kucuk"},{"family":"Kuddus","given":"Md Abdul"},{"family":"Kuddus","given":"Mohammed"},{"family":"Kuitunen","given":"Ilari"},{"family":"Kulimbet","given":"Mukhtar"},{"family":"Kulkarni","given":"Vishnutheertha"},{"family":"Kumar","given":"Akshay"},{"family":"Kumar","given":"Ashish"},{"family":"Kumar","given":"Harish"},{"family":"Kumar","given":"Manasi"},{"family":"Kumar","given":"Rakesh"},{"family":"Kumari","given":"Madhulata"},{"family":"Kumie","given":"Fantahun Tarekegn"},{"family":"Kundu","given":"Satyajit"},{"family":"Kurmi","given":"Om P."},{"family":"Kusnali","given":"Asep"},{"family":"Kusuma","given":"Dian"},{"family":"Kwarteng","given":"Alexander"},{"family":"Kyriopoulos","given":"Ilias"},{"family":"Kyu","given":"Hmwe Hmwe"},{"family":"Vecchia","given":"Carlo La"},{"family":"Lacey","given":"Ben"},{"family":"Ladan","given":"Muhammad Awwal"},{"family":"Laflamme","given":"Lucie"},{"family":"Lagat","given":"Abraham K."},{"family":"Lager","given":"Anton C. J."},{"family":"Lahmar","given":"Abdelilah"},{"family":"Lai","given":"Daphne Teck Ching"},{"family":"Lal","given":"Dharmesh Kumar"},{"family":"Lalloo","given":"Ratilal"},{"family":"Lallukka","given":"Tea"},{"family":"Lam","given":"Hilton"},{"family":"Lám","given":"Judit"},{"family":"Landrum","given":"Kelsey R."},{"family":"Lanfranchi","given":"Francesco"},{"family":"Lang","given":"Justin J."},{"family":"Langguth","given":"Berthold"},{"family":"Lansingh","given":"Van Charles"},{"family":"Laplante-Lévesque","given":"Ariane"},{"family":"Larijani","given":"Bagher"},{"family":"Larsson","given":"Anders O."},{"family":"Lasrado","given":"Savita"},{"family":"Lassi","given":"Zohra S."},{"family":"Latief","given":"Kamaluddin"},{"family":"Latifinaibin","given":"Kaveh"},{"family":"Lauriola","given":"Paolo"},{"family":"Le","given":"Nhi Huu Hanh"},{"family":"Le","given":"Thao Thi Thu"},{"family":"Le","given":"Trang Diep Thanh"},{"family":"Ledda","given":"Caterina"},{"family":"Ledesma","given":"Jorge R."},{"family":"Lee","given":"Munjae"},{"family":"Lee","given":"Paul H."},{"family":"Lee","given":"Seung Won"},{"family":"Lee","given":"Shaun Wen Huey"},{"family":"Lee","given":"Wei-Chen"},{"family":"Lee","given":"Yo Han"},{"family":"LeGrand","given":"Kate E."},{"family":"Leigh","given":"James"},{"family":"Leong","given":"Elvynna"},{"family":"Lerango","given":"Temesgen L."},{"family":"Li","given":"Ming-Chieh"},{"family":"Li","given":"Wei"},{"family":"Li","given":"Xiaopan"},{"family":"Li","given":"Yichong"},{"family":"Li","given":"Zhihui"},{"family":"Ligade","given":"Virendra S."},{"family":"Likaka","given":"Andrew Tiyamike Makhiringa"},{"family":"Lim","given":"Lee-Ling"},{"family":"Lim","given":"Stephen S."},{"family":"Lindstrom","given":"Megan"},{"family":"Linehan","given":"Christine"},{"family":"Liu","given":"Chaojie"},{"family":"Liu","given":"Gang"},{"family":"Liu","given":"Jue"},{"family":"Liu","given":"Runben"},{"family":"Liu","given":"Shiwei"},{"family":"Liu","given":"Xiaofeng"},{"family":"Liu","given":"Xuefeng"},{"family":"Llanaj","given":"Erand"},{"family":"Loftus","given":"Michael J."},{"family":"López-Bueno","given":"Rubén"},{"family":"Lopukhov","given":"Platon D."},{"family":"Loreche","given":"Arianna Maever"},{"family":"Lorkowski","given":"Stefan"},{"family":"Lotufo","given":"Paulo A."},{"family":"Lozano","given":"Rafael"},{"family":"Lubinda","given":"Jailos"},{"family":"Lucchetti","given":"Giancarlo"},{"family":"Lugo","given":"Alessandra"},{"family":"Lunevicius","given":"Raimundas"},{"family":"Ma","given":"Zheng Feei"},{"family":"Maass","given":"Kelsey Lynn"},{"family":"Machairas","given":"Nikolaos"},{"family":"Machoy","given":"Monika"},{"family":"Madadizadeh","given":"Farzan"},{"family":"Madsen","given":"Christian"},{"family":"Madureira-Carvalho","given":"Áurea M."},{"family":"Maghazachi","given":"Azzam A."},{"family":"Maharaj","given":"Sandeep B."},{"family":"Mahjoub","given":"Soleiman"},{"family":"Mahmoud","given":"Mansour Adam"},{"family":"Mahmoudi","given":"Alireza"},{"family":"Mahmoudi","given":"Elham"},{"family":"Mahmoudi","given":"Razzagh"},{"family":"Majeed","given":"Azeem"},{"family":"Makhdoom","given":"Irsa Fatima"},{"family":"Rad","given":"Elaheh Malakan"},{"family":"Maled","given":"Venkatesh"},{"family":"Malekzadeh","given":"Reza"},{"family":"Malhotra","given":"Armaan K."},{"family":"Malhotra","given":"Kashish"},{"family":"Malik","given":"Ahmad Azam"},{"family":"Malik","given":"Iram"},{"family":"Malta","given":"Deborah Carvalho"},{"family":"Mamun","given":"Abdullah A."},{"family":"Mansouri","given":"Pejman"},{"family":"Mansournia","given":"Mohammad Ali"},{"family":"Mantovani","given":"Lorenzo Giovanni"},{"family":"Maqsood","given":"Sajid"},{"family":"Marasini","given":"Bishnu P."},{"family":"Marateb","given":"Hamid Reza"},{"family":"Maravilla","given":"Joemer C."},{"family":"Marconi","given":"Agustina M."},{"family":"Mardi","given":"Parham"},{"family":"Marino","given":"Mirko"},{"family":"Marjani","given":"Abdoljalal"},{"family":"Martinez","given":"Gabriel"},{"family":"Martinez-Guerra","given":"Bernardo Alfonso"},{"family":"Martinez-Piedra","given":"Ramon"},{"family":"Martini","given":"Daniela"},{"family":"Martini","given":"Santi"},{"family":"Martins-Melo","given":"Francisco Rogerlândio"},{"family":"Martorell","given":"Miquel"},{"family":"Marx","given":"Wolfgang"},{"family":"Maryam","given":"Sharmeen"},{"family":"Marzo","given":"Roy Rillera"},{"family":"Masaka","given":"Anthony"},{"family":"Masrie","given":"Awoke"},{"family":"Mathieson","given":"Stephanie"},{"family":"Mathioudakis","given":"Alexander G."},{"family":"Mathur","given":"Manu Raj"},{"family":"Mattumpuram","given":"Jishanth"},{"family":"Matzopoulos","given":"Richard"},{"family":"Maude","given":"Richard James"},{"family":"Maugeri","given":"Andrea"},{"family":"Maulik","given":"Pallab K."},{"family":"Mayeli","given":"Mahsa"},{"family":"Mazaheri","given":"Maryam"},{"family":"Mazidi","given":"Mohsen"},{"family":"McGrath","given":"John J."},{"family":"McKee","given":"Martin"},{"family":"McKowen","given":"Anna Laura W."},{"family":"McLaughlin","given":"Susan A."},{"family":"McPhail","given":"Steven M."},{"family":"Mechili","given":"Enkeleint A."},{"family":"Medina","given":"John Robert Carabeo"},{"family":"Mediratta","given":"Rishi P."},{"family":"Meena","given":"Jitendra Kumar"},{"family":"Mehra","given":"Rahul"},{"family":"Mehrabani-Zeinabad","given":"Kamran"},{"family":"Nasab","given":"Entezar Mehrabi"},{"family":"Meto","given":"Tesfahun Mekene"},{"family":"Meles","given":"Gebrekiros Gebremichael"},{"family":"Mendez-Lopez","given":"Max Alberto Mendez"},{"family":"Mendoza","given":"Walter"},{"family":"Menezes","given":"Ritesh G."},{"family":"Mengist","given":"Belayneh"},{"family":"Mentis","given":"Alexios-Fotios A."},{"family":"Meo","given":"Sultan Ayoub"},{"family":"Meresa","given":"Haftu Asmerom"},{"family":"Meretoja","given":"Atte"},{"family":"Meretoja","given":"Tuomo J."},{"family":"Mersha","given":"Abera M."},{"family":"Mesfin","given":"Bezawit Afework"},{"family":"Mestrovic","given":"Tomislav"},{"family":"Mettananda","given":"Kukulege Chamila Dinushi"},{"family":"Mettananda","given":"Sachith"},{"family":"Meylakhs","given":"Peter"},{"family":"Mhlanga","given":"Adquate"},{"family":"Mhlanga","given":"Laurette"},{"family":"Mi","given":"Tianyue"},{"family":"Miazgowski","given":"Tomasz"},{"family":"Micha","given":"Georgia"},{"family":"Michalek","given":"Irmina Maria"},{"family":"Miller","given":"Ted R."},{"family":"Mills","given":"Edward J."},{"family":"Minh","given":"Le Huu Nhat"},{"family":"Mini","given":"G. K."},{"family":"Sadeghi","given":"Pouya Mir Mohammad"},{"family":"Mirica","given":"Andreea"},{"family":"Mirijello","given":"Antonio"},{"family":"Mirrakhimov","given":"Erkin M."},{"family":"Mirutse","given":"Mizan Kiros"},{"family":"Mirzaei","given":"Maryam"},{"family":"Misganaw","given":"Awoke"},{"family":"Mishra","given":"Ashim"},{"family":"Misra","given":"Sanjeev"},{"family":"Mitchell","given":"Philip B."},{"family":"Mithra","given":"Prasanna"},{"family":"Mittal","given":"Chaitanya"},{"family":"Mobayen","given":"Mohammadreza"},{"family":"Moberg","given":"Madeline E."},{"family":"Mohamadkhani","given":"Ashraf"},{"family":"Mohamed","given":"Jama"},{"family":"Mohamed","given":"Mouhand F. H."},{"family":"Mohamed","given":"Nouh Saad"},{"family":"Mohammad-Alizadeh-Charandabi","given":"Sakineh"},{"family":"Mohammadi","given":"Soheil"},{"family":"Mohammadian-Hafshejani","given":"Abdollah"},{"family":"Mohammadifard","given":"Noushin"},{"family":"Mohammed","given":"Hassen"},{"family":"Mohammed","given":"Hussen"},{"family":"Mohammed","given":"Mustapha"},{"family":"Mohammed","given":"Salahuddin"},{"family":"Mohammed","given":"Shafiu"},{"family":"Mohan","given":"Viswanathan"},{"family":"Mojiri-Forushani","given":"Hoda"},{"family":"Mokari","given":"Amin"},{"family":"Mokdad","given":"Ali H."},{"family":"Molinaro","given":"Sabrina"},{"family":"Molokhia","given":"Mariam"},{"family":"Momtazmanesh","given":"Sara"},{"family":"Monasta","given":"Lorenzo"},{"family":"Mondello","given":"Stefania"},{"family":"Moni","given":"Mohammad Ali"},{"family":"Ghalibaf","given":"AmirAli Moodi"},{"family":"Moradi","given":"Maryam"},{"family":"Moradi","given":"Yousef"},{"family":"Moradi-Lakeh","given":"Maziar"},{"family":"Moradzadeh","given":"Maliheh"},{"family":"Moraga","given":"Paula"},{"family":"Morawska","given":"Lidia"},{"family":"Moreira","given":"Rafael Silveira"},{"family":"Morovatdar","given":"Negar"},{"family":"Morrison","given":"Shane Douglas"},{"family":"Morze","given":"Jakub"},{"family":"Mosser","given":"Jonathan F."},{"family":"Motappa","given":"Rohith"},{"family":"Mougin","given":"Vincent"},{"family":"Mouodi","given":"Simin"},{"family":"Mousavi","given":"Parsa"},{"family":"Mousavi","given":"Seyed Ehsan"},{"family":"Khaneghah","given":"Amin Mousavi"},{"family":"Mpolya","given":"Emmanuel A."},{"family":"Mrejen","given":"Matías"},{"family":"Mubarik","given":"Sumaira"},{"family":"Muccioli","given":"Lorenzo"},{"family":"Mueller","given":"Ulrich Otto"},{"family":"Mughal","given":"Faraz"},{"family":"Mukherjee","given":"Sumoni"},{"family":"Mulita","given":"Francesk"},{"family":"Munjal","given":"Kavita"},{"family":"Murillo-Zamora","given":"Efrén"},{"family":"Musaigwa","given":"Fungai"},{"family":"Musallam","given":"Khaled M."},{"family":"Mustafa","given":"Ahmad"},{"family":"Mustafa","given":"Ghulam"},{"family":"Muthupandian","given":"Saravanan"},{"family":"Muthusamy","given":"Raman"},{"family":"Muzaffar","given":"Muhammad"},{"family":"Myung","given":"Woojae"},{"family":"Nagarajan","given":"Ahamarshan Jayaraman"},{"family":"Nagel","given":"Gabriele"},{"family":"Naghavi","given":"Pirouz"},{"family":"Naheed","given":"Aliya"},{"family":"Naik","given":"Ganesh R."},{"family":"Naik","given":"Gurudatta"},{"family":"Nainu","given":"Firzan"},{"family":"Nair","given":"Sanjeev"},{"family":"Najmuldeen","given":"Hastyar Hama Rashid"},{"family":"Ansari","given":"Noureddin Nakhostin"},{"family":"Nangia","given":"Vinay"},{"family":"Naqvi","given":"Atta Abbas"},{"family":"Swamy","given":"Sreenivas Narasimha"},{"family":"Narayana","given":"Aparna Ichalangod"},{"family":"Nargus","given":"Shumaila"},{"family":"Nascimento","given":"Bruno Ramos"},{"family":"Nascimento","given":"Gustavo G."},{"family":"Nasehi","given":"Samar"},{"family":"Nashwan","given":"Abdulqadir J."},{"family":"Natto","given":"Zuhair S."},{"family":"Nauman","given":"Javaid"},{"family":"Naveed","given":"Muhammad"},{"family":"Nayak","given":"Biswa Prakash"},{"family":"Nayak","given":"Vinod C."},{"family":"Nazri-Panjaki","given":"Athare"},{"family":"Ndejjo","given":"Rawlance"},{"family":"Nduaguba","given":"Sabina Onyinye"},{"family":"Negash","given":"Hadush"},{"family":"Negoi","given":"Ionut"},{"family":"Negoi","given":"Ruxandra Irina"},{"family":"Negru","given":"Serban Mircea"},{"family":"Nejadghaderi","given":"Seyed Aria"},{"family":"Nejjari","given":"Chakib"},{"family":"Nena","given":"Evangelia"},{"family":"Nepal","given":"Samata"},{"family":"Ng","given":"Marie"},{"family":"Nggada","given":"Haruna Asura"},{"family":"Nguefack-Tsague","given":"Georges"},{"family":"Ngunjiri","given":"Josephine W."},{"family":"Nguyen","given":"Anh Hoang"},{"family":"Nguyen","given":"Dang H."},{"family":"Nguyen","given":"Hau Thi Hien"},{"family":"Nguyen","given":"Phat Tuan"},{"family":"Nguyen","given":"Van Thanh"},{"family":"Niazi","given":"Robina Khan"},{"family":"Nielsen","given":"Katie R."},{"family":"Nigatu","given":"Yeshambel T."},{"family":"Nikolouzakis","given":"Taxiarchis Konstantinos"},{"family":"Nikoobar","given":"Ali"},{"family":"Nikoomanesh","given":"Fatemeh"},{"family":"Nikpoor","given":"Amin Reza"},{"family":"Ningrum","given":"Dina Nur Anggraini"},{"family":"Nnaji","given":"Chukwudi A."},{"family":"Nnyanzi","given":"Lawrence Achilles"},{"family":"Noman","given":"Efaq Ali"},{"family":"Nomura","given":"Shuhei"},{"family":"Noreen","given":"Mamoona"},{"family":"Noroozi","given":"Nafise"},{"family":"Norrving","given":"Bo"},{"family":"Noubiap","given":"Jean Jacques"},{"family":"Novotney","given":"Amanda"},{"family":"Nri-Ezedi","given":"Chisom Adaobi"},{"family":"Ntaios","given":"George"},{"family":"Ntsekhe","given":"Mpiko"},{"family":"Nuñez-Samudio","given":"Virginia"},{"family":"Nurrika","given":"Dieta"},{"family":"Nutor","given":"Jerry John"},{"family":"Oancea","given":"Bogdan"},{"family":"Obamiro","given":"Kehinde O."},{"family":"Oboh","given":"Mary Aigbiremo"},{"family":"Odetokun","given":"Ismail A."},{"family":"Odogwu","given":"Nkechi Martina"},{"family":"O'Donnell","given":"Martin James"},{"family":"Oduro","given":"Michael Safo"},{"family":"Ofakunrin","given":"Akinyemi O. D."},{"family":"Ogunkoya","given":"Abiola"},{"family":"Oguntade","given":"Ayodipupo Sikiru"},{"family":"Oh","given":"In-Hwan"},{"family":"Okati-Aliabad","given":"Hassan"},{"family":"Okeke","given":"Sylvester Reuben"},{"family":"Okekunle","given":"Akinkunmi Paul"},{"family":"Okonji","given":"Osaretin Christabel"},{"family":"Olagunju","given":"Andrew T."},{"family":"Olaiya","given":"Muideen Tunbosun"},{"family":"Olatubi","given":"Matthew Idowu"},{"family":"Oliveira","given":"Gláucia Maria Moraes"},{"family":"Olufadewa","given":"Isaac Iyinoluwa"},{"family":"Olusanya","given":"Bolajoko Olubukunola"},{"family":"Olusanya","given":"Jacob Olusegun"},{"family":"Oluwafemi","given":"Yinka Doris"},{"family":"Omar","given":"Hany A."},{"family":"Bali","given":"Ahmed Omar"},{"family":"Omer","given":"Goran Latif"},{"family":"Ondayo","given":"Maureene Auma"},{"family":"Ong","given":"Sokking"},{"family":"Onwujekwe","given":"Obinna E."},{"family":"Onyedibe","given":"Kenneth Ikenna"},{"family":"Ordak","given":"Michal"},{"family":"Orisakwe","given":"Orish Ebere"},{"family":"Orish","given":"Verner N."},{"family":"Ortega-Altamirano","given":"Doris V."},{"family":"Ortiz","given":"Alberto"},{"family":"Osman","given":"Wael M. S."},{"family":"Ostroff","given":"Samuel M."},{"family":"Osuagwu","given":"Uchechukwu Levi"},{"family":"Otoiu","given":"Adrian"},{"family":"Otstavnov","given":"Nikita"},{"family":"Otstavnov","given":"Stanislav S."},{"family":"Ouyahia","given":"Amel"},{"family":"Ouyang","given":"Guoqing"},{"family":"Owolabi","given":"Mayowa O."},{"family":"Ozten","given":"Yaz"},{"family":"A","given":"Mahesh Padukudru P."},{"family":"Padron-Monedero","given":"Alicia"},{"family":"Padubidri","given":"Jagadish Rao"},{"family":"Pal","given":"Pramod Kumar"},{"family":"Palicz","given":"Tamás"},{"family":"Palladino","given":"Claudia"},{"family":"Palladino","given":"Raffaele"},{"family":"Palma-Alvarez","given":"Raul Felipe"},{"family":"Pan","given":"Feng"},{"family":"Pan","given":"Hai-Feng"},{"family":"Pana","given":"Adrian"},{"family":"Panda","given":"Paramjot"},{"family":"Panda-Jonas","given":"Songhomitra"},{"family":"Pandi-Perumal","given":"Seithikurippu R."},{"family":"Pangaribuan","given":"Helena Ullyartha"},{"family":"Panos","given":"Georgios D."},{"family":"Panos","given":"Leonidas D."},{"family":"Pantazopoulos","given":"Ioannis"},{"family":"Stoian","given":"Anca Mihaela Pantea"},{"family":"Papadopoulou","given":"Paraskevi"},{"family":"Parikh","given":"Romil R."},{"family":"Park","given":"Seoyeon"},{"family":"Parthasarathi","given":"Ashwaghosha"},{"family":"Pashaei","given":"Ava"},{"family":"Pasovic","given":"Maja"},{"family":"Passera","given":"Roberto"},{"family":"Pasupula","given":"Deepak Kumar"},{"family":"Patel","given":"Hemal M."},{"family":"Patel","given":"Jay"},{"family":"Patel","given":"Sangram Kishor"},{"family":"Patil","given":"Shankargouda"},{"family":"Patoulias","given":"Dimitrios"},{"family":"Patthipati","given":"Venkata Suresh"},{"family":"Paudel","given":"Uttam"},{"family":"Toroudi","given":"Hamidreza Pazoki"},{"family":"Pease","given":"Spencer A."},{"family":"Peden","given":"Amy E."},{"family":"Pedersini","given":"Paolo"},{"family":"Pensato","given":"Umberto"},{"family":"Pepito","given":"Veincent Christian Filipino"},{"family":"Peprah","given":"Emmanuel K."},{"family":"Peprah","given":"Prince"},{"family":"Perdigão","given":"João"},{"family":"Pereira","given":"Marcos"},{"family":"Peres","given":"Mario F. P."},{"family":"Perianayagam","given":"Arokiasamy"},{"family":"Perico","given":"Norberto"},{"family":"Pestell","given":"Richard G."},{"family":"Pesudovs","given":"Konrad"},{"family":"Petermann-Rocha","given":"Fanny Emily"},{"family":"Petri","given":"William A."},{"family":"Pham","given":"Hoang Tran"},{"family":"Philip","given":"Anil K."},{"family":"Phillips","given":"Michael R."},{"family":"Pierannunzio","given":"Daniela"},{"family":"Pigeolet","given":"Manon"},{"family":"Pigott","given":"David M."},{"family":"Pilgrim","given":"Thomas"},{"family":"Piracha","given":"Zahra Zahid"},{"family":"Piradov","given":"Michael A."},{"family":"Pirouzpanah","given":"Saeed"},{"family":"Plakkal","given":"Nishad"},{"family":"Plotnikov","given":"Evgenii"},{"family":"Podder","given":"Vivek"},{"family":"Poddighe","given":"Dimitri"},{"family":"Polinder","given":"Suzanne"},{"family":"Polkinghorne","given":"Kevan R."},{"family":"Poluru","given":"Ramesh"},{"family":"Ponkilainen","given":"Ville T."},{"family":"Porru","given":"Fabio"},{"family":"Postma","given":"Maarten J."},{"family":"Poudel","given":"Govinda Raj"},{"family":"Pourshams","given":"Akram"},{"family":"Pourtaheri","given":"Naeimeh"},{"family":"Prada","given":"Sergio I."},{"family":"Pradhan","given":"Pranil Man Singh"},{"family":"Prakasham","given":"Thejeswar N."},{"family":"Prasad","given":"Manya"},{"family":"Prashant","given":"Akila"},{"family":"Prates","given":"Elton Junio Sady"},{"family":"Alhambra","given":"Daniel Prieto"},{"family":"Priscilla","given":"Tina"},{"family":"Pritchett","given":"Natalie"},{"family":"Purohit","given":"Bharathi M."},{"family":"Puvvula","given":"Jagadeesh"},{"family":"Qasim","given":"Nameer Hashim"},{"family":"Qattea","given":"Ibrahim"},{"family":"Qazi","given":"Asma Saleem"},{"family":"Qian","given":"Gangzhen"},{"family":"Qiu","given":"Suli"},{"family":"Qureshi","given":"Maryam Faiz"},{"family":"Rad","given":"Mehrdad Rabiee"},{"family":"Radfar","given":"Amir"},{"family":"Radhakrishnan","given":"Raghu Anekal"},{"family":"Radhakrishnan","given":"Venkatraman"},{"family":"Shahraki","given":"Hadi Raeisi"},{"family":"Rafferty","given":"Quinn"},{"family":"Raggi","given":"Alberto"},{"family":"Raghav","given":"Pankaja Raghav"},{"family":"Raheem","given":"Nasiru"},{"family":"Rahim","given":"Fakher"},{"family":"Rahim","given":"Md Jillur"},{"family":"Rahimi-Movaghar","given":"Vafa"},{"family":"Rahman","given":"Md Mosfequr"},{"family":"Rahman","given":"Mohammad Hifz Ur"},{"family":"Rahman","given":"Mosiur"},{"family":"Rahman","given":"Muhammad Aziz"},{"family":"Rahmani","given":"Amir Masoud"},{"family":"Rahmani","given":"Shayan"},{"family":"Rahmanian","given":"Vahid"},{"family":"Rajaa","given":"Sathish"},{"family":"Rajput","given":"Prashant"},{"family":"Rakovac","given":"Ivo"},{"family":"Ramasamy","given":"Shakthi Kumaran"},{"family":"Ramazanu","given":"Sheena"},{"family":"Rana","given":"Kritika"},{"family":"Ranabhat","given":"Chhabi Lal"},{"family":"Rancic","given":"Nemanja"},{"family":"Rane","given":"Amey"},{"family":"Rao","given":"Chythra R."},{"family":"Rao","given":"Indu Ramachandra"},{"family":"Rao","given":"Mithun"},{"family":"Rao","given":"Sowmya J."},{"family":"Rasali","given":"Drona Prakash"},{"family":"Rasella","given":"Davide"},{"family":"Rashedi","given":"Sina"},{"family":"Rashedi","given":"Vahid"},{"family":"Rashidi","given":"Mohammad-Mahdi"},{"family":"Rasouli-Saravani","given":"Ashkan"},{"family":"Rasul","given":"Azad"},{"family":"Babu","given":"Giridhara Rathnaiah"},{"family":"Rauniyar","given":"Santosh Kumar"},{"family":"Ravangard","given":"Ramin"},{"family":"Ravikumar","given":"Nakul"},{"family":"Rawaf","given":"David Laith"},{"family":"Rawaf","given":"Salman"},{"family":"Rawal","given":"Lal"},{"family":"Rawassizadeh","given":"Reza"},{"family":"Rawlley","given":"Bharat"},{"family":"Raza","given":"Rabail Zehra"},{"family":"Razo","given":"Christian"},{"family":"Redwan","given":"Elrashdy Moustafa Mohamed"},{"family":"Rehman","given":"Faizan Ur"},{"family":"Reifels","given":"Lennart"},{"family":"Jr","given":"Robert C. Reiner"},{"family":"Remuzzi","given":"Giuseppe"},{"family":"Reyes","given":"Luis Felipe"},{"family":"Rezaei","given":"Maryam"},{"family":"Rezaei","given":"Nazila"},{"family":"Rezaei","given":"Negar"},{"family":"Rezaeian","given":"Mohsen"},{"family":"Rhee","given":"Taeho Gregory"},{"family":"Riaz","given":"Mavra A."},{"family":"Ribeiro","given":"Antonio Luiz P."},{"family":"Rickard","given":"Jennifer"},{"family":"Riva","given":"Hannah R."},{"family":"Robinson-Oden","given":"Hannah Elizabeth"},{"family":"Rodrigues","given":"Célia Fortuna"},{"family":"Rodrigues","given":"Mónica"},{"family":"Roever","given":"Leonardo"},{"family":"Rogowski","given":"Emma Lynn Best"},{"family":"Rohloff","given":"Peter"},{"family":"Romadlon","given":"Debby Syahru"},{"family":"Romero-Rodríguez","given":"Esperanza"},{"family":"Romoli","given":"Michele"},{"family":"Ronfani","given":"Luca"},{"family":"Roshandel","given":"Gholamreza"},{"family":"Roth","given":"Gregory A."},{"family":"Rout","given":"Himanshu Sekhar"},{"family":"Roy","given":"Nitai"},{"family":"Roy","given":"Priyanka"},{"family":"Rubagotti","given":"Enrico"},{"family":"Ruela","given":"Guilherme de Andrade"},{"family":"Rumisha","given":"Susan Fred"},{"family":"Runghien","given":"Tilleye"},{"family":"Rwegerera","given":"Godfrey M."},{"family":"Rynkiewicz","given":"Andrzej"},{"family":"N","given":"Chandan S."},{"family":"Saad","given":"Aly M. A."},{"family":"Saadatian","given":"Zahra"},{"family":"Saber","given":"Korosh"},{"family":"Saber-Ayad","given":"Maha Mohamed"},{"family":"SaberiKamarposhti","given":"Morteza"},{"family":"Sabour","given":"Siamak"},{"family":"Sacco","given":"Simona"},{"family":"Sachdev","given":"Perminder S."},{"family":"Sachdeva","given":"Rajesh"},{"family":"Saddik","given":"Basema"},{"family":"Saddler","given":"Adam"},{"family":"Sadee","given":"Bashdar Abuzed"},{"family":"Sadeghi","given":"Ehsan"},{"family":"Sadeghi","given":"Erfan"},{"family":"Sadeghian","given":"Farideh"},{"family":"Saeb","given":"Mohammad Reza"},{"family":"Saeed","given":"Umar"},{"family":"Safaeinejad","given":"Fahimeh"},{"family":"Safi","given":"Sher Zaman"},{"family":"Sagar","given":"Rajesh"},{"family":"Saghazadeh","given":"Amene"},{"family":"Sagoe","given":"Dominic"},{"family":"Sharif-Askari","given":"Fatemeh Saheb"},{"family":"Sharif-Askari","given":"Narjes Saheb"},{"family":"Sahebkar","given":"Amirhossein"},{"family":"Sahoo","given":"Soumya Swaroop"},{"family":"Sahoo","given":"Umakanta"},{"family":"Sahu","given":"Monalisha"},{"family":"Saif","given":"Zahra"},{"family":"Sajid","given":"Mirza Rizwan"},{"family":"Sakshaug","given":"Joseph W."},{"family":"Salam","given":"Nasir"},{"family":"Salamati","given":"Payman"},{"family":"Salami","given":"Afeez Abolarinwa"},{"family":"Salaroli","given":"Luciane B."},{"family":"Saleh","given":"Mohamed A."},{"family":"Salehi","given":"Sana"},{"family":"Salem","given":"Marwa Rashad"},{"family":"Salem","given":"Mohammed Z. Y."},{"family":"Salimi","given":"Sohrab"},{"family":"Kafil","given":"Hossein Samadi"},{"family":"Samadzadeh","given":"Sara"},{"family":"Samargandy","given":"Saad"},{"family":"Samodra","given":"Yoseph Leonardo"},{"family":"Samy","given":"Abdallah M."},{"family":"Sanabria","given":"Juan"},{"family":"Sanna","given":"Francesca"},{"family":"Santomauro","given":"Damian Francesco"},{"family":"Santos","given":"Itamar S."},{"family":"Santric-Milicevic","given":"Milena M."},{"family":"Jose","given":"Bruno Piassi Sao"},{"family":"Sarasmita","given":"Made Ary"},{"family":"Saraswathy","given":"Sivan Yegnanarayana Iyer"},{"family":"Saravanan","given":"Aswini"},{"family":"Saravi","given":"Babak"},{"family":"Sarikhani","given":"Yaser"},{"family":"Sarkar","given":"Tanmay"},{"family":"Sarmiento-Suárez","given":"Rodrigo"},{"family":"Sarode","given":"Gargi Sachin"},{"family":"Sarode","given":"Sachin C."},{"family":"Sarveazad","given":"Arash"},{"family":"Sathian","given":"Brijesh"},{"family":"Sathish","given":"Thirunavukkarasu"},{"family":"Satpathy","given":"Maheswar"},{"family":"Sayeed","given":"Abu"},{"family":"Sayeed","given":"Md Abu"},{"family":"Saylan","given":"Mete"},{"family":"Sayyah","given":"Mehdi"},{"family":"Scarmeas","given":"Nikolaos"},{"family":"Schaarschmidt","given":"Benedikt Michael"},{"family":"Schlaich","given":"Markus P."},{"family":"Schlee","given":"Winfried"},{"family":"Schmidt","given":"Maria Inês"},{"family":"Schneider","given":"Ione Jayce Ceola"},{"family":"Schuermans","given":"Art"},{"family":"Schumacher","given":"Austin E."},{"family":"Schutte","given":"Aletta Elisabeth"},{"family":"Schwarzinger","given":"Michaël"},{"family":"Schwebel","given":"David C."},{"family":"Schwendicke","given":"Falk"},{"family":"Šekerija","given":"Mario"},{"family":"Selvaraj","given":"Siddharthan"},{"family":"Senapati","given":"Sabyasachi"},{"family":"Senthilkumaran","given":"Subramanian"},{"family":"Sepanlou","given":"Sadaf G."},{"family":"Serban","given":"Dragos"},{"family":"Sethi","given":"Yashendra"},{"family":"Sha","given":"Feng"},{"family":"Shabany","given":"Maryam"},{"family":"Shafaat","given":"Amir"},{"family":"Shafie","given":"Mahan"},{"family":"Shah","given":"Nilay S."},{"family":"Shah","given":"Pritik A."},{"family":"Shah","given":"Syed Mahboob"},{"family":"Shahabi","given":"Saeed"},{"family":"Shahbandi","given":"Ataollah"},{"family":"Shahid","given":"Izza"},{"family":"Shahid","given":"Samiah"},{"family":"Shahid","given":"Wajeehah"},{"family":"Shahsavari","given":"Hamid R."},{"family":"Shahwan","given":"Moyad Jamal"},{"family":"Shaikh","given":"Ahmed"},{"family":"Shaikh","given":"Masood Ali"},{"family":"Shakeri","given":"Alireza"},{"family":"Shalash","given":"Ali S."},{"family":"Sham","given":"Sunder"},{"family":"Shamim","given":"Muhammad Aaqib"},{"family":"Shams-Beyranvand","given":"Mehran"},{"family":"Shamshad","given":"Hina"},{"family":"Shamsi","given":"Mohammad Anas"},{"family":"Shanawaz","given":"Mohd"},{"family":"Shankar","given":"Abhishek"},{"family":"Sharfaei","given":"Sadaf"},{"family":"Sharifan","given":"Amin"},{"family":"Sharifi-Rad","given":"Javad"},{"family":"Sharma","given":"Rajesh"},{"family":"Sharma","given":"Saurab"},{"family":"Sharma","given":"Ujjawal"},{"family":"Sharma","given":"Vishal"},{"family":"Shastry","given":"Rajesh P."},{"family":"Shavandi","given":"Amin"},{"family":"Shayan","given":"Maryam"},{"family":"Shehabeldine","given":"Amr Mohamed Elsayed"},{"family":"Sheikh","given":"Aziz"},{"family":"Sheikhi","given":"Rahim Ali"},{"family":"Shen","given":"Jiabin"},{"family":"Shetty","given":"Adithi"},{"family":"Shetty","given":"B. Suresh Kumar"},{"family":"Shetty","given":"Pavanchand H."},{"family":"Shi","given":"Peilin"},{"family":"Shibuya","given":"Kenji"},{"family":"Shiferaw","given":"Desalegn"},{"family":"Shigematsu","given":"Mika"},{"family":"Shin","given":"Min-Jeong"},{"family":"Shin","given":"Youn Ho"},{"family":"Shiri","given":"Rahman"},{"family":"Shirkoohi","given":"Reza"},{"family":"Shitaye","given":"Nebiyu Aniley"},{"family":"Shittu","given":"Aminu"},{"family":"Shiue","given":"Ivy"},{"family":"Shivakumar","given":"K. M."},{"family":"Shivarov","given":"Velizar"},{"family":"Shokraneh","given":"Farhad"},{"family":"Shokri","given":"Azad"},{"family":"Shool","given":"Sina"},{"family":"Shorofi","given":"Seyed Afshin"},{"family":"Shrestha","given":"Sunil"},{"family":"Shuval","given":"Kerem"},{"family":"Siddig","given":"Emmanuel Edwar"},{"family":"Silva","given":"João Pedro"},{"family":"Silva","given":"Luís Manuel Lopes Rodrigues"},{"family":"Silva","given":"Soraia"},{"family":"Simpson","given":"Colin R."},{"family":"Singal","given":"Anjali"},{"family":"Singh","given":"Abhinav"},{"family":"Singh","given":"Balbir Bagicha"},{"family":"Singh","given":"Garima"},{"family":"Singh","given":"Jasbir"},{"family":"Singh","given":"Narinder Pal"},{"family":"Singh","given":"Paramdeep"},{"family":"Singh","given":"Surjit"},{"family":"Sinha","given":"Dhirendra Narain"},{"family":"Sinto","given":"Robert"},{"family":"Siraj","given":"Md Shahjahan"},{"family":"Sirota","given":"Sarah Brooke"},{"family":"Sitas","given":"Freddy"},{"family":"Sivakumar","given":"Shravan"},{"family":"Skryabin","given":"Valentin Yurievich"},{"family":"Skryabina","given":"Anna Aleksandrovna"},{"family":"Sleet","given":"David A."},{"family":"Socea","given":"Bogdan"},{"family":"Sokhan","given":"Anton"},{"family":"Solanki","given":"Ranjan"},{"family":"Solanki","given":"Shipra"},{"family":"Soleimani","given":"Hamidreza"},{"family":"Soliman","given":"Sameh S. M."},{"family":"Song","given":"Suhang"},{"family":"Song","given":"Yimeng"},{"family":"Sorensen","given":"Reed J. D."},{"family":"Soriano","given":"Joan B."},{"family":"Soyiri","given":"Ireneous N."},{"family":"Spartalis","given":"Michael"},{"family":"Spearman","given":"Sandra"},{"family":"Sreeramareddy","given":"Chandrashekhar T."},{"family":"Srivastava","given":"Vijay Kumar"},{"family":"Stanaway","given":"Jeffrey D."},{"family":"Stanikzai","given":"Muhammad Haroon"},{"family":"Stark","given":"Benjamin A."},{"family":"Starnes","given":"Joseph R."},{"family":"Starodubova","given":"Antonina V."},{"family":"Stein","given":"Caroline"},{"family":"Stein","given":"Dan J."},{"family":"Steinbeis","given":"Fridolin"},{"family":"Steiner","given":"Caitlyn"},{"family":"Steinmetz","given":"Jaimie D."},{"family":"Steiropoulos","given":"Paschalis"},{"family":"Stevanović","given":"Aleksandar"},{"family":"Stockfelt","given":"Leo"},{"family":"Stokes","given":"Mark A."},{"family":"Stortecky","given":"Stefan"},{"family":"Subramaniyan","given":"Vetriselvan"},{"family":"Suleman","given":"Muhammad"},{"family":"Abdulkader","given":"Rizwan Suliankatchi"},{"family":"Sultana","given":"Abida"},{"family":"Sun","given":"Haitong Zhe"},{"family":"Sun","given":"Jing"},{"family":"Sundström","given":"Johan"},{"family":"Sunkersing","given":"David"},{"family":"Sunnerhagen","given":"Katharina S."},{"family":"Swain","given":"Chandan Kumar"},{"family":"Szarpak","given":"Lukasz"},{"family":"Szeto","given":"Mindy D."},{"family":"Szócska","given":"Miklós"},{"family":"Damavandi","given":"Payam Tabaee"},{"family":"Tabarés-Seisdedos","given":"Rafael"},{"family":"Tabatabaei","given":"Seyyed Mohammad"},{"family":"Malazy","given":"Ozra Tabatabaei"},{"family":"Tabatabaeizadeh","given":"Seyed-Amir"},{"family":"Tabatabai","given":"Shima"},{"family":"Tabish","given":"Mohammad"},{"family":"Tadakamadla","given":"Jyothi"},{"family":"Tadakamadla","given":"Santosh Kumar"},{"family":"Abkenar","given":"Yasaman Taheri"},{"family":"Soodejani","given":"Moslem Taheri"},{"family":"Taiba","given":"Jabeen"},{"family":"Takahashi","given":"Ken"},{"family":"Talaat","given":"Iman M."},{"family":"Talukder","given":"Ashis"},{"family":"Tampa","given":"Mircea"},{"family":"Tamuzi","given":"Jacques Lukenze"},{"family":"Tan","given":"Ker-Kan"},{"family":"Tandukar","given":"Sarmila"},{"family":"Tang","given":"Haosu"},{"family":"Tang","given":"Hong K."},{"family":"Tarigan","given":"Ingan Ukur"},{"family":"Tariku","given":"Mengistie Kassahun"},{"family":"Tariqujjaman","given":"Md"},{"family":"Tarkang","given":"Elvis Enowbeyang"},{"family":"Oliaee","given":"Razieh Tavakoli"},{"family":"Tavangar","given":"Seyed Mohammad"},{"family":"Taveira","given":"Nuno"},{"family":"Tefera","given":"Yibekal Manaye"},{"family":"Temsah","given":"Mohamad-Hani"},{"family":"Temsah","given":"Reem Mohamad Hani"},{"family":"Teramoto","given":"Masayuki"},{"family":"Tesler","given":"Riki"},{"family":"Teye-Kwadjo","given":"Enoch"},{"family":"Thakur","given":"Rishu"},{"family":"Thangaraju","given":"Pugazhenthan"},{"family":"Thankappan","given":"Kavumpurathu Raman"},{"family":"Tharwat","given":"Samar"},{"family":"Thayakaran","given":"Rasiah"},{"family":"Thomas","given":"Nihal"},{"family":"Thomas","given":"Nikhil Kenny"},{"family":"Thomson","given":"Azalea M."},{"family":"Thrift","given":"Amanda G."},{"family":"Thum","given":"Chern Choong Chern"},{"family":"Thygesen","given":"Lau Caspar"},{"family":"Tian","given":"Jing"},{"family":"Tichopad","given":"Ales"},{"family":"Ticoalu","given":"Jansje Henny Vera"},{"family":"Tillawi","given":"Tala"},{"family":"Tiruye","given":"Tenaw Yimer"},{"family":"Titova","given":"Mariya Vladimirovna"},{"family":"Tonelli","given":"Marcello"},{"family":"Topor-Madry","given":"Roman"},{"family":"Toriola","given":"Adetunji T."},{"family":"Torre","given":"Anna E."},{"family":"Touvier","given":"Mathilde"},{"family":"Tovani-Palone","given":"Marcos Roberto"},{"family":"Tran","given":"Jasmine T."},{"family":"Tran","given":"Nghia Minh"},{"family":"Trico","given":"Domenico"},{"family":"Tromans","given":"Samuel Joseph"},{"family":"Truyen","given":"Thien Tan Tri Tai"},{"family":"Tsatsakis","given":"Aristidis"},{"family":"Tsegay","given":"Guesh Mebrahtom"},{"family":"Tsermpini","given":"Evangelia Eirini"},{"family":"Tumurkhuu","given":"Munkhtuya"},{"family":"Tung","given":"Kang"},{"family":"Tyrovolas","given":"Stefanos"},{"family":"Uddin","given":"Sayed Mohammad Nazim"},{"family":"Udoakang","given":"Aniefiok John"},{"family":"Udoh","given":"Arit"},{"family":"Ullah","given":"Atta"},{"family":"Ullah","given":"Irfan"},{"family":"Ullah","given":"Saeed"},{"family":"Ullah","given":"Sana"},{"family":"Umakanthan","given":"Srikanth"},{"family":"Umeokonkwo","given":"Chukwuma David"},{"family":"Unim","given":"Brigid"},{"family":"Unnikrishnan","given":"Bhaskaran"},{"family":"Unsworth","given":"Carolyn Anne"},{"family":"Upadhyay","given":"Era"},{"family":"Urso","given":"Daniele"},{"family":"Usman","given":"Jibrin Sammani"},{"family":"Vahabi","given":"Seyed Mohammad"},{"family":"Vaithinathan","given":"Asokan Govindaraj"},{"family":"Valizadeh","given":"Rohollah"},{"family":"Velde","given":"Sarah M. Van","dropping-particle":"de"},{"family":"Eynde","given":"Jef Van","dropping-particle":"den"},{"family":"Varga","given":"Orsolya"},{"family":"Vart","given":"Priya"},{"family":"Varthya","given":"Shoban Babu"},{"family":"Vasankari","given":"Tommi Juhani"},{"family":"Vasic","given":"Milena"},{"family":"Vaziri","given":"Siavash"},{"family":"Vellingiri","given":"Balachandar"},{"family":"Venketasubramanian","given":"Narayanaswamy"},{"family":"Verghese","given":"Nicholas Alexander"},{"family":"Verma","given":"Madhur"},{"family":"Veroux","given":"Massimiliano"},{"family":"Verras","given":"Georgios-Ioannis"},{"family":"Vervoort","given":"Dominique"},{"family":"Villafañe","given":"Jorge Hugo"},{"family":"Villanueva","given":"Gabriela Ines"},{"family":"Vinayak","given":"Manish"},{"family":"Violante","given":"Francesco S."},{"family":"Viskadourou","given":"Maria"},{"family":"Vladimirov","given":"Sergey Konstantinovitch"},{"family":"Vlassov","given":"Vasily"},{"family":"Vo","given":"Bay"},{"family":"Vollset","given":"Stein Emil"},{"family":"Vongpradith","given":"Avina"},{"family":"Vos","given":"Theo"},{"family":"Vujcic","given":"Isidora S."},{"family":"Vukovic","given":"Rade"},{"family":"Wafa","given":"Hatem A."},{"family":"Waheed","given":"Yasir"},{"family":"Wamai","given":"Richard G."},{"family":"Wang","given":"Cong"},{"family":"Wang","given":"Ning"},{"family":"Wang","given":"Shu"},{"family":"Wang","given":"Song"},{"family":"Wang","given":"Yanzhong"},{"family":"Wang","given":"Yuan-Pang"},{"family":"Waqas","given":"Muhammad"},{"family":"Ward","given":"Paul"},{"family":"Wassie","given":"Emebet Gashaw"},{"family":"Watson","given":"Stefanie"},{"family":"Watson","given":"Stephanie Louise Watson"},{"family":"Weerakoon","given":"Kosala Gayan"},{"family":"Wei","given":"Melissa Y."},{"family":"Weintraub","given":"Robert G."},{"family":"Weiss","given":"Daniel J."},{"family":"Westerman","given":"Ronny"},{"family":"Whisnant","given":"Joanna L."},{"family":"Wiangkham","given":"Taweewat"},{"family":"Wickramasinghe","given":"Dakshitha Praneeth"},{"family":"Wickramasinghe","given":"Nuwan Darshana"},{"family":"Wilandika","given":"Angga"},{"family":"Wilkerson","given":"Caroline"},{"family":"Willeit","given":"Peter"},{"family":"Wilson","given":"Shadrach"},{"family":"Wojewodzic","given":"Marcin W."},{"family":"Woldegebreal","given":"Demewoz H."},{"family":"Wolf","given":"Axel Walter"},{"family":"Wolfe","given":"Charles D. A."},{"family":"Wondimagegene","given":"Yohannes Addisu"},{"family":"Wong","given":"Yen Jun"},{"family":"Wongsin","given":"Utoomporn"},{"family":"Wu","given":"Ai-Min"},{"family":"Wu","given":"Chenkai"},{"family":"Wu","given":"Felicia"},{"family":"Wu","given":"Xinsheng"},{"family":"Wu","given":"Zenghong"},{"family":"Xia","given":"Juan"},{"family":"Xiao","given":"Hong"},{"family":"Xie","given":"Yang"},{"family":"Xu","given":"Suowen"},{"family":"Xu","given":"Wang-Dong"},{"family":"Xu","given":"Xiaoyue"},{"family":"Xu","given":"Yvonne Yiru"},{"family":"Yadollahpour","given":"Ali"},{"family":"Yamagishi","given":"Kazumasa"},{"family":"Yang","given":"Danting"},{"family":"Yang","given":"Lin"},{"family":"Yano","given":"Yuichiro"},{"family":"Yao","given":"Yao"},{"family":"Yaribeygi","given":"Habib"},{"family":"Ye","given":"Pengpeng"},{"family":"Yehualashet","given":"Sisay Shewasinad"},{"family":"Yesiltepe","given":"Metin"},{"family":"Yesuf","given":"Subah Abderehim"},{"family":"Yezli","given":"Saber"},{"family":"Yi","given":"Siyan"},{"family":"Yigezu","given":"Amanuel"},{"family":"Yiğit","given":"Arzu"},{"family":"Yiğit","given":"Vahit"},{"family":"Yip","given":"Paul"},{"family":"Yismaw","given":"Malede Berihun"},{"family":"Yismaw","given":"Yazachew"},{"family":"Yon","given":"Dong Keon"},{"family":"Yonemoto","given":"Naohiro"},{"family":"Yoon","given":"Seok-Jun"},{"family":"You","given":"Yuyi"},{"family":"Younis","given":"Mustafa Z."},{"family":"Yousefi","given":"Zabihollah"},{"family":"Yu","given":"Chuanhua"},{"family":"Yu","given":"Yong"},{"family":"Yuh","given":"Faith H."},{"family":"Zadey","given":"Siddhesh"},{"family":"Zadnik","given":"Vesna"},{"family":"Zafari","given":"Nima"},{"family":"Zakham","given":"Fathiah"},{"family":"Zaki","given":"Nazar"},{"family":"Zaman","given":"Sojib Bin"},{"family":"Zamora","given":"Nelson"},{"family":"Zand","given":"Ramin"},{"family":"Zangiabadian","given":"Moein"},{"family":"Zar","given":"Heather J."},{"family":"Zare","given":"Iman"},{"family":"Zarrintan","given":"Armin"},{"family":"Zeariya","given":"Mohammed G. M."},{"family":"Zeinali","given":"Zahra"},{"family":"Zhang","given":"Haijun"},{"family":"Zhang","given":"Jianrong"},{"family":"Zhang","given":"Jingya"},{"family":"Zhang","given":"Liqun"},{"family":"Zhang","given":"Yunquan"},{"family":"Zhang","given":"Zhi-Jiang"},{"family":"Zhao","given":"Hanqing"},{"family":"Zhong","given":"Chenwen"},{"family":"Zhou","given":"Juexiao"},{"family":"Zhu","given":"Bin"},{"family":"Zhu","given":"Lei"},{"family":"Ziafati","given":"Makan"},{"family":"Zielińska","given":"Magdalena"},{"family":"Zitoun","given":"Osama A."},{"family":"Zoladl","given":"Mohammad"},{"family":"Zou","given":"Zhiyong"},{"family":"Zuhlke","given":"Liesl J."},{"family":"Zumla","given":"Alimuddin"},{"family":"Zweck","given":"Elric"},{"family":"Zyoud","given":"Samer H."},{"family":"Wool","given":"Eve E."},{"family":"Murray","given":"Christopher J. L."}],"issued":{"date-parts":[["2024",5,18]]}}}],"schema":"https://github.com/citation-style-language/schema/raw/master/csl-citation.json"} </w:instrText>
      </w:r>
      <w:r w:rsidRPr="00F96DB8">
        <w:rPr>
          <w:rFonts w:asciiTheme="majorHAnsi" w:hAnsiTheme="majorHAnsi" w:cstheme="majorHAnsi"/>
          <w:lang w:val="en-GB"/>
        </w:rPr>
        <w:fldChar w:fldCharType="separate"/>
      </w:r>
      <w:r w:rsidR="00881AB8" w:rsidRPr="00881AB8">
        <w:rPr>
          <w:rFonts w:ascii="Calibri Light" w:hAnsi="Calibri Light" w:cs="Calibri Light"/>
          <w:vertAlign w:val="superscript"/>
        </w:rPr>
        <w:t>9</w:t>
      </w:r>
      <w:r w:rsidRPr="00F96DB8">
        <w:rPr>
          <w:rFonts w:asciiTheme="majorHAnsi" w:hAnsiTheme="majorHAnsi" w:cstheme="majorHAnsi"/>
          <w:lang w:val="en-GB"/>
        </w:rPr>
        <w:fldChar w:fldCharType="end"/>
      </w:r>
      <w:r w:rsidRPr="00F96DB8">
        <w:rPr>
          <w:rFonts w:asciiTheme="majorHAnsi" w:hAnsiTheme="majorHAnsi" w:cstheme="majorHAnsi"/>
          <w:lang w:val="en-GB"/>
        </w:rPr>
        <w:t xml:space="preserve"> For the purposes of this analysis, the same pairings of source and target codes and the associated redistribution proportions derived for the GBD</w:t>
      </w:r>
      <w:r w:rsidR="00C201AA" w:rsidRPr="00F96DB8">
        <w:rPr>
          <w:rFonts w:asciiTheme="majorHAnsi" w:hAnsiTheme="majorHAnsi" w:cstheme="majorHAnsi"/>
          <w:lang w:val="en-GB"/>
        </w:rPr>
        <w:t xml:space="preserve"> study</w:t>
      </w:r>
      <w:r w:rsidRPr="00F96DB8">
        <w:rPr>
          <w:rFonts w:asciiTheme="majorHAnsi" w:hAnsiTheme="majorHAnsi" w:cstheme="majorHAnsi"/>
          <w:lang w:val="en-GB"/>
        </w:rPr>
        <w:t xml:space="preserve"> at the national or state level in the US</w:t>
      </w:r>
      <w:r w:rsidR="00225E3F" w:rsidRPr="00F96DB8">
        <w:rPr>
          <w:rFonts w:asciiTheme="majorHAnsi" w:hAnsiTheme="majorHAnsi" w:cstheme="majorHAnsi"/>
          <w:lang w:val="en-GB"/>
        </w:rPr>
        <w:t>A</w:t>
      </w:r>
      <w:r w:rsidRPr="00F96DB8">
        <w:rPr>
          <w:rFonts w:asciiTheme="majorHAnsi" w:hAnsiTheme="majorHAnsi" w:cstheme="majorHAnsi"/>
          <w:lang w:val="en-GB"/>
        </w:rPr>
        <w:t xml:space="preserve"> were applied to deaths recorded for each </w:t>
      </w:r>
      <w:r w:rsidR="009579DB" w:rsidRPr="00F96DB8">
        <w:rPr>
          <w:rFonts w:asciiTheme="majorHAnsi" w:hAnsiTheme="majorHAnsi" w:cstheme="majorHAnsi"/>
          <w:lang w:val="en-GB"/>
        </w:rPr>
        <w:t>racial and ethnic population</w:t>
      </w:r>
      <w:r w:rsidRPr="00F96DB8">
        <w:rPr>
          <w:rFonts w:asciiTheme="majorHAnsi" w:hAnsiTheme="majorHAnsi" w:cstheme="majorHAnsi"/>
          <w:lang w:val="en-GB"/>
        </w:rPr>
        <w:t xml:space="preserve"> and for each county within a given state. This process ensures consistency in the data used for this analysis and for the GBD</w:t>
      </w:r>
      <w:r w:rsidR="00676A6B" w:rsidRPr="00F96DB8">
        <w:rPr>
          <w:rFonts w:asciiTheme="majorHAnsi" w:hAnsiTheme="majorHAnsi" w:cstheme="majorHAnsi"/>
          <w:lang w:val="en-GB"/>
        </w:rPr>
        <w:t xml:space="preserve"> </w:t>
      </w:r>
      <w:proofErr w:type="gramStart"/>
      <w:r w:rsidR="00676A6B" w:rsidRPr="00F96DB8">
        <w:rPr>
          <w:rFonts w:asciiTheme="majorHAnsi" w:hAnsiTheme="majorHAnsi" w:cstheme="majorHAnsi"/>
          <w:lang w:val="en-GB"/>
        </w:rPr>
        <w:t>study</w:t>
      </w:r>
      <w:r w:rsidRPr="00F96DB8">
        <w:rPr>
          <w:rFonts w:asciiTheme="majorHAnsi" w:hAnsiTheme="majorHAnsi" w:cstheme="majorHAnsi"/>
          <w:lang w:val="en-GB"/>
        </w:rPr>
        <w:t>,</w:t>
      </w:r>
      <w:r w:rsidR="00676A6B" w:rsidRPr="00F96DB8">
        <w:rPr>
          <w:rFonts w:asciiTheme="majorHAnsi" w:hAnsiTheme="majorHAnsi" w:cstheme="majorHAnsi"/>
          <w:lang w:val="en-GB"/>
        </w:rPr>
        <w:t xml:space="preserve"> </w:t>
      </w:r>
      <w:r w:rsidRPr="00F96DB8">
        <w:rPr>
          <w:rFonts w:asciiTheme="majorHAnsi" w:hAnsiTheme="majorHAnsi" w:cstheme="majorHAnsi"/>
          <w:lang w:val="en-GB"/>
        </w:rPr>
        <w:t>and</w:t>
      </w:r>
      <w:proofErr w:type="gramEnd"/>
      <w:r w:rsidRPr="00F96DB8">
        <w:rPr>
          <w:rFonts w:asciiTheme="majorHAnsi" w:hAnsiTheme="majorHAnsi" w:cstheme="majorHAnsi"/>
          <w:lang w:val="en-GB"/>
        </w:rPr>
        <w:t xml:space="preserve"> does not alter the total number of deaths observed in any county, </w:t>
      </w:r>
      <w:r w:rsidR="009579DB" w:rsidRPr="00F96DB8">
        <w:rPr>
          <w:rFonts w:asciiTheme="majorHAnsi" w:hAnsiTheme="majorHAnsi" w:cstheme="majorHAnsi"/>
          <w:lang w:val="en-GB"/>
        </w:rPr>
        <w:t>racial and ethnic population</w:t>
      </w:r>
      <w:r w:rsidRPr="00F96DB8">
        <w:rPr>
          <w:rFonts w:asciiTheme="majorHAnsi" w:hAnsiTheme="majorHAnsi" w:cstheme="majorHAnsi"/>
          <w:lang w:val="en-GB"/>
        </w:rPr>
        <w:t xml:space="preserve">, age, sex, or year combination, but only effects the allocation of these deaths among different causes. </w:t>
      </w:r>
      <w:r w:rsidR="000F0850" w:rsidRPr="000F0850">
        <w:rPr>
          <w:rFonts w:asciiTheme="majorHAnsi" w:hAnsiTheme="majorHAnsi" w:cstheme="majorHAnsi"/>
          <w:lang w:val="en-GB"/>
        </w:rPr>
        <w:t>Across all causes, the percentage of deaths with these codes is similar by racial and ethnic population, ranging from 25.5% for the Latino population to 29.4% for the Black population.</w:t>
      </w:r>
    </w:p>
    <w:p w14:paraId="6BA71A46" w14:textId="77777777" w:rsidR="002C0222" w:rsidRPr="00F96DB8" w:rsidRDefault="002C0222" w:rsidP="002C0222">
      <w:pPr>
        <w:spacing w:after="0" w:line="360" w:lineRule="auto"/>
        <w:contextualSpacing/>
        <w:rPr>
          <w:rFonts w:asciiTheme="majorHAnsi" w:hAnsiTheme="majorHAnsi" w:cstheme="majorHAnsi"/>
          <w:lang w:val="en-GB"/>
        </w:rPr>
      </w:pPr>
    </w:p>
    <w:p w14:paraId="306F7CAB" w14:textId="7D1DFD81" w:rsidR="009B006F" w:rsidRPr="00F96DB8" w:rsidRDefault="004D101A" w:rsidP="00983528">
      <w:pPr>
        <w:pStyle w:val="Heading2"/>
        <w:spacing w:before="0" w:line="360" w:lineRule="auto"/>
        <w:contextualSpacing/>
        <w:rPr>
          <w:rFonts w:eastAsiaTheme="minorEastAsia" w:cstheme="majorHAnsi"/>
          <w:lang w:val="en-GB"/>
        </w:rPr>
      </w:pPr>
      <w:bookmarkStart w:id="7" w:name="_Toc1467603377"/>
      <w:bookmarkStart w:id="8" w:name="_Toc175308174"/>
      <w:r w:rsidRPr="00F96DB8">
        <w:rPr>
          <w:rFonts w:eastAsiaTheme="minorEastAsia" w:cstheme="majorHAnsi"/>
          <w:lang w:val="en-GB"/>
        </w:rPr>
        <w:t>2</w:t>
      </w:r>
      <w:r w:rsidR="009664F9" w:rsidRPr="00F96DB8">
        <w:rPr>
          <w:rFonts w:eastAsiaTheme="minorEastAsia" w:cstheme="majorHAnsi"/>
          <w:lang w:val="en-GB"/>
        </w:rPr>
        <w:t>.</w:t>
      </w:r>
      <w:r w:rsidR="0021151F" w:rsidRPr="00F96DB8">
        <w:rPr>
          <w:rFonts w:eastAsiaTheme="minorEastAsia" w:cstheme="majorHAnsi"/>
          <w:lang w:val="en-GB"/>
        </w:rPr>
        <w:t>3</w:t>
      </w:r>
      <w:r w:rsidR="009664F9" w:rsidRPr="00F96DB8">
        <w:rPr>
          <w:rFonts w:eastAsiaTheme="minorEastAsia" w:cstheme="majorHAnsi"/>
          <w:lang w:val="en-GB"/>
        </w:rPr>
        <w:t xml:space="preserve"> </w:t>
      </w:r>
      <w:r w:rsidR="00BE6ED3" w:rsidRPr="00F96DB8">
        <w:rPr>
          <w:rFonts w:eastAsiaTheme="minorEastAsia" w:cstheme="majorHAnsi"/>
          <w:lang w:val="en-GB"/>
        </w:rPr>
        <w:t>Covariate i</w:t>
      </w:r>
      <w:r w:rsidR="00EE11E7" w:rsidRPr="00F96DB8">
        <w:rPr>
          <w:rFonts w:eastAsiaTheme="minorEastAsia" w:cstheme="majorHAnsi"/>
          <w:lang w:val="en-GB"/>
        </w:rPr>
        <w:t>mputation</w:t>
      </w:r>
      <w:r w:rsidR="00BE6ED3" w:rsidRPr="00F96DB8">
        <w:rPr>
          <w:rFonts w:eastAsiaTheme="minorEastAsia" w:cstheme="majorHAnsi"/>
          <w:lang w:val="en-GB"/>
        </w:rPr>
        <w:t xml:space="preserve"> and s</w:t>
      </w:r>
      <w:r w:rsidR="0009318D" w:rsidRPr="00F96DB8">
        <w:rPr>
          <w:rFonts w:eastAsiaTheme="minorEastAsia" w:cstheme="majorHAnsi"/>
          <w:lang w:val="en-GB"/>
        </w:rPr>
        <w:t>moothing</w:t>
      </w:r>
      <w:bookmarkEnd w:id="7"/>
      <w:bookmarkEnd w:id="8"/>
    </w:p>
    <w:p w14:paraId="7A84EBBB" w14:textId="40E53044" w:rsidR="00CF3CEA" w:rsidRPr="00F96DB8" w:rsidRDefault="00CF3CEA" w:rsidP="00CF3CEA">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The small</w:t>
      </w:r>
      <w:r w:rsidR="00C937F8" w:rsidRPr="00F96DB8">
        <w:rPr>
          <w:rFonts w:asciiTheme="majorHAnsi" w:eastAsia="Arial" w:hAnsiTheme="majorHAnsi" w:cstheme="majorHAnsi"/>
          <w:color w:val="000000" w:themeColor="text1"/>
          <w:lang w:val="en-GB"/>
        </w:rPr>
        <w:t>-</w:t>
      </w:r>
      <w:r w:rsidRPr="00F96DB8">
        <w:rPr>
          <w:rFonts w:asciiTheme="majorHAnsi" w:eastAsia="Arial" w:hAnsiTheme="majorHAnsi" w:cstheme="majorHAnsi"/>
          <w:color w:val="000000" w:themeColor="text1"/>
          <w:lang w:val="en-GB"/>
        </w:rPr>
        <w:t xml:space="preserve">area estimation models used in the present study to estimate mortality rates leverage observed relationships between the level of mortality and sociodemographic and socioeconomic factors (covariates) to improve estimates where populations are </w:t>
      </w:r>
      <w:proofErr w:type="gramStart"/>
      <w:r w:rsidRPr="00F96DB8">
        <w:rPr>
          <w:rFonts w:asciiTheme="majorHAnsi" w:eastAsia="Arial" w:hAnsiTheme="majorHAnsi" w:cstheme="majorHAnsi"/>
          <w:color w:val="000000" w:themeColor="text1"/>
          <w:lang w:val="en-GB"/>
        </w:rPr>
        <w:t>small</w:t>
      </w:r>
      <w:proofErr w:type="gramEnd"/>
      <w:r w:rsidRPr="00F96DB8">
        <w:rPr>
          <w:rFonts w:asciiTheme="majorHAnsi" w:eastAsia="Arial" w:hAnsiTheme="majorHAnsi" w:cstheme="majorHAnsi"/>
          <w:color w:val="000000" w:themeColor="text1"/>
          <w:lang w:val="en-GB"/>
        </w:rPr>
        <w:t xml:space="preserve"> and the observed number of deaths is an imprecise indicator of the underlying mortality rate. Among the five covariates used in this analysis, educational attainment (bachelor’s degree or higher), poverty rate, and proportion foreign-born were stratified by both county and race</w:t>
      </w:r>
      <w:r w:rsidR="007F4F51" w:rsidRPr="00F96DB8">
        <w:rPr>
          <w:rFonts w:asciiTheme="majorHAnsi" w:eastAsia="Arial" w:hAnsiTheme="majorHAnsi" w:cstheme="majorHAnsi"/>
          <w:color w:val="000000" w:themeColor="text1"/>
          <w:lang w:val="en-GB"/>
        </w:rPr>
        <w:t xml:space="preserve"> and </w:t>
      </w:r>
      <w:r w:rsidRPr="00F96DB8">
        <w:rPr>
          <w:rFonts w:asciiTheme="majorHAnsi" w:eastAsia="Arial" w:hAnsiTheme="majorHAnsi" w:cstheme="majorHAnsi"/>
          <w:color w:val="000000" w:themeColor="text1"/>
          <w:lang w:val="en-GB"/>
        </w:rPr>
        <w:t>ethnicity, wh</w:t>
      </w:r>
      <w:r w:rsidR="00676A6B" w:rsidRPr="00F96DB8">
        <w:rPr>
          <w:rFonts w:asciiTheme="majorHAnsi" w:eastAsia="Arial" w:hAnsiTheme="majorHAnsi" w:cstheme="majorHAnsi"/>
          <w:color w:val="000000" w:themeColor="text1"/>
          <w:lang w:val="en-GB"/>
        </w:rPr>
        <w:t>ereas</w:t>
      </w:r>
      <w:r w:rsidRPr="00F96DB8">
        <w:rPr>
          <w:rFonts w:asciiTheme="majorHAnsi" w:eastAsia="Arial" w:hAnsiTheme="majorHAnsi" w:cstheme="majorHAnsi"/>
          <w:color w:val="000000" w:themeColor="text1"/>
          <w:lang w:val="en-GB"/>
        </w:rPr>
        <w:t xml:space="preserve"> median household income and population density were stratified only by county and represent estimates for the total population in that county (section 3.4). The underlying data for the covariates stratified by both county and </w:t>
      </w:r>
      <w:r w:rsidR="009579DB" w:rsidRPr="00F96DB8">
        <w:rPr>
          <w:rFonts w:asciiTheme="majorHAnsi" w:eastAsia="Arial" w:hAnsiTheme="majorHAnsi" w:cstheme="majorHAnsi"/>
          <w:color w:val="000000" w:themeColor="text1"/>
          <w:lang w:val="en-GB"/>
        </w:rPr>
        <w:t>racial and ethnic population</w:t>
      </w:r>
      <w:r w:rsidRPr="00F96DB8">
        <w:rPr>
          <w:rFonts w:asciiTheme="majorHAnsi" w:eastAsia="Arial" w:hAnsiTheme="majorHAnsi" w:cstheme="majorHAnsi"/>
          <w:color w:val="000000" w:themeColor="text1"/>
          <w:lang w:val="en-GB"/>
        </w:rPr>
        <w:t xml:space="preserve"> contained missing values and displayed instability and low precision for some strata with small populations. As covariate estimates are required for all location, year, and </w:t>
      </w:r>
      <w:r w:rsidR="009579DB" w:rsidRPr="00F96DB8">
        <w:rPr>
          <w:rFonts w:asciiTheme="majorHAnsi" w:eastAsia="Arial" w:hAnsiTheme="majorHAnsi" w:cstheme="majorHAnsi"/>
          <w:color w:val="000000" w:themeColor="text1"/>
          <w:lang w:val="en-GB"/>
        </w:rPr>
        <w:t>racial and ethnic population</w:t>
      </w:r>
      <w:r w:rsidRPr="00F96DB8">
        <w:rPr>
          <w:rFonts w:asciiTheme="majorHAnsi" w:eastAsia="Arial" w:hAnsiTheme="majorHAnsi" w:cstheme="majorHAnsi"/>
          <w:color w:val="000000" w:themeColor="text1"/>
          <w:lang w:val="en-GB"/>
        </w:rPr>
        <w:t xml:space="preserve"> combinations to derive mortality predictions, small</w:t>
      </w:r>
      <w:r w:rsidR="00047966" w:rsidRPr="00F96DB8">
        <w:rPr>
          <w:rFonts w:asciiTheme="majorHAnsi" w:eastAsia="Arial" w:hAnsiTheme="majorHAnsi" w:cstheme="majorHAnsi"/>
          <w:color w:val="000000" w:themeColor="text1"/>
          <w:lang w:val="en-GB"/>
        </w:rPr>
        <w:t>-</w:t>
      </w:r>
      <w:r w:rsidRPr="00F96DB8">
        <w:rPr>
          <w:rFonts w:asciiTheme="majorHAnsi" w:eastAsia="Arial" w:hAnsiTheme="majorHAnsi" w:cstheme="majorHAnsi"/>
          <w:color w:val="000000" w:themeColor="text1"/>
          <w:lang w:val="en-GB"/>
        </w:rPr>
        <w:t xml:space="preserve">area imputation models were developed to derive smoothed covariate estimates in all years, counties, and </w:t>
      </w:r>
      <w:r w:rsidR="009579DB" w:rsidRPr="00F96DB8">
        <w:rPr>
          <w:rFonts w:asciiTheme="majorHAnsi" w:eastAsia="Arial" w:hAnsiTheme="majorHAnsi" w:cstheme="majorHAnsi"/>
          <w:color w:val="000000" w:themeColor="text1"/>
          <w:lang w:val="en-GB"/>
        </w:rPr>
        <w:t>racial and ethnic population</w:t>
      </w:r>
      <w:r w:rsidRPr="00F96DB8">
        <w:rPr>
          <w:rFonts w:asciiTheme="majorHAnsi" w:eastAsia="Arial" w:hAnsiTheme="majorHAnsi" w:cstheme="majorHAnsi"/>
          <w:color w:val="000000" w:themeColor="text1"/>
          <w:lang w:val="en-GB"/>
        </w:rPr>
        <w:t xml:space="preserve">s prior to including </w:t>
      </w:r>
      <w:r w:rsidRPr="00F96DB8">
        <w:rPr>
          <w:rFonts w:asciiTheme="majorHAnsi" w:eastAsia="Arial" w:hAnsiTheme="majorHAnsi" w:cstheme="majorHAnsi"/>
          <w:color w:val="000000" w:themeColor="text1"/>
          <w:lang w:val="en-GB"/>
        </w:rPr>
        <w:lastRenderedPageBreak/>
        <w:t xml:space="preserve">these covariates in the mortality models. Covariates that were not stratified by </w:t>
      </w:r>
      <w:r w:rsidR="009579DB" w:rsidRPr="00F96DB8">
        <w:rPr>
          <w:rFonts w:asciiTheme="majorHAnsi" w:eastAsia="Arial" w:hAnsiTheme="majorHAnsi" w:cstheme="majorHAnsi"/>
          <w:color w:val="000000" w:themeColor="text1"/>
          <w:lang w:val="en-GB"/>
        </w:rPr>
        <w:t>racial and ethnic population</w:t>
      </w:r>
      <w:r w:rsidRPr="00F96DB8">
        <w:rPr>
          <w:rFonts w:asciiTheme="majorHAnsi" w:eastAsia="Arial" w:hAnsiTheme="majorHAnsi" w:cstheme="majorHAnsi"/>
          <w:color w:val="000000" w:themeColor="text1"/>
          <w:lang w:val="en-GB"/>
        </w:rPr>
        <w:t xml:space="preserve"> in addition to county were incorporated in the mortality models in their original (non-imputed) forms due to their larger sample sizes and complete spatial and temporal coverage.</w:t>
      </w:r>
    </w:p>
    <w:p w14:paraId="58545FD1" w14:textId="77777777" w:rsidR="00CF3CEA" w:rsidRPr="00F96DB8" w:rsidRDefault="00CF3CEA" w:rsidP="00CF3CEA">
      <w:pPr>
        <w:spacing w:after="0" w:line="360" w:lineRule="auto"/>
        <w:contextualSpacing/>
        <w:rPr>
          <w:rFonts w:asciiTheme="majorHAnsi" w:eastAsia="Arial" w:hAnsiTheme="majorHAnsi" w:cstheme="majorHAnsi"/>
          <w:color w:val="000000" w:themeColor="text1"/>
          <w:lang w:val="en-GB"/>
        </w:rPr>
      </w:pPr>
    </w:p>
    <w:p w14:paraId="37ECAA92" w14:textId="37571D0F" w:rsidR="00CF3CEA" w:rsidRPr="00F96DB8" w:rsidRDefault="00CF3CEA" w:rsidP="00CF3CEA">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 xml:space="preserve">Covariate data were derived primarily from the American Community Survey (ACS) and decennial population census. Racial classifications in the tabulated ACS and census data include separate groups for Asian and for Native Hawaiian </w:t>
      </w:r>
      <w:r w:rsidR="00FC7390">
        <w:rPr>
          <w:rFonts w:asciiTheme="majorHAnsi" w:eastAsia="Arial" w:hAnsiTheme="majorHAnsi" w:cstheme="majorHAnsi"/>
          <w:color w:val="000000" w:themeColor="text1"/>
          <w:lang w:val="en-GB"/>
        </w:rPr>
        <w:t>or</w:t>
      </w:r>
      <w:r w:rsidRPr="00F96DB8">
        <w:rPr>
          <w:rFonts w:asciiTheme="majorHAnsi" w:eastAsia="Arial" w:hAnsiTheme="majorHAnsi" w:cstheme="majorHAnsi"/>
          <w:color w:val="000000" w:themeColor="text1"/>
          <w:lang w:val="en-GB"/>
        </w:rPr>
        <w:t xml:space="preserve"> Pacific Islander (NHPI)</w:t>
      </w:r>
      <w:r w:rsidR="00AA262F" w:rsidRPr="00F96DB8">
        <w:rPr>
          <w:rFonts w:asciiTheme="majorHAnsi" w:eastAsia="Arial" w:hAnsiTheme="majorHAnsi" w:cstheme="majorHAnsi"/>
          <w:color w:val="000000" w:themeColor="text1"/>
          <w:lang w:val="en-GB"/>
        </w:rPr>
        <w:t xml:space="preserve"> populations</w:t>
      </w:r>
      <w:r w:rsidRPr="00F96DB8">
        <w:rPr>
          <w:rFonts w:asciiTheme="majorHAnsi" w:eastAsia="Arial" w:hAnsiTheme="majorHAnsi" w:cstheme="majorHAnsi"/>
          <w:color w:val="000000" w:themeColor="text1"/>
          <w:lang w:val="en-GB"/>
        </w:rPr>
        <w:t xml:space="preserve">; covariate data for these groups were combined into a single group for consistency with the mortality models. Covariate data were also combined for merged counties to derive a stable location set matching that used in the mortality models (section 3.1). The ACS provides estimates of uncertainty as Margins of Error (MOE) at a confidence level of 90%, rather than providing variance estimates themselves. Per </w:t>
      </w:r>
      <w:r w:rsidRPr="00F96DB8">
        <w:rPr>
          <w:rFonts w:asciiTheme="majorHAnsi" w:eastAsia="Arial" w:hAnsiTheme="majorHAnsi" w:cstheme="majorHAnsi"/>
          <w:lang w:val="en-GB"/>
        </w:rPr>
        <w:t>guidance</w:t>
      </w:r>
      <w:r w:rsidRPr="00F96DB8">
        <w:rPr>
          <w:rFonts w:asciiTheme="majorHAnsi" w:eastAsia="Arial" w:hAnsiTheme="majorHAnsi" w:cstheme="majorHAnsi"/>
          <w:color w:val="000000" w:themeColor="text1"/>
          <w:lang w:val="en-GB"/>
        </w:rPr>
        <w:t xml:space="preserve"> from the Census Bureau,</w:t>
      </w:r>
      <w:r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{"citationID":"wPajltPM","properties":{"formattedCitation":"\\super 10\\nosupersub{}","plainCitation":"10","noteIndex":0},"citationItems":[{"id":"wdkIiMrh/0hhlFDT8","uris":["http://zotero.org/users/74831/items/JPS6XPYJ"],"itemData":{"id":1306,"type":"document","language":"en","source":"Zotero","title":"Instructions for applying statistical testing to American Community Survey data","URL":"https://www2.census.gov/programs-surveys/acs/tech_docs/statistical_testing/2019_Instructions_for_Stat_Testing_ACS.pdf","author":[{"literal":"US Census Bureau"}],"accessed":{"date-parts":[["2020",12,17]]},"issued":{"date-parts":[["2019"]]}}}],"schema":"https://github.com/citation-style-language/schema/raw/master/csl-citation.json"} </w:instrText>
      </w:r>
      <w:r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10</w:t>
      </w:r>
      <w:r w:rsidRPr="00F96DB8">
        <w:rPr>
          <w:rFonts w:asciiTheme="majorHAnsi" w:eastAsia="Arial" w:hAnsiTheme="majorHAnsi" w:cstheme="majorHAnsi"/>
          <w:color w:val="000000" w:themeColor="text1"/>
          <w:lang w:val="en-GB"/>
        </w:rPr>
        <w:fldChar w:fldCharType="end"/>
      </w:r>
      <w:r w:rsidRPr="00F96DB8">
        <w:rPr>
          <w:rFonts w:asciiTheme="majorHAnsi" w:eastAsia="Arial" w:hAnsiTheme="majorHAnsi" w:cstheme="majorHAnsi"/>
          <w:color w:val="000000" w:themeColor="text1"/>
          <w:lang w:val="en-GB"/>
        </w:rPr>
        <w:t xml:space="preserve"> variance was calculated as:</w:t>
      </w:r>
    </w:p>
    <w:p w14:paraId="7DBFD1B3" w14:textId="77777777" w:rsidR="005B4F16" w:rsidRPr="00F96DB8" w:rsidRDefault="005B4F16" w:rsidP="00983528">
      <w:pPr>
        <w:spacing w:after="0" w:line="360" w:lineRule="auto"/>
        <w:ind w:firstLine="720"/>
        <w:contextualSpacing/>
        <w:rPr>
          <w:rFonts w:asciiTheme="majorHAnsi" w:eastAsia="Arial" w:hAnsiTheme="majorHAnsi" w:cstheme="majorHAnsi"/>
          <w:color w:val="000000" w:themeColor="text1"/>
          <w:lang w:val="en-GB"/>
        </w:rPr>
      </w:pPr>
    </w:p>
    <w:p w14:paraId="0402DE7C" w14:textId="63FE513C" w:rsidR="00985CC4" w:rsidRPr="00F96DB8" w:rsidRDefault="00004DC7" w:rsidP="00983528">
      <w:pPr>
        <w:spacing w:after="0" w:line="360" w:lineRule="auto"/>
        <w:contextualSpacing/>
        <w:jc w:val="center"/>
        <w:rPr>
          <w:rFonts w:asciiTheme="majorHAnsi" w:eastAsia="Arial" w:hAnsiTheme="majorHAnsi" w:cstheme="majorHAnsi"/>
          <w:color w:val="000000" w:themeColor="text1"/>
          <w:lang w:val="en-GB"/>
        </w:rPr>
      </w:pPr>
      <m:oMathPara>
        <m:oMath>
          <m:r>
            <m:rPr>
              <m:sty m:val="p"/>
            </m:rPr>
            <w:rPr>
              <w:rFonts w:ascii="Cambria Math" w:eastAsia="Arial" w:hAnsi="Cambria Math" w:cstheme="majorHAnsi"/>
              <w:color w:val="000000" w:themeColor="text1"/>
              <w:lang w:val="en-GB"/>
            </w:rPr>
            <m:t>Var</m:t>
          </m:r>
          <m:d>
            <m:dPr>
              <m:ctrlPr>
                <w:rPr>
                  <w:rFonts w:ascii="Cambria Math" w:eastAsia="Arial" w:hAnsi="Cambria Math" w:cstheme="majorHAnsi"/>
                  <w:i/>
                  <w:color w:val="000000" w:themeColor="text1"/>
                  <w:lang w:val="en-GB"/>
                </w:rPr>
              </m:ctrlPr>
            </m:dPr>
            <m:e>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i</m:t>
                  </m:r>
                </m:sub>
              </m:sSub>
            </m:e>
          </m:d>
          <m:r>
            <w:rPr>
              <w:rFonts w:ascii="Cambria Math" w:eastAsia="Arial" w:hAnsi="Cambria Math" w:cstheme="majorHAnsi"/>
              <w:color w:val="000000" w:themeColor="text1"/>
              <w:lang w:val="en-GB"/>
            </w:rPr>
            <m:t>=</m:t>
          </m:r>
          <m:sSup>
            <m:sSupPr>
              <m:ctrlPr>
                <w:rPr>
                  <w:rFonts w:ascii="Cambria Math" w:eastAsia="Arial" w:hAnsi="Cambria Math" w:cstheme="majorHAnsi"/>
                  <w:i/>
                  <w:color w:val="000000" w:themeColor="text1"/>
                  <w:lang w:val="en-GB"/>
                </w:rPr>
              </m:ctrlPr>
            </m:sSupPr>
            <m:e>
              <m:d>
                <m:dPr>
                  <m:ctrlPr>
                    <w:rPr>
                      <w:rFonts w:ascii="Cambria Math" w:eastAsia="Arial" w:hAnsi="Cambria Math" w:cstheme="majorHAnsi"/>
                      <w:i/>
                      <w:color w:val="000000" w:themeColor="text1"/>
                      <w:lang w:val="en-GB"/>
                    </w:rPr>
                  </m:ctrlPr>
                </m:dPr>
                <m:e>
                  <m:f>
                    <m:fPr>
                      <m:ctrlPr>
                        <w:rPr>
                          <w:rFonts w:ascii="Cambria Math" w:eastAsia="Arial" w:hAnsi="Cambria Math" w:cstheme="majorHAnsi"/>
                          <w:i/>
                          <w:color w:val="000000" w:themeColor="text1"/>
                          <w:lang w:val="en-GB"/>
                        </w:rPr>
                      </m:ctrlPr>
                    </m:fPr>
                    <m:num>
                      <m:r>
                        <m:rPr>
                          <m:sty m:val="p"/>
                        </m:rPr>
                        <w:rPr>
                          <w:rFonts w:ascii="Cambria Math" w:eastAsia="Arial" w:hAnsi="Cambria Math" w:cstheme="majorHAnsi"/>
                          <w:color w:val="000000" w:themeColor="text1"/>
                          <w:lang w:val="en-GB"/>
                        </w:rPr>
                        <m:t>MOE</m:t>
                      </m:r>
                      <m:d>
                        <m:dPr>
                          <m:ctrlPr>
                            <w:rPr>
                              <w:rFonts w:ascii="Cambria Math" w:eastAsia="Arial" w:hAnsi="Cambria Math" w:cstheme="majorHAnsi"/>
                              <w:i/>
                              <w:color w:val="000000" w:themeColor="text1"/>
                              <w:lang w:val="en-GB"/>
                            </w:rPr>
                          </m:ctrlPr>
                        </m:dPr>
                        <m:e>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i</m:t>
                              </m:r>
                            </m:sub>
                          </m:sSub>
                        </m:e>
                      </m:d>
                    </m:num>
                    <m:den>
                      <m:r>
                        <w:rPr>
                          <w:rFonts w:ascii="Cambria Math" w:eastAsia="Arial" w:hAnsi="Cambria Math" w:cstheme="majorHAnsi"/>
                          <w:color w:val="000000" w:themeColor="text1"/>
                          <w:lang w:val="en-GB"/>
                        </w:rPr>
                        <m:t>1.645</m:t>
                      </m:r>
                    </m:den>
                  </m:f>
                </m:e>
              </m:d>
            </m:e>
            <m:sup>
              <m:r>
                <w:rPr>
                  <w:rFonts w:ascii="Cambria Math" w:eastAsia="Arial" w:hAnsi="Cambria Math" w:cstheme="majorHAnsi"/>
                  <w:color w:val="000000" w:themeColor="text1"/>
                  <w:lang w:val="en-GB"/>
                </w:rPr>
                <m:t>2</m:t>
              </m:r>
            </m:sup>
          </m:sSup>
        </m:oMath>
      </m:oMathPara>
    </w:p>
    <w:p w14:paraId="44D1B336" w14:textId="77777777" w:rsidR="00622388" w:rsidRPr="00F96DB8" w:rsidRDefault="00622388" w:rsidP="00B73913">
      <w:pPr>
        <w:spacing w:after="0" w:line="360" w:lineRule="auto"/>
        <w:contextualSpacing/>
        <w:rPr>
          <w:rFonts w:asciiTheme="majorHAnsi" w:eastAsia="Arial" w:hAnsiTheme="majorHAnsi" w:cstheme="majorHAnsi"/>
          <w:color w:val="000000" w:themeColor="text1"/>
          <w:lang w:val="en-GB"/>
        </w:rPr>
      </w:pPr>
    </w:p>
    <w:p w14:paraId="3143EA29" w14:textId="36CF131C" w:rsidR="00B73913" w:rsidRPr="00F96DB8" w:rsidRDefault="00B73913" w:rsidP="00B73913">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 xml:space="preserve">where </w:t>
      </w: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i</m:t>
            </m:r>
          </m:sub>
        </m:sSub>
      </m:oMath>
      <w:r w:rsidRPr="00F96DB8">
        <w:rPr>
          <w:rFonts w:asciiTheme="majorHAnsi" w:eastAsia="Arial" w:hAnsiTheme="majorHAnsi" w:cstheme="majorHAnsi"/>
          <w:color w:val="000000" w:themeColor="text1"/>
          <w:lang w:val="en-GB"/>
        </w:rPr>
        <w:t xml:space="preserve"> is the</w:t>
      </w:r>
      <w:r w:rsidR="00BD4E8B" w:rsidRPr="00F96DB8">
        <w:rPr>
          <w:rFonts w:asciiTheme="majorHAnsi" w:eastAsia="Arial" w:hAnsiTheme="majorHAnsi" w:cstheme="majorHAnsi"/>
          <w:color w:val="000000" w:themeColor="text1"/>
          <w:lang w:val="en-GB"/>
        </w:rPr>
        <w:t xml:space="preserve"> </w:t>
      </w:r>
      <w:r w:rsidR="00582ACC" w:rsidRPr="00F96DB8">
        <w:rPr>
          <w:rFonts w:asciiTheme="majorHAnsi" w:eastAsia="Arial" w:hAnsiTheme="majorHAnsi" w:cstheme="majorHAnsi"/>
          <w:color w:val="000000" w:themeColor="text1"/>
          <w:lang w:val="en-GB"/>
        </w:rPr>
        <w:t xml:space="preserve">reported </w:t>
      </w:r>
      <w:r w:rsidRPr="00F96DB8">
        <w:rPr>
          <w:rFonts w:asciiTheme="majorHAnsi" w:eastAsia="Arial" w:hAnsiTheme="majorHAnsi" w:cstheme="majorHAnsi"/>
          <w:color w:val="000000" w:themeColor="text1"/>
          <w:lang w:val="en-GB"/>
        </w:rPr>
        <w:t xml:space="preserve">estimate for group </w:t>
      </w:r>
      <m:oMath>
        <m:r>
          <w:rPr>
            <w:rFonts w:ascii="Cambria Math" w:eastAsia="Arial" w:hAnsi="Cambria Math" w:cstheme="majorHAnsi"/>
            <w:color w:val="000000" w:themeColor="text1"/>
            <w:lang w:val="en-GB"/>
          </w:rPr>
          <m:t>i</m:t>
        </m:r>
      </m:oMath>
      <w:r w:rsidRPr="00F96DB8">
        <w:rPr>
          <w:rFonts w:asciiTheme="majorHAnsi" w:eastAsia="Arial" w:hAnsiTheme="majorHAnsi" w:cstheme="majorHAnsi"/>
          <w:color w:val="000000" w:themeColor="text1"/>
          <w:lang w:val="en-GB"/>
        </w:rPr>
        <w:t>. A</w:t>
      </w:r>
      <w:r w:rsidR="00582ACC" w:rsidRPr="00F96DB8">
        <w:rPr>
          <w:rFonts w:asciiTheme="majorHAnsi" w:eastAsia="Arial" w:hAnsiTheme="majorHAnsi" w:cstheme="majorHAnsi"/>
          <w:color w:val="000000" w:themeColor="text1"/>
          <w:lang w:val="en-GB"/>
        </w:rPr>
        <w:t>lso following</w:t>
      </w:r>
      <w:r w:rsidRPr="00F96DB8">
        <w:rPr>
          <w:rFonts w:asciiTheme="majorHAnsi" w:eastAsia="Arial" w:hAnsiTheme="majorHAnsi" w:cstheme="majorHAnsi"/>
          <w:color w:val="000000" w:themeColor="text1"/>
          <w:lang w:val="en-GB"/>
        </w:rPr>
        <w:t xml:space="preserve"> Census guidance, variances for merged geographic and demographic entities were calculated as the sum of the variances over component groups, assuming independence:</w:t>
      </w:r>
    </w:p>
    <w:p w14:paraId="2E7F43BD" w14:textId="77777777" w:rsidR="00B73913" w:rsidRPr="00F96DB8" w:rsidRDefault="00B73913" w:rsidP="00983528">
      <w:pPr>
        <w:spacing w:after="0" w:line="360" w:lineRule="auto"/>
        <w:contextualSpacing/>
        <w:jc w:val="center"/>
        <w:rPr>
          <w:rFonts w:asciiTheme="majorHAnsi" w:eastAsia="Arial" w:hAnsiTheme="majorHAnsi" w:cstheme="majorHAnsi"/>
          <w:color w:val="000000" w:themeColor="text1"/>
          <w:lang w:val="en-GB"/>
        </w:rPr>
      </w:pPr>
    </w:p>
    <w:p w14:paraId="7D1DE78D" w14:textId="77A832C6" w:rsidR="00985CC4" w:rsidRPr="00F96DB8" w:rsidRDefault="006945F1" w:rsidP="00983528">
      <w:pPr>
        <w:spacing w:after="0" w:line="360" w:lineRule="auto"/>
        <w:contextualSpacing/>
        <w:jc w:val="center"/>
        <w:rPr>
          <w:rFonts w:asciiTheme="majorHAnsi" w:eastAsia="Arial" w:hAnsiTheme="majorHAnsi" w:cstheme="majorHAnsi"/>
          <w:color w:val="000000" w:themeColor="text1"/>
          <w:lang w:val="en-GB"/>
        </w:rPr>
      </w:pPr>
      <m:oMathPara>
        <m:oMath>
          <m:r>
            <m:rPr>
              <m:sty m:val="p"/>
            </m:rPr>
            <w:rPr>
              <w:rFonts w:ascii="Cambria Math" w:eastAsia="Arial" w:hAnsi="Cambria Math" w:cstheme="majorHAnsi"/>
              <w:color w:val="000000" w:themeColor="text1"/>
              <w:lang w:val="en-GB"/>
            </w:rPr>
            <m:t>Var</m:t>
          </m:r>
          <m:d>
            <m:dPr>
              <m:ctrlPr>
                <w:rPr>
                  <w:rFonts w:ascii="Cambria Math" w:eastAsia="Arial" w:hAnsi="Cambria Math" w:cstheme="majorHAnsi"/>
                  <w:i/>
                  <w:color w:val="000000" w:themeColor="text1"/>
                  <w:lang w:val="en-GB"/>
                </w:rPr>
              </m:ctrlPr>
            </m:dPr>
            <m:e>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1</m:t>
                  </m:r>
                </m:sub>
              </m:sSub>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2</m:t>
                  </m:r>
                </m:sub>
              </m:sSub>
            </m:e>
          </m:d>
          <m:r>
            <w:rPr>
              <w:rFonts w:ascii="Cambria Math" w:eastAsia="Arial" w:hAnsi="Cambria Math" w:cstheme="majorHAnsi"/>
              <w:color w:val="000000" w:themeColor="text1"/>
              <w:lang w:val="en-GB"/>
            </w:rPr>
            <m:t>=</m:t>
          </m:r>
          <m:r>
            <m:rPr>
              <m:sty m:val="p"/>
            </m:rPr>
            <w:rPr>
              <w:rFonts w:ascii="Cambria Math" w:eastAsia="Arial" w:hAnsi="Cambria Math" w:cstheme="majorHAnsi"/>
              <w:color w:val="000000" w:themeColor="text1"/>
              <w:lang w:val="en-GB"/>
            </w:rPr>
            <m:t>Var</m:t>
          </m:r>
          <m:d>
            <m:dPr>
              <m:ctrlPr>
                <w:rPr>
                  <w:rFonts w:ascii="Cambria Math" w:eastAsia="Arial" w:hAnsi="Cambria Math" w:cstheme="majorHAnsi"/>
                  <w:i/>
                  <w:color w:val="000000" w:themeColor="text1"/>
                  <w:lang w:val="en-GB"/>
                </w:rPr>
              </m:ctrlPr>
            </m:dPr>
            <m:e>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1</m:t>
                  </m:r>
                </m:sub>
              </m:sSub>
            </m:e>
          </m:d>
          <m:r>
            <w:rPr>
              <w:rFonts w:ascii="Cambria Math" w:eastAsia="Arial" w:hAnsi="Cambria Math" w:cstheme="majorHAnsi"/>
              <w:color w:val="000000" w:themeColor="text1"/>
              <w:lang w:val="en-GB"/>
            </w:rPr>
            <m:t>+</m:t>
          </m:r>
          <m:r>
            <m:rPr>
              <m:sty m:val="p"/>
            </m:rPr>
            <w:rPr>
              <w:rFonts w:ascii="Cambria Math" w:eastAsia="Arial" w:hAnsi="Cambria Math" w:cstheme="majorHAnsi"/>
              <w:color w:val="000000" w:themeColor="text1"/>
              <w:lang w:val="en-GB"/>
            </w:rPr>
            <m:t>Var</m:t>
          </m:r>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X</m:t>
              </m:r>
            </m:e>
            <m:sub>
              <m:r>
                <w:rPr>
                  <w:rFonts w:ascii="Cambria Math" w:eastAsia="Arial" w:hAnsi="Cambria Math" w:cstheme="majorHAnsi"/>
                  <w:color w:val="000000" w:themeColor="text1"/>
                  <w:lang w:val="en-GB"/>
                </w:rPr>
                <m:t>2</m:t>
              </m:r>
            </m:sub>
          </m:sSub>
          <m:r>
            <w:rPr>
              <w:rFonts w:ascii="Cambria Math" w:eastAsia="Arial" w:hAnsi="Cambria Math" w:cstheme="majorHAnsi"/>
              <w:color w:val="000000" w:themeColor="text1"/>
              <w:lang w:val="en-GB"/>
            </w:rPr>
            <m:t>)</m:t>
          </m:r>
        </m:oMath>
      </m:oMathPara>
    </w:p>
    <w:p w14:paraId="71512217" w14:textId="77777777" w:rsidR="00391DDA" w:rsidRPr="00F96DB8" w:rsidRDefault="00391DDA" w:rsidP="00983528">
      <w:pPr>
        <w:spacing w:after="0" w:line="360" w:lineRule="auto"/>
        <w:contextualSpacing/>
        <w:jc w:val="both"/>
        <w:rPr>
          <w:rFonts w:asciiTheme="majorHAnsi" w:eastAsia="Arial" w:hAnsiTheme="majorHAnsi" w:cstheme="majorHAnsi"/>
          <w:color w:val="000000" w:themeColor="text1"/>
          <w:lang w:val="en-GB"/>
        </w:rPr>
      </w:pPr>
    </w:p>
    <w:p w14:paraId="36E06557" w14:textId="7A8D1F07" w:rsidR="00404C4B" w:rsidRPr="00F96DB8" w:rsidRDefault="00981586" w:rsidP="00942DAF">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As t</w:t>
      </w:r>
      <w:r w:rsidR="00CC25D6" w:rsidRPr="00F96DB8">
        <w:rPr>
          <w:rFonts w:asciiTheme="majorHAnsi" w:eastAsia="Arial" w:hAnsiTheme="majorHAnsi" w:cstheme="majorHAnsi"/>
          <w:color w:val="000000" w:themeColor="text1"/>
          <w:lang w:val="en-GB"/>
        </w:rPr>
        <w:t xml:space="preserve">he ACS and decennial </w:t>
      </w:r>
      <w:r w:rsidR="00C15392" w:rsidRPr="00F96DB8">
        <w:rPr>
          <w:rFonts w:asciiTheme="majorHAnsi" w:eastAsia="Arial" w:hAnsiTheme="majorHAnsi" w:cstheme="majorHAnsi"/>
          <w:color w:val="000000" w:themeColor="text1"/>
          <w:lang w:val="en-GB"/>
        </w:rPr>
        <w:t>c</w:t>
      </w:r>
      <w:r w:rsidR="00CC25D6" w:rsidRPr="00F96DB8">
        <w:rPr>
          <w:rFonts w:asciiTheme="majorHAnsi" w:eastAsia="Arial" w:hAnsiTheme="majorHAnsi" w:cstheme="majorHAnsi"/>
          <w:color w:val="000000" w:themeColor="text1"/>
          <w:lang w:val="en-GB"/>
        </w:rPr>
        <w:t>ensus data were derived from population samples but are reported as values scaled to total population sizes, their effective sample sizes were estimated to appropriately scale sampling variance in the imputation model</w:t>
      </w:r>
      <w:r w:rsidR="00657BB4" w:rsidRPr="00F96DB8">
        <w:rPr>
          <w:rFonts w:asciiTheme="majorHAnsi" w:eastAsia="Arial" w:hAnsiTheme="majorHAnsi" w:cstheme="majorHAnsi"/>
          <w:color w:val="000000" w:themeColor="text1"/>
          <w:lang w:val="en-GB"/>
        </w:rPr>
        <w:t>s</w:t>
      </w:r>
      <w:r w:rsidR="007C27C6" w:rsidRPr="00F96DB8">
        <w:rPr>
          <w:rFonts w:asciiTheme="majorHAnsi" w:eastAsia="Arial" w:hAnsiTheme="majorHAnsi" w:cstheme="majorHAnsi"/>
          <w:color w:val="000000" w:themeColor="text1"/>
          <w:lang w:val="en-GB"/>
        </w:rPr>
        <w:t xml:space="preserve">, using a three-pronged strategy. </w:t>
      </w:r>
      <w:r w:rsidR="00F65B02" w:rsidRPr="00F96DB8">
        <w:rPr>
          <w:rFonts w:asciiTheme="majorHAnsi" w:eastAsia="Arial" w:hAnsiTheme="majorHAnsi" w:cstheme="majorHAnsi"/>
          <w:color w:val="000000" w:themeColor="text1"/>
          <w:lang w:val="en-GB"/>
        </w:rPr>
        <w:t xml:space="preserve">The </w:t>
      </w:r>
      <w:r w:rsidR="00C67546" w:rsidRPr="00F96DB8">
        <w:rPr>
          <w:rFonts w:asciiTheme="majorHAnsi" w:eastAsia="Arial" w:hAnsiTheme="majorHAnsi" w:cstheme="majorHAnsi"/>
          <w:color w:val="000000" w:themeColor="text1"/>
          <w:lang w:val="en-GB"/>
        </w:rPr>
        <w:t xml:space="preserve">long-form </w:t>
      </w:r>
      <w:r w:rsidR="00F65B02" w:rsidRPr="00F96DB8">
        <w:rPr>
          <w:rFonts w:asciiTheme="majorHAnsi" w:eastAsia="Arial" w:hAnsiTheme="majorHAnsi" w:cstheme="majorHAnsi"/>
          <w:color w:val="000000" w:themeColor="text1"/>
          <w:lang w:val="en-GB"/>
        </w:rPr>
        <w:t xml:space="preserve">decennial </w:t>
      </w:r>
      <w:r w:rsidR="00C525DC" w:rsidRPr="00F96DB8">
        <w:rPr>
          <w:rFonts w:asciiTheme="majorHAnsi" w:eastAsia="Arial" w:hAnsiTheme="majorHAnsi" w:cstheme="majorHAnsi"/>
          <w:color w:val="000000" w:themeColor="text1"/>
          <w:lang w:val="en-GB"/>
        </w:rPr>
        <w:t>c</w:t>
      </w:r>
      <w:r w:rsidR="00F65B02" w:rsidRPr="00F96DB8">
        <w:rPr>
          <w:rFonts w:asciiTheme="majorHAnsi" w:eastAsia="Arial" w:hAnsiTheme="majorHAnsi" w:cstheme="majorHAnsi"/>
          <w:color w:val="000000" w:themeColor="text1"/>
          <w:lang w:val="en-GB"/>
        </w:rPr>
        <w:t>ensus</w:t>
      </w:r>
      <w:r w:rsidR="00C67546" w:rsidRPr="00F96DB8">
        <w:rPr>
          <w:rFonts w:asciiTheme="majorHAnsi" w:eastAsia="Arial" w:hAnsiTheme="majorHAnsi" w:cstheme="majorHAnsi"/>
          <w:color w:val="000000" w:themeColor="text1"/>
          <w:lang w:val="en-GB"/>
        </w:rPr>
        <w:t xml:space="preserve"> questionnaires in 1990 and 2000, </w:t>
      </w:r>
      <w:r w:rsidR="00D95023" w:rsidRPr="00F96DB8">
        <w:rPr>
          <w:rFonts w:asciiTheme="majorHAnsi" w:eastAsia="Arial" w:hAnsiTheme="majorHAnsi" w:cstheme="majorHAnsi"/>
          <w:color w:val="000000" w:themeColor="text1"/>
          <w:lang w:val="en-GB"/>
        </w:rPr>
        <w:t xml:space="preserve">from which </w:t>
      </w:r>
      <w:r w:rsidR="00F83096" w:rsidRPr="00F96DB8">
        <w:rPr>
          <w:rFonts w:asciiTheme="majorHAnsi" w:eastAsia="Arial" w:hAnsiTheme="majorHAnsi" w:cstheme="majorHAnsi"/>
          <w:color w:val="000000" w:themeColor="text1"/>
          <w:lang w:val="en-GB"/>
        </w:rPr>
        <w:t>the education, poverty, and</w:t>
      </w:r>
      <w:r w:rsidR="00EF2ED8" w:rsidRPr="00F96DB8">
        <w:rPr>
          <w:rFonts w:asciiTheme="majorHAnsi" w:eastAsia="Arial" w:hAnsiTheme="majorHAnsi" w:cstheme="majorHAnsi"/>
          <w:color w:val="000000" w:themeColor="text1"/>
          <w:lang w:val="en-GB"/>
        </w:rPr>
        <w:t xml:space="preserve"> foreign-born data were derived for those years, were collected from a 20% and 17% population sample, respectively</w:t>
      </w:r>
      <w:r w:rsidR="00AF78B2"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{"citationID":"xPAcOFD1","properties":{"formattedCitation":"\\super 11\\nosupersub{}","plainCitation":"11","noteIndex":0},"citationItems":[{"id":"wdkIiMrh/8KSt0UtD","uris":["http://zotero.org/users/5216175/items/C7RSFJL8"],"itemData":{"id":3082,"type":"webpage","abstract":"A brief history of each decennial census from 1790 to 2010.","language":"EN-US","title":"Overview - History - U.S. Census Bureau","URL":"https://www.census.gov/history/www/through_the_decades/overview/","author":[{"family":"US Census Bureau","given":"Census History Staff"}],"accessed":{"date-parts":[["2022",7,1]]}}}],"schema":"https://github.com/citation-style-language/schema/raw/master/csl-citation.json"} </w:instrText>
      </w:r>
      <w:r w:rsidR="00AF78B2"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11</w:t>
      </w:r>
      <w:r w:rsidR="00AF78B2" w:rsidRPr="00F96DB8">
        <w:rPr>
          <w:rFonts w:asciiTheme="majorHAnsi" w:eastAsia="Arial" w:hAnsiTheme="majorHAnsi" w:cstheme="majorHAnsi"/>
          <w:color w:val="000000" w:themeColor="text1"/>
          <w:lang w:val="en-GB"/>
        </w:rPr>
        <w:fldChar w:fldCharType="end"/>
      </w:r>
      <w:r w:rsidR="003D6436" w:rsidRPr="00F96DB8">
        <w:rPr>
          <w:rFonts w:asciiTheme="majorHAnsi" w:eastAsia="Arial" w:hAnsiTheme="majorHAnsi" w:cstheme="majorHAnsi"/>
          <w:color w:val="000000" w:themeColor="text1"/>
          <w:lang w:val="en-GB"/>
        </w:rPr>
        <w:t>.</w:t>
      </w:r>
      <w:r w:rsidR="002155CB" w:rsidRPr="00F96DB8">
        <w:rPr>
          <w:rFonts w:asciiTheme="majorHAnsi" w:eastAsia="Arial" w:hAnsiTheme="majorHAnsi" w:cstheme="majorHAnsi"/>
          <w:color w:val="000000" w:themeColor="text1"/>
          <w:lang w:val="en-GB"/>
        </w:rPr>
        <w:t xml:space="preserve"> </w:t>
      </w:r>
      <w:r w:rsidR="003D6436" w:rsidRPr="00F96DB8">
        <w:rPr>
          <w:rFonts w:asciiTheme="majorHAnsi" w:eastAsia="Arial" w:hAnsiTheme="majorHAnsi" w:cstheme="majorHAnsi"/>
          <w:color w:val="000000" w:themeColor="text1"/>
          <w:lang w:val="en-GB"/>
        </w:rPr>
        <w:t>E</w:t>
      </w:r>
      <w:r w:rsidR="002155CB" w:rsidRPr="00F96DB8">
        <w:rPr>
          <w:rFonts w:asciiTheme="majorHAnsi" w:eastAsia="Arial" w:hAnsiTheme="majorHAnsi" w:cstheme="majorHAnsi"/>
          <w:color w:val="000000" w:themeColor="text1"/>
          <w:lang w:val="en-GB"/>
        </w:rPr>
        <w:t xml:space="preserve">ffective sample sizes were therefore assumed to </w:t>
      </w:r>
      <w:r w:rsidR="00C05DC2" w:rsidRPr="00F96DB8">
        <w:rPr>
          <w:rFonts w:asciiTheme="majorHAnsi" w:eastAsia="Arial" w:hAnsiTheme="majorHAnsi" w:cstheme="majorHAnsi"/>
          <w:color w:val="000000" w:themeColor="text1"/>
          <w:lang w:val="en-GB"/>
        </w:rPr>
        <w:t xml:space="preserve">be </w:t>
      </w:r>
      <w:r w:rsidR="00502641" w:rsidRPr="00F96DB8">
        <w:rPr>
          <w:rFonts w:asciiTheme="majorHAnsi" w:eastAsia="Arial" w:hAnsiTheme="majorHAnsi" w:cstheme="majorHAnsi"/>
          <w:color w:val="000000" w:themeColor="text1"/>
          <w:lang w:val="en-GB"/>
        </w:rPr>
        <w:t xml:space="preserve">20% or 17% of the </w:t>
      </w:r>
      <w:r w:rsidR="00A365C9" w:rsidRPr="00F96DB8">
        <w:rPr>
          <w:rFonts w:asciiTheme="majorHAnsi" w:eastAsia="Arial" w:hAnsiTheme="majorHAnsi" w:cstheme="majorHAnsi"/>
          <w:color w:val="000000" w:themeColor="text1"/>
          <w:lang w:val="en-GB"/>
        </w:rPr>
        <w:t xml:space="preserve">total </w:t>
      </w:r>
      <w:r w:rsidR="00A65D0F" w:rsidRPr="00F96DB8">
        <w:rPr>
          <w:rFonts w:asciiTheme="majorHAnsi" w:eastAsia="Arial" w:hAnsiTheme="majorHAnsi" w:cstheme="majorHAnsi"/>
          <w:color w:val="000000" w:themeColor="text1"/>
          <w:lang w:val="en-GB"/>
        </w:rPr>
        <w:t>population for each county</w:t>
      </w:r>
      <w:r w:rsidR="00F775D3" w:rsidRPr="00F96DB8">
        <w:rPr>
          <w:rFonts w:asciiTheme="majorHAnsi" w:eastAsia="Arial" w:hAnsiTheme="majorHAnsi" w:cstheme="majorHAnsi"/>
          <w:color w:val="000000" w:themeColor="text1"/>
          <w:lang w:val="en-GB"/>
        </w:rPr>
        <w:t xml:space="preserve">, </w:t>
      </w:r>
      <w:r w:rsidR="00A65D0F" w:rsidRPr="00F96DB8">
        <w:rPr>
          <w:rFonts w:asciiTheme="majorHAnsi" w:eastAsia="Arial" w:hAnsiTheme="majorHAnsi" w:cstheme="majorHAnsi"/>
          <w:color w:val="000000" w:themeColor="text1"/>
          <w:lang w:val="en-GB"/>
        </w:rPr>
        <w:t>year</w:t>
      </w:r>
      <w:r w:rsidR="000549D7" w:rsidRPr="00F96DB8">
        <w:rPr>
          <w:rFonts w:asciiTheme="majorHAnsi" w:eastAsia="Arial" w:hAnsiTheme="majorHAnsi" w:cstheme="majorHAnsi"/>
          <w:color w:val="000000" w:themeColor="text1"/>
          <w:lang w:val="en-GB"/>
        </w:rPr>
        <w:t xml:space="preserve">, and </w:t>
      </w:r>
      <w:r w:rsidR="00B377DA" w:rsidRPr="00F96DB8">
        <w:rPr>
          <w:rFonts w:asciiTheme="majorHAnsi" w:eastAsia="Arial" w:hAnsiTheme="majorHAnsi" w:cstheme="majorHAnsi"/>
          <w:color w:val="000000" w:themeColor="text1"/>
          <w:lang w:val="en-GB"/>
        </w:rPr>
        <w:t>racial</w:t>
      </w:r>
      <w:r w:rsidR="000549D7" w:rsidRPr="00F96DB8">
        <w:rPr>
          <w:rFonts w:asciiTheme="majorHAnsi" w:eastAsia="Arial" w:hAnsiTheme="majorHAnsi" w:cstheme="majorHAnsi"/>
          <w:color w:val="000000" w:themeColor="text1"/>
          <w:lang w:val="en-GB"/>
        </w:rPr>
        <w:t xml:space="preserve"> and </w:t>
      </w:r>
      <w:r w:rsidR="00B377DA" w:rsidRPr="00F96DB8">
        <w:rPr>
          <w:rFonts w:asciiTheme="majorHAnsi" w:eastAsia="Arial" w:hAnsiTheme="majorHAnsi" w:cstheme="majorHAnsi"/>
          <w:color w:val="000000" w:themeColor="text1"/>
          <w:lang w:val="en-GB"/>
        </w:rPr>
        <w:t xml:space="preserve">ethnic </w:t>
      </w:r>
      <w:r w:rsidR="000549D7" w:rsidRPr="00F96DB8">
        <w:rPr>
          <w:rFonts w:asciiTheme="majorHAnsi" w:eastAsia="Arial" w:hAnsiTheme="majorHAnsi" w:cstheme="majorHAnsi"/>
          <w:color w:val="000000" w:themeColor="text1"/>
          <w:lang w:val="en-GB"/>
        </w:rPr>
        <w:t>population</w:t>
      </w:r>
      <w:r w:rsidR="00A65D0F" w:rsidRPr="00F96DB8">
        <w:rPr>
          <w:rFonts w:asciiTheme="majorHAnsi" w:eastAsia="Arial" w:hAnsiTheme="majorHAnsi" w:cstheme="majorHAnsi"/>
          <w:color w:val="000000" w:themeColor="text1"/>
          <w:lang w:val="en-GB"/>
        </w:rPr>
        <w:t xml:space="preserve"> </w:t>
      </w:r>
      <w:r w:rsidR="00F775D3" w:rsidRPr="00F96DB8">
        <w:rPr>
          <w:rFonts w:asciiTheme="majorHAnsi" w:eastAsia="Arial" w:hAnsiTheme="majorHAnsi" w:cstheme="majorHAnsi"/>
          <w:color w:val="000000" w:themeColor="text1"/>
          <w:lang w:val="en-GB"/>
        </w:rPr>
        <w:t>combination</w:t>
      </w:r>
      <w:r w:rsidR="00985CC4" w:rsidRPr="00F96DB8">
        <w:rPr>
          <w:rFonts w:asciiTheme="majorHAnsi" w:eastAsia="Arial" w:hAnsiTheme="majorHAnsi" w:cstheme="majorHAnsi"/>
          <w:color w:val="000000" w:themeColor="text1"/>
          <w:lang w:val="en-GB"/>
        </w:rPr>
        <w:t xml:space="preserve"> in 1990 and 2000, respectively</w:t>
      </w:r>
      <w:r w:rsidR="00EF2ED8" w:rsidRPr="00F96DB8">
        <w:rPr>
          <w:rFonts w:asciiTheme="majorHAnsi" w:eastAsia="Arial" w:hAnsiTheme="majorHAnsi" w:cstheme="majorHAnsi"/>
          <w:color w:val="000000" w:themeColor="text1"/>
          <w:lang w:val="en-GB"/>
        </w:rPr>
        <w:t>.</w:t>
      </w:r>
    </w:p>
    <w:p w14:paraId="7C5B6D9A" w14:textId="77777777" w:rsidR="00533747" w:rsidRPr="00F96DB8" w:rsidRDefault="00533747" w:rsidP="00983528">
      <w:pPr>
        <w:spacing w:after="0" w:line="360" w:lineRule="auto"/>
        <w:contextualSpacing/>
        <w:rPr>
          <w:rFonts w:asciiTheme="majorHAnsi" w:eastAsia="Arial" w:hAnsiTheme="majorHAnsi" w:cstheme="majorHAnsi"/>
          <w:color w:val="000000" w:themeColor="text1"/>
          <w:lang w:val="en-GB"/>
        </w:rPr>
      </w:pPr>
    </w:p>
    <w:p w14:paraId="7B228126" w14:textId="00CD7A84" w:rsidR="008622FC" w:rsidRPr="00F96DB8" w:rsidRDefault="009D7CBE" w:rsidP="00942DAF">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lastRenderedPageBreak/>
        <w:t xml:space="preserve">Effective sample sizes for ACS data, </w:t>
      </w:r>
      <w:r w:rsidR="00955C39" w:rsidRPr="00F96DB8">
        <w:rPr>
          <w:rFonts w:asciiTheme="majorHAnsi" w:eastAsia="Arial" w:hAnsiTheme="majorHAnsi" w:cstheme="majorHAnsi"/>
          <w:color w:val="000000" w:themeColor="text1"/>
          <w:lang w:val="en-GB"/>
        </w:rPr>
        <w:t xml:space="preserve">for which variances were calculated as above, were estimated </w:t>
      </w:r>
      <w:r w:rsidR="00A153F2" w:rsidRPr="00F96DB8">
        <w:rPr>
          <w:rFonts w:asciiTheme="majorHAnsi" w:eastAsia="Arial" w:hAnsiTheme="majorHAnsi" w:cstheme="majorHAnsi"/>
          <w:color w:val="000000" w:themeColor="text1"/>
          <w:lang w:val="en-GB"/>
        </w:rPr>
        <w:t>by</w:t>
      </w:r>
      <w:r w:rsidR="00955C39" w:rsidRPr="00F96DB8">
        <w:rPr>
          <w:rFonts w:asciiTheme="majorHAnsi" w:eastAsia="Arial" w:hAnsiTheme="majorHAnsi" w:cstheme="majorHAnsi"/>
          <w:color w:val="000000" w:themeColor="text1"/>
          <w:lang w:val="en-GB"/>
        </w:rPr>
        <w:t xml:space="preserve"> the relationship between </w:t>
      </w:r>
      <w:r w:rsidR="00FE1F50" w:rsidRPr="00F96DB8">
        <w:rPr>
          <w:rFonts w:asciiTheme="majorHAnsi" w:eastAsia="Arial" w:hAnsiTheme="majorHAnsi" w:cstheme="majorHAnsi"/>
          <w:color w:val="000000" w:themeColor="text1"/>
          <w:lang w:val="en-GB"/>
        </w:rPr>
        <w:t>e</w:t>
      </w:r>
      <w:r w:rsidR="00823446" w:rsidRPr="00F96DB8">
        <w:rPr>
          <w:rFonts w:asciiTheme="majorHAnsi" w:eastAsia="Arial" w:hAnsiTheme="majorHAnsi" w:cstheme="majorHAnsi"/>
          <w:color w:val="000000" w:themeColor="text1"/>
          <w:lang w:val="en-GB"/>
        </w:rPr>
        <w:t>ffecti</w:t>
      </w:r>
      <w:r w:rsidR="00AE01AD" w:rsidRPr="00F96DB8">
        <w:rPr>
          <w:rFonts w:asciiTheme="majorHAnsi" w:eastAsia="Arial" w:hAnsiTheme="majorHAnsi" w:cstheme="majorHAnsi"/>
          <w:color w:val="000000" w:themeColor="text1"/>
          <w:lang w:val="en-GB"/>
        </w:rPr>
        <w:t>v</w:t>
      </w:r>
      <w:r w:rsidR="00823446" w:rsidRPr="00F96DB8">
        <w:rPr>
          <w:rFonts w:asciiTheme="majorHAnsi" w:eastAsia="Arial" w:hAnsiTheme="majorHAnsi" w:cstheme="majorHAnsi"/>
          <w:color w:val="000000" w:themeColor="text1"/>
          <w:lang w:val="en-GB"/>
        </w:rPr>
        <w:t>e sample size</w:t>
      </w:r>
      <w:r w:rsidR="008622FC" w:rsidRPr="00F96DB8">
        <w:rPr>
          <w:rFonts w:asciiTheme="majorHAnsi" w:eastAsia="Arial" w:hAnsiTheme="majorHAnsi" w:cstheme="majorHAnsi"/>
          <w:color w:val="000000" w:themeColor="text1"/>
          <w:lang w:val="en-GB"/>
        </w:rPr>
        <w:t xml:space="preserve">, </w:t>
      </w:r>
      <m:oMath>
        <m:sSub>
          <m:sSubPr>
            <m:ctrlPr>
              <w:rPr>
                <w:rFonts w:ascii="Cambria Math" w:eastAsia="Arial" w:hAnsi="Cambria Math" w:cstheme="majorHAnsi"/>
                <w:i/>
                <w:color w:val="000000" w:themeColor="text1"/>
                <w:lang w:val="en-GB"/>
              </w:rPr>
            </m:ctrlPr>
          </m:sSubPr>
          <m:e>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n</m:t>
                </m:r>
              </m:e>
            </m:acc>
          </m:e>
          <m:sub>
            <m:r>
              <w:rPr>
                <w:rFonts w:ascii="Cambria Math" w:eastAsia="Arial" w:hAnsi="Cambria Math" w:cstheme="majorHAnsi"/>
                <w:color w:val="000000" w:themeColor="text1"/>
                <w:lang w:val="en-GB"/>
              </w:rPr>
              <m:t>eff</m:t>
            </m:r>
          </m:sub>
        </m:sSub>
      </m:oMath>
      <w:r w:rsidR="008622FC" w:rsidRPr="00F96DB8">
        <w:rPr>
          <w:rFonts w:asciiTheme="majorHAnsi" w:eastAsia="Arial" w:hAnsiTheme="majorHAnsi" w:cstheme="majorHAnsi"/>
          <w:color w:val="000000" w:themeColor="text1"/>
          <w:lang w:val="en-GB"/>
        </w:rPr>
        <w:t>,</w:t>
      </w:r>
      <w:r w:rsidR="00FE1F50" w:rsidRPr="00F96DB8">
        <w:rPr>
          <w:rFonts w:asciiTheme="majorHAnsi" w:eastAsia="Arial" w:hAnsiTheme="majorHAnsi" w:cstheme="majorHAnsi"/>
          <w:color w:val="000000" w:themeColor="text1"/>
          <w:lang w:val="en-GB"/>
        </w:rPr>
        <w:t xml:space="preserve"> estimates of the</w:t>
      </w:r>
      <w:r w:rsidR="00690A27" w:rsidRPr="00F96DB8">
        <w:rPr>
          <w:rFonts w:asciiTheme="majorHAnsi" w:eastAsia="Arial" w:hAnsiTheme="majorHAnsi" w:cstheme="majorHAnsi"/>
          <w:color w:val="000000" w:themeColor="text1"/>
          <w:lang w:val="en-GB"/>
        </w:rPr>
        <w:t xml:space="preserve"> population </w:t>
      </w:r>
      <w:r w:rsidR="00FE1F50" w:rsidRPr="00F96DB8">
        <w:rPr>
          <w:rFonts w:asciiTheme="majorHAnsi" w:eastAsia="Arial" w:hAnsiTheme="majorHAnsi" w:cstheme="majorHAnsi"/>
          <w:color w:val="000000" w:themeColor="text1"/>
          <w:lang w:val="en-GB"/>
        </w:rPr>
        <w:t xml:space="preserve">proportion, </w:t>
      </w:r>
      <m:oMath>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oMath>
      <w:r w:rsidR="00FE1F50" w:rsidRPr="00F96DB8">
        <w:rPr>
          <w:rFonts w:asciiTheme="majorHAnsi" w:eastAsia="Arial" w:hAnsiTheme="majorHAnsi" w:cstheme="majorHAnsi"/>
          <w:color w:val="000000" w:themeColor="text1"/>
          <w:lang w:val="en-GB"/>
        </w:rPr>
        <w:t xml:space="preserve">, and </w:t>
      </w:r>
      <w:r w:rsidR="00B44020" w:rsidRPr="00F96DB8">
        <w:rPr>
          <w:rFonts w:asciiTheme="majorHAnsi" w:eastAsia="Arial" w:hAnsiTheme="majorHAnsi" w:cstheme="majorHAnsi"/>
          <w:color w:val="000000" w:themeColor="text1"/>
          <w:lang w:val="en-GB"/>
        </w:rPr>
        <w:t xml:space="preserve">its </w:t>
      </w:r>
      <w:r w:rsidR="00F424DF" w:rsidRPr="00F96DB8">
        <w:rPr>
          <w:rFonts w:asciiTheme="majorHAnsi" w:eastAsia="Arial" w:hAnsiTheme="majorHAnsi" w:cstheme="majorHAnsi"/>
          <w:color w:val="000000" w:themeColor="text1"/>
          <w:lang w:val="en-GB"/>
        </w:rPr>
        <w:t>var</w:t>
      </w:r>
      <w:r w:rsidR="00A6565C" w:rsidRPr="00F96DB8">
        <w:rPr>
          <w:rFonts w:asciiTheme="majorHAnsi" w:eastAsia="Arial" w:hAnsiTheme="majorHAnsi" w:cstheme="majorHAnsi"/>
          <w:color w:val="000000" w:themeColor="text1"/>
          <w:lang w:val="en-GB"/>
        </w:rPr>
        <w:t>iance</w:t>
      </w:r>
      <w:r w:rsidR="00375D90" w:rsidRPr="00F96DB8">
        <w:rPr>
          <w:rFonts w:asciiTheme="majorHAnsi" w:eastAsia="Arial" w:hAnsiTheme="majorHAnsi" w:cstheme="majorHAnsi"/>
          <w:color w:val="000000" w:themeColor="text1"/>
          <w:lang w:val="en-GB"/>
        </w:rPr>
        <w:t xml:space="preserve">, </w:t>
      </w:r>
      <m:oMath>
        <m:r>
          <m:rPr>
            <m:sty m:val="p"/>
          </m:rPr>
          <w:rPr>
            <w:rFonts w:ascii="Cambria Math" w:eastAsia="Arial" w:hAnsi="Cambria Math" w:cstheme="majorHAnsi"/>
            <w:color w:val="000000" w:themeColor="text1"/>
            <w:lang w:val="en-GB"/>
          </w:rPr>
          <m:t>Var(</m:t>
        </m:r>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r>
          <w:rPr>
            <w:rFonts w:ascii="Cambria Math" w:eastAsia="Arial" w:hAnsi="Cambria Math" w:cstheme="majorHAnsi"/>
            <w:i/>
            <w:color w:val="000000" w:themeColor="text1"/>
            <w:lang w:val="en-GB"/>
          </w:rPr>
          <w:fldChar w:fldCharType="begin"/>
        </m:r>
        <m:r>
          <m:rPr>
            <m:sty m:val="p"/>
          </m:rPr>
          <w:rPr>
            <w:rFonts w:ascii="Cambria Math" w:eastAsia="Arial" w:hAnsi="Cambria Math" w:cstheme="majorHAnsi"/>
            <w:color w:val="000000" w:themeColor="text1"/>
            <w:lang w:val="en-GB"/>
          </w:rPr>
          <m:t xml:space="preserve"> ADDIN ZOTERO_ITEM CSL_CITATION {"citationID":"RjrTXzUZ","properties":{"formattedCitation":"\\super 12\\nosupersub{}","plainCitation":"12","noteIndex":0},"citationItems":[{"id":"wdkIiMrh/KYk9lPFF","uris":["http://zotero.org/users/5216175/items/64MRULHH"],"itemData":{"id":3084,"type":"webpage","title":"Comparative Study of Confidence Intervals for Proportions in Complex Sample Surveys - PubMed","URL":"https://pubmed-ncbi-nlm-nih-gov.offcampus.lib.washington.edu/31428658/","accessed":{"date-parts":[["2022",7,1]]}}}],"schema":"https://github.com/citation-style-language/schema/raw/master/csl-citation.json"} </m:t>
        </m:r>
        <m:r>
          <w:rPr>
            <w:rFonts w:ascii="Cambria Math" w:eastAsia="Arial" w:hAnsi="Cambria Math" w:cstheme="majorHAnsi"/>
            <w:i/>
            <w:color w:val="000000" w:themeColor="text1"/>
            <w:lang w:val="en-GB"/>
          </w:rPr>
          <w:fldChar w:fldCharType="separate"/>
        </m:r>
      </m:oMath>
      <w:r w:rsidR="00881AB8" w:rsidRPr="00881AB8">
        <w:rPr>
          <w:rFonts w:ascii="Calibri Light" w:hAnsi="Calibri Light" w:cs="Calibri Light"/>
          <w:vertAlign w:val="superscript"/>
        </w:rPr>
        <w:t>12</w:t>
      </w:r>
      <m:oMath>
        <m:r>
          <w:rPr>
            <w:rFonts w:ascii="Cambria Math" w:eastAsia="Arial" w:hAnsi="Cambria Math" w:cstheme="majorHAnsi"/>
            <w:i/>
            <w:color w:val="000000" w:themeColor="text1"/>
            <w:lang w:val="en-GB"/>
          </w:rPr>
          <w:fldChar w:fldCharType="end"/>
        </m:r>
      </m:oMath>
      <w:r w:rsidR="008622FC" w:rsidRPr="00F96DB8">
        <w:rPr>
          <w:rFonts w:asciiTheme="majorHAnsi" w:eastAsia="Arial" w:hAnsiTheme="majorHAnsi" w:cstheme="majorHAnsi"/>
          <w:color w:val="000000" w:themeColor="text1"/>
          <w:lang w:val="en-GB"/>
        </w:rPr>
        <w:t>:</w:t>
      </w:r>
      <w:r w:rsidR="00B377DA" w:rsidRPr="00F96DB8">
        <w:rPr>
          <w:rFonts w:asciiTheme="majorHAnsi" w:eastAsia="Arial" w:hAnsiTheme="majorHAnsi" w:cstheme="majorHAnsi"/>
          <w:color w:val="000000" w:themeColor="text1"/>
          <w:lang w:val="en-GB"/>
        </w:rPr>
        <w:t xml:space="preserve"> </w:t>
      </w:r>
    </w:p>
    <w:p w14:paraId="42613259" w14:textId="77777777" w:rsidR="00501056" w:rsidRPr="00F96DB8" w:rsidRDefault="00501056" w:rsidP="00983528">
      <w:pPr>
        <w:spacing w:after="0" w:line="360" w:lineRule="auto"/>
        <w:contextualSpacing/>
        <w:rPr>
          <w:rFonts w:asciiTheme="majorHAnsi" w:eastAsia="Arial" w:hAnsiTheme="majorHAnsi" w:cstheme="majorHAnsi"/>
          <w:color w:val="000000" w:themeColor="text1"/>
          <w:lang w:val="en-GB"/>
        </w:rPr>
      </w:pPr>
    </w:p>
    <w:p w14:paraId="400F449D" w14:textId="504BF62C" w:rsidR="008622FC" w:rsidRPr="00F96DB8" w:rsidRDefault="007A62BF" w:rsidP="00983528">
      <w:pPr>
        <w:spacing w:after="0" w:line="360" w:lineRule="auto"/>
        <w:contextualSpacing/>
        <w:jc w:val="center"/>
        <w:rPr>
          <w:rFonts w:asciiTheme="majorHAnsi" w:eastAsia="Arial" w:hAnsiTheme="majorHAnsi" w:cstheme="majorHAnsi"/>
          <w:color w:val="000000" w:themeColor="text1"/>
          <w:lang w:val="en-GB"/>
        </w:rPr>
      </w:pPr>
      <m:oMathPara>
        <m:oMath>
          <m:sSub>
            <m:sSubPr>
              <m:ctrlPr>
                <w:rPr>
                  <w:rFonts w:ascii="Cambria Math" w:eastAsia="Arial" w:hAnsi="Cambria Math" w:cstheme="majorHAnsi"/>
                  <w:i/>
                  <w:color w:val="000000" w:themeColor="text1"/>
                  <w:lang w:val="en-GB"/>
                </w:rPr>
              </m:ctrlPr>
            </m:sSubPr>
            <m:e>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n</m:t>
                  </m:r>
                </m:e>
              </m:acc>
            </m:e>
            <m:sub>
              <m:r>
                <w:rPr>
                  <w:rFonts w:ascii="Cambria Math" w:eastAsia="Arial" w:hAnsi="Cambria Math" w:cstheme="majorHAnsi"/>
                  <w:color w:val="000000" w:themeColor="text1"/>
                  <w:lang w:val="en-GB"/>
                </w:rPr>
                <m:t>eff</m:t>
              </m:r>
            </m:sub>
          </m:sSub>
          <m:r>
            <w:rPr>
              <w:rFonts w:ascii="Cambria Math" w:eastAsia="Arial" w:hAnsi="Cambria Math" w:cstheme="majorHAnsi"/>
              <w:color w:val="000000" w:themeColor="text1"/>
              <w:lang w:val="en-GB"/>
            </w:rPr>
            <m:t>=</m:t>
          </m:r>
          <m:f>
            <m:fPr>
              <m:ctrlPr>
                <w:rPr>
                  <w:rFonts w:ascii="Cambria Math" w:eastAsia="Arial" w:hAnsi="Cambria Math" w:cstheme="majorHAnsi"/>
                  <w:i/>
                  <w:color w:val="000000" w:themeColor="text1"/>
                  <w:lang w:val="en-GB"/>
                </w:rPr>
              </m:ctrlPr>
            </m:fPr>
            <m:num>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(1-</m:t>
              </m:r>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num>
            <m:den>
              <m:r>
                <m:rPr>
                  <m:sty m:val="p"/>
                </m:rPr>
                <w:rPr>
                  <w:rFonts w:ascii="Cambria Math" w:eastAsia="Arial" w:hAnsi="Cambria Math" w:cstheme="majorHAnsi"/>
                  <w:color w:val="000000" w:themeColor="text1"/>
                  <w:lang w:val="en-GB"/>
                </w:rPr>
                <m:t>Var</m:t>
              </m:r>
              <m:r>
                <w:rPr>
                  <w:rFonts w:ascii="Cambria Math" w:eastAsia="Arial" w:hAnsi="Cambria Math" w:cstheme="majorHAnsi"/>
                  <w:color w:val="000000" w:themeColor="text1"/>
                  <w:lang w:val="en-GB"/>
                </w:rPr>
                <m:t>(</m:t>
              </m:r>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den>
          </m:f>
        </m:oMath>
      </m:oMathPara>
    </w:p>
    <w:p w14:paraId="0D2FCBEE" w14:textId="77777777" w:rsidR="00501056" w:rsidRPr="00F96DB8" w:rsidRDefault="00501056" w:rsidP="00983528">
      <w:pPr>
        <w:spacing w:after="0" w:line="360" w:lineRule="auto"/>
        <w:contextualSpacing/>
        <w:jc w:val="center"/>
        <w:rPr>
          <w:rFonts w:asciiTheme="majorHAnsi" w:eastAsia="Arial" w:hAnsiTheme="majorHAnsi" w:cstheme="majorHAnsi"/>
          <w:color w:val="000000" w:themeColor="text1"/>
          <w:lang w:val="en-GB"/>
        </w:rPr>
      </w:pPr>
    </w:p>
    <w:p w14:paraId="3BD5F470" w14:textId="73088636" w:rsidR="00B214B8" w:rsidRPr="00F96DB8" w:rsidRDefault="4958F97B" w:rsidP="00942DAF">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 xml:space="preserve">As observations with </w:t>
      </w:r>
      <w:r w:rsidR="0098172D" w:rsidRPr="00F96DB8">
        <w:rPr>
          <w:rFonts w:asciiTheme="majorHAnsi" w:eastAsia="Arial" w:hAnsiTheme="majorHAnsi" w:cstheme="majorHAnsi"/>
          <w:color w:val="000000" w:themeColor="text1"/>
          <w:lang w:val="en-GB"/>
        </w:rPr>
        <w:t xml:space="preserve">observed </w:t>
      </w:r>
      <w:r w:rsidR="00C31595" w:rsidRPr="00F96DB8">
        <w:rPr>
          <w:rFonts w:asciiTheme="majorHAnsi" w:eastAsia="Arial" w:hAnsiTheme="majorHAnsi" w:cstheme="majorHAnsi"/>
          <w:color w:val="000000" w:themeColor="text1"/>
          <w:lang w:val="en-GB"/>
        </w:rPr>
        <w:t>proportions of 0</w:t>
      </w:r>
      <w:r w:rsidR="005B08F7">
        <w:rPr>
          <w:rFonts w:asciiTheme="majorHAnsi" w:hAnsiTheme="majorHAnsi" w:cstheme="majorHAnsi"/>
          <w:lang w:val="en-GB"/>
        </w:rPr>
        <w:t>.</w:t>
      </w:r>
      <w:r w:rsidR="00C31595" w:rsidRPr="00F96DB8">
        <w:rPr>
          <w:rFonts w:asciiTheme="majorHAnsi" w:eastAsia="Arial" w:hAnsiTheme="majorHAnsi" w:cstheme="majorHAnsi"/>
          <w:color w:val="000000" w:themeColor="text1"/>
          <w:lang w:val="en-GB"/>
        </w:rPr>
        <w:t>0 or 1</w:t>
      </w:r>
      <w:r w:rsidR="005B08F7">
        <w:rPr>
          <w:rFonts w:asciiTheme="majorHAnsi" w:hAnsiTheme="majorHAnsi" w:cstheme="majorHAnsi"/>
          <w:lang w:val="en-GB"/>
        </w:rPr>
        <w:t>.</w:t>
      </w:r>
      <w:r w:rsidRPr="00F96DB8">
        <w:rPr>
          <w:rFonts w:asciiTheme="majorHAnsi" w:eastAsia="Arial" w:hAnsiTheme="majorHAnsi" w:cstheme="majorHAnsi"/>
          <w:color w:val="000000" w:themeColor="text1"/>
          <w:lang w:val="en-GB"/>
        </w:rPr>
        <w:t>0 yi</w:t>
      </w:r>
      <w:r w:rsidR="00C31595" w:rsidRPr="00F96DB8">
        <w:rPr>
          <w:rFonts w:asciiTheme="majorHAnsi" w:eastAsia="Arial" w:hAnsiTheme="majorHAnsi" w:cstheme="majorHAnsi"/>
          <w:color w:val="000000" w:themeColor="text1"/>
          <w:lang w:val="en-GB"/>
        </w:rPr>
        <w:t>eld effective sample sizes of 0</w:t>
      </w:r>
      <w:r w:rsidR="005B08F7">
        <w:rPr>
          <w:rFonts w:asciiTheme="majorHAnsi" w:hAnsiTheme="majorHAnsi" w:cstheme="majorHAnsi"/>
          <w:lang w:val="en-GB"/>
        </w:rPr>
        <w:t>.</w:t>
      </w:r>
      <w:r w:rsidRPr="00F96DB8">
        <w:rPr>
          <w:rFonts w:asciiTheme="majorHAnsi" w:eastAsia="Arial" w:hAnsiTheme="majorHAnsi" w:cstheme="majorHAnsi"/>
          <w:color w:val="000000" w:themeColor="text1"/>
          <w:lang w:val="en-GB"/>
        </w:rPr>
        <w:t>0, t</w:t>
      </w:r>
      <w:r w:rsidR="1D4BAD65" w:rsidRPr="00F96DB8">
        <w:rPr>
          <w:rFonts w:asciiTheme="majorHAnsi" w:eastAsia="Arial" w:hAnsiTheme="majorHAnsi" w:cstheme="majorHAnsi"/>
          <w:color w:val="000000" w:themeColor="text1"/>
          <w:lang w:val="en-GB"/>
        </w:rPr>
        <w:t xml:space="preserve">he </w:t>
      </w:r>
      <w:r w:rsidRPr="00F96DB8">
        <w:rPr>
          <w:rFonts w:asciiTheme="majorHAnsi" w:eastAsia="Arial" w:hAnsiTheme="majorHAnsi" w:cstheme="majorHAnsi"/>
          <w:color w:val="000000" w:themeColor="text1"/>
          <w:lang w:val="en-GB"/>
        </w:rPr>
        <w:t xml:space="preserve">reported </w:t>
      </w:r>
      <w:r w:rsidR="1D4BAD65" w:rsidRPr="00F96DB8">
        <w:rPr>
          <w:rFonts w:asciiTheme="majorHAnsi" w:eastAsia="Arial" w:hAnsiTheme="majorHAnsi" w:cstheme="majorHAnsi"/>
          <w:color w:val="000000" w:themeColor="text1"/>
          <w:lang w:val="en-GB"/>
        </w:rPr>
        <w:t>population fractions (</w:t>
      </w:r>
      <m:oMath>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oMath>
      <w:r w:rsidR="1D4BAD65" w:rsidRPr="00F96DB8">
        <w:rPr>
          <w:rFonts w:asciiTheme="majorHAnsi" w:eastAsia="Arial" w:hAnsiTheme="majorHAnsi" w:cstheme="majorHAnsi"/>
          <w:color w:val="000000" w:themeColor="text1"/>
          <w:lang w:val="en-GB"/>
        </w:rPr>
        <w:t>)</w:t>
      </w:r>
      <w:r w:rsidR="30465C88" w:rsidRPr="00F96DB8">
        <w:rPr>
          <w:rFonts w:asciiTheme="majorHAnsi" w:eastAsia="Arial" w:hAnsiTheme="majorHAnsi" w:cstheme="majorHAnsi"/>
          <w:color w:val="000000" w:themeColor="text1"/>
          <w:lang w:val="en-GB"/>
        </w:rPr>
        <w:t xml:space="preserve"> </w:t>
      </w:r>
      <w:r w:rsidR="003C4498" w:rsidRPr="00F96DB8">
        <w:rPr>
          <w:rFonts w:asciiTheme="majorHAnsi" w:eastAsia="Arial" w:hAnsiTheme="majorHAnsi" w:cstheme="majorHAnsi"/>
          <w:color w:val="000000" w:themeColor="text1"/>
          <w:lang w:val="en-GB"/>
        </w:rPr>
        <w:t>for these county</w:t>
      </w:r>
      <w:r w:rsidR="00A153F2" w:rsidRPr="00F96DB8">
        <w:rPr>
          <w:rFonts w:asciiTheme="majorHAnsi" w:eastAsia="Arial" w:hAnsiTheme="majorHAnsi" w:cstheme="majorHAnsi"/>
          <w:color w:val="000000" w:themeColor="text1"/>
          <w:lang w:val="en-GB"/>
        </w:rPr>
        <w:t xml:space="preserve">, </w:t>
      </w:r>
      <w:r w:rsidR="003C4498" w:rsidRPr="00F96DB8">
        <w:rPr>
          <w:rFonts w:asciiTheme="majorHAnsi" w:eastAsia="Arial" w:hAnsiTheme="majorHAnsi" w:cstheme="majorHAnsi"/>
          <w:color w:val="000000" w:themeColor="text1"/>
          <w:lang w:val="en-GB"/>
        </w:rPr>
        <w:t>year</w:t>
      </w:r>
      <w:r w:rsidR="00A153F2" w:rsidRPr="00F96DB8">
        <w:rPr>
          <w:rFonts w:asciiTheme="majorHAnsi" w:eastAsia="Arial" w:hAnsiTheme="majorHAnsi" w:cstheme="majorHAnsi"/>
          <w:color w:val="000000" w:themeColor="text1"/>
          <w:lang w:val="en-GB"/>
        </w:rPr>
        <w:t xml:space="preserve">, and </w:t>
      </w:r>
      <w:r w:rsidR="003C4498" w:rsidRPr="00F96DB8">
        <w:rPr>
          <w:rFonts w:asciiTheme="majorHAnsi" w:eastAsia="Arial" w:hAnsiTheme="majorHAnsi" w:cstheme="majorHAnsi"/>
          <w:color w:val="000000" w:themeColor="text1"/>
          <w:lang w:val="en-GB"/>
        </w:rPr>
        <w:t>race</w:t>
      </w:r>
      <w:r w:rsidR="00A153F2" w:rsidRPr="00F96DB8">
        <w:rPr>
          <w:rFonts w:asciiTheme="majorHAnsi" w:eastAsia="Arial" w:hAnsiTheme="majorHAnsi" w:cstheme="majorHAnsi"/>
          <w:color w:val="000000" w:themeColor="text1"/>
          <w:lang w:val="en-GB"/>
        </w:rPr>
        <w:t xml:space="preserve"> and </w:t>
      </w:r>
      <w:r w:rsidRPr="00F96DB8">
        <w:rPr>
          <w:rFonts w:asciiTheme="majorHAnsi" w:eastAsia="Arial" w:hAnsiTheme="majorHAnsi" w:cstheme="majorHAnsi"/>
          <w:color w:val="000000" w:themeColor="text1"/>
          <w:lang w:val="en-GB"/>
        </w:rPr>
        <w:t>ethnicity</w:t>
      </w:r>
      <w:r w:rsidR="00A153F2" w:rsidRPr="00F96DB8">
        <w:rPr>
          <w:rFonts w:asciiTheme="majorHAnsi" w:eastAsia="Arial" w:hAnsiTheme="majorHAnsi" w:cstheme="majorHAnsi"/>
          <w:color w:val="000000" w:themeColor="text1"/>
          <w:lang w:val="en-GB"/>
        </w:rPr>
        <w:t xml:space="preserve"> combinations</w:t>
      </w:r>
      <w:r w:rsidRPr="00F96DB8">
        <w:rPr>
          <w:rFonts w:asciiTheme="majorHAnsi" w:eastAsia="Arial" w:hAnsiTheme="majorHAnsi" w:cstheme="majorHAnsi"/>
          <w:color w:val="000000" w:themeColor="text1"/>
          <w:lang w:val="en-GB"/>
        </w:rPr>
        <w:t xml:space="preserve"> </w:t>
      </w:r>
      <w:r w:rsidR="71C7B446" w:rsidRPr="00F96DB8">
        <w:rPr>
          <w:rFonts w:asciiTheme="majorHAnsi" w:eastAsia="Arial" w:hAnsiTheme="majorHAnsi" w:cstheme="majorHAnsi"/>
          <w:color w:val="000000" w:themeColor="text1"/>
          <w:lang w:val="en-GB"/>
        </w:rPr>
        <w:t>w</w:t>
      </w:r>
      <w:r w:rsidR="1D4BAD65" w:rsidRPr="00F96DB8">
        <w:rPr>
          <w:rFonts w:asciiTheme="majorHAnsi" w:eastAsia="Arial" w:hAnsiTheme="majorHAnsi" w:cstheme="majorHAnsi"/>
          <w:color w:val="000000" w:themeColor="text1"/>
          <w:lang w:val="en-GB"/>
        </w:rPr>
        <w:t>ere</w:t>
      </w:r>
      <w:r w:rsidR="71C7B446" w:rsidRPr="00F96DB8">
        <w:rPr>
          <w:rFonts w:asciiTheme="majorHAnsi" w:eastAsia="Arial" w:hAnsiTheme="majorHAnsi" w:cstheme="majorHAnsi"/>
          <w:color w:val="000000" w:themeColor="text1"/>
          <w:lang w:val="en-GB"/>
        </w:rPr>
        <w:t xml:space="preserve"> transformed via </w:t>
      </w:r>
      <w:r w:rsidR="0098172D" w:rsidRPr="00F96DB8">
        <w:rPr>
          <w:rFonts w:asciiTheme="majorHAnsi" w:eastAsia="Arial" w:hAnsiTheme="majorHAnsi" w:cstheme="majorHAnsi"/>
          <w:color w:val="000000" w:themeColor="text1"/>
          <w:lang w:val="en-GB"/>
        </w:rPr>
        <w:t xml:space="preserve">an </w:t>
      </w:r>
      <w:r w:rsidR="71C7B446" w:rsidRPr="00F96DB8">
        <w:rPr>
          <w:rFonts w:asciiTheme="majorHAnsi" w:eastAsia="Arial" w:hAnsiTheme="majorHAnsi" w:cstheme="majorHAnsi"/>
          <w:color w:val="000000" w:themeColor="text1"/>
          <w:lang w:val="en-GB"/>
        </w:rPr>
        <w:t>empirical logit</w:t>
      </w:r>
      <w:r w:rsidR="0098172D" w:rsidRPr="00F96DB8">
        <w:rPr>
          <w:rFonts w:asciiTheme="majorHAnsi" w:eastAsia="Arial" w:hAnsiTheme="majorHAnsi" w:cstheme="majorHAnsi"/>
          <w:color w:val="000000" w:themeColor="text1"/>
          <w:lang w:val="en-GB"/>
        </w:rPr>
        <w:t xml:space="preserve"> transformation</w:t>
      </w:r>
      <w:r w:rsidR="00AF78B2"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{"citationID":"KNPcv3uL","properties":{"formattedCitation":"\\super 13\\nosupersub{}","plainCitation":"13","noteIndex":0},"citationItems":[{"id":"wdkIiMrh/JiW8lnPX","uris":["http://zotero.org/users/5216175/items/T8G2PJY3"],"itemData":{"id":3086,"type":"webpage","title":"The arcsine is asinine: the analysis of proportions in ecology - Warton - 2011 - Ecology - Wiley Online Library","URL":"https://esajournals.onlinelibrary.wiley.com/doi/10.1890/10-0340.1","accessed":{"date-parts":[["2022",7,1]]}}}],"schema":"https://github.com/citation-style-language/schema/raw/master/csl-citation.json"} </w:instrText>
      </w:r>
      <w:r w:rsidR="00AF78B2"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13</w:t>
      </w:r>
      <w:r w:rsidR="00AF78B2" w:rsidRPr="00F96DB8">
        <w:rPr>
          <w:rFonts w:asciiTheme="majorHAnsi" w:eastAsia="Arial" w:hAnsiTheme="majorHAnsi" w:cstheme="majorHAnsi"/>
          <w:color w:val="000000" w:themeColor="text1"/>
          <w:lang w:val="en-GB"/>
        </w:rPr>
        <w:fldChar w:fldCharType="end"/>
      </w:r>
      <w:r w:rsidR="482B2D1D" w:rsidRPr="00F96DB8">
        <w:rPr>
          <w:rFonts w:asciiTheme="majorHAnsi" w:eastAsia="Arial" w:hAnsiTheme="majorHAnsi" w:cstheme="majorHAnsi"/>
          <w:color w:val="000000" w:themeColor="text1"/>
          <w:lang w:val="en-GB"/>
        </w:rPr>
        <w:t xml:space="preserve"> </w:t>
      </w:r>
      <w:r w:rsidR="00E56E3D" w:rsidRPr="00F96DB8">
        <w:rPr>
          <w:rFonts w:asciiTheme="majorHAnsi" w:eastAsia="Arial" w:hAnsiTheme="majorHAnsi" w:cstheme="majorHAnsi"/>
          <w:color w:val="000000" w:themeColor="text1"/>
          <w:lang w:val="en-GB"/>
        </w:rPr>
        <w:t>and then</w:t>
      </w:r>
      <w:r w:rsidR="00F1308B" w:rsidRPr="00F96DB8">
        <w:rPr>
          <w:rFonts w:asciiTheme="majorHAnsi" w:eastAsia="Arial" w:hAnsiTheme="majorHAnsi" w:cstheme="majorHAnsi"/>
          <w:color w:val="000000" w:themeColor="text1"/>
          <w:lang w:val="en-GB"/>
        </w:rPr>
        <w:t xml:space="preserve"> inverse-transformed</w:t>
      </w:r>
      <w:r w:rsidR="00EB6CD0" w:rsidRPr="00F96DB8">
        <w:rPr>
          <w:rFonts w:asciiTheme="majorHAnsi" w:eastAsia="Arial" w:hAnsiTheme="majorHAnsi" w:cstheme="majorHAnsi"/>
          <w:color w:val="000000" w:themeColor="text1"/>
          <w:lang w:val="en-GB"/>
        </w:rPr>
        <w:t xml:space="preserve"> </w:t>
      </w:r>
      <w:r w:rsidR="00A153F2" w:rsidRPr="00F96DB8">
        <w:rPr>
          <w:rFonts w:asciiTheme="majorHAnsi" w:eastAsia="Arial" w:hAnsiTheme="majorHAnsi" w:cstheme="majorHAnsi"/>
          <w:color w:val="000000" w:themeColor="text1"/>
          <w:lang w:val="en-GB"/>
        </w:rPr>
        <w:t>by use of</w:t>
      </w:r>
      <w:r w:rsidR="00EB6CD0" w:rsidRPr="00F96DB8">
        <w:rPr>
          <w:rFonts w:asciiTheme="majorHAnsi" w:eastAsia="Arial" w:hAnsiTheme="majorHAnsi" w:cstheme="majorHAnsi"/>
          <w:color w:val="000000" w:themeColor="text1"/>
          <w:lang w:val="en-GB"/>
        </w:rPr>
        <w:t xml:space="preserve"> the standard inverse logit function</w:t>
      </w:r>
      <w:r w:rsidR="00E56E3D" w:rsidRPr="00F96DB8">
        <w:rPr>
          <w:rFonts w:asciiTheme="majorHAnsi" w:eastAsia="Arial" w:hAnsiTheme="majorHAnsi" w:cstheme="majorHAnsi"/>
          <w:color w:val="000000" w:themeColor="text1"/>
          <w:lang w:val="en-GB"/>
        </w:rPr>
        <w:t xml:space="preserve"> </w:t>
      </w:r>
      <w:r w:rsidR="004745E7" w:rsidRPr="00F96DB8">
        <w:rPr>
          <w:rFonts w:asciiTheme="majorHAnsi" w:eastAsia="Arial" w:hAnsiTheme="majorHAnsi" w:cstheme="majorHAnsi"/>
          <w:color w:val="000000" w:themeColor="text1"/>
          <w:lang w:val="en-GB"/>
        </w:rPr>
        <w:t>before</w:t>
      </w:r>
      <w:r w:rsidR="482B2D1D" w:rsidRPr="00F96DB8">
        <w:rPr>
          <w:rFonts w:asciiTheme="majorHAnsi" w:eastAsia="Arial" w:hAnsiTheme="majorHAnsi" w:cstheme="majorHAnsi"/>
          <w:color w:val="000000" w:themeColor="text1"/>
          <w:lang w:val="en-GB"/>
        </w:rPr>
        <w:t xml:space="preserve"> calculat</w:t>
      </w:r>
      <w:r w:rsidR="00FD7D72" w:rsidRPr="00F96DB8">
        <w:rPr>
          <w:rFonts w:asciiTheme="majorHAnsi" w:eastAsia="Arial" w:hAnsiTheme="majorHAnsi" w:cstheme="majorHAnsi"/>
          <w:color w:val="000000" w:themeColor="text1"/>
          <w:lang w:val="en-GB"/>
        </w:rPr>
        <w:t>ing</w:t>
      </w:r>
      <w:r w:rsidR="75E7CBF1" w:rsidRPr="00F96DB8">
        <w:rPr>
          <w:rFonts w:asciiTheme="majorHAnsi" w:eastAsia="Arial" w:hAnsiTheme="majorHAnsi" w:cstheme="majorHAnsi"/>
          <w:color w:val="000000" w:themeColor="text1"/>
          <w:lang w:val="en-GB"/>
        </w:rPr>
        <w:t xml:space="preserve"> </w:t>
      </w:r>
      <w:r w:rsidR="004745E7" w:rsidRPr="00F96DB8">
        <w:rPr>
          <w:rFonts w:asciiTheme="majorHAnsi" w:eastAsia="Arial" w:hAnsiTheme="majorHAnsi" w:cstheme="majorHAnsi"/>
          <w:color w:val="000000" w:themeColor="text1"/>
          <w:lang w:val="en-GB"/>
        </w:rPr>
        <w:t>the corresponding</w:t>
      </w:r>
      <w:r w:rsidR="482B2D1D" w:rsidRPr="00F96DB8">
        <w:rPr>
          <w:rFonts w:asciiTheme="majorHAnsi" w:eastAsia="Arial" w:hAnsiTheme="majorHAnsi" w:cstheme="majorHAnsi"/>
          <w:color w:val="000000" w:themeColor="text1"/>
          <w:lang w:val="en-GB"/>
        </w:rPr>
        <w:t xml:space="preserve"> effective sample sizes</w:t>
      </w:r>
      <w:r w:rsidR="6B470C54" w:rsidRPr="00F96DB8">
        <w:rPr>
          <w:rFonts w:asciiTheme="majorHAnsi" w:eastAsia="Arial" w:hAnsiTheme="majorHAnsi" w:cstheme="majorHAnsi"/>
          <w:color w:val="000000" w:themeColor="text1"/>
          <w:lang w:val="en-GB"/>
        </w:rPr>
        <w:t>:</w:t>
      </w:r>
    </w:p>
    <w:p w14:paraId="405677CB" w14:textId="77777777" w:rsidR="007A6422" w:rsidRPr="00F96DB8" w:rsidRDefault="007A6422" w:rsidP="00983528">
      <w:pPr>
        <w:spacing w:after="0" w:line="360" w:lineRule="auto"/>
        <w:contextualSpacing/>
        <w:jc w:val="both"/>
        <w:rPr>
          <w:rFonts w:asciiTheme="majorHAnsi" w:eastAsia="Arial" w:hAnsiTheme="majorHAnsi" w:cstheme="majorHAnsi"/>
          <w:i/>
          <w:color w:val="000000" w:themeColor="text1"/>
          <w:lang w:val="en-GB"/>
        </w:rPr>
      </w:pPr>
    </w:p>
    <w:p w14:paraId="1CD87F0A" w14:textId="39D7303C" w:rsidR="425407AE" w:rsidRPr="00F96DB8" w:rsidRDefault="007A62BF" w:rsidP="00983528">
      <w:pPr>
        <w:spacing w:after="0" w:line="360" w:lineRule="auto"/>
        <w:contextualSpacing/>
        <w:jc w:val="both"/>
        <w:rPr>
          <w:rFonts w:asciiTheme="majorHAnsi" w:eastAsia="Arial" w:hAnsiTheme="majorHAnsi" w:cstheme="majorHAnsi"/>
          <w:i/>
          <w:color w:val="000000" w:themeColor="text1"/>
          <w:lang w:val="en-GB"/>
        </w:rPr>
      </w:pPr>
      <m:oMathPara>
        <m:oMath>
          <m:sSub>
            <m:sSubPr>
              <m:ctrlPr>
                <w:rPr>
                  <w:rFonts w:ascii="Cambria Math" w:eastAsia="Arial" w:hAnsi="Cambria Math" w:cstheme="majorHAnsi"/>
                  <w:i/>
                  <w:color w:val="000000" w:themeColor="text1"/>
                  <w:lang w:val="en-GB"/>
                </w:rPr>
              </m:ctrlPr>
            </m:sSubPr>
            <m:e>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e>
            <m:sub>
              <m:r>
                <w:rPr>
                  <w:rFonts w:ascii="Cambria Math" w:eastAsia="Arial" w:hAnsi="Cambria Math" w:cstheme="majorHAnsi"/>
                  <w:color w:val="000000" w:themeColor="text1"/>
                  <w:lang w:val="en-GB"/>
                </w:rPr>
                <m:t>emp</m:t>
              </m:r>
            </m:sub>
          </m:sSub>
          <m:r>
            <w:rPr>
              <w:rFonts w:ascii="Cambria Math" w:eastAsia="Arial" w:hAnsi="Cambria Math" w:cstheme="majorHAnsi"/>
              <w:color w:val="000000" w:themeColor="text1"/>
              <w:lang w:val="en-GB"/>
            </w:rPr>
            <m:t>=</m:t>
          </m:r>
          <m:sSup>
            <m:sSupPr>
              <m:ctrlPr>
                <w:rPr>
                  <w:rFonts w:ascii="Cambria Math" w:eastAsia="Arial" w:hAnsi="Cambria Math" w:cstheme="majorHAnsi"/>
                  <w:color w:val="000000" w:themeColor="text1"/>
                  <w:lang w:val="en-GB"/>
                </w:rPr>
              </m:ctrlPr>
            </m:sSupPr>
            <m:e>
              <m:r>
                <m:rPr>
                  <m:sty m:val="p"/>
                </m:rPr>
                <w:rPr>
                  <w:rFonts w:ascii="Cambria Math" w:eastAsia="Arial" w:hAnsi="Cambria Math" w:cstheme="majorHAnsi"/>
                  <w:color w:val="000000" w:themeColor="text1"/>
                  <w:lang w:val="en-GB"/>
                </w:rPr>
                <m:t>logit</m:t>
              </m:r>
            </m:e>
            <m:sup>
              <m:r>
                <m:rPr>
                  <m:sty m:val="p"/>
                </m:rPr>
                <w:rPr>
                  <w:rFonts w:ascii="Cambria Math" w:eastAsia="Arial" w:hAnsi="Cambria Math" w:cstheme="majorHAnsi"/>
                  <w:color w:val="000000" w:themeColor="text1"/>
                  <w:lang w:val="en-GB"/>
                </w:rPr>
                <m:t>-1</m:t>
              </m:r>
            </m:sup>
          </m:sSup>
          <m:d>
            <m:dPr>
              <m:ctrlPr>
                <w:rPr>
                  <w:rFonts w:ascii="Cambria Math" w:eastAsia="Arial" w:hAnsi="Cambria Math" w:cstheme="majorHAnsi"/>
                  <w:iCs/>
                  <w:color w:val="000000" w:themeColor="text1"/>
                  <w:lang w:val="en-GB"/>
                </w:rPr>
              </m:ctrlPr>
            </m:dPr>
            <m:e>
              <m:r>
                <m:rPr>
                  <m:sty m:val="p"/>
                </m:rPr>
                <w:rPr>
                  <w:rFonts w:ascii="Cambria Math" w:eastAsia="Arial" w:hAnsi="Cambria Math" w:cstheme="majorHAnsi"/>
                  <w:color w:val="000000" w:themeColor="text1"/>
                  <w:lang w:val="en-GB"/>
                </w:rPr>
                <m:t>log</m:t>
              </m:r>
              <m:d>
                <m:dPr>
                  <m:ctrlPr>
                    <w:rPr>
                      <w:rFonts w:ascii="Cambria Math" w:eastAsia="Arial" w:hAnsi="Cambria Math" w:cstheme="majorHAnsi"/>
                      <w:i/>
                      <w:color w:val="000000" w:themeColor="text1"/>
                      <w:lang w:val="en-GB"/>
                    </w:rPr>
                  </m:ctrlPr>
                </m:dPr>
                <m:e>
                  <m:f>
                    <m:fPr>
                      <m:ctrlPr>
                        <w:rPr>
                          <w:rFonts w:ascii="Cambria Math" w:eastAsia="Arial" w:hAnsi="Cambria Math" w:cstheme="majorHAnsi"/>
                          <w:i/>
                          <w:color w:val="000000" w:themeColor="text1"/>
                          <w:lang w:val="en-GB"/>
                        </w:rPr>
                      </m:ctrlPr>
                    </m:fPr>
                    <m:num>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f>
                        <m:fPr>
                          <m:ctrlPr>
                            <w:rPr>
                              <w:rFonts w:ascii="Cambria Math" w:eastAsia="Arial" w:hAnsi="Cambria Math" w:cstheme="majorHAnsi"/>
                              <w:i/>
                              <w:color w:val="000000" w:themeColor="text1"/>
                              <w:lang w:val="en-GB"/>
                            </w:rPr>
                          </m:ctrlPr>
                        </m:fPr>
                        <m:num>
                          <m:r>
                            <w:rPr>
                              <w:rFonts w:ascii="Cambria Math" w:eastAsia="Arial" w:hAnsi="Cambria Math" w:cstheme="majorHAnsi"/>
                              <w:color w:val="000000" w:themeColor="text1"/>
                              <w:lang w:val="en-GB"/>
                            </w:rPr>
                            <m:t>ε</m:t>
                          </m:r>
                        </m:num>
                        <m:den>
                          <m:r>
                            <w:rPr>
                              <w:rFonts w:ascii="Cambria Math" w:eastAsia="Arial" w:hAnsi="Cambria Math" w:cstheme="majorHAnsi"/>
                              <w:color w:val="000000" w:themeColor="text1"/>
                              <w:lang w:val="en-GB"/>
                            </w:rPr>
                            <m:t>2</m:t>
                          </m:r>
                        </m:den>
                      </m:f>
                    </m:num>
                    <m:den>
                      <m:r>
                        <w:rPr>
                          <w:rFonts w:ascii="Cambria Math" w:eastAsia="Arial" w:hAnsi="Cambria Math" w:cstheme="majorHAnsi"/>
                          <w:color w:val="000000" w:themeColor="text1"/>
                          <w:lang w:val="en-GB"/>
                        </w:rPr>
                        <m:t>1-</m:t>
                      </m:r>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f>
                        <m:fPr>
                          <m:ctrlPr>
                            <w:rPr>
                              <w:rFonts w:ascii="Cambria Math" w:eastAsia="Arial" w:hAnsi="Cambria Math" w:cstheme="majorHAnsi"/>
                              <w:i/>
                              <w:color w:val="000000" w:themeColor="text1"/>
                              <w:lang w:val="en-GB"/>
                            </w:rPr>
                          </m:ctrlPr>
                        </m:fPr>
                        <m:num>
                          <m:r>
                            <w:rPr>
                              <w:rFonts w:ascii="Cambria Math" w:eastAsia="Arial" w:hAnsi="Cambria Math" w:cstheme="majorHAnsi"/>
                              <w:color w:val="000000" w:themeColor="text1"/>
                              <w:lang w:val="en-GB"/>
                            </w:rPr>
                            <m:t>ε</m:t>
                          </m:r>
                        </m:num>
                        <m:den>
                          <m:r>
                            <w:rPr>
                              <w:rFonts w:ascii="Cambria Math" w:eastAsia="Arial" w:hAnsi="Cambria Math" w:cstheme="majorHAnsi"/>
                              <w:color w:val="000000" w:themeColor="text1"/>
                              <w:lang w:val="en-GB"/>
                            </w:rPr>
                            <m:t>2</m:t>
                          </m:r>
                        </m:den>
                      </m:f>
                    </m:den>
                  </m:f>
                </m:e>
              </m:d>
              <m:ctrlPr>
                <w:rPr>
                  <w:rFonts w:ascii="Cambria Math" w:eastAsia="Arial" w:hAnsi="Cambria Math" w:cstheme="majorHAnsi"/>
                  <w:i/>
                  <w:color w:val="000000" w:themeColor="text1"/>
                  <w:lang w:val="en-GB"/>
                </w:rPr>
              </m:ctrlPr>
            </m:e>
          </m:d>
        </m:oMath>
      </m:oMathPara>
    </w:p>
    <w:p w14:paraId="6E05EE42" w14:textId="77777777" w:rsidR="007A6422" w:rsidRPr="00F96DB8" w:rsidRDefault="007A6422" w:rsidP="00983528">
      <w:pPr>
        <w:spacing w:after="0" w:line="360" w:lineRule="auto"/>
        <w:contextualSpacing/>
        <w:jc w:val="both"/>
        <w:rPr>
          <w:rFonts w:asciiTheme="majorHAnsi" w:eastAsia="Arial" w:hAnsiTheme="majorHAnsi" w:cstheme="majorHAnsi"/>
          <w:color w:val="000000" w:themeColor="text1"/>
          <w:lang w:val="en-GB"/>
        </w:rPr>
      </w:pPr>
    </w:p>
    <w:p w14:paraId="3E6E3C40" w14:textId="3916B528" w:rsidR="00A867E1" w:rsidRPr="00F96DB8" w:rsidRDefault="00CC29DD" w:rsidP="00983528">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w</w:t>
      </w:r>
      <w:r w:rsidR="006D0AB4" w:rsidRPr="00F96DB8">
        <w:rPr>
          <w:rFonts w:asciiTheme="majorHAnsi" w:eastAsia="Arial" w:hAnsiTheme="majorHAnsi" w:cstheme="majorHAnsi"/>
          <w:color w:val="000000" w:themeColor="text1"/>
          <w:lang w:val="en-GB"/>
        </w:rPr>
        <w:t xml:space="preserve">here </w:t>
      </w:r>
      <m:oMath>
        <m:sSup>
          <m:sSupPr>
            <m:ctrlPr>
              <w:rPr>
                <w:rFonts w:ascii="Cambria Math" w:eastAsia="Arial" w:hAnsi="Cambria Math" w:cstheme="majorHAnsi"/>
                <w:color w:val="000000" w:themeColor="text1"/>
                <w:lang w:val="en-GB"/>
              </w:rPr>
            </m:ctrlPr>
          </m:sSupPr>
          <m:e>
            <m:r>
              <m:rPr>
                <m:sty m:val="p"/>
              </m:rPr>
              <w:rPr>
                <w:rFonts w:ascii="Cambria Math" w:eastAsia="Arial" w:hAnsi="Cambria Math" w:cstheme="majorHAnsi"/>
                <w:color w:val="000000" w:themeColor="text1"/>
                <w:lang w:val="en-GB"/>
              </w:rPr>
              <m:t>logit</m:t>
            </m:r>
          </m:e>
          <m:sup>
            <m:r>
              <m:rPr>
                <m:sty m:val="p"/>
              </m:rPr>
              <w:rPr>
                <w:rFonts w:ascii="Cambria Math" w:eastAsia="Arial" w:hAnsi="Cambria Math" w:cstheme="majorHAnsi"/>
                <w:color w:val="000000" w:themeColor="text1"/>
                <w:lang w:val="en-GB"/>
              </w:rPr>
              <m:t>-1</m:t>
            </m:r>
          </m:sup>
        </m:sSup>
      </m:oMath>
      <w:r w:rsidR="00D66675" w:rsidRPr="00F96DB8">
        <w:rPr>
          <w:rFonts w:asciiTheme="majorHAnsi" w:eastAsia="Arial" w:hAnsiTheme="majorHAnsi" w:cstheme="majorHAnsi"/>
          <w:color w:val="000000" w:themeColor="text1"/>
          <w:lang w:val="en-GB"/>
        </w:rPr>
        <w:t xml:space="preserve"> is the standard inverse logit function</w:t>
      </w:r>
      <w:r w:rsidR="00B708CB" w:rsidRPr="00F96DB8">
        <w:rPr>
          <w:rFonts w:asciiTheme="majorHAnsi" w:eastAsia="Arial" w:hAnsiTheme="majorHAnsi" w:cstheme="majorHAnsi"/>
          <w:color w:val="000000" w:themeColor="text1"/>
          <w:lang w:val="en-GB"/>
        </w:rPr>
        <w:t xml:space="preserve"> and </w:t>
      </w:r>
      <m:oMath>
        <m:r>
          <w:rPr>
            <w:rFonts w:ascii="Cambria Math" w:eastAsia="Arial" w:hAnsi="Cambria Math" w:cstheme="majorHAnsi"/>
            <w:color w:val="000000" w:themeColor="text1"/>
            <w:lang w:val="en-GB"/>
          </w:rPr>
          <m:t>ε</m:t>
        </m:r>
      </m:oMath>
      <w:r w:rsidR="00B708CB" w:rsidRPr="00F96DB8">
        <w:rPr>
          <w:rFonts w:asciiTheme="majorHAnsi" w:eastAsia="Arial" w:hAnsiTheme="majorHAnsi" w:cstheme="majorHAnsi"/>
          <w:color w:val="000000" w:themeColor="text1"/>
          <w:lang w:val="en-GB"/>
        </w:rPr>
        <w:t xml:space="preserve"> is defined as the smallest non-zero </w:t>
      </w:r>
      <w:r w:rsidR="001110C0" w:rsidRPr="00F96DB8">
        <w:rPr>
          <w:rFonts w:asciiTheme="majorHAnsi" w:eastAsia="Arial" w:hAnsiTheme="majorHAnsi" w:cstheme="majorHAnsi"/>
          <w:color w:val="000000" w:themeColor="text1"/>
          <w:lang w:val="en-GB"/>
        </w:rPr>
        <w:t>proportion in the data set.</w:t>
      </w:r>
      <w:r w:rsidR="00DA3342" w:rsidRPr="00F96DB8">
        <w:rPr>
          <w:rFonts w:asciiTheme="majorHAnsi" w:eastAsia="Arial" w:hAnsiTheme="majorHAnsi" w:cstheme="majorHAnsi"/>
          <w:color w:val="000000" w:themeColor="text1"/>
          <w:lang w:val="en-GB"/>
        </w:rPr>
        <w:t xml:space="preserve"> </w:t>
      </w:r>
      <w:r w:rsidR="00273A2D" w:rsidRPr="00F96DB8">
        <w:rPr>
          <w:rFonts w:asciiTheme="majorHAnsi" w:eastAsia="Arial" w:hAnsiTheme="majorHAnsi" w:cstheme="majorHAnsi"/>
          <w:color w:val="000000" w:themeColor="text1"/>
          <w:lang w:val="en-GB"/>
        </w:rPr>
        <w:t xml:space="preserve">Effective sample sizes were calculated </w:t>
      </w:r>
      <w:r w:rsidR="00A153F2" w:rsidRPr="00F96DB8">
        <w:rPr>
          <w:rFonts w:asciiTheme="majorHAnsi" w:eastAsia="Arial" w:hAnsiTheme="majorHAnsi" w:cstheme="majorHAnsi"/>
          <w:color w:val="000000" w:themeColor="text1"/>
          <w:lang w:val="en-GB"/>
        </w:rPr>
        <w:t>by use of</w:t>
      </w:r>
      <w:r w:rsidR="00273A2D" w:rsidRPr="00F96DB8">
        <w:rPr>
          <w:rFonts w:asciiTheme="majorHAnsi" w:eastAsia="Arial" w:hAnsiTheme="majorHAnsi" w:cstheme="majorHAnsi"/>
          <w:color w:val="000000" w:themeColor="text1"/>
          <w:lang w:val="en-GB"/>
        </w:rPr>
        <w:t xml:space="preserve"> these transformed proportions and the original </w:t>
      </w:r>
      <w:r w:rsidR="00053D3C" w:rsidRPr="00F96DB8">
        <w:rPr>
          <w:rFonts w:asciiTheme="majorHAnsi" w:eastAsia="Arial" w:hAnsiTheme="majorHAnsi" w:cstheme="majorHAnsi"/>
          <w:color w:val="000000" w:themeColor="text1"/>
          <w:lang w:val="en-GB"/>
        </w:rPr>
        <w:t xml:space="preserve">reported </w:t>
      </w:r>
      <m:oMath>
        <m:r>
          <m:rPr>
            <m:sty m:val="p"/>
          </m:rPr>
          <w:rPr>
            <w:rFonts w:ascii="Cambria Math" w:eastAsia="Arial" w:hAnsi="Cambria Math" w:cstheme="majorHAnsi"/>
            <w:color w:val="000000" w:themeColor="text1"/>
            <w:lang w:val="en-GB"/>
          </w:rPr>
          <m:t>Var(</m:t>
        </m:r>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p</m:t>
            </m:r>
          </m:e>
        </m:acc>
        <m:r>
          <w:rPr>
            <w:rFonts w:ascii="Cambria Math" w:eastAsia="Arial" w:hAnsi="Cambria Math" w:cstheme="majorHAnsi"/>
            <w:color w:val="000000" w:themeColor="text1"/>
            <w:lang w:val="en-GB"/>
          </w:rPr>
          <m:t>)</m:t>
        </m:r>
      </m:oMath>
      <w:r w:rsidR="00053D3C" w:rsidRPr="00F96DB8">
        <w:rPr>
          <w:rFonts w:asciiTheme="majorHAnsi" w:eastAsia="Arial" w:hAnsiTheme="majorHAnsi" w:cstheme="majorHAnsi"/>
          <w:color w:val="000000" w:themeColor="text1"/>
          <w:lang w:val="en-GB"/>
        </w:rPr>
        <w:t xml:space="preserve">. </w:t>
      </w:r>
      <w:r w:rsidR="003D1A8D" w:rsidRPr="00F96DB8">
        <w:rPr>
          <w:rFonts w:asciiTheme="majorHAnsi" w:eastAsia="Arial" w:hAnsiTheme="majorHAnsi" w:cstheme="majorHAnsi"/>
          <w:color w:val="000000" w:themeColor="text1"/>
          <w:lang w:val="en-GB"/>
        </w:rPr>
        <w:t>C</w:t>
      </w:r>
      <w:r w:rsidR="00F84041" w:rsidRPr="00F96DB8">
        <w:rPr>
          <w:rFonts w:asciiTheme="majorHAnsi" w:eastAsia="Arial" w:hAnsiTheme="majorHAnsi" w:cstheme="majorHAnsi"/>
          <w:color w:val="000000" w:themeColor="text1"/>
          <w:lang w:val="en-GB"/>
        </w:rPr>
        <w:t xml:space="preserve">ounts </w:t>
      </w:r>
      <w:r w:rsidR="003D1A8D" w:rsidRPr="00F96DB8">
        <w:rPr>
          <w:rFonts w:asciiTheme="majorHAnsi" w:eastAsia="Arial" w:hAnsiTheme="majorHAnsi" w:cstheme="majorHAnsi"/>
          <w:color w:val="000000" w:themeColor="text1"/>
          <w:lang w:val="en-GB"/>
        </w:rPr>
        <w:t xml:space="preserve">of </w:t>
      </w:r>
      <w:r w:rsidR="00D71BC8" w:rsidRPr="00F96DB8">
        <w:rPr>
          <w:rFonts w:asciiTheme="majorHAnsi" w:eastAsia="Arial" w:hAnsiTheme="majorHAnsi" w:cstheme="majorHAnsi"/>
          <w:color w:val="000000" w:themeColor="text1"/>
          <w:lang w:val="en-GB"/>
        </w:rPr>
        <w:t>individuals with the mode</w:t>
      </w:r>
      <w:r w:rsidR="00C31595" w:rsidRPr="00F96DB8">
        <w:rPr>
          <w:rFonts w:asciiTheme="majorHAnsi" w:eastAsia="Arial" w:hAnsiTheme="majorHAnsi" w:cstheme="majorHAnsi"/>
          <w:color w:val="000000" w:themeColor="text1"/>
          <w:lang w:val="en-GB"/>
        </w:rPr>
        <w:t>l</w:t>
      </w:r>
      <w:r w:rsidR="00D71BC8" w:rsidRPr="00F96DB8">
        <w:rPr>
          <w:rFonts w:asciiTheme="majorHAnsi" w:eastAsia="Arial" w:hAnsiTheme="majorHAnsi" w:cstheme="majorHAnsi"/>
          <w:color w:val="000000" w:themeColor="text1"/>
          <w:lang w:val="en-GB"/>
        </w:rPr>
        <w:t xml:space="preserve">led outcome (attainment of a </w:t>
      </w:r>
      <w:r w:rsidR="00613607" w:rsidRPr="00F96DB8">
        <w:rPr>
          <w:rFonts w:asciiTheme="majorHAnsi" w:eastAsia="Arial" w:hAnsiTheme="majorHAnsi" w:cstheme="majorHAnsi"/>
          <w:color w:val="000000" w:themeColor="text1"/>
          <w:lang w:val="en-GB"/>
        </w:rPr>
        <w:t>bachelor’s</w:t>
      </w:r>
      <w:r w:rsidR="00D71BC8" w:rsidRPr="00F96DB8">
        <w:rPr>
          <w:rFonts w:asciiTheme="majorHAnsi" w:eastAsia="Arial" w:hAnsiTheme="majorHAnsi" w:cstheme="majorHAnsi"/>
          <w:color w:val="000000" w:themeColor="text1"/>
          <w:lang w:val="en-GB"/>
        </w:rPr>
        <w:t xml:space="preserve"> degree or higher, living below the poverty line, or foreign-born) were </w:t>
      </w:r>
      <w:r w:rsidR="003D1A8D" w:rsidRPr="00F96DB8">
        <w:rPr>
          <w:rFonts w:asciiTheme="majorHAnsi" w:eastAsia="Arial" w:hAnsiTheme="majorHAnsi" w:cstheme="majorHAnsi"/>
          <w:color w:val="000000" w:themeColor="text1"/>
          <w:lang w:val="en-GB"/>
        </w:rPr>
        <w:t xml:space="preserve">then </w:t>
      </w:r>
      <w:r w:rsidR="00D71BC8" w:rsidRPr="00F96DB8">
        <w:rPr>
          <w:rFonts w:asciiTheme="majorHAnsi" w:eastAsia="Arial" w:hAnsiTheme="majorHAnsi" w:cstheme="majorHAnsi"/>
          <w:color w:val="000000" w:themeColor="text1"/>
          <w:lang w:val="en-GB"/>
        </w:rPr>
        <w:t xml:space="preserve">calculated </w:t>
      </w:r>
      <w:r w:rsidR="003D1A8D" w:rsidRPr="00F96DB8">
        <w:rPr>
          <w:rFonts w:asciiTheme="majorHAnsi" w:eastAsia="Arial" w:hAnsiTheme="majorHAnsi" w:cstheme="majorHAnsi"/>
          <w:color w:val="000000" w:themeColor="text1"/>
          <w:lang w:val="en-GB"/>
        </w:rPr>
        <w:t xml:space="preserve">for each </w:t>
      </w:r>
      <w:r w:rsidR="00E5173F" w:rsidRPr="00F96DB8">
        <w:rPr>
          <w:rFonts w:asciiTheme="majorHAnsi" w:eastAsia="Arial" w:hAnsiTheme="majorHAnsi" w:cstheme="majorHAnsi"/>
          <w:color w:val="000000" w:themeColor="text1"/>
          <w:lang w:val="en-GB"/>
        </w:rPr>
        <w:t xml:space="preserve">row </w:t>
      </w:r>
      <w:r w:rsidR="00D71BC8" w:rsidRPr="00F96DB8">
        <w:rPr>
          <w:rFonts w:asciiTheme="majorHAnsi" w:eastAsia="Arial" w:hAnsiTheme="majorHAnsi" w:cstheme="majorHAnsi"/>
          <w:color w:val="000000" w:themeColor="text1"/>
          <w:lang w:val="en-GB"/>
        </w:rPr>
        <w:t>by multiplying the</w:t>
      </w:r>
      <w:r w:rsidR="00E5173F" w:rsidRPr="00F96DB8">
        <w:rPr>
          <w:rFonts w:asciiTheme="majorHAnsi" w:eastAsia="Arial" w:hAnsiTheme="majorHAnsi" w:cstheme="majorHAnsi"/>
          <w:color w:val="000000" w:themeColor="text1"/>
          <w:lang w:val="en-GB"/>
        </w:rPr>
        <w:t>ir</w:t>
      </w:r>
      <w:r w:rsidR="00D71BC8" w:rsidRPr="00F96DB8">
        <w:rPr>
          <w:rFonts w:asciiTheme="majorHAnsi" w:eastAsia="Arial" w:hAnsiTheme="majorHAnsi" w:cstheme="majorHAnsi"/>
          <w:color w:val="000000" w:themeColor="text1"/>
          <w:lang w:val="en-GB"/>
        </w:rPr>
        <w:t xml:space="preserve"> original reported </w:t>
      </w:r>
      <w:r w:rsidR="00E5173F" w:rsidRPr="00F96DB8">
        <w:rPr>
          <w:rFonts w:asciiTheme="majorHAnsi" w:eastAsia="Arial" w:hAnsiTheme="majorHAnsi" w:cstheme="majorHAnsi"/>
          <w:color w:val="000000" w:themeColor="text1"/>
          <w:lang w:val="en-GB"/>
        </w:rPr>
        <w:t>proportions</w:t>
      </w:r>
      <w:r w:rsidR="00D71BC8" w:rsidRPr="00F96DB8">
        <w:rPr>
          <w:rFonts w:asciiTheme="majorHAnsi" w:eastAsia="Arial" w:hAnsiTheme="majorHAnsi" w:cstheme="majorHAnsi"/>
          <w:color w:val="000000" w:themeColor="text1"/>
          <w:lang w:val="en-GB"/>
        </w:rPr>
        <w:t xml:space="preserve"> and estimated effective sample size</w:t>
      </w:r>
      <w:r w:rsidR="003D1A8D" w:rsidRPr="00F96DB8">
        <w:rPr>
          <w:rFonts w:asciiTheme="majorHAnsi" w:eastAsia="Arial" w:hAnsiTheme="majorHAnsi" w:cstheme="majorHAnsi"/>
          <w:color w:val="000000" w:themeColor="text1"/>
          <w:lang w:val="en-GB"/>
        </w:rPr>
        <w:t>s</w:t>
      </w:r>
      <w:r w:rsidR="00D71BC8" w:rsidRPr="00F96DB8">
        <w:rPr>
          <w:rFonts w:asciiTheme="majorHAnsi" w:eastAsia="Arial" w:hAnsiTheme="majorHAnsi" w:cstheme="majorHAnsi"/>
          <w:color w:val="000000" w:themeColor="text1"/>
          <w:lang w:val="en-GB"/>
        </w:rPr>
        <w:t>.</w:t>
      </w:r>
    </w:p>
    <w:p w14:paraId="13503F42" w14:textId="77777777" w:rsidR="0062127D" w:rsidRPr="00F96DB8" w:rsidRDefault="0062127D" w:rsidP="00983528">
      <w:pPr>
        <w:spacing w:after="0" w:line="360" w:lineRule="auto"/>
        <w:contextualSpacing/>
        <w:rPr>
          <w:rFonts w:asciiTheme="majorHAnsi" w:eastAsia="Arial" w:hAnsiTheme="majorHAnsi" w:cstheme="majorHAnsi"/>
          <w:color w:val="000000" w:themeColor="text1"/>
          <w:lang w:val="en-GB"/>
        </w:rPr>
      </w:pPr>
    </w:p>
    <w:p w14:paraId="0D065752" w14:textId="24FC8784" w:rsidR="00B44191" w:rsidRPr="00F96DB8" w:rsidRDefault="00B44191" w:rsidP="00B44191">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Bayesian imputation models were fit in R-INLA</w:t>
      </w:r>
      <w:r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{"citationID":"lpnBXt4m","properties":{"formattedCitation":"\\super 14\\nosupersub{}","plainCitation":"14","noteIndex":0},"citationItems":[{"id":"wdkIiMrh/ebzv4Ldv","uris":["http://zotero.org/users/5216175/items/5ALZSZLJ"],"itemData":{"id":3088,"type":"article-journal","abstract":"Summary. Structured additive regression models are perhaps the most commonly used class of models in statistical applications. It includes, among others, (generalized) linear models, (generalized) additive models, smoothing spline models, state space models, semiparametric regression, spatial and spatiotemporal models, log-Gaussian Cox processes and geostatistical and geoadditive models. We consider approximate Bayesian inference in a popular subset of structured additive regression models, latent Gaussian models, where the latent field is Gaussian, controlled by a few hyperparameters and with non-Gaussian response variables. The posterior marginals are not available in closed form owing to the non-Gaussian response variables. For such models, Markov chain Monte Carlo methods can be implemented, but they are not without problems, in terms of both convergence and computational time. In some practical applications, the extent of these problems is such that Markov chain Monte Carlo sampling is simply not an appropriate tool for routine analysis. We show that, by using an integrated nested Laplace approximation and its simplified version, we can directly compute very accurate approximations to the posterior marginals. The main benefit of these approximations is computational: where Markov chain Monte Carlo algorithms need hours or days to run, our approximations provide more precise estimates in seconds or minutes. Another advantage with our approach is its generality, which makes it possible to perform Bayesian analysis in an automatic, streamlined way, and to compute model comparison criteria and various predictive measures so that models can be compared and the model under study can be challenged.","container-title":"Journal of the Royal Statistical Society: Series B (Statistical Methodology)","DOI":"10.1111/j.1467-9868.2008.00700.x","ISSN":"1467-9868","issue":"2","language":"en","note":"_eprint: https://onlinelibrary.wiley.com/doi/pdf/10.1111/j.1467-9868.2008.00700.x","page":"319-392","source":"Wiley Online Library","title":"Approximate Bayesian inference for latent Gaussian models by using integrated nested Laplace approximations","volume":"71","author":[{"family":"Rue","given":"Håvard"},{"family":"Martino","given":"Sara"},{"family":"Chopin","given":"Nicolas"}],"issued":{"date-parts":[["2009"]]}}}],"schema":"https://github.com/citation-style-language/schema/raw/master/csl-citation.json"} </w:instrText>
      </w:r>
      <w:r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14</w:t>
      </w:r>
      <w:r w:rsidRPr="00F96DB8">
        <w:rPr>
          <w:rFonts w:asciiTheme="majorHAnsi" w:eastAsia="Arial" w:hAnsiTheme="majorHAnsi" w:cstheme="majorHAnsi"/>
          <w:color w:val="000000" w:themeColor="text1"/>
          <w:lang w:val="en-GB"/>
        </w:rPr>
        <w:fldChar w:fldCharType="end"/>
      </w:r>
      <w:r w:rsidRPr="00F96DB8">
        <w:rPr>
          <w:rFonts w:asciiTheme="majorHAnsi" w:eastAsia="Arial" w:hAnsiTheme="majorHAnsi" w:cstheme="majorHAnsi"/>
          <w:color w:val="000000" w:themeColor="text1"/>
          <w:lang w:val="en-GB"/>
        </w:rPr>
        <w:t xml:space="preserve"> v.20.09.25 in R v3.5.1</w:t>
      </w:r>
      <w:r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{"citationID":"dhEQPDAt","properties":{"formattedCitation":"\\super 15\\nosupersub{}","plainCitation":"15","noteIndex":0},"citationItems":[{"id":"wdkIiMrh/tODJie47","uris":["http://zotero.org/users/74831/items/9RT5VWTX"],"itemData":{"id":1316,"type":"software","event-place":"Vienna, Austria","publisher":"R Foundation for Statistical Computing","publisher-place":"Vienna, Austria","title":"R: A language and environment for statistical computing.","URL":"https://www.R-project.org/.","author":[{"literal":"R Core Team"}],"issued":{"date-parts":[["2019"]]}}}],"schema":"https://github.com/citation-style-language/schema/raw/master/csl-citation.json"} </w:instrText>
      </w:r>
      <w:r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15</w:t>
      </w:r>
      <w:r w:rsidRPr="00F96DB8">
        <w:rPr>
          <w:rFonts w:asciiTheme="majorHAnsi" w:eastAsia="Arial" w:hAnsiTheme="majorHAnsi" w:cstheme="majorHAnsi"/>
          <w:color w:val="000000" w:themeColor="text1"/>
          <w:lang w:val="en-GB"/>
        </w:rPr>
        <w:fldChar w:fldCharType="end"/>
      </w:r>
      <w:r w:rsidRPr="00F96DB8">
        <w:rPr>
          <w:rFonts w:asciiTheme="majorHAnsi" w:eastAsia="Arial" w:hAnsiTheme="majorHAnsi" w:cstheme="majorHAnsi"/>
          <w:color w:val="000000" w:themeColor="text1"/>
          <w:lang w:val="en-GB"/>
        </w:rPr>
        <w:t xml:space="preserve"> </w:t>
      </w:r>
      <w:r w:rsidR="00A153F2" w:rsidRPr="00F96DB8">
        <w:rPr>
          <w:rFonts w:asciiTheme="majorHAnsi" w:eastAsia="Arial" w:hAnsiTheme="majorHAnsi" w:cstheme="majorHAnsi"/>
          <w:color w:val="000000" w:themeColor="text1"/>
          <w:lang w:val="en-GB"/>
        </w:rPr>
        <w:t>by use of</w:t>
      </w:r>
      <w:r w:rsidRPr="00F96DB8">
        <w:rPr>
          <w:rFonts w:asciiTheme="majorHAnsi" w:eastAsia="Arial" w:hAnsiTheme="majorHAnsi" w:cstheme="majorHAnsi"/>
          <w:color w:val="000000" w:themeColor="text1"/>
          <w:lang w:val="en-GB"/>
        </w:rPr>
        <w:t xml:space="preserve"> binomial likelihood models, and explicitly borrow strength over space, time, and racial</w:t>
      </w:r>
      <w:r w:rsidR="00A153F2" w:rsidRPr="00F96DB8">
        <w:rPr>
          <w:rFonts w:asciiTheme="majorHAnsi" w:eastAsia="Arial" w:hAnsiTheme="majorHAnsi" w:cstheme="majorHAnsi"/>
          <w:color w:val="000000" w:themeColor="text1"/>
          <w:lang w:val="en-GB"/>
        </w:rPr>
        <w:t xml:space="preserve"> and </w:t>
      </w:r>
      <w:r w:rsidRPr="00F96DB8">
        <w:rPr>
          <w:rFonts w:asciiTheme="majorHAnsi" w:eastAsia="Arial" w:hAnsiTheme="majorHAnsi" w:cstheme="majorHAnsi"/>
          <w:color w:val="000000" w:themeColor="text1"/>
          <w:lang w:val="en-GB"/>
        </w:rPr>
        <w:t xml:space="preserve">ethnic </w:t>
      </w:r>
      <w:r w:rsidR="00A153F2" w:rsidRPr="00F96DB8">
        <w:rPr>
          <w:rFonts w:asciiTheme="majorHAnsi" w:eastAsia="Arial" w:hAnsiTheme="majorHAnsi" w:cstheme="majorHAnsi"/>
          <w:color w:val="000000" w:themeColor="text1"/>
          <w:lang w:val="en-GB"/>
        </w:rPr>
        <w:t>population</w:t>
      </w:r>
      <w:r w:rsidRPr="00F96DB8">
        <w:rPr>
          <w:rFonts w:asciiTheme="majorHAnsi" w:eastAsia="Arial" w:hAnsiTheme="majorHAnsi" w:cstheme="majorHAnsi"/>
          <w:color w:val="000000" w:themeColor="text1"/>
          <w:lang w:val="en-GB"/>
        </w:rPr>
        <w:t xml:space="preserve"> in an approach analogous to the small</w:t>
      </w:r>
      <w:r w:rsidR="00AC51AD" w:rsidRPr="00F96DB8">
        <w:rPr>
          <w:rFonts w:asciiTheme="majorHAnsi" w:eastAsia="Arial" w:hAnsiTheme="majorHAnsi" w:cstheme="majorHAnsi"/>
          <w:color w:val="000000" w:themeColor="text1"/>
          <w:lang w:val="en-GB"/>
        </w:rPr>
        <w:t>-</w:t>
      </w:r>
      <w:r w:rsidRPr="00F96DB8">
        <w:rPr>
          <w:rFonts w:asciiTheme="majorHAnsi" w:eastAsia="Arial" w:hAnsiTheme="majorHAnsi" w:cstheme="majorHAnsi"/>
          <w:color w:val="000000" w:themeColor="text1"/>
          <w:lang w:val="en-GB"/>
        </w:rPr>
        <w:t xml:space="preserve">area mortality models: </w:t>
      </w:r>
    </w:p>
    <w:p w14:paraId="5B204259" w14:textId="77777777" w:rsidR="007A6422" w:rsidRPr="00F96DB8" w:rsidRDefault="007A6422" w:rsidP="00983528">
      <w:pPr>
        <w:spacing w:after="0" w:line="360" w:lineRule="auto"/>
        <w:contextualSpacing/>
        <w:rPr>
          <w:rFonts w:asciiTheme="majorHAnsi" w:eastAsia="Arial" w:hAnsiTheme="majorHAnsi" w:cstheme="majorHAnsi"/>
          <w:color w:val="000000" w:themeColor="text1"/>
          <w:lang w:val="en-GB"/>
        </w:rPr>
      </w:pPr>
    </w:p>
    <w:p w14:paraId="2909272B" w14:textId="5486C46C" w:rsidR="006D0AB4" w:rsidRPr="00F96DB8" w:rsidRDefault="007A62BF" w:rsidP="00983528">
      <w:pPr>
        <w:spacing w:after="0" w:line="360" w:lineRule="auto"/>
        <w:contextualSpacing/>
        <w:jc w:val="center"/>
        <w:rPr>
          <w:rFonts w:asciiTheme="majorHAnsi" w:eastAsia="Arial" w:hAnsiTheme="majorHAnsi" w:cstheme="majorHAnsi"/>
          <w:color w:val="000000" w:themeColor="text1"/>
          <w:lang w:val="en-GB"/>
        </w:rPr>
      </w:pPr>
      <m:oMathPara>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Y</m:t>
              </m:r>
            </m:e>
            <m:sub>
              <m:r>
                <w:rPr>
                  <w:rFonts w:ascii="Cambria Math" w:eastAsia="Arial" w:hAnsi="Cambria Math" w:cstheme="majorHAnsi"/>
                  <w:color w:val="000000" w:themeColor="text1"/>
                  <w:lang w:val="en-GB"/>
                </w:rPr>
                <m:t>j,t,r</m:t>
              </m:r>
            </m:sub>
          </m:sSub>
          <m:r>
            <w:rPr>
              <w:rFonts w:ascii="Cambria Math" w:eastAsia="Arial" w:hAnsi="Cambria Math" w:cstheme="majorHAnsi"/>
              <w:color w:val="000000" w:themeColor="text1"/>
              <w:lang w:val="en-GB"/>
            </w:rPr>
            <m:t xml:space="preserve"> ~ </m:t>
          </m:r>
          <m:r>
            <m:rPr>
              <m:sty m:val="p"/>
            </m:rPr>
            <w:rPr>
              <w:rFonts w:ascii="Cambria Math" w:eastAsia="Arial" w:hAnsi="Cambria Math" w:cstheme="majorHAnsi"/>
              <w:color w:val="000000" w:themeColor="text1"/>
              <w:lang w:val="en-GB"/>
            </w:rPr>
            <m:t>Binomial(</m:t>
          </m:r>
          <m:sSub>
            <m:sSubPr>
              <m:ctrlPr>
                <w:rPr>
                  <w:rFonts w:ascii="Cambria Math" w:eastAsia="Arial" w:hAnsi="Cambria Math" w:cstheme="majorHAnsi"/>
                  <w:color w:val="000000" w:themeColor="text1"/>
                  <w:lang w:val="en-GB"/>
                </w:rPr>
              </m:ctrlPr>
            </m:sSubPr>
            <m:e>
              <m:r>
                <w:rPr>
                  <w:rFonts w:ascii="Cambria Math" w:eastAsia="Arial" w:hAnsi="Cambria Math" w:cstheme="majorHAnsi"/>
                  <w:color w:val="000000" w:themeColor="text1"/>
                  <w:lang w:val="en-GB"/>
                </w:rPr>
                <m:t>p</m:t>
              </m:r>
            </m:e>
            <m:sub>
              <m:r>
                <w:rPr>
                  <w:rFonts w:ascii="Cambria Math" w:eastAsia="Arial" w:hAnsi="Cambria Math" w:cstheme="majorHAnsi"/>
                  <w:color w:val="000000" w:themeColor="text1"/>
                  <w:lang w:val="en-GB"/>
                </w:rPr>
                <m:t>j,t,r</m:t>
              </m:r>
            </m:sub>
          </m:sSub>
          <m:r>
            <m:rPr>
              <m:sty m:val="p"/>
            </m:rPr>
            <w:rPr>
              <w:rFonts w:ascii="Cambria Math" w:eastAsia="Arial" w:hAnsi="Cambria Math" w:cstheme="majorHAnsi"/>
              <w:color w:val="000000" w:themeColor="text1"/>
              <w:lang w:val="en-GB"/>
            </w:rPr>
            <m:t xml:space="preserve">, </m:t>
          </m:r>
          <m:sSub>
            <m:sSubPr>
              <m:ctrlPr>
                <w:rPr>
                  <w:rFonts w:ascii="Cambria Math" w:eastAsia="Arial" w:hAnsi="Cambria Math" w:cstheme="majorHAnsi"/>
                  <w:i/>
                  <w:color w:val="000000" w:themeColor="text1"/>
                  <w:lang w:val="en-GB"/>
                </w:rPr>
              </m:ctrlPr>
            </m:sSubPr>
            <m:e>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n</m:t>
                  </m:r>
                </m:e>
              </m:acc>
            </m:e>
            <m:sub>
              <m:r>
                <w:rPr>
                  <w:rFonts w:ascii="Cambria Math" w:eastAsia="Arial" w:hAnsi="Cambria Math" w:cstheme="majorHAnsi"/>
                  <w:color w:val="000000" w:themeColor="text1"/>
                  <w:lang w:val="en-GB"/>
                </w:rPr>
                <m:t>eff,j,t,r</m:t>
              </m:r>
            </m:sub>
          </m:sSub>
          <m:r>
            <m:rPr>
              <m:sty m:val="p"/>
            </m:rPr>
            <w:rPr>
              <w:rFonts w:ascii="Cambria Math" w:eastAsia="Arial" w:hAnsi="Cambria Math" w:cstheme="majorHAnsi"/>
              <w:color w:val="000000" w:themeColor="text1"/>
              <w:lang w:val="en-GB"/>
            </w:rPr>
            <m:t>)</m:t>
          </m:r>
        </m:oMath>
      </m:oMathPara>
    </w:p>
    <w:p w14:paraId="3538E6CB" w14:textId="72E50952" w:rsidR="00A91F73" w:rsidRPr="00F96DB8" w:rsidRDefault="0000302E" w:rsidP="00983528">
      <w:pPr>
        <w:spacing w:after="0" w:line="360" w:lineRule="auto"/>
        <w:contextualSpacing/>
        <w:jc w:val="center"/>
        <w:rPr>
          <w:rFonts w:asciiTheme="majorHAnsi" w:eastAsia="Arial" w:hAnsiTheme="majorHAnsi" w:cstheme="majorHAnsi"/>
          <w:color w:val="000000" w:themeColor="text1"/>
          <w:lang w:val="en-GB"/>
        </w:rPr>
      </w:pPr>
      <m:oMathPara>
        <m:oMath>
          <m:r>
            <m:rPr>
              <m:sty m:val="p"/>
            </m:rPr>
            <w:rPr>
              <w:rFonts w:ascii="Cambria Math" w:eastAsia="Arial" w:hAnsi="Cambria Math" w:cstheme="majorHAnsi"/>
              <w:color w:val="000000" w:themeColor="text1"/>
              <w:lang w:val="en-GB"/>
            </w:rPr>
            <m:t>logit</m:t>
          </m:r>
          <m:d>
            <m:dPr>
              <m:ctrlPr>
                <w:rPr>
                  <w:rFonts w:ascii="Cambria Math" w:eastAsia="Arial" w:hAnsi="Cambria Math" w:cstheme="majorHAnsi"/>
                  <w:i/>
                  <w:color w:val="000000" w:themeColor="text1"/>
                  <w:lang w:val="en-GB"/>
                </w:rPr>
              </m:ctrlPr>
            </m:dPr>
            <m:e>
              <m:sSub>
                <m:sSubPr>
                  <m:ctrlPr>
                    <w:rPr>
                      <w:rFonts w:ascii="Cambria Math" w:eastAsia="Arial" w:hAnsi="Cambria Math" w:cstheme="majorHAnsi"/>
                      <w:color w:val="000000" w:themeColor="text1"/>
                      <w:lang w:val="en-GB"/>
                    </w:rPr>
                  </m:ctrlPr>
                </m:sSubPr>
                <m:e>
                  <m:r>
                    <w:rPr>
                      <w:rFonts w:ascii="Cambria Math" w:eastAsia="Arial" w:hAnsi="Cambria Math" w:cstheme="majorHAnsi"/>
                      <w:color w:val="000000" w:themeColor="text1"/>
                      <w:lang w:val="en-GB"/>
                    </w:rPr>
                    <m:t>p</m:t>
                  </m:r>
                </m:e>
                <m:sub>
                  <m:r>
                    <w:rPr>
                      <w:rFonts w:ascii="Cambria Math" w:eastAsia="Arial" w:hAnsi="Cambria Math" w:cstheme="majorHAnsi"/>
                      <w:color w:val="000000" w:themeColor="text1"/>
                      <w:lang w:val="en-GB"/>
                    </w:rPr>
                    <m:t>j,t,r</m:t>
                  </m:r>
                </m:sub>
              </m:sSub>
            </m:e>
          </m:d>
          <m:r>
            <w:rPr>
              <w:rFonts w:ascii="Cambria Math" w:eastAsia="Arial" w:hAnsi="Cambria Math" w:cstheme="majorHAnsi"/>
              <w:color w:val="000000" w:themeColor="text1"/>
              <w:lang w:val="en-GB"/>
            </w:rPr>
            <m:t xml:space="preserve">= </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β</m:t>
              </m:r>
            </m:e>
            <m:sub>
              <m:r>
                <w:rPr>
                  <w:rFonts w:ascii="Cambria Math" w:eastAsia="Arial" w:hAnsi="Cambria Math" w:cstheme="majorHAnsi"/>
                  <w:color w:val="000000" w:themeColor="text1"/>
                  <w:lang w:val="en-GB"/>
                </w:rPr>
                <m:t>0</m:t>
              </m:r>
            </m:sub>
          </m:sSub>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1,j</m:t>
              </m:r>
            </m:sub>
          </m:sSub>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2,j,t,r</m:t>
              </m:r>
            </m:sub>
          </m:sSub>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3,j,t</m:t>
              </m:r>
            </m:sub>
          </m:sSub>
          <m:r>
            <w:rPr>
              <w:rFonts w:ascii="Cambria Math" w:eastAsia="Arial" w:hAnsi="Cambria Math" w:cstheme="majorHAnsi"/>
              <w:color w:val="000000" w:themeColor="text1"/>
              <w:lang w:val="en-GB"/>
            </w:rPr>
            <m:t>+</m:t>
          </m:r>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4,r</m:t>
              </m:r>
            </m:sub>
          </m:sSub>
        </m:oMath>
      </m:oMathPara>
    </w:p>
    <w:p w14:paraId="2BBFB2B8" w14:textId="3954FC04" w:rsidR="007A6422" w:rsidRPr="00F96DB8" w:rsidRDefault="007A6422" w:rsidP="00983528">
      <w:pPr>
        <w:spacing w:after="0" w:line="360" w:lineRule="auto"/>
        <w:contextualSpacing/>
        <w:rPr>
          <w:rFonts w:asciiTheme="majorHAnsi" w:eastAsia="Arial" w:hAnsiTheme="majorHAnsi" w:cstheme="majorHAnsi"/>
          <w:color w:val="000000" w:themeColor="text1"/>
          <w:lang w:val="en-GB"/>
        </w:rPr>
      </w:pPr>
    </w:p>
    <w:p w14:paraId="23F0B835" w14:textId="6D848330" w:rsidR="00AB56D5" w:rsidRPr="00F96DB8" w:rsidRDefault="00AB56D5" w:rsidP="00AB56D5">
      <w:pPr>
        <w:spacing w:after="0" w:line="360" w:lineRule="auto"/>
        <w:contextualSpacing/>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 xml:space="preserve">where </w:t>
      </w: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Y</m:t>
            </m:r>
          </m:e>
          <m:sub>
            <m:r>
              <w:rPr>
                <w:rFonts w:ascii="Cambria Math" w:eastAsia="Arial" w:hAnsi="Cambria Math" w:cstheme="majorHAnsi"/>
                <w:color w:val="000000" w:themeColor="text1"/>
                <w:lang w:val="en-GB"/>
              </w:rPr>
              <m:t>j,t,r</m:t>
            </m:r>
          </m:sub>
        </m:sSub>
      </m:oMath>
      <w:r w:rsidRPr="00F96DB8">
        <w:rPr>
          <w:rFonts w:asciiTheme="majorHAnsi" w:eastAsia="Arial" w:hAnsiTheme="majorHAnsi" w:cstheme="majorHAnsi"/>
          <w:color w:val="000000" w:themeColor="text1"/>
          <w:lang w:val="en-GB"/>
        </w:rPr>
        <w:t xml:space="preserve"> is the estimated count of individuals in county </w:t>
      </w:r>
      <w:r w:rsidRPr="00F96DB8">
        <w:rPr>
          <w:rFonts w:asciiTheme="majorHAnsi" w:eastAsia="Arial" w:hAnsiTheme="majorHAnsi" w:cstheme="majorHAnsi"/>
          <w:i/>
          <w:color w:val="000000" w:themeColor="text1"/>
          <w:lang w:val="en-GB"/>
        </w:rPr>
        <w:t>j</w:t>
      </w:r>
      <w:r w:rsidRPr="00F96DB8">
        <w:rPr>
          <w:rFonts w:asciiTheme="majorHAnsi" w:eastAsia="Arial" w:hAnsiTheme="majorHAnsi" w:cstheme="majorHAnsi"/>
          <w:color w:val="000000" w:themeColor="text1"/>
          <w:lang w:val="en-GB"/>
        </w:rPr>
        <w:t xml:space="preserve">, year </w:t>
      </w:r>
      <w:r w:rsidRPr="00F96DB8">
        <w:rPr>
          <w:rFonts w:asciiTheme="majorHAnsi" w:eastAsia="Arial" w:hAnsiTheme="majorHAnsi" w:cstheme="majorHAnsi"/>
          <w:i/>
          <w:color w:val="000000" w:themeColor="text1"/>
          <w:lang w:val="en-GB"/>
        </w:rPr>
        <w:t>t</w:t>
      </w:r>
      <w:r w:rsidRPr="00F96DB8">
        <w:rPr>
          <w:rFonts w:asciiTheme="majorHAnsi" w:eastAsia="Arial" w:hAnsiTheme="majorHAnsi" w:cstheme="majorHAnsi"/>
          <w:color w:val="000000" w:themeColor="text1"/>
          <w:lang w:val="en-GB"/>
        </w:rPr>
        <w:t xml:space="preserve">, and </w:t>
      </w:r>
      <w:r w:rsidR="009579DB" w:rsidRPr="00F96DB8">
        <w:rPr>
          <w:rFonts w:asciiTheme="majorHAnsi" w:eastAsia="Arial" w:hAnsiTheme="majorHAnsi" w:cstheme="majorHAnsi"/>
          <w:color w:val="000000" w:themeColor="text1"/>
          <w:lang w:val="en-GB"/>
        </w:rPr>
        <w:t>racial and ethnic population</w:t>
      </w:r>
      <w:r w:rsidRPr="00F96DB8">
        <w:rPr>
          <w:rFonts w:asciiTheme="majorHAnsi" w:eastAsia="Arial" w:hAnsiTheme="majorHAnsi" w:cstheme="majorHAnsi"/>
          <w:color w:val="000000" w:themeColor="text1"/>
          <w:lang w:val="en-GB"/>
        </w:rPr>
        <w:t xml:space="preserve"> </w:t>
      </w:r>
      <w:r w:rsidRPr="00F96DB8">
        <w:rPr>
          <w:rFonts w:asciiTheme="majorHAnsi" w:eastAsia="Arial" w:hAnsiTheme="majorHAnsi" w:cstheme="majorHAnsi"/>
          <w:i/>
          <w:color w:val="000000" w:themeColor="text1"/>
          <w:lang w:val="en-GB"/>
        </w:rPr>
        <w:t>r</w:t>
      </w:r>
      <w:r w:rsidRPr="00F96DB8">
        <w:rPr>
          <w:rFonts w:asciiTheme="majorHAnsi" w:eastAsia="Arial" w:hAnsiTheme="majorHAnsi" w:cstheme="majorHAnsi"/>
          <w:color w:val="000000" w:themeColor="text1"/>
          <w:lang w:val="en-GB"/>
        </w:rPr>
        <w:t xml:space="preserve"> with the modelled outcome, among an effective sample size of </w:t>
      </w:r>
      <m:oMath>
        <m:sSub>
          <m:sSubPr>
            <m:ctrlPr>
              <w:rPr>
                <w:rFonts w:ascii="Cambria Math" w:eastAsia="Arial" w:hAnsi="Cambria Math" w:cstheme="majorHAnsi"/>
                <w:i/>
                <w:color w:val="000000" w:themeColor="text1"/>
                <w:lang w:val="en-GB"/>
              </w:rPr>
            </m:ctrlPr>
          </m:sSubPr>
          <m:e>
            <m:acc>
              <m:accPr>
                <m:ctrlPr>
                  <w:rPr>
                    <w:rFonts w:ascii="Cambria Math" w:eastAsia="Arial" w:hAnsi="Cambria Math" w:cstheme="majorHAnsi"/>
                    <w:i/>
                    <w:color w:val="000000" w:themeColor="text1"/>
                    <w:lang w:val="en-GB"/>
                  </w:rPr>
                </m:ctrlPr>
              </m:accPr>
              <m:e>
                <m:r>
                  <w:rPr>
                    <w:rFonts w:ascii="Cambria Math" w:eastAsia="Arial" w:hAnsi="Cambria Math" w:cstheme="majorHAnsi"/>
                    <w:color w:val="000000" w:themeColor="text1"/>
                    <w:lang w:val="en-GB"/>
                  </w:rPr>
                  <m:t>n</m:t>
                </m:r>
              </m:e>
            </m:acc>
          </m:e>
          <m:sub>
            <m:r>
              <w:rPr>
                <w:rFonts w:ascii="Cambria Math" w:eastAsia="Arial" w:hAnsi="Cambria Math" w:cstheme="majorHAnsi"/>
                <w:color w:val="000000" w:themeColor="text1"/>
                <w:lang w:val="en-GB"/>
              </w:rPr>
              <m:t>eff,j,t,r</m:t>
            </m:r>
          </m:sub>
        </m:sSub>
      </m:oMath>
      <w:r w:rsidRPr="00F96DB8">
        <w:rPr>
          <w:rFonts w:asciiTheme="majorHAnsi" w:eastAsia="Arial" w:hAnsiTheme="majorHAnsi" w:cstheme="majorHAnsi"/>
          <w:color w:val="000000" w:themeColor="text1"/>
          <w:lang w:val="en-GB"/>
        </w:rPr>
        <w:t xml:space="preserve"> with proportion </w:t>
      </w:r>
      <m:oMath>
        <m:sSub>
          <m:sSubPr>
            <m:ctrlPr>
              <w:rPr>
                <w:rFonts w:ascii="Cambria Math" w:eastAsia="Arial" w:hAnsi="Cambria Math" w:cstheme="majorHAnsi"/>
                <w:color w:val="000000" w:themeColor="text1"/>
                <w:lang w:val="en-GB"/>
              </w:rPr>
            </m:ctrlPr>
          </m:sSubPr>
          <m:e>
            <m:r>
              <w:rPr>
                <w:rFonts w:ascii="Cambria Math" w:eastAsia="Arial" w:hAnsi="Cambria Math" w:cstheme="majorHAnsi"/>
                <w:color w:val="000000" w:themeColor="text1"/>
                <w:lang w:val="en-GB"/>
              </w:rPr>
              <m:t>p</m:t>
            </m:r>
          </m:e>
          <m:sub>
            <m:r>
              <w:rPr>
                <w:rFonts w:ascii="Cambria Math" w:eastAsia="Arial" w:hAnsi="Cambria Math" w:cstheme="majorHAnsi"/>
                <w:color w:val="000000" w:themeColor="text1"/>
                <w:lang w:val="en-GB"/>
              </w:rPr>
              <m:t>i,t,r</m:t>
            </m:r>
          </m:sub>
        </m:sSub>
      </m:oMath>
      <w:r w:rsidRPr="00F96DB8">
        <w:rPr>
          <w:rFonts w:asciiTheme="majorHAnsi" w:eastAsia="Arial" w:hAnsiTheme="majorHAnsi" w:cstheme="majorHAnsi"/>
          <w:color w:val="000000" w:themeColor="text1"/>
          <w:lang w:val="en-GB"/>
        </w:rPr>
        <w:t>. Model terms consist of:</w:t>
      </w:r>
    </w:p>
    <w:p w14:paraId="64D79E72" w14:textId="51D8A55A" w:rsidR="00AB56D5" w:rsidRPr="00F96DB8" w:rsidRDefault="007A62BF" w:rsidP="00AB56D5">
      <w:pPr>
        <w:numPr>
          <w:ilvl w:val="0"/>
          <w:numId w:val="19"/>
        </w:numPr>
        <w:spacing w:after="0" w:line="360" w:lineRule="auto"/>
        <w:rPr>
          <w:rFonts w:asciiTheme="majorHAnsi" w:eastAsia="Arial" w:hAnsiTheme="majorHAnsi" w:cstheme="majorHAnsi"/>
          <w:color w:val="000000" w:themeColor="text1"/>
          <w:lang w:val="en-GB"/>
        </w:rPr>
      </w:pP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β</m:t>
            </m:r>
          </m:e>
          <m:sub>
            <m:r>
              <w:rPr>
                <w:rFonts w:ascii="Cambria Math" w:eastAsia="Arial" w:hAnsi="Cambria Math" w:cstheme="majorHAnsi"/>
                <w:color w:val="000000" w:themeColor="text1"/>
                <w:lang w:val="en-GB"/>
              </w:rPr>
              <m:t>0</m:t>
            </m:r>
          </m:sub>
        </m:sSub>
      </m:oMath>
      <w:r w:rsidR="00A153F2" w:rsidRPr="00F96DB8">
        <w:rPr>
          <w:rFonts w:asciiTheme="majorHAnsi" w:eastAsia="Arial" w:hAnsiTheme="majorHAnsi" w:cstheme="majorHAnsi"/>
          <w:color w:val="000000" w:themeColor="text1"/>
          <w:lang w:val="en-GB"/>
        </w:rPr>
        <w:t xml:space="preserve"> is</w:t>
      </w:r>
      <w:r w:rsidR="00AB56D5" w:rsidRPr="00F96DB8">
        <w:rPr>
          <w:rFonts w:asciiTheme="majorHAnsi" w:eastAsia="Arial" w:hAnsiTheme="majorHAnsi" w:cstheme="majorHAnsi"/>
          <w:color w:val="000000" w:themeColor="text1"/>
          <w:lang w:val="en-GB"/>
        </w:rPr>
        <w:t xml:space="preserve"> a global </w:t>
      </w:r>
      <w:proofErr w:type="gramStart"/>
      <w:r w:rsidR="00AB56D5" w:rsidRPr="00F96DB8">
        <w:rPr>
          <w:rFonts w:asciiTheme="majorHAnsi" w:eastAsia="Arial" w:hAnsiTheme="majorHAnsi" w:cstheme="majorHAnsi"/>
          <w:color w:val="000000" w:themeColor="text1"/>
          <w:lang w:val="en-GB"/>
        </w:rPr>
        <w:t>intercept;</w:t>
      </w:r>
      <w:proofErr w:type="gramEnd"/>
      <w:r w:rsidR="00AB56D5" w:rsidRPr="00F96DB8">
        <w:rPr>
          <w:rFonts w:asciiTheme="majorHAnsi" w:eastAsia="Arial" w:hAnsiTheme="majorHAnsi" w:cstheme="majorHAnsi"/>
          <w:color w:val="000000" w:themeColor="text1"/>
          <w:lang w:val="en-GB"/>
        </w:rPr>
        <w:t xml:space="preserve"> </w:t>
      </w:r>
    </w:p>
    <w:p w14:paraId="3EE66969" w14:textId="6EB76071" w:rsidR="00AB56D5" w:rsidRPr="00F96DB8" w:rsidRDefault="007A62BF" w:rsidP="00AB56D5">
      <w:pPr>
        <w:numPr>
          <w:ilvl w:val="0"/>
          <w:numId w:val="19"/>
        </w:numPr>
        <w:spacing w:after="0" w:line="360" w:lineRule="auto"/>
        <w:rPr>
          <w:rFonts w:asciiTheme="majorHAnsi" w:eastAsia="Arial" w:hAnsiTheme="majorHAnsi" w:cstheme="majorHAnsi"/>
          <w:color w:val="000000" w:themeColor="text1"/>
          <w:lang w:val="en-GB"/>
        </w:rPr>
      </w:pP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1,j</m:t>
            </m:r>
          </m:sub>
        </m:sSub>
      </m:oMath>
      <w:r w:rsidR="00A153F2" w:rsidRPr="00F96DB8">
        <w:rPr>
          <w:rFonts w:asciiTheme="majorHAnsi" w:eastAsia="Arial" w:hAnsiTheme="majorHAnsi" w:cstheme="majorHAnsi"/>
          <w:color w:val="000000" w:themeColor="text1"/>
          <w:lang w:val="en-GB"/>
        </w:rPr>
        <w:t xml:space="preserve"> is</w:t>
      </w:r>
      <w:r w:rsidR="00AB56D5" w:rsidRPr="00F96DB8">
        <w:rPr>
          <w:rFonts w:asciiTheme="majorHAnsi" w:eastAsia="Arial" w:hAnsiTheme="majorHAnsi" w:cstheme="majorHAnsi"/>
          <w:color w:val="000000" w:themeColor="text1"/>
          <w:lang w:val="en-GB"/>
        </w:rPr>
        <w:t xml:space="preserve"> a random </w:t>
      </w:r>
      <w:r w:rsidR="00A153F2" w:rsidRPr="00F96DB8">
        <w:rPr>
          <w:rFonts w:asciiTheme="majorHAnsi" w:eastAsia="Arial" w:hAnsiTheme="majorHAnsi" w:cstheme="majorHAnsi"/>
          <w:color w:val="000000" w:themeColor="text1"/>
          <w:lang w:val="en-GB"/>
        </w:rPr>
        <w:t>intercept for county</w:t>
      </w:r>
      <w:r w:rsidR="00AB56D5" w:rsidRPr="00F96DB8">
        <w:rPr>
          <w:rFonts w:asciiTheme="majorHAnsi" w:eastAsia="Arial" w:hAnsiTheme="majorHAnsi" w:cstheme="majorHAnsi"/>
          <w:color w:val="000000" w:themeColor="text1"/>
          <w:lang w:val="en-GB"/>
        </w:rPr>
        <w:t xml:space="preserve"> with a </w:t>
      </w:r>
      <w:proofErr w:type="spellStart"/>
      <w:r w:rsidR="00AB56D5" w:rsidRPr="00F96DB8">
        <w:rPr>
          <w:rFonts w:asciiTheme="majorHAnsi" w:eastAsia="Arial" w:hAnsiTheme="majorHAnsi" w:cstheme="majorHAnsi"/>
          <w:color w:val="000000" w:themeColor="text1"/>
          <w:lang w:val="en-GB"/>
        </w:rPr>
        <w:t>Besag</w:t>
      </w:r>
      <w:proofErr w:type="spellEnd"/>
      <w:r w:rsidR="00AB56D5" w:rsidRPr="00F96DB8">
        <w:rPr>
          <w:rFonts w:asciiTheme="majorHAnsi" w:eastAsia="Arial" w:hAnsiTheme="majorHAnsi" w:cstheme="majorHAnsi"/>
          <w:color w:val="000000" w:themeColor="text1"/>
          <w:lang w:val="en-GB"/>
        </w:rPr>
        <w:t xml:space="preserve">-York-Mollie-type prior (BYM2) combining a conditional autoregressive distribution for spatial autocorrelation, based on county adjacency, with independent-and-identically-distributed (IID) Gaussian </w:t>
      </w:r>
      <w:proofErr w:type="gramStart"/>
      <w:r w:rsidR="00AB56D5" w:rsidRPr="00F96DB8">
        <w:rPr>
          <w:rFonts w:asciiTheme="majorHAnsi" w:eastAsia="Arial" w:hAnsiTheme="majorHAnsi" w:cstheme="majorHAnsi"/>
          <w:color w:val="000000" w:themeColor="text1"/>
          <w:lang w:val="en-GB"/>
        </w:rPr>
        <w:t>distribution;</w:t>
      </w:r>
      <w:proofErr w:type="gramEnd"/>
      <w:r w:rsidR="00AB56D5" w:rsidRPr="00F96DB8">
        <w:rPr>
          <w:rFonts w:asciiTheme="majorHAnsi" w:eastAsia="Arial" w:hAnsiTheme="majorHAnsi" w:cstheme="majorHAnsi"/>
          <w:color w:val="000000" w:themeColor="text1"/>
          <w:lang w:val="en-GB"/>
        </w:rPr>
        <w:t xml:space="preserve"> </w:t>
      </w:r>
    </w:p>
    <w:p w14:paraId="2866AD80" w14:textId="779A7BDC" w:rsidR="00AB56D5" w:rsidRPr="00F96DB8" w:rsidRDefault="007A62BF" w:rsidP="00AB56D5">
      <w:pPr>
        <w:numPr>
          <w:ilvl w:val="0"/>
          <w:numId w:val="19"/>
        </w:numPr>
        <w:spacing w:after="0" w:line="360" w:lineRule="auto"/>
        <w:rPr>
          <w:rFonts w:asciiTheme="majorHAnsi" w:eastAsia="Arial" w:hAnsiTheme="majorHAnsi" w:cstheme="majorHAnsi"/>
          <w:color w:val="000000" w:themeColor="text1"/>
          <w:lang w:val="en-GB"/>
        </w:rPr>
      </w:pP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2,j,t,r</m:t>
            </m:r>
          </m:sub>
        </m:sSub>
      </m:oMath>
      <w:r w:rsidR="00A153F2" w:rsidRPr="00F96DB8">
        <w:rPr>
          <w:rFonts w:asciiTheme="majorHAnsi" w:eastAsia="Arial" w:hAnsiTheme="majorHAnsi" w:cstheme="majorHAnsi"/>
          <w:color w:val="000000" w:themeColor="text1"/>
          <w:lang w:val="en-GB"/>
        </w:rPr>
        <w:t xml:space="preserve"> is</w:t>
      </w:r>
      <w:r w:rsidR="00AB56D5" w:rsidRPr="00F96DB8">
        <w:rPr>
          <w:rFonts w:asciiTheme="majorHAnsi" w:eastAsia="Arial" w:hAnsiTheme="majorHAnsi" w:cstheme="majorHAnsi"/>
          <w:color w:val="000000" w:themeColor="text1"/>
          <w:lang w:val="en-GB"/>
        </w:rPr>
        <w:t xml:space="preserve"> a </w:t>
      </w:r>
      <w:r w:rsidR="00A153F2" w:rsidRPr="00F96DB8">
        <w:rPr>
          <w:rFonts w:asciiTheme="majorHAnsi" w:eastAsia="Arial" w:hAnsiTheme="majorHAnsi" w:cstheme="majorHAnsi"/>
          <w:color w:val="000000" w:themeColor="text1"/>
          <w:lang w:val="en-GB"/>
        </w:rPr>
        <w:t xml:space="preserve">random intercept for </w:t>
      </w:r>
      <w:r w:rsidR="00AB56D5" w:rsidRPr="00F96DB8">
        <w:rPr>
          <w:rFonts w:asciiTheme="majorHAnsi" w:eastAsia="Arial" w:hAnsiTheme="majorHAnsi" w:cstheme="majorHAnsi"/>
          <w:color w:val="000000" w:themeColor="text1"/>
          <w:lang w:val="en-GB"/>
        </w:rPr>
        <w:t>county, racial</w:t>
      </w:r>
      <w:r w:rsidR="00A153F2" w:rsidRPr="00F96DB8">
        <w:rPr>
          <w:rFonts w:asciiTheme="majorHAnsi" w:eastAsia="Arial" w:hAnsiTheme="majorHAnsi" w:cstheme="majorHAnsi"/>
          <w:color w:val="000000" w:themeColor="text1"/>
          <w:lang w:val="en-GB"/>
        </w:rPr>
        <w:t xml:space="preserve"> and </w:t>
      </w:r>
      <w:r w:rsidR="00AB56D5" w:rsidRPr="00F96DB8">
        <w:rPr>
          <w:rFonts w:asciiTheme="majorHAnsi" w:eastAsia="Arial" w:hAnsiTheme="majorHAnsi" w:cstheme="majorHAnsi"/>
          <w:color w:val="000000" w:themeColor="text1"/>
          <w:lang w:val="en-GB"/>
        </w:rPr>
        <w:t xml:space="preserve">ethnic </w:t>
      </w:r>
      <w:r w:rsidR="00A153F2" w:rsidRPr="00F96DB8">
        <w:rPr>
          <w:rFonts w:asciiTheme="majorHAnsi" w:eastAsia="Arial" w:hAnsiTheme="majorHAnsi" w:cstheme="majorHAnsi"/>
          <w:color w:val="000000" w:themeColor="text1"/>
          <w:lang w:val="en-GB"/>
        </w:rPr>
        <w:t>population</w:t>
      </w:r>
      <w:r w:rsidR="00AB56D5" w:rsidRPr="00F96DB8">
        <w:rPr>
          <w:rFonts w:asciiTheme="majorHAnsi" w:eastAsia="Arial" w:hAnsiTheme="majorHAnsi" w:cstheme="majorHAnsi"/>
          <w:color w:val="000000" w:themeColor="text1"/>
          <w:lang w:val="en-GB"/>
        </w:rPr>
        <w:t xml:space="preserve">, and year </w:t>
      </w:r>
      <w:r w:rsidR="0068378D" w:rsidRPr="00F96DB8">
        <w:rPr>
          <w:rFonts w:asciiTheme="majorHAnsi" w:eastAsia="Arial" w:hAnsiTheme="majorHAnsi" w:cstheme="majorHAnsi"/>
          <w:color w:val="000000" w:themeColor="text1"/>
          <w:lang w:val="en-GB"/>
        </w:rPr>
        <w:t>combinations</w:t>
      </w:r>
      <w:r w:rsidR="00AB56D5" w:rsidRPr="00F96DB8">
        <w:rPr>
          <w:rFonts w:asciiTheme="majorHAnsi" w:eastAsia="Arial" w:hAnsiTheme="majorHAnsi" w:cstheme="majorHAnsi"/>
          <w:color w:val="000000" w:themeColor="text1"/>
          <w:lang w:val="en-GB"/>
        </w:rPr>
        <w:t xml:space="preserve"> with a first-order autoregressive (AR1) temporal prior, grouped by county and racial</w:t>
      </w:r>
      <w:r w:rsidR="0068378D" w:rsidRPr="00F96DB8">
        <w:rPr>
          <w:rFonts w:asciiTheme="majorHAnsi" w:eastAsia="Arial" w:hAnsiTheme="majorHAnsi" w:cstheme="majorHAnsi"/>
          <w:color w:val="000000" w:themeColor="text1"/>
          <w:lang w:val="en-GB"/>
        </w:rPr>
        <w:t xml:space="preserve"> and </w:t>
      </w:r>
      <w:r w:rsidR="00AB56D5" w:rsidRPr="00F96DB8">
        <w:rPr>
          <w:rFonts w:asciiTheme="majorHAnsi" w:eastAsia="Arial" w:hAnsiTheme="majorHAnsi" w:cstheme="majorHAnsi"/>
          <w:color w:val="000000" w:themeColor="text1"/>
          <w:lang w:val="en-GB"/>
        </w:rPr>
        <w:t xml:space="preserve">ethnic </w:t>
      </w:r>
      <w:proofErr w:type="gramStart"/>
      <w:r w:rsidR="0068378D" w:rsidRPr="00F96DB8">
        <w:rPr>
          <w:rFonts w:asciiTheme="majorHAnsi" w:eastAsia="Arial" w:hAnsiTheme="majorHAnsi" w:cstheme="majorHAnsi"/>
          <w:color w:val="000000" w:themeColor="text1"/>
          <w:lang w:val="en-GB"/>
        </w:rPr>
        <w:t>population</w:t>
      </w:r>
      <w:r w:rsidR="00AB56D5" w:rsidRPr="00F96DB8">
        <w:rPr>
          <w:rFonts w:asciiTheme="majorHAnsi" w:eastAsia="Arial" w:hAnsiTheme="majorHAnsi" w:cstheme="majorHAnsi"/>
          <w:color w:val="000000" w:themeColor="text1"/>
          <w:lang w:val="en-GB"/>
        </w:rPr>
        <w:t>;</w:t>
      </w:r>
      <w:proofErr w:type="gramEnd"/>
      <w:r w:rsidR="00AB56D5" w:rsidRPr="00F96DB8">
        <w:rPr>
          <w:rFonts w:asciiTheme="majorHAnsi" w:eastAsia="Arial" w:hAnsiTheme="majorHAnsi" w:cstheme="majorHAnsi"/>
          <w:color w:val="000000" w:themeColor="text1"/>
          <w:lang w:val="en-GB"/>
        </w:rPr>
        <w:t xml:space="preserve"> </w:t>
      </w:r>
    </w:p>
    <w:p w14:paraId="061ABE80" w14:textId="29BFC284" w:rsidR="00AB56D5" w:rsidRPr="00F96DB8" w:rsidRDefault="007A62BF" w:rsidP="00AB56D5">
      <w:pPr>
        <w:numPr>
          <w:ilvl w:val="0"/>
          <w:numId w:val="19"/>
        </w:numPr>
        <w:spacing w:after="0" w:line="360" w:lineRule="auto"/>
        <w:rPr>
          <w:rFonts w:asciiTheme="majorHAnsi" w:eastAsia="Arial" w:hAnsiTheme="majorHAnsi" w:cstheme="majorHAnsi"/>
          <w:color w:val="000000" w:themeColor="text1"/>
          <w:lang w:val="en-GB"/>
        </w:rPr>
      </w:pP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3,j,t</m:t>
            </m:r>
          </m:sub>
        </m:sSub>
      </m:oMath>
      <w:r w:rsidR="0068378D" w:rsidRPr="00F96DB8">
        <w:rPr>
          <w:rFonts w:asciiTheme="majorHAnsi" w:eastAsia="Arial" w:hAnsiTheme="majorHAnsi" w:cstheme="majorHAnsi"/>
          <w:color w:val="000000" w:themeColor="text1"/>
          <w:lang w:val="en-GB"/>
        </w:rPr>
        <w:t xml:space="preserve"> is</w:t>
      </w:r>
      <w:r w:rsidR="00AB56D5" w:rsidRPr="00F96DB8">
        <w:rPr>
          <w:rFonts w:asciiTheme="majorHAnsi" w:eastAsia="Arial" w:hAnsiTheme="majorHAnsi" w:cstheme="majorHAnsi"/>
          <w:color w:val="000000" w:themeColor="text1"/>
          <w:lang w:val="en-GB"/>
        </w:rPr>
        <w:t xml:space="preserve"> a </w:t>
      </w:r>
      <w:r w:rsidR="0068378D" w:rsidRPr="00F96DB8">
        <w:rPr>
          <w:rFonts w:asciiTheme="majorHAnsi" w:eastAsia="Arial" w:hAnsiTheme="majorHAnsi" w:cstheme="majorHAnsi"/>
          <w:color w:val="000000" w:themeColor="text1"/>
          <w:lang w:val="en-GB"/>
        </w:rPr>
        <w:t xml:space="preserve">random intercept for </w:t>
      </w:r>
      <w:r w:rsidR="00AB56D5" w:rsidRPr="00F96DB8">
        <w:rPr>
          <w:rFonts w:asciiTheme="majorHAnsi" w:eastAsia="Arial" w:hAnsiTheme="majorHAnsi" w:cstheme="majorHAnsi"/>
          <w:color w:val="000000" w:themeColor="text1"/>
          <w:lang w:val="en-GB"/>
        </w:rPr>
        <w:t>county and year</w:t>
      </w:r>
      <w:r w:rsidR="0068378D" w:rsidRPr="00F96DB8">
        <w:rPr>
          <w:rFonts w:asciiTheme="majorHAnsi" w:eastAsia="Arial" w:hAnsiTheme="majorHAnsi" w:cstheme="majorHAnsi"/>
          <w:color w:val="000000" w:themeColor="text1"/>
          <w:lang w:val="en-GB"/>
        </w:rPr>
        <w:t xml:space="preserve"> combinations</w:t>
      </w:r>
      <w:r w:rsidR="00AB56D5" w:rsidRPr="00F96DB8">
        <w:rPr>
          <w:rFonts w:asciiTheme="majorHAnsi" w:eastAsia="Arial" w:hAnsiTheme="majorHAnsi" w:cstheme="majorHAnsi"/>
          <w:color w:val="000000" w:themeColor="text1"/>
          <w:lang w:val="en-GB"/>
        </w:rPr>
        <w:t xml:space="preserve"> with an AR1 temporal prior grouped by </w:t>
      </w:r>
      <w:proofErr w:type="gramStart"/>
      <w:r w:rsidR="00AB56D5" w:rsidRPr="00F96DB8">
        <w:rPr>
          <w:rFonts w:asciiTheme="majorHAnsi" w:eastAsia="Arial" w:hAnsiTheme="majorHAnsi" w:cstheme="majorHAnsi"/>
          <w:color w:val="000000" w:themeColor="text1"/>
          <w:lang w:val="en-GB"/>
        </w:rPr>
        <w:t>county;</w:t>
      </w:r>
      <w:proofErr w:type="gramEnd"/>
    </w:p>
    <w:p w14:paraId="4B0AF46A" w14:textId="3E86AF6B" w:rsidR="00AB56D5" w:rsidRPr="00F96DB8" w:rsidRDefault="00AB56D5" w:rsidP="00AB56D5">
      <w:pPr>
        <w:numPr>
          <w:ilvl w:val="0"/>
          <w:numId w:val="19"/>
        </w:numPr>
        <w:spacing w:after="0" w:line="360" w:lineRule="auto"/>
        <w:rPr>
          <w:rFonts w:asciiTheme="majorHAnsi" w:eastAsia="Arial" w:hAnsiTheme="majorHAnsi" w:cstheme="majorHAnsi"/>
          <w:color w:val="000000" w:themeColor="text1"/>
          <w:lang w:val="en-GB"/>
        </w:rPr>
      </w:pPr>
      <w:r w:rsidRPr="00F96DB8">
        <w:rPr>
          <w:rFonts w:asciiTheme="majorHAnsi" w:eastAsia="Arial" w:hAnsiTheme="majorHAnsi" w:cstheme="majorHAnsi"/>
          <w:color w:val="000000" w:themeColor="text1"/>
          <w:lang w:val="en-GB"/>
        </w:rPr>
        <w:t xml:space="preserve">and </w:t>
      </w:r>
      <m:oMath>
        <m:sSub>
          <m:sSubPr>
            <m:ctrlPr>
              <w:rPr>
                <w:rFonts w:ascii="Cambria Math" w:eastAsia="Arial" w:hAnsi="Cambria Math" w:cstheme="majorHAnsi"/>
                <w:i/>
                <w:color w:val="000000" w:themeColor="text1"/>
                <w:lang w:val="en-GB"/>
              </w:rPr>
            </m:ctrlPr>
          </m:sSubPr>
          <m:e>
            <m:r>
              <w:rPr>
                <w:rFonts w:ascii="Cambria Math" w:eastAsia="Arial" w:hAnsi="Cambria Math" w:cstheme="majorHAnsi"/>
                <w:color w:val="000000" w:themeColor="text1"/>
                <w:lang w:val="en-GB"/>
              </w:rPr>
              <m:t>γ</m:t>
            </m:r>
          </m:e>
          <m:sub>
            <m:r>
              <w:rPr>
                <w:rFonts w:ascii="Cambria Math" w:eastAsia="Arial" w:hAnsi="Cambria Math" w:cstheme="majorHAnsi"/>
                <w:color w:val="000000" w:themeColor="text1"/>
                <w:lang w:val="en-GB"/>
              </w:rPr>
              <m:t>4,r</m:t>
            </m:r>
          </m:sub>
        </m:sSub>
      </m:oMath>
      <w:r w:rsidR="0068378D" w:rsidRPr="00F96DB8">
        <w:rPr>
          <w:rFonts w:asciiTheme="majorHAnsi" w:eastAsia="Arial" w:hAnsiTheme="majorHAnsi" w:cstheme="majorHAnsi"/>
          <w:color w:val="000000" w:themeColor="text1"/>
          <w:lang w:val="en-GB"/>
        </w:rPr>
        <w:t xml:space="preserve"> is</w:t>
      </w:r>
      <w:r w:rsidRPr="00F96DB8">
        <w:rPr>
          <w:rFonts w:asciiTheme="majorHAnsi" w:eastAsia="Arial" w:hAnsiTheme="majorHAnsi" w:cstheme="majorHAnsi"/>
          <w:color w:val="000000" w:themeColor="text1"/>
          <w:lang w:val="en-GB"/>
        </w:rPr>
        <w:t xml:space="preserve"> a</w:t>
      </w:r>
      <w:r w:rsidR="0068378D" w:rsidRPr="00F96DB8">
        <w:rPr>
          <w:rFonts w:asciiTheme="majorHAnsi" w:eastAsia="Arial" w:hAnsiTheme="majorHAnsi" w:cstheme="majorHAnsi"/>
          <w:color w:val="000000" w:themeColor="text1"/>
          <w:lang w:val="en-GB"/>
        </w:rPr>
        <w:t xml:space="preserve"> random intercept for</w:t>
      </w:r>
      <w:r w:rsidRPr="00F96DB8">
        <w:rPr>
          <w:rFonts w:asciiTheme="majorHAnsi" w:eastAsia="Arial" w:hAnsiTheme="majorHAnsi" w:cstheme="majorHAnsi"/>
          <w:color w:val="000000" w:themeColor="text1"/>
          <w:lang w:val="en-GB"/>
        </w:rPr>
        <w:t xml:space="preserve"> racial</w:t>
      </w:r>
      <w:r w:rsidR="0068378D" w:rsidRPr="00F96DB8">
        <w:rPr>
          <w:rFonts w:asciiTheme="majorHAnsi" w:eastAsia="Arial" w:hAnsiTheme="majorHAnsi" w:cstheme="majorHAnsi"/>
          <w:color w:val="000000" w:themeColor="text1"/>
          <w:lang w:val="en-GB"/>
        </w:rPr>
        <w:t xml:space="preserve"> and </w:t>
      </w:r>
      <w:r w:rsidRPr="00F96DB8">
        <w:rPr>
          <w:rFonts w:asciiTheme="majorHAnsi" w:eastAsia="Arial" w:hAnsiTheme="majorHAnsi" w:cstheme="majorHAnsi"/>
          <w:color w:val="000000" w:themeColor="text1"/>
          <w:lang w:val="en-GB"/>
        </w:rPr>
        <w:t>ethnic</w:t>
      </w:r>
      <w:r w:rsidR="000A2810" w:rsidRPr="00F96DB8">
        <w:rPr>
          <w:rFonts w:asciiTheme="majorHAnsi" w:eastAsia="Arial" w:hAnsiTheme="majorHAnsi" w:cstheme="majorHAnsi"/>
          <w:color w:val="000000" w:themeColor="text1"/>
          <w:lang w:val="en-GB"/>
        </w:rPr>
        <w:t xml:space="preserve"> population</w:t>
      </w:r>
      <w:r w:rsidRPr="00F96DB8">
        <w:rPr>
          <w:rFonts w:asciiTheme="majorHAnsi" w:eastAsia="Arial" w:hAnsiTheme="majorHAnsi" w:cstheme="majorHAnsi"/>
          <w:color w:val="000000" w:themeColor="text1"/>
          <w:lang w:val="en-GB"/>
        </w:rPr>
        <w:t xml:space="preserve"> with an IID Gaussian prior. </w:t>
      </w:r>
    </w:p>
    <w:p w14:paraId="7E4F5E05" w14:textId="77777777" w:rsidR="00AB56D5" w:rsidRPr="00F96DB8" w:rsidRDefault="00AB56D5" w:rsidP="00AB56D5">
      <w:pPr>
        <w:spacing w:after="0" w:line="360" w:lineRule="auto"/>
        <w:contextualSpacing/>
        <w:rPr>
          <w:rFonts w:asciiTheme="majorHAnsi" w:eastAsia="Arial" w:hAnsiTheme="majorHAnsi" w:cstheme="majorHAnsi"/>
          <w:color w:val="000000" w:themeColor="text1"/>
          <w:lang w:val="en-GB"/>
        </w:rPr>
      </w:pPr>
    </w:p>
    <w:p w14:paraId="22A96688" w14:textId="2C6BE779" w:rsidR="0099757A" w:rsidRPr="00F96DB8" w:rsidRDefault="0084397C" w:rsidP="00AB56D5">
      <w:pPr>
        <w:spacing w:after="0" w:line="360" w:lineRule="auto"/>
        <w:contextualSpacing/>
        <w:rPr>
          <w:rFonts w:asciiTheme="majorHAnsi" w:eastAsia="Arial" w:hAnsiTheme="majorHAnsi" w:cstheme="majorHAnsi"/>
          <w:color w:val="000000" w:themeColor="text1"/>
          <w:lang w:val="en-GB"/>
        </w:rPr>
      </w:pPr>
      <w:r>
        <w:rPr>
          <w:rFonts w:asciiTheme="majorHAnsi" w:eastAsia="Arial" w:hAnsiTheme="majorHAnsi" w:cstheme="majorHAnsi"/>
          <w:color w:val="000000" w:themeColor="text1"/>
          <w:lang w:val="en-GB"/>
        </w:rPr>
        <w:t xml:space="preserve">A relatively vague </w:t>
      </w:r>
      <w:proofErr w:type="gramStart"/>
      <w:r>
        <w:rPr>
          <w:rFonts w:asciiTheme="majorHAnsi" w:eastAsia="Arial" w:hAnsiTheme="majorHAnsi" w:cstheme="majorHAnsi"/>
          <w:color w:val="000000" w:themeColor="text1"/>
          <w:lang w:val="en-GB"/>
        </w:rPr>
        <w:t>Normal(</w:t>
      </w:r>
      <w:proofErr w:type="gramEnd"/>
      <w:r>
        <w:rPr>
          <w:rFonts w:asciiTheme="majorHAnsi" w:eastAsia="Arial" w:hAnsiTheme="majorHAnsi" w:cstheme="majorHAnsi"/>
          <w:color w:val="000000" w:themeColor="text1"/>
          <w:lang w:val="en-GB"/>
        </w:rPr>
        <w:t xml:space="preserve">mean = 0.0, precision = 0.10) prior was used for the global intercept. </w:t>
      </w:r>
      <w:r w:rsidR="00AB56D5" w:rsidRPr="00F96DB8">
        <w:rPr>
          <w:rFonts w:asciiTheme="majorHAnsi" w:eastAsia="Arial" w:hAnsiTheme="majorHAnsi" w:cstheme="majorHAnsi"/>
          <w:color w:val="000000" w:themeColor="text1"/>
          <w:lang w:val="en-GB"/>
        </w:rPr>
        <w:t>Default INLA hyperpriors were used</w:t>
      </w:r>
      <w:r>
        <w:rPr>
          <w:rFonts w:asciiTheme="majorHAnsi" w:eastAsia="Arial" w:hAnsiTheme="majorHAnsi" w:cstheme="majorHAnsi"/>
          <w:color w:val="000000" w:themeColor="text1"/>
          <w:lang w:val="en-GB"/>
        </w:rPr>
        <w:t xml:space="preserve"> for the hyperparameters</w:t>
      </w:r>
      <w:r w:rsidR="00AB56D5" w:rsidRPr="00F96DB8">
        <w:rPr>
          <w:rFonts w:asciiTheme="majorHAnsi" w:eastAsia="Arial" w:hAnsiTheme="majorHAnsi" w:cstheme="majorHAnsi"/>
          <w:color w:val="000000" w:themeColor="text1"/>
          <w:lang w:val="en-GB"/>
        </w:rPr>
        <w:t>. The BYM2 parameteri</w:t>
      </w:r>
      <w:r w:rsidR="000A2810" w:rsidRPr="00F96DB8">
        <w:rPr>
          <w:rFonts w:asciiTheme="majorHAnsi" w:eastAsia="Arial" w:hAnsiTheme="majorHAnsi" w:cstheme="majorHAnsi"/>
          <w:color w:val="000000" w:themeColor="text1"/>
          <w:lang w:val="en-GB"/>
        </w:rPr>
        <w:t>s</w:t>
      </w:r>
      <w:r w:rsidR="00AB56D5" w:rsidRPr="00F96DB8">
        <w:rPr>
          <w:rFonts w:asciiTheme="majorHAnsi" w:eastAsia="Arial" w:hAnsiTheme="majorHAnsi" w:cstheme="majorHAnsi"/>
          <w:color w:val="000000" w:themeColor="text1"/>
          <w:lang w:val="en-GB"/>
        </w:rPr>
        <w:t xml:space="preserve">ation includes a parameter, </w:t>
      </w:r>
      <m:oMath>
        <m:r>
          <w:rPr>
            <w:rFonts w:ascii="Cambria Math" w:eastAsia="Arial" w:hAnsi="Cambria Math" w:cstheme="majorHAnsi"/>
            <w:color w:val="000000" w:themeColor="text1"/>
            <w:lang w:val="en-GB"/>
          </w:rPr>
          <m:t>φ</m:t>
        </m:r>
      </m:oMath>
      <w:r w:rsidR="00AB56D5" w:rsidRPr="00F96DB8">
        <w:rPr>
          <w:rFonts w:asciiTheme="majorHAnsi" w:eastAsia="Arial" w:hAnsiTheme="majorHAnsi" w:cstheme="majorHAnsi"/>
          <w:color w:val="000000" w:themeColor="text1"/>
          <w:lang w:val="en-GB"/>
        </w:rPr>
        <w:t>, which indicates the contribution of the structured spatial effect to the marginal variance;</w:t>
      </w:r>
      <m:oMath>
        <m:r>
          <w:rPr>
            <w:rFonts w:ascii="Cambria Math" w:eastAsia="Arial" w:hAnsi="Cambria Math" w:cstheme="majorHAnsi"/>
            <w:color w:val="000000" w:themeColor="text1"/>
            <w:lang w:val="en-GB"/>
          </w:rPr>
          <m:t xml:space="preserve"> </m:t>
        </m:r>
        <m:r>
          <m:rPr>
            <m:sty m:val="p"/>
          </m:rPr>
          <w:rPr>
            <w:rFonts w:ascii="Cambria Math" w:eastAsia="Arial" w:hAnsi="Cambria Math" w:cstheme="majorHAnsi"/>
            <w:color w:val="000000" w:themeColor="text1"/>
            <w:lang w:val="en-GB"/>
          </w:rPr>
          <m:t>logit</m:t>
        </m:r>
        <m:r>
          <w:rPr>
            <w:rFonts w:ascii="Cambria Math" w:eastAsia="Arial" w:hAnsi="Cambria Math" w:cstheme="majorHAnsi"/>
            <w:color w:val="000000" w:themeColor="text1"/>
            <w:lang w:val="en-GB"/>
          </w:rPr>
          <m:t xml:space="preserve">(φ) </m:t>
        </m:r>
      </m:oMath>
      <w:r w:rsidR="00AB56D5" w:rsidRPr="00F96DB8">
        <w:rPr>
          <w:rFonts w:asciiTheme="majorHAnsi" w:eastAsia="Arial" w:hAnsiTheme="majorHAnsi" w:cstheme="majorHAnsi"/>
          <w:color w:val="000000" w:themeColor="text1"/>
          <w:lang w:val="en-GB"/>
        </w:rPr>
        <w:t>had a penali</w:t>
      </w:r>
      <w:r w:rsidR="000A2810" w:rsidRPr="00F96DB8">
        <w:rPr>
          <w:rFonts w:asciiTheme="majorHAnsi" w:eastAsia="Arial" w:hAnsiTheme="majorHAnsi" w:cstheme="majorHAnsi"/>
          <w:color w:val="000000" w:themeColor="text1"/>
          <w:lang w:val="en-GB"/>
        </w:rPr>
        <w:t>s</w:t>
      </w:r>
      <w:r w:rsidR="00AB56D5" w:rsidRPr="00F96DB8">
        <w:rPr>
          <w:rFonts w:asciiTheme="majorHAnsi" w:eastAsia="Arial" w:hAnsiTheme="majorHAnsi" w:cstheme="majorHAnsi"/>
          <w:color w:val="000000" w:themeColor="text1"/>
          <w:lang w:val="en-GB"/>
        </w:rPr>
        <w:t>ed complexity (PC) prior</w:t>
      </w:r>
      <w:r w:rsidR="00AB56D5" w:rsidRPr="00F96DB8">
        <w:rPr>
          <w:rFonts w:asciiTheme="majorHAnsi" w:eastAsia="Arial" w:hAnsiTheme="majorHAnsi" w:cstheme="majorHAnsi"/>
          <w:color w:val="000000" w:themeColor="text1"/>
          <w:lang w:val="en-GB"/>
        </w:rPr>
        <w:fldChar w:fldCharType="begin"/>
      </w:r>
      <w:r w:rsidR="00BA0E90">
        <w:rPr>
          <w:rFonts w:asciiTheme="majorHAnsi" w:eastAsia="Arial" w:hAnsiTheme="majorHAnsi" w:cstheme="majorHAnsi"/>
          <w:color w:val="000000" w:themeColor="text1"/>
          <w:lang w:val="en-GB"/>
        </w:rPr>
        <w:instrText xml:space="preserve"> ADDIN ZOTERO_ITEM CSL_CITATION {"citationID":"IgICVbnX","properties":{"formattedCitation":"\\super 16\\nosupersub{}","plainCitation":"16","noteIndex":0},"citationItems":[{"id":"wdkIiMrh/uOlwvuNh","uris":["http://zotero.org/users/5216175/items/3DSUGPDP"],"itemData":{"id":3092,"type":"article","abstract":"Priors are important for achieving proper posteriors with physically meaningful covariance structures for Gaussian random fields (GRFs) since the likelihood typically only provides limited information about the covariance structure under in-fill asymptotics. We extend the recent Penalised Complexity prior framework and develop a principled joint prior for the range and the marginal variance of one-dimensional, two-dimensional and three-dimensional Mat\\'ern GRFs with fixed smoothness. The prior is weakly informative and penalises complexity by shrinking the range towards infinity and the marginal variance towards zero. We propose guidelines for selecting the hyperparameters, and a simulation study shows that the new prior provides a principled alternative to reference priors that can leverage prior knowledge to achieve shorter credible intervals while maintaining good coverage. We extend the prior to a non-stationary GRF parametrized through local ranges and marginal standard deviations, and introduce a scheme for selecting the hyperparameters based on the coverage of the parameters when fitting simulated stationary data. The approach is applied to a dataset of annual precipitation in southern Norway and the scheme for selecting the hyperparameters leads to concervative estimates of non-stationarity and improved predictive performance over the stationary model.","DOI":"10.48550/arXiv.1503.00256","note":"arXiv:1503.00256 [stat]","number":"arXiv:1503.00256","publisher":"arXiv","source":"arXiv.org","title":"Constructing Priors that Penalize the Complexity of Gaussian Random Fields","URL":"http://arxiv.org/abs/1503.00256","author":[{"family":"Fuglstad","given":"Geir-Arne"},{"family":"Simpson","given":"Daniel"},{"family":"Lindgren","given":"Finn"},{"family":"Rue","given":"Håvard"}],"accessed":{"date-parts":[["2022",7,1]]},"issued":{"date-parts":[["2017",11,27]]}}}],"schema":"https://github.com/citation-style-language/schema/raw/master/csl-citation.json"} </w:instrText>
      </w:r>
      <w:r w:rsidR="00AB56D5" w:rsidRPr="00F96DB8">
        <w:rPr>
          <w:rFonts w:asciiTheme="majorHAnsi" w:eastAsia="Arial" w:hAnsiTheme="majorHAnsi" w:cstheme="majorHAnsi"/>
          <w:color w:val="000000" w:themeColor="text1"/>
          <w:lang w:val="en-GB"/>
        </w:rPr>
        <w:fldChar w:fldCharType="separate"/>
      </w:r>
      <w:r w:rsidR="00881AB8" w:rsidRPr="00881AB8">
        <w:rPr>
          <w:rFonts w:ascii="Calibri Light" w:hAnsi="Calibri Light" w:cs="Calibri Light"/>
          <w:vertAlign w:val="superscript"/>
        </w:rPr>
        <w:t>16</w:t>
      </w:r>
      <w:r w:rsidR="00AB56D5" w:rsidRPr="00F96DB8">
        <w:rPr>
          <w:rFonts w:asciiTheme="majorHAnsi" w:eastAsia="Arial" w:hAnsiTheme="majorHAnsi" w:cstheme="majorHAnsi"/>
          <w:color w:val="000000" w:themeColor="text1"/>
          <w:lang w:val="en-GB"/>
        </w:rPr>
        <w:fldChar w:fldCharType="end"/>
      </w:r>
      <w:r w:rsidR="00AB56D5" w:rsidRPr="00F96DB8">
        <w:rPr>
          <w:rFonts w:asciiTheme="majorHAnsi" w:eastAsia="Arial" w:hAnsiTheme="majorHAnsi" w:cstheme="majorHAnsi"/>
          <w:color w:val="000000" w:themeColor="text1"/>
          <w:lang w:val="en-GB"/>
        </w:rPr>
        <w:t xml:space="preserve"> corresponding to </w:t>
      </w:r>
      <m:oMath>
        <m:r>
          <m:rPr>
            <m:sty m:val="p"/>
          </m:rPr>
          <w:rPr>
            <w:rFonts w:ascii="Cambria Math" w:eastAsia="Arial" w:hAnsi="Cambria Math" w:cstheme="majorHAnsi"/>
            <w:color w:val="000000" w:themeColor="text1"/>
            <w:lang w:val="en-GB"/>
          </w:rPr>
          <m:t>Pr</m:t>
        </m:r>
        <m:r>
          <w:rPr>
            <w:rFonts w:ascii="Cambria Math" w:eastAsia="Arial" w:hAnsi="Cambria Math" w:cstheme="majorHAnsi"/>
            <w:color w:val="000000" w:themeColor="text1"/>
            <w:lang w:val="en-GB"/>
          </w:rPr>
          <m:t>(φ &lt; 0.5) = 0.5</m:t>
        </m:r>
      </m:oMath>
      <w:r w:rsidR="00AB56D5" w:rsidRPr="00F96DB8">
        <w:rPr>
          <w:rFonts w:asciiTheme="majorHAnsi" w:eastAsia="Arial" w:hAnsiTheme="majorHAnsi" w:cstheme="majorHAnsi"/>
          <w:color w:val="000000" w:themeColor="text1"/>
          <w:lang w:val="en-GB"/>
        </w:rPr>
        <w:t xml:space="preserve">, and the log precision of the BYM2 model had a PC prior corresponding to </w:t>
      </w:r>
      <m:oMath>
        <m:r>
          <m:rPr>
            <m:sty m:val="p"/>
          </m:rPr>
          <w:rPr>
            <w:rFonts w:ascii="Cambria Math" w:eastAsia="Arial" w:hAnsi="Cambria Math" w:cstheme="majorHAnsi"/>
            <w:color w:val="000000" w:themeColor="text1"/>
            <w:lang w:val="en-GB"/>
          </w:rPr>
          <m:t>Pr</m:t>
        </m:r>
        <m:r>
          <w:rPr>
            <w:rFonts w:ascii="Cambria Math" w:eastAsia="Arial" w:hAnsi="Cambria Math" w:cstheme="majorHAnsi"/>
            <w:color w:val="000000" w:themeColor="text1"/>
            <w:lang w:val="en-GB"/>
          </w:rPr>
          <m:t>(σ &gt; 1.0) = 0.1</m:t>
        </m:r>
      </m:oMath>
      <w:r w:rsidR="00AB56D5" w:rsidRPr="00F96DB8">
        <w:rPr>
          <w:rFonts w:asciiTheme="majorHAnsi" w:eastAsia="Arial" w:hAnsiTheme="majorHAnsi" w:cstheme="majorHAnsi"/>
          <w:color w:val="000000" w:themeColor="text1"/>
          <w:lang w:val="en-GB"/>
        </w:rPr>
        <w:t xml:space="preserve">. The AR1 models had </w:t>
      </w:r>
      <w:proofErr w:type="gramStart"/>
      <w:r w:rsidR="00AB56D5" w:rsidRPr="00F96DB8">
        <w:rPr>
          <w:rFonts w:asciiTheme="majorHAnsi" w:eastAsia="Arial" w:hAnsiTheme="majorHAnsi" w:cstheme="majorHAnsi"/>
          <w:color w:val="000000" w:themeColor="text1"/>
          <w:lang w:val="en-GB"/>
        </w:rPr>
        <w:t>Gamma(</w:t>
      </w:r>
      <w:proofErr w:type="gramEnd"/>
      <w:r w:rsidR="00AB56D5" w:rsidRPr="00F96DB8">
        <w:rPr>
          <w:rFonts w:asciiTheme="majorHAnsi" w:eastAsia="Arial" w:hAnsiTheme="majorHAnsi" w:cstheme="majorHAnsi"/>
          <w:color w:val="000000" w:themeColor="text1"/>
          <w:lang w:val="en-GB"/>
        </w:rPr>
        <w:t>shape = 1</w:t>
      </w:r>
      <w:r w:rsidR="005B08F7">
        <w:rPr>
          <w:rFonts w:asciiTheme="majorHAnsi" w:hAnsiTheme="majorHAnsi" w:cstheme="majorHAnsi"/>
          <w:lang w:val="en-GB"/>
        </w:rPr>
        <w:t>.</w:t>
      </w:r>
      <w:r w:rsidR="00AB56D5" w:rsidRPr="00F96DB8">
        <w:rPr>
          <w:rFonts w:asciiTheme="majorHAnsi" w:eastAsia="Arial" w:hAnsiTheme="majorHAnsi" w:cstheme="majorHAnsi"/>
          <w:color w:val="000000" w:themeColor="text1"/>
          <w:lang w:val="en-GB"/>
        </w:rPr>
        <w:t xml:space="preserve">0, inverse-scale = </w:t>
      </w:r>
      <m:oMath>
        <m:r>
          <w:rPr>
            <w:rFonts w:ascii="Cambria Math" w:eastAsia="Arial" w:hAnsi="Cambria Math" w:cstheme="majorHAnsi"/>
            <w:color w:val="000000" w:themeColor="text1"/>
            <w:lang w:val="en-GB"/>
          </w:rPr>
          <m:t>5</m:t>
        </m:r>
        <w:bookmarkStart w:id="9" w:name="_Hlk155255001"/>
        <m:r>
          <w:rPr>
            <w:rFonts w:ascii="Cambria Math" w:eastAsia="Arial" w:hAnsi="Cambria Math" w:cstheme="majorHAnsi"/>
            <w:color w:val="000000" w:themeColor="text1"/>
            <w:lang w:val="en-GB"/>
          </w:rPr>
          <m:t>×</m:t>
        </m:r>
        <w:bookmarkEnd w:id="9"/>
        <m:sSup>
          <m:sSupPr>
            <m:ctrlPr>
              <w:rPr>
                <w:rFonts w:ascii="Cambria Math" w:eastAsia="Arial" w:hAnsi="Cambria Math" w:cstheme="majorHAnsi"/>
                <w:i/>
                <w:color w:val="000000" w:themeColor="text1"/>
                <w:lang w:val="en-GB"/>
              </w:rPr>
            </m:ctrlPr>
          </m:sSupPr>
          <m:e>
            <m:r>
              <w:rPr>
                <w:rFonts w:ascii="Cambria Math" w:eastAsia="Arial" w:hAnsi="Cambria Math" w:cstheme="majorHAnsi"/>
                <w:color w:val="000000" w:themeColor="text1"/>
                <w:lang w:val="en-GB"/>
              </w:rPr>
              <m:t>10</m:t>
            </m:r>
          </m:e>
          <m:sup>
            <m:r>
              <w:rPr>
                <w:rFonts w:ascii="Cambria Math" w:eastAsia="Arial" w:hAnsi="Cambria Math" w:cstheme="majorHAnsi"/>
                <w:color w:val="000000" w:themeColor="text1"/>
                <w:lang w:val="en-GB"/>
              </w:rPr>
              <m:t>-5</m:t>
            </m:r>
          </m:sup>
        </m:sSup>
      </m:oMath>
      <w:r w:rsidR="00AB56D5" w:rsidRPr="00F96DB8">
        <w:rPr>
          <w:rFonts w:asciiTheme="majorHAnsi" w:eastAsia="Arial" w:hAnsiTheme="majorHAnsi" w:cstheme="majorHAnsi"/>
          <w:color w:val="000000" w:themeColor="text1"/>
          <w:lang w:val="en-GB"/>
        </w:rPr>
        <w:t xml:space="preserve">) priors on the precision and </w:t>
      </w:r>
      <w:proofErr w:type="gramStart"/>
      <w:r w:rsidR="00AB56D5" w:rsidRPr="00F96DB8">
        <w:rPr>
          <w:rFonts w:asciiTheme="majorHAnsi" w:eastAsia="Arial" w:hAnsiTheme="majorHAnsi" w:cstheme="majorHAnsi"/>
          <w:color w:val="000000" w:themeColor="text1"/>
          <w:lang w:val="en-GB"/>
        </w:rPr>
        <w:t>Normal(</w:t>
      </w:r>
      <w:proofErr w:type="gramEnd"/>
      <w:r w:rsidR="00AB56D5" w:rsidRPr="00F96DB8">
        <w:rPr>
          <w:rFonts w:asciiTheme="majorHAnsi" w:eastAsia="Arial" w:hAnsiTheme="majorHAnsi" w:cstheme="majorHAnsi"/>
          <w:color w:val="000000" w:themeColor="text1"/>
          <w:lang w:val="en-GB"/>
        </w:rPr>
        <w:t>mean = 0</w:t>
      </w:r>
      <w:r w:rsidR="005B08F7">
        <w:rPr>
          <w:rFonts w:asciiTheme="majorHAnsi" w:hAnsiTheme="majorHAnsi" w:cstheme="majorHAnsi"/>
          <w:lang w:val="en-GB"/>
        </w:rPr>
        <w:t>.</w:t>
      </w:r>
      <w:r w:rsidR="00AB56D5" w:rsidRPr="00F96DB8">
        <w:rPr>
          <w:rFonts w:asciiTheme="majorHAnsi" w:eastAsia="Arial" w:hAnsiTheme="majorHAnsi" w:cstheme="majorHAnsi"/>
          <w:color w:val="000000" w:themeColor="text1"/>
          <w:lang w:val="en-GB"/>
        </w:rPr>
        <w:t>0, precision = 0</w:t>
      </w:r>
      <w:r w:rsidR="005B08F7">
        <w:rPr>
          <w:rFonts w:asciiTheme="majorHAnsi" w:hAnsiTheme="majorHAnsi" w:cstheme="majorHAnsi"/>
          <w:lang w:val="en-GB"/>
        </w:rPr>
        <w:t>.</w:t>
      </w:r>
      <w:r w:rsidR="00AB56D5" w:rsidRPr="00F96DB8">
        <w:rPr>
          <w:rFonts w:asciiTheme="majorHAnsi" w:eastAsia="Arial" w:hAnsiTheme="majorHAnsi" w:cstheme="majorHAnsi"/>
          <w:color w:val="000000" w:themeColor="text1"/>
          <w:lang w:val="en-GB"/>
        </w:rPr>
        <w:t>15) priors on the logit of the 1-year lagged correlation (</w:t>
      </w:r>
      <m:oMath>
        <m:r>
          <w:rPr>
            <w:rFonts w:ascii="Cambria Math" w:eastAsia="Arial" w:hAnsi="Cambria Math" w:cstheme="majorHAnsi"/>
            <w:color w:val="000000" w:themeColor="text1"/>
            <w:lang w:val="en-GB"/>
          </w:rPr>
          <m:t>ρ</m:t>
        </m:r>
      </m:oMath>
      <w:r w:rsidR="003C4498" w:rsidRPr="00F96DB8">
        <w:rPr>
          <w:rFonts w:asciiTheme="majorHAnsi" w:eastAsia="Arial" w:hAnsiTheme="majorHAnsi" w:cstheme="majorHAnsi"/>
          <w:color w:val="000000" w:themeColor="text1"/>
          <w:lang w:val="en-GB"/>
        </w:rPr>
        <w:t>). The race</w:t>
      </w:r>
      <w:r w:rsidR="000A2810" w:rsidRPr="00F96DB8">
        <w:rPr>
          <w:rFonts w:asciiTheme="majorHAnsi" w:eastAsia="Arial" w:hAnsiTheme="majorHAnsi" w:cstheme="majorHAnsi"/>
          <w:color w:val="000000" w:themeColor="text1"/>
          <w:lang w:val="en-GB"/>
        </w:rPr>
        <w:t xml:space="preserve"> and </w:t>
      </w:r>
      <w:r w:rsidR="00AB56D5" w:rsidRPr="00F96DB8">
        <w:rPr>
          <w:rFonts w:asciiTheme="majorHAnsi" w:eastAsia="Arial" w:hAnsiTheme="majorHAnsi" w:cstheme="majorHAnsi"/>
          <w:color w:val="000000" w:themeColor="text1"/>
          <w:lang w:val="en-GB"/>
        </w:rPr>
        <w:t xml:space="preserve">ethnicity IID term had a </w:t>
      </w:r>
      <w:proofErr w:type="gramStart"/>
      <w:r w:rsidR="00AB56D5" w:rsidRPr="00F96DB8">
        <w:rPr>
          <w:rFonts w:asciiTheme="majorHAnsi" w:eastAsia="Arial" w:hAnsiTheme="majorHAnsi" w:cstheme="majorHAnsi"/>
          <w:color w:val="000000" w:themeColor="text1"/>
          <w:lang w:val="en-GB"/>
        </w:rPr>
        <w:t>Gamma(</w:t>
      </w:r>
      <w:proofErr w:type="gramEnd"/>
      <w:r w:rsidR="00AB56D5" w:rsidRPr="00F96DB8">
        <w:rPr>
          <w:rFonts w:asciiTheme="majorHAnsi" w:eastAsia="Arial" w:hAnsiTheme="majorHAnsi" w:cstheme="majorHAnsi"/>
          <w:color w:val="000000" w:themeColor="text1"/>
          <w:lang w:val="en-GB"/>
        </w:rPr>
        <w:t>shape = 1</w:t>
      </w:r>
      <w:r w:rsidR="005B08F7">
        <w:rPr>
          <w:rFonts w:asciiTheme="majorHAnsi" w:hAnsiTheme="majorHAnsi" w:cstheme="majorHAnsi"/>
          <w:lang w:val="en-GB"/>
        </w:rPr>
        <w:t>.</w:t>
      </w:r>
      <w:r w:rsidR="00AB56D5" w:rsidRPr="00F96DB8">
        <w:rPr>
          <w:rFonts w:asciiTheme="majorHAnsi" w:eastAsia="Arial" w:hAnsiTheme="majorHAnsi" w:cstheme="majorHAnsi"/>
          <w:color w:val="000000" w:themeColor="text1"/>
          <w:lang w:val="en-GB"/>
        </w:rPr>
        <w:t xml:space="preserve">0, inverse-scale = </w:t>
      </w:r>
      <m:oMath>
        <m:sSup>
          <m:sSupPr>
            <m:ctrlPr>
              <w:rPr>
                <w:rFonts w:ascii="Cambria Math" w:eastAsia="Arial" w:hAnsi="Cambria Math" w:cstheme="majorHAnsi"/>
                <w:i/>
                <w:color w:val="000000" w:themeColor="text1"/>
                <w:lang w:val="en-GB"/>
              </w:rPr>
            </m:ctrlPr>
          </m:sSupPr>
          <m:e>
            <m:r>
              <w:rPr>
                <w:rFonts w:ascii="Cambria Math" w:eastAsia="Arial" w:hAnsi="Cambria Math" w:cstheme="majorHAnsi"/>
                <w:color w:val="000000" w:themeColor="text1"/>
                <w:lang w:val="en-GB"/>
              </w:rPr>
              <m:t>5×10</m:t>
            </m:r>
          </m:e>
          <m:sup>
            <m:r>
              <w:rPr>
                <w:rFonts w:ascii="Cambria Math" w:eastAsia="Arial" w:hAnsi="Cambria Math" w:cstheme="majorHAnsi"/>
                <w:color w:val="000000" w:themeColor="text1"/>
                <w:lang w:val="en-GB"/>
              </w:rPr>
              <m:t>-5</m:t>
            </m:r>
          </m:sup>
        </m:sSup>
      </m:oMath>
      <w:r w:rsidR="00AB56D5" w:rsidRPr="00F96DB8">
        <w:rPr>
          <w:rFonts w:asciiTheme="majorHAnsi" w:eastAsia="Arial" w:hAnsiTheme="majorHAnsi" w:cstheme="majorHAnsi"/>
          <w:color w:val="000000" w:themeColor="text1"/>
          <w:lang w:val="en-GB"/>
        </w:rPr>
        <w:t xml:space="preserve">) prior on the precision. These default priors were used as we considered them suitably vague, in the absence of a priori information with which to establish more informative priors. In INLA, a Gaussian approximation strategy, an empirical Bayes integration strategy, and a step-length for hyperparameter gradient calculations of </w:t>
      </w:r>
      <m:oMath>
        <m:r>
          <w:rPr>
            <w:rFonts w:ascii="Cambria Math" w:eastAsia="Arial" w:hAnsi="Cambria Math" w:cstheme="majorHAnsi"/>
            <w:color w:val="000000" w:themeColor="text1"/>
            <w:lang w:val="en-GB"/>
          </w:rPr>
          <m:t>1×</m:t>
        </m:r>
        <m:sSup>
          <m:sSupPr>
            <m:ctrlPr>
              <w:rPr>
                <w:rFonts w:ascii="Cambria Math" w:eastAsia="Arial" w:hAnsi="Cambria Math" w:cstheme="majorHAnsi"/>
                <w:i/>
                <w:color w:val="000000" w:themeColor="text1"/>
                <w:lang w:val="en-GB"/>
              </w:rPr>
            </m:ctrlPr>
          </m:sSupPr>
          <m:e>
            <m:r>
              <w:rPr>
                <w:rFonts w:ascii="Cambria Math" w:eastAsia="Arial" w:hAnsi="Cambria Math" w:cstheme="majorHAnsi"/>
                <w:color w:val="000000" w:themeColor="text1"/>
                <w:lang w:val="en-GB"/>
              </w:rPr>
              <m:t>10</m:t>
            </m:r>
          </m:e>
          <m:sup>
            <m:r>
              <w:rPr>
                <w:rFonts w:ascii="Cambria Math" w:eastAsia="Arial" w:hAnsi="Cambria Math" w:cstheme="majorHAnsi"/>
                <w:color w:val="000000" w:themeColor="text1"/>
                <w:lang w:val="en-GB"/>
              </w:rPr>
              <m:t>-3</m:t>
            </m:r>
          </m:sup>
        </m:sSup>
      </m:oMath>
      <w:r w:rsidR="00AB56D5" w:rsidRPr="00F96DB8">
        <w:rPr>
          <w:rFonts w:asciiTheme="majorHAnsi" w:eastAsia="Arial" w:hAnsiTheme="majorHAnsi" w:cstheme="majorHAnsi"/>
          <w:color w:val="000000" w:themeColor="text1"/>
          <w:lang w:val="en-GB"/>
        </w:rPr>
        <w:t xml:space="preserve"> were utili</w:t>
      </w:r>
      <w:r w:rsidR="000A2810" w:rsidRPr="00F96DB8">
        <w:rPr>
          <w:rFonts w:asciiTheme="majorHAnsi" w:eastAsia="Arial" w:hAnsiTheme="majorHAnsi" w:cstheme="majorHAnsi"/>
          <w:color w:val="000000" w:themeColor="text1"/>
          <w:lang w:val="en-GB"/>
        </w:rPr>
        <w:t>s</w:t>
      </w:r>
      <w:r w:rsidR="00AB56D5" w:rsidRPr="00F96DB8">
        <w:rPr>
          <w:rFonts w:asciiTheme="majorHAnsi" w:eastAsia="Arial" w:hAnsiTheme="majorHAnsi" w:cstheme="majorHAnsi"/>
          <w:color w:val="000000" w:themeColor="text1"/>
          <w:lang w:val="en-GB"/>
        </w:rPr>
        <w:t>ed for model fitting. Due to numerical instability in the model for foreign-born proportion, a series of model fits were performed with iteratively decreasing values added to the diagonal of the joint precision matrix (100, 10, and 1, respectively) to derive starting parameter values for the final model run. Mean posterior predictions from the small</w:t>
      </w:r>
      <w:r w:rsidR="00AC51AD" w:rsidRPr="00F96DB8">
        <w:rPr>
          <w:rFonts w:asciiTheme="majorHAnsi" w:eastAsia="Arial" w:hAnsiTheme="majorHAnsi" w:cstheme="majorHAnsi"/>
          <w:color w:val="000000" w:themeColor="text1"/>
          <w:lang w:val="en-GB"/>
        </w:rPr>
        <w:t>-</w:t>
      </w:r>
      <w:r w:rsidR="00AB56D5" w:rsidRPr="00F96DB8">
        <w:rPr>
          <w:rFonts w:asciiTheme="majorHAnsi" w:eastAsia="Arial" w:hAnsiTheme="majorHAnsi" w:cstheme="majorHAnsi"/>
          <w:color w:val="000000" w:themeColor="text1"/>
          <w:lang w:val="en-GB"/>
        </w:rPr>
        <w:t>area covariate models were used as covariate estimates in the small</w:t>
      </w:r>
      <w:r w:rsidR="00AC51AD" w:rsidRPr="00F96DB8">
        <w:rPr>
          <w:rFonts w:asciiTheme="majorHAnsi" w:eastAsia="Arial" w:hAnsiTheme="majorHAnsi" w:cstheme="majorHAnsi"/>
          <w:color w:val="000000" w:themeColor="text1"/>
          <w:lang w:val="en-GB"/>
        </w:rPr>
        <w:t>-</w:t>
      </w:r>
      <w:r w:rsidR="00AB56D5" w:rsidRPr="00F96DB8">
        <w:rPr>
          <w:rFonts w:asciiTheme="majorHAnsi" w:eastAsia="Arial" w:hAnsiTheme="majorHAnsi" w:cstheme="majorHAnsi"/>
          <w:color w:val="000000" w:themeColor="text1"/>
          <w:lang w:val="en-GB"/>
        </w:rPr>
        <w:t>area mortality models.</w:t>
      </w:r>
    </w:p>
    <w:p w14:paraId="11C6A2C9" w14:textId="77777777" w:rsidR="007A6422" w:rsidRPr="004C277A" w:rsidRDefault="007A6422" w:rsidP="00983528">
      <w:pPr>
        <w:spacing w:after="0" w:line="360" w:lineRule="auto"/>
        <w:contextualSpacing/>
        <w:rPr>
          <w:rFonts w:asciiTheme="majorHAnsi" w:eastAsia="Arial" w:hAnsiTheme="majorHAnsi" w:cstheme="majorHAnsi"/>
          <w:color w:val="000000" w:themeColor="text1"/>
          <w:lang w:val="en-GB"/>
        </w:rPr>
      </w:pPr>
    </w:p>
    <w:p w14:paraId="6FDD48E9" w14:textId="182DDB64" w:rsidR="006D2AAC" w:rsidRPr="005173CD" w:rsidRDefault="004D101A" w:rsidP="587A6DCD">
      <w:pPr>
        <w:pStyle w:val="Heading2"/>
        <w:spacing w:before="0" w:line="360" w:lineRule="auto"/>
        <w:contextualSpacing/>
        <w:rPr>
          <w:rFonts w:eastAsiaTheme="minorEastAsia" w:cstheme="majorHAnsi"/>
          <w:lang w:val="en-GB"/>
        </w:rPr>
      </w:pPr>
      <w:bookmarkStart w:id="10" w:name="_Toc1756147999"/>
      <w:bookmarkStart w:id="11" w:name="_Toc175308175"/>
      <w:r w:rsidRPr="005173CD">
        <w:rPr>
          <w:rFonts w:eastAsiaTheme="minorEastAsia" w:cstheme="majorHAnsi"/>
          <w:lang w:val="en-GB"/>
        </w:rPr>
        <w:t>2</w:t>
      </w:r>
      <w:r w:rsidR="009664F9" w:rsidRPr="005173CD">
        <w:rPr>
          <w:rFonts w:eastAsiaTheme="minorEastAsia" w:cstheme="majorHAnsi"/>
          <w:lang w:val="en-GB"/>
        </w:rPr>
        <w:t>.</w:t>
      </w:r>
      <w:r w:rsidR="0021151F" w:rsidRPr="005173CD">
        <w:rPr>
          <w:rFonts w:eastAsiaTheme="minorEastAsia" w:cstheme="majorHAnsi"/>
          <w:lang w:val="en-GB"/>
        </w:rPr>
        <w:t>4</w:t>
      </w:r>
      <w:r w:rsidR="009664F9" w:rsidRPr="005173CD">
        <w:rPr>
          <w:rFonts w:eastAsiaTheme="minorEastAsia" w:cstheme="majorHAnsi"/>
          <w:lang w:val="en-GB"/>
        </w:rPr>
        <w:t xml:space="preserve"> </w:t>
      </w:r>
      <w:r w:rsidR="000B6FD7" w:rsidRPr="005173CD">
        <w:rPr>
          <w:rFonts w:eastAsiaTheme="minorEastAsia" w:cstheme="majorHAnsi"/>
          <w:lang w:val="en-GB"/>
        </w:rPr>
        <w:t>S</w:t>
      </w:r>
      <w:r w:rsidR="00BE6ED3" w:rsidRPr="005173CD">
        <w:rPr>
          <w:rFonts w:eastAsiaTheme="minorEastAsia" w:cstheme="majorHAnsi"/>
          <w:lang w:val="en-GB"/>
        </w:rPr>
        <w:t>mall</w:t>
      </w:r>
      <w:r w:rsidR="00AC51AD" w:rsidRPr="005173CD">
        <w:rPr>
          <w:rFonts w:eastAsiaTheme="minorEastAsia" w:cstheme="majorHAnsi"/>
          <w:lang w:val="en-GB"/>
        </w:rPr>
        <w:t>-</w:t>
      </w:r>
      <w:r w:rsidR="00BE6ED3" w:rsidRPr="005173CD">
        <w:rPr>
          <w:rFonts w:eastAsiaTheme="minorEastAsia" w:cstheme="majorHAnsi"/>
          <w:lang w:val="en-GB"/>
        </w:rPr>
        <w:t>a</w:t>
      </w:r>
      <w:r w:rsidR="000B6FD7" w:rsidRPr="005173CD">
        <w:rPr>
          <w:rFonts w:eastAsiaTheme="minorEastAsia" w:cstheme="majorHAnsi"/>
          <w:lang w:val="en-GB"/>
        </w:rPr>
        <w:t>re</w:t>
      </w:r>
      <w:r w:rsidR="00BE6ED3" w:rsidRPr="005173CD">
        <w:rPr>
          <w:rFonts w:eastAsiaTheme="minorEastAsia" w:cstheme="majorHAnsi"/>
          <w:lang w:val="en-GB"/>
        </w:rPr>
        <w:t>a model s</w:t>
      </w:r>
      <w:r w:rsidR="000B6FD7" w:rsidRPr="005173CD">
        <w:rPr>
          <w:rFonts w:eastAsiaTheme="minorEastAsia" w:cstheme="majorHAnsi"/>
          <w:lang w:val="en-GB"/>
        </w:rPr>
        <w:t>pecification</w:t>
      </w:r>
      <w:bookmarkEnd w:id="10"/>
      <w:bookmarkEnd w:id="11"/>
    </w:p>
    <w:p w14:paraId="705A27E7" w14:textId="2B7971BD" w:rsidR="00AC5025" w:rsidRPr="005173CD" w:rsidRDefault="00AC5025" w:rsidP="00AC5025">
      <w:pPr>
        <w:spacing w:line="360" w:lineRule="auto"/>
        <w:rPr>
          <w:rFonts w:asciiTheme="majorHAnsi" w:eastAsia="Arial" w:hAnsiTheme="majorHAnsi" w:cstheme="majorHAnsi"/>
          <w:color w:val="000000" w:themeColor="text1"/>
          <w:lang w:val="en-GB"/>
        </w:rPr>
      </w:pPr>
      <w:r w:rsidRPr="005173CD">
        <w:rPr>
          <w:rFonts w:asciiTheme="majorHAnsi" w:eastAsia="Arial" w:hAnsiTheme="majorHAnsi" w:cstheme="majorHAnsi"/>
          <w:color w:val="000000" w:themeColor="text1"/>
          <w:lang w:val="en-GB"/>
        </w:rPr>
        <w:t xml:space="preserve">Although the focus of this paper is on </w:t>
      </w:r>
      <w:r w:rsidR="00FC7390">
        <w:rPr>
          <w:rFonts w:asciiTheme="majorHAnsi" w:eastAsia="Arial" w:hAnsiTheme="majorHAnsi" w:cstheme="majorHAnsi"/>
          <w:color w:val="000000" w:themeColor="text1"/>
          <w:lang w:val="en-GB"/>
        </w:rPr>
        <w:t>maternal mortality</w:t>
      </w:r>
      <w:r w:rsidRPr="005173CD">
        <w:rPr>
          <w:rFonts w:asciiTheme="majorHAnsi" w:eastAsia="Arial" w:hAnsiTheme="majorHAnsi" w:cstheme="majorHAnsi"/>
          <w:color w:val="000000" w:themeColor="text1"/>
          <w:lang w:val="en-GB"/>
        </w:rPr>
        <w:t xml:space="preserve">, almost all causes of death in the GBD cause list were analysed concurrently. This is discussed in Section 2.7 (Calibration). Because of this, the following section includes descriptions of models that are not limited to </w:t>
      </w:r>
      <w:r w:rsidR="00FC7390">
        <w:rPr>
          <w:rFonts w:asciiTheme="majorHAnsi" w:eastAsia="Arial" w:hAnsiTheme="majorHAnsi" w:cstheme="majorHAnsi"/>
          <w:color w:val="000000" w:themeColor="text1"/>
          <w:lang w:val="en-GB"/>
        </w:rPr>
        <w:t>maternal mortality</w:t>
      </w:r>
      <w:r w:rsidRPr="005173CD">
        <w:rPr>
          <w:rFonts w:asciiTheme="majorHAnsi" w:eastAsia="Arial" w:hAnsiTheme="majorHAnsi" w:cstheme="majorHAnsi"/>
          <w:color w:val="000000" w:themeColor="text1"/>
          <w:lang w:val="en-GB"/>
        </w:rPr>
        <w:t>.</w:t>
      </w:r>
    </w:p>
    <w:p w14:paraId="0C3E22C5" w14:textId="6DD00A18" w:rsidR="00EF6B7A" w:rsidRPr="005173CD" w:rsidRDefault="006D2AAC" w:rsidP="006D2AAC">
      <w:pPr>
        <w:pStyle w:val="Heading3"/>
        <w:rPr>
          <w:rFonts w:eastAsiaTheme="minorEastAsia" w:cstheme="majorHAnsi"/>
          <w:lang w:val="en-GB"/>
        </w:rPr>
      </w:pPr>
      <w:bookmarkStart w:id="12" w:name="_Toc99615567"/>
      <w:bookmarkStart w:id="13" w:name="_Toc175308176"/>
      <w:r w:rsidRPr="005173CD">
        <w:rPr>
          <w:rFonts w:cstheme="majorHAnsi"/>
          <w:lang w:val="en-GB"/>
        </w:rPr>
        <w:lastRenderedPageBreak/>
        <w:t>County</w:t>
      </w:r>
      <w:r w:rsidR="000A2810" w:rsidRPr="005173CD">
        <w:rPr>
          <w:rFonts w:cstheme="majorHAnsi"/>
          <w:lang w:val="en-GB"/>
        </w:rPr>
        <w:t xml:space="preserve"> and </w:t>
      </w:r>
      <w:r w:rsidRPr="005173CD">
        <w:rPr>
          <w:rFonts w:cstheme="majorHAnsi"/>
          <w:lang w:val="en-GB"/>
        </w:rPr>
        <w:t>racial</w:t>
      </w:r>
      <w:r w:rsidR="00DC17DA" w:rsidRPr="005173CD">
        <w:rPr>
          <w:rFonts w:cstheme="majorHAnsi"/>
          <w:lang w:val="en-GB"/>
        </w:rPr>
        <w:t xml:space="preserve"> and </w:t>
      </w:r>
      <w:r w:rsidRPr="005173CD">
        <w:rPr>
          <w:rFonts w:cstheme="majorHAnsi"/>
          <w:lang w:val="en-GB"/>
        </w:rPr>
        <w:t xml:space="preserve">ethnic </w:t>
      </w:r>
      <w:r w:rsidR="00DC17DA" w:rsidRPr="005173CD">
        <w:rPr>
          <w:rFonts w:cstheme="majorHAnsi"/>
          <w:lang w:val="en-GB"/>
        </w:rPr>
        <w:t>population</w:t>
      </w:r>
      <w:r w:rsidRPr="005173CD">
        <w:rPr>
          <w:rFonts w:cstheme="majorHAnsi"/>
          <w:lang w:val="en-GB"/>
        </w:rPr>
        <w:t xml:space="preserve"> model</w:t>
      </w:r>
      <w:bookmarkEnd w:id="12"/>
      <w:bookmarkEnd w:id="13"/>
    </w:p>
    <w:p w14:paraId="7BE24375" w14:textId="775A7DC9" w:rsidR="007A6422" w:rsidRPr="005173CD" w:rsidRDefault="00891164" w:rsidP="61CD6BD0">
      <w:pPr>
        <w:spacing w:after="0" w:line="360" w:lineRule="auto"/>
        <w:contextualSpacing/>
        <w:rPr>
          <w:rFonts w:asciiTheme="majorHAnsi" w:hAnsiTheme="majorHAnsi" w:cstheme="majorHAnsi"/>
          <w:lang w:val="en-GB"/>
        </w:rPr>
      </w:pPr>
      <w:r w:rsidRPr="005173CD">
        <w:rPr>
          <w:rFonts w:asciiTheme="majorHAnsi" w:hAnsiTheme="majorHAnsi" w:cstheme="majorHAnsi"/>
          <w:lang w:val="en-GB"/>
        </w:rPr>
        <w:t xml:space="preserve">Separate models were fitted for each cause of death at each level in the GBD hierarchy. The </w:t>
      </w:r>
      <w:r w:rsidR="0015776E" w:rsidRPr="005173CD">
        <w:rPr>
          <w:rFonts w:asciiTheme="majorHAnsi" w:hAnsiTheme="majorHAnsi" w:cstheme="majorHAnsi"/>
          <w:lang w:val="en-GB"/>
        </w:rPr>
        <w:t xml:space="preserve">two exceptions to this were Level 1 cause “injuries” and Level </w:t>
      </w:r>
      <w:r w:rsidRPr="005173CD">
        <w:rPr>
          <w:rFonts w:asciiTheme="majorHAnsi" w:hAnsiTheme="majorHAnsi" w:cstheme="majorHAnsi"/>
          <w:lang w:val="en-GB"/>
        </w:rPr>
        <w:t>2 cause “maternal and neonatal disorders</w:t>
      </w:r>
      <w:r w:rsidR="0015776E" w:rsidRPr="005173CD">
        <w:rPr>
          <w:rFonts w:asciiTheme="majorHAnsi" w:hAnsiTheme="majorHAnsi" w:cstheme="majorHAnsi"/>
          <w:lang w:val="en-GB"/>
        </w:rPr>
        <w:t>.</w:t>
      </w:r>
      <w:r w:rsidRPr="005173CD">
        <w:rPr>
          <w:rFonts w:asciiTheme="majorHAnsi" w:hAnsiTheme="majorHAnsi" w:cstheme="majorHAnsi"/>
          <w:lang w:val="en-GB"/>
        </w:rPr>
        <w:t xml:space="preserve">” </w:t>
      </w:r>
      <w:r w:rsidR="0015776E" w:rsidRPr="005173CD">
        <w:rPr>
          <w:rFonts w:asciiTheme="majorHAnsi" w:hAnsiTheme="majorHAnsi" w:cstheme="majorHAnsi"/>
          <w:lang w:val="en-GB"/>
        </w:rPr>
        <w:t>In both cases,</w:t>
      </w:r>
      <w:r w:rsidRPr="005173CD">
        <w:rPr>
          <w:rFonts w:asciiTheme="majorHAnsi" w:hAnsiTheme="majorHAnsi" w:cstheme="majorHAnsi"/>
          <w:lang w:val="en-GB"/>
        </w:rPr>
        <w:t xml:space="preserve"> instead of modelling th</w:t>
      </w:r>
      <w:r w:rsidR="0015776E" w:rsidRPr="005173CD">
        <w:rPr>
          <w:rFonts w:asciiTheme="majorHAnsi" w:hAnsiTheme="majorHAnsi" w:cstheme="majorHAnsi"/>
          <w:lang w:val="en-GB"/>
        </w:rPr>
        <w:t>ese</w:t>
      </w:r>
      <w:r w:rsidRPr="005173CD">
        <w:rPr>
          <w:rFonts w:asciiTheme="majorHAnsi" w:hAnsiTheme="majorHAnsi" w:cstheme="majorHAnsi"/>
          <w:lang w:val="en-GB"/>
        </w:rPr>
        <w:t xml:space="preserve"> cause</w:t>
      </w:r>
      <w:r w:rsidR="0015776E" w:rsidRPr="005173CD">
        <w:rPr>
          <w:rFonts w:asciiTheme="majorHAnsi" w:hAnsiTheme="majorHAnsi" w:cstheme="majorHAnsi"/>
          <w:lang w:val="en-GB"/>
        </w:rPr>
        <w:t>s</w:t>
      </w:r>
      <w:r w:rsidRPr="005173CD">
        <w:rPr>
          <w:rFonts w:asciiTheme="majorHAnsi" w:hAnsiTheme="majorHAnsi" w:cstheme="majorHAnsi"/>
          <w:lang w:val="en-GB"/>
        </w:rPr>
        <w:t xml:space="preserve"> directly, the estimates for </w:t>
      </w:r>
      <w:r w:rsidR="0015776E" w:rsidRPr="005173CD">
        <w:rPr>
          <w:rFonts w:asciiTheme="majorHAnsi" w:hAnsiTheme="majorHAnsi" w:cstheme="majorHAnsi"/>
          <w:lang w:val="en-GB"/>
        </w:rPr>
        <w:t>each</w:t>
      </w:r>
      <w:r w:rsidRPr="005173CD">
        <w:rPr>
          <w:rFonts w:asciiTheme="majorHAnsi" w:hAnsiTheme="majorHAnsi" w:cstheme="majorHAnsi"/>
          <w:lang w:val="en-GB"/>
        </w:rPr>
        <w:t xml:space="preserve"> cause were constructed by summing the estimates from the separate models for component </w:t>
      </w:r>
      <w:r w:rsidR="008301A2" w:rsidRPr="005173CD">
        <w:rPr>
          <w:rFonts w:asciiTheme="majorHAnsi" w:hAnsiTheme="majorHAnsi" w:cstheme="majorHAnsi"/>
          <w:lang w:val="en-GB"/>
        </w:rPr>
        <w:t xml:space="preserve">models. </w:t>
      </w:r>
      <w:r w:rsidR="001158A6" w:rsidRPr="005173CD">
        <w:rPr>
          <w:rFonts w:asciiTheme="majorHAnsi" w:hAnsiTheme="majorHAnsi" w:cstheme="majorHAnsi"/>
          <w:lang w:val="en-GB"/>
        </w:rPr>
        <w:t>For Level 1 “injuries,” this approach was taken because of the effect of large shocks in the mortality trends due to large</w:t>
      </w:r>
      <w:r w:rsidR="0FC3D16B" w:rsidRPr="005173CD">
        <w:rPr>
          <w:rFonts w:asciiTheme="majorHAnsi" w:hAnsiTheme="majorHAnsi" w:cstheme="majorHAnsi"/>
          <w:lang w:val="en-GB"/>
        </w:rPr>
        <w:t>-</w:t>
      </w:r>
      <w:r w:rsidR="001158A6" w:rsidRPr="005173CD">
        <w:rPr>
          <w:rFonts w:asciiTheme="majorHAnsi" w:hAnsiTheme="majorHAnsi" w:cstheme="majorHAnsi"/>
          <w:lang w:val="en-GB"/>
        </w:rPr>
        <w:t xml:space="preserve">scale disasters, such as Hurricane Katrina (included in Level 2 “unintentional injuries”) and the September 11, </w:t>
      </w:r>
      <w:proofErr w:type="gramStart"/>
      <w:r w:rsidR="001158A6" w:rsidRPr="005173CD">
        <w:rPr>
          <w:rFonts w:asciiTheme="majorHAnsi" w:hAnsiTheme="majorHAnsi" w:cstheme="majorHAnsi"/>
          <w:lang w:val="en-GB"/>
        </w:rPr>
        <w:t>2001</w:t>
      </w:r>
      <w:proofErr w:type="gramEnd"/>
      <w:r w:rsidR="001158A6" w:rsidRPr="005173CD">
        <w:rPr>
          <w:rFonts w:asciiTheme="majorHAnsi" w:hAnsiTheme="majorHAnsi" w:cstheme="majorHAnsi"/>
          <w:lang w:val="en-GB"/>
        </w:rPr>
        <w:t xml:space="preserve"> terrorist attacks (included in Level 2 “Self-harm and interpersonal violence”). These shocks—which vary especially drastically by county, age, and </w:t>
      </w:r>
      <w:r w:rsidR="00370CF1" w:rsidRPr="005173CD">
        <w:rPr>
          <w:rFonts w:asciiTheme="majorHAnsi" w:hAnsiTheme="majorHAnsi" w:cstheme="majorHAnsi"/>
          <w:lang w:val="en-GB"/>
        </w:rPr>
        <w:t>racial and ethnic population</w:t>
      </w:r>
      <w:r w:rsidR="001158A6" w:rsidRPr="005173CD">
        <w:rPr>
          <w:rFonts w:asciiTheme="majorHAnsi" w:hAnsiTheme="majorHAnsi" w:cstheme="majorHAnsi"/>
          <w:lang w:val="en-GB"/>
        </w:rPr>
        <w:t xml:space="preserve">—were not well modelled using a higher level “injuries” model, and aggregating these child causes proved to be better at fitting these shocks. The estimates for Level 2 “maternal and neonatal disorders” were formed by aggregating the component Level </w:t>
      </w:r>
      <w:r w:rsidRPr="005173CD">
        <w:rPr>
          <w:rFonts w:asciiTheme="majorHAnsi" w:hAnsiTheme="majorHAnsi" w:cstheme="majorHAnsi"/>
          <w:lang w:val="en-GB"/>
        </w:rPr>
        <w:t>3 causes “maternal disorders” and “neonatal disorders</w:t>
      </w:r>
      <w:r w:rsidR="00ED1ECA" w:rsidRPr="005173CD">
        <w:rPr>
          <w:rFonts w:asciiTheme="majorHAnsi" w:hAnsiTheme="majorHAnsi" w:cstheme="majorHAnsi"/>
          <w:lang w:val="en-GB"/>
        </w:rPr>
        <w:t>.</w:t>
      </w:r>
      <w:r w:rsidRPr="005173CD">
        <w:rPr>
          <w:rFonts w:asciiTheme="majorHAnsi" w:hAnsiTheme="majorHAnsi" w:cstheme="majorHAnsi"/>
          <w:lang w:val="en-GB"/>
        </w:rPr>
        <w:t>” This was done because the age groups for these two component causes are entirely distinct. For most causes, the following model was estimated separately for males and females:</w:t>
      </w:r>
    </w:p>
    <w:p w14:paraId="444EC1C5" w14:textId="77777777" w:rsidR="00891164" w:rsidRPr="005173CD" w:rsidRDefault="00891164" w:rsidP="00983528">
      <w:pPr>
        <w:spacing w:after="0" w:line="360" w:lineRule="auto"/>
        <w:contextualSpacing/>
        <w:rPr>
          <w:rFonts w:asciiTheme="majorHAnsi" w:hAnsiTheme="majorHAnsi" w:cstheme="majorHAnsi"/>
          <w:lang w:val="en-GB"/>
        </w:rPr>
      </w:pPr>
    </w:p>
    <w:p w14:paraId="6E6257E9" w14:textId="2ED1A91E" w:rsidR="00874716" w:rsidRPr="005173CD" w:rsidRDefault="007A62BF" w:rsidP="00983528">
      <w:pPr>
        <w:spacing w:after="0" w:line="360" w:lineRule="auto"/>
        <w:contextualSpacing/>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m:rPr>
              <m:aln/>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hAnsi="Cambria Math" w:cstheme="majorHAnsi"/>
              <w:lang w:val="en-GB"/>
            </w:rPr>
            <m:t xml:space="preserve"> </m:t>
          </m:r>
        </m:oMath>
      </m:oMathPara>
    </w:p>
    <w:p w14:paraId="567FDD95" w14:textId="77777777" w:rsidR="00677227" w:rsidRPr="005173CD" w:rsidRDefault="00677227" w:rsidP="00677227">
      <w:pPr>
        <w:spacing w:after="0" w:line="360" w:lineRule="auto"/>
        <w:ind w:left="360"/>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Priors: </w:t>
      </w:r>
    </w:p>
    <w:p w14:paraId="02648C07" w14:textId="77777777" w:rsidR="00677227" w:rsidRPr="005173CD" w:rsidRDefault="007A62BF" w:rsidP="00677227">
      <w:pPr>
        <w:spacing w:after="0" w:line="360" w:lineRule="auto"/>
        <w:ind w:left="720"/>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m:t>
            </m:r>
          </m:sub>
        </m:sSub>
        <m:r>
          <w:rPr>
            <w:rFonts w:ascii="Cambria Math" w:eastAsiaTheme="minorEastAsia"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σ</m:t>
            </m:r>
          </m:e>
          <m:sub>
            <m:r>
              <m:rPr>
                <m:sty m:val="bi"/>
              </m:rPr>
              <w:rPr>
                <w:rFonts w:ascii="Cambria Math" w:eastAsiaTheme="minorEastAsia" w:hAnsi="Cambria Math" w:cstheme="majorHAnsi"/>
                <w:lang w:val="en-GB"/>
              </w:rPr>
              <m:t>1</m:t>
            </m:r>
          </m:sub>
        </m:sSub>
        <m:r>
          <w:rPr>
            <w:rFonts w:ascii="Cambria Math" w:eastAsiaTheme="minorEastAsia" w:hAnsi="Cambria Math" w:cstheme="majorHAnsi"/>
            <w:lang w:val="en-GB"/>
          </w:rPr>
          <m:t>)</m:t>
        </m:r>
      </m:oMath>
      <w:r w:rsidR="00677227" w:rsidRPr="005173CD">
        <w:rPr>
          <w:rFonts w:asciiTheme="majorHAnsi" w:eastAsiaTheme="minorEastAsia" w:hAnsiTheme="majorHAnsi" w:cstheme="majorHAnsi"/>
          <w:lang w:val="en-GB"/>
        </w:rPr>
        <w:t xml:space="preserve"> </w:t>
      </w:r>
    </w:p>
    <w:p w14:paraId="665C956C" w14:textId="77777777" w:rsidR="00677227" w:rsidRPr="005173CD" w:rsidRDefault="007A62BF" w:rsidP="00677227">
      <w:pPr>
        <w:spacing w:after="0" w:line="360" w:lineRule="auto"/>
        <w:ind w:left="720"/>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2</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LCAR</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2</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2</m:t>
            </m:r>
          </m:sub>
        </m:sSub>
        <m:r>
          <w:rPr>
            <w:rFonts w:ascii="Cambria Math" w:eastAsiaTheme="minorEastAsia" w:hAnsi="Cambria Math" w:cstheme="majorHAnsi"/>
            <w:lang w:val="en-GB"/>
          </w:rPr>
          <m:t>)</m:t>
        </m:r>
      </m:oMath>
      <w:r w:rsidR="00677227" w:rsidRPr="005173CD">
        <w:rPr>
          <w:rFonts w:asciiTheme="majorHAnsi" w:eastAsiaTheme="minorEastAsia" w:hAnsiTheme="majorHAnsi" w:cstheme="majorHAnsi"/>
          <w:lang w:val="en-GB"/>
        </w:rPr>
        <w:t xml:space="preserve"> </w:t>
      </w:r>
    </w:p>
    <w:p w14:paraId="08DD48E0" w14:textId="77777777" w:rsidR="00677227" w:rsidRPr="005173CD" w:rsidRDefault="007A62BF" w:rsidP="00677227">
      <w:pPr>
        <w:spacing w:after="0" w:line="360" w:lineRule="auto"/>
        <w:ind w:left="720"/>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3</m:t>
              </m:r>
            </m:sub>
          </m:sSub>
          <m:r>
            <w:rPr>
              <w:rFonts w:ascii="Cambria Math" w:eastAsiaTheme="minorEastAsia" w:hAnsi="Cambria Math" w:cstheme="majorHAnsi"/>
              <w:lang w:val="en-GB"/>
            </w:rPr>
            <m:t xml:space="preserve"> ~ </m:t>
          </m:r>
          <m:r>
            <m:rPr>
              <m:sty m:val="p"/>
            </m:rPr>
            <w:rPr>
              <w:rFonts w:ascii="Cambria Math" w:eastAsiaTheme="minorEastAsia" w:hAnsi="Cambria Math" w:cstheme="majorHAnsi"/>
              <w:lang w:val="en-GB"/>
            </w:rPr>
            <m:t>LCAR:LCAR:IID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3,t</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3</m:t>
              </m:r>
            </m:sub>
          </m:sSub>
          <m:r>
            <w:rPr>
              <w:rFonts w:ascii="Cambria Math" w:eastAsiaTheme="minorEastAsia" w:hAnsi="Cambria Math" w:cstheme="majorHAnsi"/>
              <w:lang w:val="en-GB"/>
            </w:rPr>
            <m:t xml:space="preserve">) </m:t>
          </m:r>
        </m:oMath>
      </m:oMathPara>
    </w:p>
    <w:p w14:paraId="2C416E6D" w14:textId="6499EA6A" w:rsidR="00677227" w:rsidRPr="005173CD" w:rsidRDefault="007A62BF" w:rsidP="00677227">
      <w:pPr>
        <w:spacing w:after="0" w:line="360" w:lineRule="auto"/>
        <w:ind w:left="720"/>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4</m:t>
            </m:r>
          </m:sub>
        </m:sSub>
        <m:r>
          <w:rPr>
            <w:rFonts w:ascii="Cambria Math" w:hAnsi="Cambria Math" w:cstheme="majorHAnsi"/>
            <w:lang w:val="en-GB"/>
          </w:rPr>
          <m:t xml:space="preserve"> ~ </m:t>
        </m:r>
        <m:r>
          <m:rPr>
            <m:sty m:val="p"/>
          </m:rPr>
          <w:rPr>
            <w:rFonts w:ascii="Cambria Math" w:hAnsi="Cambria Math" w:cstheme="majorHAnsi"/>
            <w:lang w:val="en-GB"/>
          </w:rPr>
          <m:t>LCAR:LCAR:LCAR:IID</m:t>
        </m:r>
        <m:r>
          <w:rPr>
            <w:rFonts w:ascii="Cambria Math"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677227"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677227" w:rsidRPr="005173CD">
        <w:rPr>
          <w:rFonts w:asciiTheme="majorHAnsi" w:eastAsiaTheme="minorEastAsia" w:hAnsiTheme="majorHAnsi" w:cstheme="majorHAnsi"/>
          <w:lang w:val="en-GB"/>
        </w:rPr>
        <w:t>,</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r>
          <w:rPr>
            <w:rFonts w:ascii="Cambria Math" w:hAnsi="Cambria Math" w:cstheme="majorHAnsi"/>
            <w:lang w:val="en-GB"/>
          </w:rPr>
          <m:t xml:space="preserve">, </m:t>
        </m:r>
        <m:sSub>
          <m:sSubPr>
            <m:ctrlPr>
              <w:rPr>
                <w:rFonts w:ascii="Cambria Math" w:hAnsi="Cambria Math" w:cstheme="majorHAnsi"/>
                <w:b/>
                <w:i/>
                <w:lang w:val="en-GB"/>
              </w:rPr>
            </m:ctrlPr>
          </m:sSubPr>
          <m:e>
            <m:r>
              <m:rPr>
                <m:sty m:val="bi"/>
              </m:rPr>
              <w:rPr>
                <w:rFonts w:ascii="Cambria Math" w:hAnsi="Cambria Math" w:cstheme="majorHAnsi"/>
                <w:lang w:val="en-GB"/>
              </w:rPr>
              <m:t>σ</m:t>
            </m:r>
          </m:e>
          <m:sub>
            <m:r>
              <m:rPr>
                <m:sty m:val="bi"/>
              </m:rPr>
              <w:rPr>
                <w:rFonts w:ascii="Cambria Math" w:hAnsi="Cambria Math" w:cstheme="majorHAnsi"/>
                <w:lang w:val="en-GB"/>
              </w:rPr>
              <m:t>4</m:t>
            </m:r>
          </m:sub>
        </m:sSub>
        <m:r>
          <w:rPr>
            <w:rFonts w:ascii="Cambria Math" w:hAnsi="Cambria Math" w:cstheme="majorHAnsi"/>
            <w:lang w:val="en-GB"/>
          </w:rPr>
          <m:t>)</m:t>
        </m:r>
      </m:oMath>
    </w:p>
    <w:p w14:paraId="65361626" w14:textId="77777777" w:rsidR="00677227" w:rsidRPr="005173CD" w:rsidRDefault="00677227" w:rsidP="00677227">
      <w:pPr>
        <w:spacing w:after="0" w:line="360" w:lineRule="auto"/>
        <w:rPr>
          <w:rFonts w:asciiTheme="majorHAnsi" w:eastAsiaTheme="minorEastAsia" w:hAnsiTheme="majorHAnsi" w:cstheme="majorHAnsi"/>
          <w:lang w:val="en-GB"/>
        </w:rPr>
      </w:pPr>
    </w:p>
    <w:p w14:paraId="66FCA5BD" w14:textId="432E2F27" w:rsidR="00677227" w:rsidRPr="005173CD" w:rsidRDefault="00677227" w:rsidP="00677227">
      <w:pPr>
        <w:spacing w:after="0" w:line="360" w:lineRule="auto"/>
        <w:ind w:left="360"/>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Hyperpriors: </w:t>
      </w:r>
    </w:p>
    <w:p w14:paraId="056F401F" w14:textId="77777777" w:rsidR="00677227" w:rsidRPr="005173CD" w:rsidRDefault="007A62BF" w:rsidP="00677227">
      <w:pPr>
        <w:spacing w:after="0" w:line="360" w:lineRule="auto"/>
        <w:ind w:left="720"/>
        <w:rPr>
          <w:rFonts w:asciiTheme="majorHAnsi" w:eastAsiaTheme="minorEastAsia" w:hAnsiTheme="majorHAnsi" w:cstheme="majorHAnsi"/>
          <w:lang w:val="en-GB"/>
        </w:rPr>
      </w:pPr>
      <m:oMathPara>
        <m:oMathParaPr>
          <m:jc m:val="left"/>
        </m:oMathParaPr>
        <m:oMath>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17FB8D6D" w14:textId="01DD93B6" w:rsidR="00677227" w:rsidRPr="005173CD" w:rsidRDefault="00677227" w:rsidP="00677227">
      <w:pPr>
        <w:spacing w:after="0" w:line="360" w:lineRule="auto"/>
        <w:ind w:left="720"/>
        <w:rPr>
          <w:rFonts w:asciiTheme="majorHAnsi" w:eastAsiaTheme="minorEastAsia" w:hAnsiTheme="majorHAnsi" w:cstheme="majorHAnsi"/>
          <w:lang w:val="en-GB"/>
        </w:rPr>
      </w:pPr>
      <m:oMathPara>
        <m:oMathParaPr>
          <m:jc m:val="left"/>
        </m:oMathParaPr>
        <m:oMath>
          <m:r>
            <m:rPr>
              <m:sty m:val="p"/>
            </m:rPr>
            <w:rPr>
              <w:rFonts w:ascii="Cambria Math" w:eastAsiaTheme="minorEastAsia" w:hAnsi="Cambria Math" w:cstheme="majorHAnsi"/>
              <w:lang w:val="en-GB"/>
            </w:rPr>
            <m:t>logit</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ρ</m:t>
              </m:r>
            </m:e>
          </m:d>
          <m:r>
            <w:rPr>
              <w:rFonts w:ascii="Cambria Math" w:eastAsiaTheme="minorEastAsia" w:hAnsi="Cambria Math" w:cstheme="majorHAnsi"/>
              <w:lang w:val="en-GB"/>
            </w:rPr>
            <m:t>∼</m:t>
          </m:r>
          <m:r>
            <m:rPr>
              <m:sty m:val="p"/>
            </m:rPr>
            <w:rPr>
              <w:rFonts w:ascii="Cambria Math" w:eastAsiaTheme="minorEastAsia" w:hAnsi="Cambria Math" w:cstheme="majorHAnsi"/>
              <w:lang w:val="en-GB"/>
            </w:rPr>
            <m:t>Normal</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 xml:space="preserve">0, </m:t>
              </m:r>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1.5</m:t>
                  </m:r>
                </m:e>
                <m:sup>
                  <m:r>
                    <w:rPr>
                      <w:rFonts w:ascii="Cambria Math" w:eastAsiaTheme="minorEastAsia" w:hAnsi="Cambria Math" w:cstheme="majorHAnsi"/>
                      <w:lang w:val="en-GB"/>
                    </w:rPr>
                    <m:t>2</m:t>
                  </m:r>
                </m:sup>
              </m:sSup>
            </m:e>
          </m:d>
        </m:oMath>
      </m:oMathPara>
    </w:p>
    <w:p w14:paraId="208C6D4B" w14:textId="77777777" w:rsidR="007A6422" w:rsidRPr="005173CD" w:rsidRDefault="007A6422" w:rsidP="00983528">
      <w:pPr>
        <w:spacing w:after="0" w:line="360" w:lineRule="auto"/>
        <w:contextualSpacing/>
        <w:rPr>
          <w:rFonts w:asciiTheme="majorHAnsi" w:eastAsiaTheme="minorEastAsia" w:hAnsiTheme="majorHAnsi" w:cstheme="majorHAnsi"/>
          <w:lang w:val="en-GB"/>
        </w:rPr>
      </w:pPr>
    </w:p>
    <w:p w14:paraId="1E54694A" w14:textId="2B3EBAAE" w:rsidR="00C565D5" w:rsidRPr="005173CD" w:rsidRDefault="00C565D5" w:rsidP="00983528">
      <w:pPr>
        <w:spacing w:after="0" w:line="360" w:lineRule="auto"/>
        <w:contextualSpacing/>
        <w:rPr>
          <w:rFonts w:asciiTheme="majorHAnsi" w:eastAsiaTheme="minorEastAsia" w:hAnsiTheme="majorHAnsi" w:cstheme="majorHAnsi"/>
          <w:lang w:val="en-GB"/>
        </w:rPr>
      </w:pPr>
      <w:proofErr w:type="gramStart"/>
      <w:r w:rsidRPr="005173CD">
        <w:rPr>
          <w:rFonts w:asciiTheme="majorHAnsi" w:eastAsiaTheme="minorEastAsia" w:hAnsiTheme="majorHAnsi" w:cstheme="majorHAnsi"/>
          <w:lang w:val="en-GB"/>
        </w:rPr>
        <w:t>where</w:t>
      </w:r>
      <w:proofErr w:type="gramEnd"/>
    </w:p>
    <w:p w14:paraId="45C9809E" w14:textId="32637A0B" w:rsidR="00891164" w:rsidRPr="005173CD" w:rsidRDefault="00891164" w:rsidP="00891164">
      <w:pPr>
        <w:numPr>
          <w:ilvl w:val="0"/>
          <w:numId w:val="10"/>
        </w:numPr>
        <w:spacing w:after="0" w:line="360" w:lineRule="auto"/>
        <w:rPr>
          <w:rFonts w:asciiTheme="majorHAnsi" w:hAnsiTheme="majorHAnsi" w:cstheme="majorHAnsi"/>
          <w:lang w:val="en-GB"/>
        </w:rPr>
      </w:pPr>
      <m:oMath>
        <m:r>
          <w:rPr>
            <w:rFonts w:ascii="Cambria Math" w:hAnsi="Cambria Math" w:cstheme="majorHAnsi"/>
            <w:lang w:val="en-GB"/>
          </w:rPr>
          <m:t>j</m:t>
        </m:r>
      </m:oMath>
      <w:r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t</m:t>
        </m:r>
      </m:oMath>
      <w:r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a</m:t>
        </m:r>
      </m:oMath>
      <w:r w:rsidRPr="005173CD">
        <w:rPr>
          <w:rFonts w:asciiTheme="majorHAnsi" w:eastAsiaTheme="minorEastAsia" w:hAnsiTheme="majorHAnsi" w:cstheme="majorHAnsi"/>
          <w:lang w:val="en-GB"/>
        </w:rPr>
        <w:t xml:space="preserve">, and </w:t>
      </w:r>
      <m:oMath>
        <m:r>
          <w:rPr>
            <w:rFonts w:ascii="Cambria Math" w:eastAsiaTheme="minorEastAsia" w:hAnsi="Cambria Math" w:cstheme="majorHAnsi"/>
            <w:lang w:val="en-GB"/>
          </w:rPr>
          <m:t>r</m:t>
        </m:r>
      </m:oMath>
      <w:r w:rsidRPr="005173CD">
        <w:rPr>
          <w:rFonts w:asciiTheme="majorHAnsi" w:eastAsiaTheme="minorEastAsia" w:hAnsiTheme="majorHAnsi" w:cstheme="majorHAnsi"/>
          <w:lang w:val="en-GB"/>
        </w:rPr>
        <w:t xml:space="preserve"> are indices for the county, calendar year (2000–2019, recoded sequentially from 0 to 19), age group (0, 1–4, 5–9, …, 80–84, and 85+ years old [or a subset, for causes that do not </w:t>
      </w:r>
      <w:r w:rsidRPr="005173CD">
        <w:rPr>
          <w:rFonts w:asciiTheme="majorHAnsi" w:eastAsiaTheme="minorEastAsia" w:hAnsiTheme="majorHAnsi" w:cstheme="majorHAnsi"/>
          <w:lang w:val="en-GB"/>
        </w:rPr>
        <w:lastRenderedPageBreak/>
        <w:t xml:space="preserve">affect all age groups], recoded sequentially from 0 to 18), and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 (</w:t>
      </w:r>
      <w:r w:rsidR="00ED1ECA" w:rsidRPr="005173CD">
        <w:rPr>
          <w:rFonts w:asciiTheme="majorHAnsi" w:eastAsiaTheme="minorEastAsia" w:hAnsiTheme="majorHAnsi" w:cstheme="majorHAnsi"/>
          <w:lang w:val="en-GB"/>
        </w:rPr>
        <w:t xml:space="preserve">Latino, </w:t>
      </w:r>
      <w:r w:rsidR="001D1156" w:rsidRPr="005173CD">
        <w:rPr>
          <w:rFonts w:asciiTheme="majorHAnsi" w:eastAsiaTheme="minorEastAsia" w:hAnsiTheme="majorHAnsi" w:cstheme="majorHAnsi"/>
          <w:lang w:val="en-GB"/>
        </w:rPr>
        <w:t xml:space="preserve">Black, </w:t>
      </w:r>
      <w:r w:rsidRPr="005173CD">
        <w:rPr>
          <w:rFonts w:asciiTheme="majorHAnsi" w:eastAsiaTheme="minorEastAsia" w:hAnsiTheme="majorHAnsi" w:cstheme="majorHAnsi"/>
          <w:lang w:val="en-GB"/>
        </w:rPr>
        <w:t>White, AIAN,</w:t>
      </w:r>
      <w:r w:rsidR="001D1156" w:rsidRPr="005173CD">
        <w:rPr>
          <w:rFonts w:asciiTheme="majorHAnsi" w:eastAsiaTheme="minorEastAsia" w:hAnsiTheme="majorHAnsi" w:cstheme="majorHAnsi"/>
          <w:lang w:val="en-GB"/>
        </w:rPr>
        <w:t xml:space="preserve"> and</w:t>
      </w:r>
      <w:r w:rsidRPr="005173CD">
        <w:rPr>
          <w:rFonts w:asciiTheme="majorHAnsi" w:eastAsiaTheme="minorEastAsia" w:hAnsiTheme="majorHAnsi" w:cstheme="majorHAnsi"/>
          <w:lang w:val="en-GB"/>
        </w:rPr>
        <w:t xml:space="preserve"> Asian, recoded in that order from 0 to 4), respectively;</w:t>
      </w:r>
    </w:p>
    <w:p w14:paraId="5E58036A" w14:textId="44518635"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oMath>
      <w:r w:rsidR="00891164"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P</m:t>
            </m:r>
          </m:e>
          <m:sub>
            <m:r>
              <w:rPr>
                <w:rFonts w:ascii="Cambria Math" w:eastAsiaTheme="minorEastAsia" w:hAnsi="Cambria Math" w:cstheme="majorHAnsi"/>
                <w:lang w:val="en-GB"/>
              </w:rPr>
              <m:t>j,t,a,r</m:t>
            </m:r>
          </m:sub>
        </m:sSub>
      </m:oMath>
      <w:r w:rsidR="00891164" w:rsidRPr="005173CD">
        <w:rPr>
          <w:rFonts w:asciiTheme="majorHAnsi" w:eastAsiaTheme="minorEastAsia" w:hAnsiTheme="majorHAnsi" w:cstheme="majorHAnsi"/>
          <w:lang w:val="en-GB"/>
        </w:rPr>
        <w:t xml:space="preserve"> are the observed number of deaths and the population count, respectively, in county </w:t>
      </w:r>
      <m:oMath>
        <m:r>
          <w:rPr>
            <w:rFonts w:ascii="Cambria Math" w:eastAsiaTheme="minorEastAsia" w:hAnsi="Cambria Math" w:cstheme="majorHAnsi"/>
            <w:lang w:val="en-GB"/>
          </w:rPr>
          <m:t>j</m:t>
        </m:r>
      </m:oMath>
      <w:r w:rsidR="00891164" w:rsidRPr="005173CD">
        <w:rPr>
          <w:rFonts w:asciiTheme="majorHAnsi" w:eastAsiaTheme="minorEastAsia" w:hAnsiTheme="majorHAnsi" w:cstheme="majorHAnsi"/>
          <w:lang w:val="en-GB"/>
        </w:rPr>
        <w:t xml:space="preserve">, year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 xml:space="preserve">, age group </w:t>
      </w:r>
      <m:oMath>
        <m:r>
          <w:rPr>
            <w:rFonts w:ascii="Cambria Math" w:eastAsiaTheme="minorEastAsia" w:hAnsi="Cambria Math" w:cstheme="majorHAnsi"/>
            <w:lang w:val="en-GB"/>
          </w:rPr>
          <m:t>a</m:t>
        </m:r>
      </m:oMath>
      <w:r w:rsidR="00891164" w:rsidRPr="005173CD">
        <w:rPr>
          <w:rFonts w:asciiTheme="majorHAnsi" w:eastAsiaTheme="minorEastAsia" w:hAnsiTheme="majorHAnsi" w:cstheme="majorHAnsi"/>
          <w:lang w:val="en-GB"/>
        </w:rPr>
        <w:t>, and racial</w:t>
      </w:r>
      <w:r w:rsidR="001D1156"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1D1156"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r</m:t>
        </m:r>
      </m:oMath>
      <w:r w:rsidR="00891164" w:rsidRPr="005173CD">
        <w:rPr>
          <w:rFonts w:asciiTheme="majorHAnsi" w:eastAsiaTheme="minorEastAsia" w:hAnsiTheme="majorHAnsi" w:cstheme="majorHAnsi"/>
          <w:lang w:val="en-GB"/>
        </w:rPr>
        <w:t>;</w:t>
      </w:r>
    </w:p>
    <w:p w14:paraId="7187E76D" w14:textId="345F7B78"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oMath>
      <w:r w:rsidR="00891164" w:rsidRPr="005173CD">
        <w:rPr>
          <w:rFonts w:asciiTheme="majorHAnsi" w:eastAsiaTheme="minorEastAsia" w:hAnsiTheme="majorHAnsi" w:cstheme="majorHAnsi"/>
          <w:lang w:val="en-GB"/>
        </w:rPr>
        <w:t xml:space="preserve"> is the underlying mortality rate in county </w:t>
      </w:r>
      <m:oMath>
        <m:r>
          <w:rPr>
            <w:rFonts w:ascii="Cambria Math" w:eastAsiaTheme="minorEastAsia" w:hAnsi="Cambria Math" w:cstheme="majorHAnsi"/>
            <w:lang w:val="en-GB"/>
          </w:rPr>
          <m:t>j</m:t>
        </m:r>
      </m:oMath>
      <w:r w:rsidR="00891164" w:rsidRPr="005173CD">
        <w:rPr>
          <w:rFonts w:asciiTheme="majorHAnsi" w:eastAsiaTheme="minorEastAsia" w:hAnsiTheme="majorHAnsi" w:cstheme="majorHAnsi"/>
          <w:lang w:val="en-GB"/>
        </w:rPr>
        <w:t xml:space="preserve">, year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 xml:space="preserve">, age group </w:t>
      </w:r>
      <m:oMath>
        <m:r>
          <w:rPr>
            <w:rFonts w:ascii="Cambria Math" w:eastAsiaTheme="minorEastAsia" w:hAnsi="Cambria Math" w:cstheme="majorHAnsi"/>
            <w:lang w:val="en-GB"/>
          </w:rPr>
          <m:t>a</m:t>
        </m:r>
      </m:oMath>
      <w:r w:rsidR="00891164" w:rsidRPr="005173CD">
        <w:rPr>
          <w:rFonts w:asciiTheme="majorHAnsi" w:eastAsiaTheme="minorEastAsia" w:hAnsiTheme="majorHAnsi" w:cstheme="majorHAnsi"/>
          <w:lang w:val="en-GB"/>
        </w:rPr>
        <w:t>, and racial</w:t>
      </w:r>
      <w:r w:rsidR="001D1156"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1D1156"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r</m:t>
        </m:r>
      </m:oMath>
      <w:r w:rsidR="00891164" w:rsidRPr="005173CD">
        <w:rPr>
          <w:rFonts w:asciiTheme="majorHAnsi" w:eastAsiaTheme="minorEastAsia" w:hAnsiTheme="majorHAnsi" w:cstheme="majorHAnsi"/>
          <w:lang w:val="en-GB"/>
        </w:rPr>
        <w:t>;</w:t>
      </w:r>
    </w:p>
    <w:p w14:paraId="05C62C59" w14:textId="77777777"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oMath>
      <w:r w:rsidR="00891164" w:rsidRPr="005173CD">
        <w:rPr>
          <w:rFonts w:asciiTheme="majorHAnsi" w:eastAsiaTheme="minorEastAsia" w:hAnsiTheme="majorHAnsi" w:cstheme="majorHAnsi"/>
          <w:lang w:val="en-GB"/>
        </w:rPr>
        <w:t xml:space="preserve"> is a vector of covariates for county </w:t>
      </w:r>
      <m:oMath>
        <m:r>
          <w:rPr>
            <w:rFonts w:ascii="Cambria Math" w:eastAsiaTheme="minorEastAsia" w:hAnsi="Cambria Math" w:cstheme="majorHAnsi"/>
            <w:lang w:val="en-GB"/>
          </w:rPr>
          <m:t>j</m:t>
        </m:r>
      </m:oMath>
      <w:r w:rsidR="00891164" w:rsidRPr="005173CD">
        <w:rPr>
          <w:rFonts w:asciiTheme="majorHAnsi" w:eastAsiaTheme="minorEastAsia" w:hAnsiTheme="majorHAnsi" w:cstheme="majorHAnsi"/>
          <w:lang w:val="en-GB"/>
        </w:rPr>
        <w:t xml:space="preserve"> and year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β</m:t>
            </m:r>
          </m:e>
          <m:sub>
            <m:r>
              <m:rPr>
                <m:sty m:val="bi"/>
              </m:rPr>
              <w:rPr>
                <w:rFonts w:ascii="Cambria Math" w:eastAsiaTheme="minorEastAsia" w:hAnsi="Cambria Math" w:cstheme="majorHAnsi"/>
                <w:lang w:val="en-GB"/>
              </w:rPr>
              <m:t>1</m:t>
            </m:r>
          </m:sub>
        </m:sSub>
      </m:oMath>
      <w:r w:rsidR="00891164" w:rsidRPr="005173CD">
        <w:rPr>
          <w:rFonts w:asciiTheme="majorHAnsi" w:eastAsiaTheme="minorEastAsia" w:hAnsiTheme="majorHAnsi" w:cstheme="majorHAnsi"/>
          <w:lang w:val="en-GB"/>
        </w:rPr>
        <w:t xml:space="preserve"> is the associated vector of regression </w:t>
      </w:r>
      <w:proofErr w:type="gramStart"/>
      <w:r w:rsidR="00891164" w:rsidRPr="005173CD">
        <w:rPr>
          <w:rFonts w:asciiTheme="majorHAnsi" w:eastAsiaTheme="minorEastAsia" w:hAnsiTheme="majorHAnsi" w:cstheme="majorHAnsi"/>
          <w:lang w:val="en-GB"/>
        </w:rPr>
        <w:t>coefficients;</w:t>
      </w:r>
      <w:proofErr w:type="gramEnd"/>
    </w:p>
    <w:p w14:paraId="1EA00D9A" w14:textId="65F195D3"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oMath>
      <w:r w:rsidR="00891164" w:rsidRPr="005173CD">
        <w:rPr>
          <w:rFonts w:asciiTheme="majorHAnsi" w:eastAsiaTheme="minorEastAsia" w:hAnsiTheme="majorHAnsi" w:cstheme="majorHAnsi"/>
          <w:lang w:val="en-GB"/>
        </w:rPr>
        <w:t xml:space="preserve"> is a vector of covariates for county </w:t>
      </w:r>
      <m:oMath>
        <m:r>
          <w:rPr>
            <w:rFonts w:ascii="Cambria Math" w:eastAsiaTheme="minorEastAsia" w:hAnsi="Cambria Math" w:cstheme="majorHAnsi"/>
            <w:lang w:val="en-GB"/>
          </w:rPr>
          <m:t>j</m:t>
        </m:r>
      </m:oMath>
      <w:r w:rsidR="00891164" w:rsidRPr="005173CD">
        <w:rPr>
          <w:rFonts w:asciiTheme="majorHAnsi" w:eastAsiaTheme="minorEastAsia" w:hAnsiTheme="majorHAnsi" w:cstheme="majorHAnsi"/>
          <w:lang w:val="en-GB"/>
        </w:rPr>
        <w:t xml:space="preserve">, year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 and racial</w:t>
      </w:r>
      <w:r w:rsidR="005868CB"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5868CB"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r</m:t>
        </m:r>
      </m:oMath>
      <w:r w:rsidR="00891164" w:rsidRPr="005173CD">
        <w:rPr>
          <w:rFonts w:asciiTheme="majorHAnsi" w:eastAsiaTheme="minorEastAsia" w:hAnsiTheme="majorHAnsi" w:cstheme="majorHAnsi"/>
          <w:lang w:val="en-GB"/>
        </w:rPr>
        <w:t xml:space="preserve">, and </w:t>
      </w:r>
      <m:oMath>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oMath>
      <w:r w:rsidR="00891164" w:rsidRPr="005173CD">
        <w:rPr>
          <w:rFonts w:asciiTheme="majorHAnsi" w:eastAsiaTheme="minorEastAsia" w:hAnsiTheme="majorHAnsi" w:cstheme="majorHAnsi"/>
          <w:lang w:val="en-GB"/>
        </w:rPr>
        <w:t xml:space="preserve"> is the associated vector of regression coefficients, made up of a fixed component (</w:t>
      </w:r>
      <m:oMath>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oMath>
      <w:r w:rsidR="00891164" w:rsidRPr="005173CD">
        <w:rPr>
          <w:rFonts w:asciiTheme="majorHAnsi" w:eastAsiaTheme="minorEastAsia" w:hAnsiTheme="majorHAnsi" w:cstheme="majorHAnsi"/>
          <w:lang w:val="en-GB"/>
        </w:rPr>
        <w:t>) shared by all racial</w:t>
      </w:r>
      <w:r w:rsidR="005868CB"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5868CB"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xml:space="preserve">s, and a random </w:t>
      </w:r>
      <w:r w:rsidR="005868CB" w:rsidRPr="005173CD">
        <w:rPr>
          <w:rFonts w:asciiTheme="majorHAnsi" w:eastAsiaTheme="minorEastAsia" w:hAnsiTheme="majorHAnsi" w:cstheme="majorHAnsi"/>
          <w:lang w:val="en-GB"/>
        </w:rPr>
        <w:t xml:space="preserve">slope </w:t>
      </w:r>
      <w:r w:rsidR="00891164" w:rsidRPr="005173CD">
        <w:rPr>
          <w:rFonts w:asciiTheme="majorHAnsi" w:eastAsiaTheme="minorEastAsia" w:hAnsiTheme="majorHAnsi" w:cstheme="majorHAnsi"/>
          <w:lang w:val="en-GB"/>
        </w:rPr>
        <w:t>component (</w:t>
      </w: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oMath>
      <w:r w:rsidR="00891164" w:rsidRPr="005173CD">
        <w:rPr>
          <w:rFonts w:asciiTheme="majorHAnsi" w:eastAsiaTheme="minorEastAsia" w:hAnsiTheme="majorHAnsi" w:cstheme="majorHAnsi"/>
          <w:lang w:val="en-GB"/>
        </w:rPr>
        <w:t>) that varies by racial</w:t>
      </w:r>
      <w:r w:rsidR="005868CB"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5868CB"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w:t>
      </w:r>
    </w:p>
    <w:p w14:paraId="7D369A6B" w14:textId="000DBBAA" w:rsidR="00891164" w:rsidRPr="005173CD" w:rsidRDefault="007A62BF" w:rsidP="00891164">
      <w:pPr>
        <w:numPr>
          <w:ilvl w:val="0"/>
          <w:numId w:val="10"/>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2,j</m:t>
            </m:r>
          </m:sub>
        </m:sSub>
      </m:oMath>
      <w:r w:rsidR="00891164" w:rsidRPr="005173CD">
        <w:rPr>
          <w:rFonts w:asciiTheme="majorHAnsi" w:eastAsiaTheme="minorEastAsia" w:hAnsiTheme="majorHAnsi" w:cstheme="majorHAnsi"/>
          <w:lang w:val="en-GB"/>
        </w:rPr>
        <w:t xml:space="preserve"> is a random intercept</w:t>
      </w:r>
      <w:r w:rsidR="00053FFF" w:rsidRPr="005173CD">
        <w:rPr>
          <w:rFonts w:asciiTheme="majorHAnsi" w:eastAsiaTheme="minorEastAsia" w:hAnsiTheme="majorHAnsi" w:cstheme="majorHAnsi"/>
          <w:lang w:val="en-GB"/>
        </w:rPr>
        <w:t xml:space="preserve"> for </w:t>
      </w:r>
      <w:proofErr w:type="gramStart"/>
      <w:r w:rsidR="00053FFF" w:rsidRPr="005173CD">
        <w:rPr>
          <w:rFonts w:asciiTheme="majorHAnsi" w:eastAsiaTheme="minorEastAsia" w:hAnsiTheme="majorHAnsi" w:cstheme="majorHAnsi"/>
          <w:lang w:val="en-GB"/>
        </w:rPr>
        <w:t>county</w:t>
      </w:r>
      <w:r w:rsidR="00891164" w:rsidRPr="005173CD">
        <w:rPr>
          <w:rFonts w:asciiTheme="majorHAnsi" w:eastAsiaTheme="minorEastAsia" w:hAnsiTheme="majorHAnsi" w:cstheme="majorHAnsi"/>
          <w:lang w:val="en-GB"/>
        </w:rPr>
        <w:t>;</w:t>
      </w:r>
      <w:proofErr w:type="gramEnd"/>
    </w:p>
    <w:p w14:paraId="32CEF408" w14:textId="721CB3A9" w:rsidR="00891164" w:rsidRPr="005173CD" w:rsidRDefault="007A62BF" w:rsidP="00891164">
      <w:pPr>
        <w:numPr>
          <w:ilvl w:val="0"/>
          <w:numId w:val="10"/>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3,a,t,r</m:t>
            </m:r>
          </m:sub>
        </m:sSub>
      </m:oMath>
      <w:r w:rsidR="00891164" w:rsidRPr="005173CD">
        <w:rPr>
          <w:rFonts w:asciiTheme="majorHAnsi" w:eastAsiaTheme="minorEastAsia" w:hAnsiTheme="majorHAnsi" w:cstheme="majorHAnsi"/>
          <w:lang w:val="en-GB"/>
        </w:rPr>
        <w:t xml:space="preserve"> is a</w:t>
      </w:r>
      <w:r w:rsidR="00053FFF" w:rsidRPr="005173CD">
        <w:rPr>
          <w:rFonts w:asciiTheme="majorHAnsi" w:eastAsiaTheme="minorEastAsia" w:hAnsiTheme="majorHAnsi" w:cstheme="majorHAnsi"/>
          <w:lang w:val="en-GB"/>
        </w:rPr>
        <w:t xml:space="preserve"> random intercept for</w:t>
      </w:r>
      <w:r w:rsidR="00891164" w:rsidRPr="005173CD">
        <w:rPr>
          <w:rFonts w:asciiTheme="majorHAnsi" w:eastAsiaTheme="minorEastAsia" w:hAnsiTheme="majorHAnsi" w:cstheme="majorHAnsi"/>
          <w:lang w:val="en-GB"/>
        </w:rPr>
        <w:t xml:space="preserve"> age group, year, and racial</w:t>
      </w:r>
      <w:r w:rsidR="00053FFF"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ethnic</w:t>
      </w:r>
      <w:r w:rsidR="00053FFF" w:rsidRPr="005173CD">
        <w:rPr>
          <w:rFonts w:asciiTheme="majorHAnsi" w:eastAsiaTheme="minorEastAsia" w:hAnsiTheme="majorHAnsi" w:cstheme="majorHAnsi"/>
          <w:lang w:val="en-GB"/>
        </w:rPr>
        <w:t xml:space="preserve"> </w:t>
      </w:r>
      <w:proofErr w:type="gramStart"/>
      <w:r w:rsidR="00053FFF"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w:t>
      </w:r>
      <w:proofErr w:type="gramEnd"/>
    </w:p>
    <w:p w14:paraId="4874A5CE" w14:textId="749C41BD"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eastAsia="Times New Roman" w:hAnsi="Cambria Math" w:cstheme="majorHAnsi"/>
                <w:lang w:val="en-GB"/>
              </w:rPr>
            </m:ctrlPr>
          </m:sSubPr>
          <m:e>
            <m:r>
              <m:rPr>
                <m:sty m:val="p"/>
              </m:rPr>
              <w:rPr>
                <w:rFonts w:ascii="Cambria Math" w:eastAsia="Times New Roman" w:hAnsi="Cambria Math" w:cstheme="majorHAnsi"/>
                <w:lang w:val="en-GB"/>
              </w:rPr>
              <m:t>γ</m:t>
            </m:r>
          </m:e>
          <m:sub>
            <m:r>
              <m:rPr>
                <m:sty m:val="p"/>
              </m:rPr>
              <w:rPr>
                <w:rFonts w:ascii="Cambria Math" w:eastAsia="Times New Roman" w:hAnsi="Cambria Math" w:cstheme="majorHAnsi"/>
                <w:lang w:val="en-GB"/>
              </w:rPr>
              <m:t>4,</m:t>
            </m:r>
            <m:r>
              <w:rPr>
                <w:rFonts w:ascii="Cambria Math" w:eastAsia="Times New Roman" w:hAnsi="Cambria Math" w:cstheme="majorHAnsi"/>
                <w:lang w:val="en-GB"/>
              </w:rPr>
              <m:t>j</m:t>
            </m:r>
            <m:r>
              <m:rPr>
                <m:sty m:val="p"/>
              </m:rPr>
              <w:rPr>
                <w:rFonts w:ascii="Cambria Math" w:eastAsia="Times New Roman" w:hAnsi="Cambria Math" w:cstheme="majorHAnsi"/>
                <w:lang w:val="en-GB"/>
              </w:rPr>
              <m:t>,</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r>
              <m:rPr>
                <m:sty m:val="p"/>
              </m:rPr>
              <w:rPr>
                <w:rFonts w:ascii="Cambria Math" w:eastAsia="Times New Roman" w:hAnsi="Cambria Math" w:cstheme="majorHAnsi"/>
                <w:lang w:val="en-GB"/>
              </w:rPr>
              <m:t>,</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r>
              <m:rPr>
                <m:sty m:val="p"/>
              </m:rPr>
              <w:rPr>
                <w:rFonts w:ascii="Cambria Math" w:eastAsia="Times New Roman" w:hAnsi="Cambria Math" w:cstheme="majorHAnsi"/>
                <w:lang w:val="en-GB"/>
              </w:rPr>
              <m:t>,</m:t>
            </m:r>
            <m:r>
              <w:rPr>
                <w:rFonts w:ascii="Cambria Math" w:eastAsia="Times New Roman" w:hAnsi="Cambria Math" w:cstheme="majorHAnsi"/>
                <w:lang w:val="en-GB"/>
              </w:rPr>
              <m:t>r</m:t>
            </m:r>
          </m:sub>
        </m:sSub>
      </m:oMath>
      <w:r w:rsidR="00891164" w:rsidRPr="005173CD">
        <w:rPr>
          <w:rFonts w:asciiTheme="majorHAnsi" w:eastAsiaTheme="minorEastAsia" w:hAnsiTheme="majorHAnsi" w:cstheme="majorHAnsi"/>
          <w:lang w:val="en-GB"/>
        </w:rPr>
        <w:t xml:space="preserve"> is a </w:t>
      </w:r>
      <w:r w:rsidR="00A50D07" w:rsidRPr="005173CD">
        <w:rPr>
          <w:rFonts w:asciiTheme="majorHAnsi" w:eastAsiaTheme="minorEastAsia" w:hAnsiTheme="majorHAnsi" w:cstheme="majorHAnsi"/>
          <w:lang w:val="en-GB"/>
        </w:rPr>
        <w:t xml:space="preserve">random intercept for </w:t>
      </w:r>
      <w:r w:rsidR="00891164" w:rsidRPr="005173CD">
        <w:rPr>
          <w:rFonts w:asciiTheme="majorHAnsi" w:eastAsiaTheme="minorEastAsia" w:hAnsiTheme="majorHAnsi" w:cstheme="majorHAnsi"/>
          <w:lang w:val="en-GB"/>
        </w:rPr>
        <w:t>county, racial</w:t>
      </w:r>
      <w:r w:rsidR="00A50D07"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A50D07"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year spline basis, and age spline basis</w:t>
      </w:r>
      <w:r w:rsidR="000A7BBA" w:rsidRPr="005173CD">
        <w:rPr>
          <w:rFonts w:asciiTheme="majorHAnsi" w:eastAsiaTheme="minorEastAsia" w:hAnsiTheme="majorHAnsi" w:cstheme="majorHAnsi"/>
          <w:lang w:val="en-GB"/>
        </w:rPr>
        <w:t xml:space="preserve"> </w:t>
      </w:r>
      <w:proofErr w:type="gramStart"/>
      <w:r w:rsidR="000A7BBA" w:rsidRPr="005173CD">
        <w:rPr>
          <w:rFonts w:asciiTheme="majorHAnsi" w:eastAsiaTheme="minorEastAsia" w:hAnsiTheme="majorHAnsi" w:cstheme="majorHAnsi"/>
          <w:lang w:val="en-GB"/>
        </w:rPr>
        <w:t>combinations</w:t>
      </w:r>
      <w:r w:rsidR="00891164" w:rsidRPr="005173CD">
        <w:rPr>
          <w:rFonts w:asciiTheme="majorHAnsi" w:eastAsiaTheme="minorEastAsia" w:hAnsiTheme="majorHAnsi" w:cstheme="majorHAnsi"/>
          <w:lang w:val="en-GB"/>
        </w:rPr>
        <w:t>;</w:t>
      </w:r>
      <w:proofErr w:type="gramEnd"/>
    </w:p>
    <w:p w14:paraId="3E09B3F1" w14:textId="1825CEDF"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k</m:t>
            </m:r>
          </m:e>
          <m:sub>
            <m:r>
              <w:rPr>
                <w:rFonts w:ascii="Cambria Math" w:eastAsiaTheme="minorEastAsia" w:hAnsi="Cambria Math" w:cstheme="majorHAnsi"/>
                <w:lang w:val="en-GB"/>
              </w:rPr>
              <m:t>t</m:t>
            </m:r>
          </m:sub>
        </m:sSub>
      </m:oMath>
      <w:r w:rsidR="00891164" w:rsidRPr="005173CD">
        <w:rPr>
          <w:rFonts w:asciiTheme="majorHAnsi" w:eastAsiaTheme="minorEastAsia" w:hAnsiTheme="majorHAnsi" w:cstheme="majorHAnsi"/>
          <w:lang w:val="en-GB"/>
        </w:rPr>
        <w:t xml:space="preserve"> is the number of time knots (four knots, evenly spaced from 2000</w:t>
      </w:r>
      <w:r w:rsidR="000A7BBA" w:rsidRPr="005173CD">
        <w:rPr>
          <w:rFonts w:asciiTheme="majorHAnsi" w:eastAsiaTheme="minorEastAsia" w:hAnsiTheme="majorHAnsi" w:cstheme="majorHAnsi"/>
          <w:lang w:val="en-GB"/>
        </w:rPr>
        <w:t xml:space="preserve"> to </w:t>
      </w:r>
      <w:r w:rsidR="00891164" w:rsidRPr="005173CD">
        <w:rPr>
          <w:rFonts w:asciiTheme="majorHAnsi" w:eastAsiaTheme="minorEastAsia" w:hAnsiTheme="majorHAnsi" w:cstheme="majorHAnsi"/>
          <w:lang w:val="en-GB"/>
        </w:rPr>
        <w:t xml:space="preserve">2019) and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 xml:space="preserve"> is the corresponding </w:t>
      </w:r>
      <w:proofErr w:type="gramStart"/>
      <w:r w:rsidR="00891164" w:rsidRPr="005173CD">
        <w:rPr>
          <w:rFonts w:asciiTheme="majorHAnsi" w:eastAsiaTheme="minorEastAsia" w:hAnsiTheme="majorHAnsi" w:cstheme="majorHAnsi"/>
          <w:lang w:val="en-GB"/>
        </w:rPr>
        <w:t>index;</w:t>
      </w:r>
      <w:proofErr w:type="gramEnd"/>
    </w:p>
    <w:p w14:paraId="1548F1CE" w14:textId="04B8C93D" w:rsidR="00891164" w:rsidRPr="005173CD" w:rsidRDefault="007A62BF" w:rsidP="00891164">
      <w:pPr>
        <w:numPr>
          <w:ilvl w:val="0"/>
          <w:numId w:val="10"/>
        </w:numPr>
        <w:spacing w:after="0" w:line="360" w:lineRule="auto"/>
        <w:rPr>
          <w:rFonts w:asciiTheme="majorHAnsi"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k</m:t>
            </m:r>
          </m:e>
          <m:sub>
            <m:r>
              <w:rPr>
                <w:rFonts w:ascii="Cambria Math" w:eastAsiaTheme="minorEastAsia" w:hAnsi="Cambria Math" w:cstheme="majorHAnsi"/>
                <w:lang w:val="en-GB"/>
              </w:rPr>
              <m:t>a</m:t>
            </m:r>
          </m:sub>
        </m:sSub>
      </m:oMath>
      <w:r w:rsidR="00891164" w:rsidRPr="005173CD">
        <w:rPr>
          <w:rFonts w:asciiTheme="majorHAnsi" w:eastAsiaTheme="minorEastAsia" w:hAnsiTheme="majorHAnsi" w:cstheme="majorHAnsi"/>
          <w:lang w:val="en-GB"/>
        </w:rPr>
        <w:t xml:space="preserve"> is the number of age knots, which varies by cause due to age restrictions (for causes with all age groups included, there are five knots at age groups 0, 25</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29, 45</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49, 65</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69, and 85+ years old, but if the minimum age is less than 25 or maximum age is less than 85+, the initial and final knots are adjusted to start and end at these values, although adjacent knots such as 40</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44 and 45</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49 are avoided by choosing a different second knot, for example 55</w:t>
      </w:r>
      <w:r w:rsidR="008F6E05" w:rsidRPr="005173CD">
        <w:rPr>
          <w:rFonts w:asciiTheme="majorHAnsi" w:eastAsia="Calibri Light" w:hAnsiTheme="majorHAnsi" w:cstheme="majorHAnsi"/>
          <w:color w:val="000000" w:themeColor="text1"/>
        </w:rPr>
        <w:t>–</w:t>
      </w:r>
      <w:r w:rsidR="00891164" w:rsidRPr="005173CD">
        <w:rPr>
          <w:rFonts w:asciiTheme="majorHAnsi" w:eastAsiaTheme="minorEastAsia" w:hAnsiTheme="majorHAnsi" w:cstheme="majorHAnsi"/>
          <w:lang w:val="en-GB"/>
        </w:rPr>
        <w:t xml:space="preserve">59; an exception is given for neonatal disorders, which has knots at ages 0 and 1; maternal disorders has only two age knots at 10 and 50 due to challenges modelling small numbers) and </w:t>
      </w:r>
      <m:oMath>
        <m:r>
          <w:rPr>
            <w:rFonts w:ascii="Cambria Math" w:eastAsiaTheme="minorEastAsia" w:hAnsi="Cambria Math" w:cstheme="majorHAnsi"/>
            <w:lang w:val="en-GB"/>
          </w:rPr>
          <m:t>a'</m:t>
        </m:r>
      </m:oMath>
      <w:r w:rsidR="00891164" w:rsidRPr="005173CD">
        <w:rPr>
          <w:rFonts w:asciiTheme="majorHAnsi" w:eastAsiaTheme="minorEastAsia" w:hAnsiTheme="majorHAnsi" w:cstheme="majorHAnsi"/>
          <w:lang w:val="en-GB"/>
        </w:rPr>
        <w:t xml:space="preserve"> is the corresponding index;</w:t>
      </w:r>
    </w:p>
    <w:p w14:paraId="2F11E819" w14:textId="77777777" w:rsidR="00891164" w:rsidRPr="005173CD" w:rsidRDefault="007A62BF" w:rsidP="00891164">
      <w:pPr>
        <w:numPr>
          <w:ilvl w:val="0"/>
          <w:numId w:val="10"/>
        </w:numPr>
        <w:spacing w:after="0" w:line="360" w:lineRule="auto"/>
        <w:rPr>
          <w:rFonts w:asciiTheme="majorHAnsi" w:eastAsiaTheme="minorEastAsia" w:hAnsiTheme="majorHAnsi" w:cstheme="majorHAnsi"/>
          <w:lang w:val="en-GB"/>
        </w:rPr>
      </w:pPr>
      <m:oMath>
        <m:sSub>
          <m:sSubPr>
            <m:ctrlPr>
              <w:rPr>
                <w:rFonts w:ascii="Cambria Math" w:eastAsia="Times New Roman" w:hAnsi="Cambria Math" w:cstheme="majorHAnsi"/>
                <w:lang w:val="en-GB"/>
              </w:rPr>
            </m:ctrlPr>
          </m:sSubPr>
          <m:e>
            <m:r>
              <w:rPr>
                <w:rFonts w:ascii="Cambria Math" w:eastAsia="Times New Roman" w:hAnsi="Cambria Math" w:cstheme="majorHAnsi"/>
                <w:lang w:val="en-GB"/>
              </w:rPr>
              <m:t>S</m:t>
            </m:r>
          </m:e>
          <m:sub>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d>
          <m:dPr>
            <m:ctrlPr>
              <w:rPr>
                <w:rFonts w:ascii="Cambria Math" w:eastAsia="Times New Roman" w:hAnsi="Cambria Math" w:cstheme="majorHAnsi"/>
                <w:lang w:val="en-GB"/>
              </w:rPr>
            </m:ctrlPr>
          </m:dPr>
          <m:e>
            <m:r>
              <w:rPr>
                <w:rFonts w:ascii="Cambria Math" w:eastAsia="Times New Roman" w:hAnsi="Cambria Math" w:cstheme="majorHAnsi"/>
                <w:lang w:val="en-GB"/>
              </w:rPr>
              <m:t>t</m:t>
            </m:r>
          </m:e>
        </m:d>
      </m:oMath>
      <w:r w:rsidR="00891164" w:rsidRPr="005173CD">
        <w:rPr>
          <w:rFonts w:asciiTheme="majorHAnsi" w:eastAsiaTheme="minorEastAsia" w:hAnsiTheme="majorHAnsi" w:cstheme="majorHAnsi"/>
          <w:lang w:val="en-GB"/>
        </w:rPr>
        <w:t xml:space="preserve"> is the value of spline basis </w:t>
      </w:r>
      <m:oMath>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t</m:t>
            </m:r>
          </m:e>
          <m:sup>
            <m:r>
              <w:rPr>
                <w:rFonts w:ascii="Cambria Math" w:eastAsiaTheme="minorEastAsia" w:hAnsi="Cambria Math" w:cstheme="majorHAnsi"/>
                <w:lang w:val="en-GB"/>
              </w:rPr>
              <m:t>'</m:t>
            </m:r>
          </m:sup>
        </m:sSup>
      </m:oMath>
      <w:r w:rsidR="00891164" w:rsidRPr="005173CD">
        <w:rPr>
          <w:rFonts w:asciiTheme="majorHAnsi" w:eastAsiaTheme="minorEastAsia" w:hAnsiTheme="majorHAnsi" w:cstheme="majorHAnsi"/>
          <w:lang w:val="en-GB"/>
        </w:rPr>
        <w:t xml:space="preserve"> for a linear spline on year, evaluated at year </w:t>
      </w:r>
      <m:oMath>
        <m:r>
          <w:rPr>
            <w:rFonts w:ascii="Cambria Math" w:eastAsiaTheme="minorEastAsia" w:hAnsi="Cambria Math" w:cstheme="majorHAnsi"/>
            <w:lang w:val="en-GB"/>
          </w:rPr>
          <m:t>t</m:t>
        </m:r>
      </m:oMath>
      <w:r w:rsidR="00891164" w:rsidRPr="005173CD">
        <w:rPr>
          <w:rFonts w:asciiTheme="majorHAnsi" w:eastAsiaTheme="minorEastAsia" w:hAnsiTheme="majorHAnsi" w:cstheme="majorHAnsi"/>
          <w:lang w:val="en-GB"/>
        </w:rPr>
        <w:t>;</w:t>
      </w:r>
    </w:p>
    <w:p w14:paraId="7497F4E1" w14:textId="09709E31" w:rsidR="005D42F1" w:rsidRPr="005173CD" w:rsidRDefault="00891164" w:rsidP="00891164">
      <w:pPr>
        <w:numPr>
          <w:ilvl w:val="0"/>
          <w:numId w:val="10"/>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and </w:t>
      </w:r>
      <m:oMath>
        <m:sSub>
          <m:sSubPr>
            <m:ctrlPr>
              <w:rPr>
                <w:rFonts w:ascii="Cambria Math" w:eastAsia="Times New Roman" w:hAnsi="Cambria Math" w:cstheme="majorHAnsi"/>
                <w:lang w:val="en-GB"/>
              </w:rPr>
            </m:ctrlPr>
          </m:sSubPr>
          <m:e>
            <m:r>
              <w:rPr>
                <w:rFonts w:ascii="Cambria Math" w:eastAsia="Times New Roman" w:hAnsi="Cambria Math" w:cstheme="majorHAnsi"/>
                <w:lang w:val="en-GB"/>
              </w:rPr>
              <m:t>S</m:t>
            </m:r>
          </m:e>
          <m:sub>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d>
          <m:dPr>
            <m:ctrlPr>
              <w:rPr>
                <w:rFonts w:ascii="Cambria Math" w:eastAsia="Times New Roman" w:hAnsi="Cambria Math" w:cstheme="majorHAnsi"/>
                <w:lang w:val="en-GB"/>
              </w:rPr>
            </m:ctrlPr>
          </m:dPr>
          <m:e>
            <m:r>
              <w:rPr>
                <w:rFonts w:ascii="Cambria Math" w:eastAsia="Times New Roman" w:hAnsi="Cambria Math" w:cstheme="majorHAnsi"/>
                <w:lang w:val="en-GB"/>
              </w:rPr>
              <m:t>a</m:t>
            </m:r>
          </m:e>
        </m:d>
      </m:oMath>
      <w:r w:rsidRPr="005173CD">
        <w:rPr>
          <w:rFonts w:asciiTheme="majorHAnsi" w:eastAsiaTheme="minorEastAsia" w:hAnsiTheme="majorHAnsi" w:cstheme="majorHAnsi"/>
          <w:lang w:val="en-GB"/>
        </w:rPr>
        <w:t xml:space="preserve"> is the value of spline basis </w:t>
      </w:r>
      <m:oMath>
        <m:r>
          <w:rPr>
            <w:rFonts w:ascii="Cambria Math" w:eastAsiaTheme="minorEastAsia" w:hAnsi="Cambria Math" w:cstheme="majorHAnsi"/>
            <w:lang w:val="en-GB"/>
          </w:rPr>
          <m:t>a'</m:t>
        </m:r>
      </m:oMath>
      <w:r w:rsidRPr="005173CD">
        <w:rPr>
          <w:rFonts w:asciiTheme="majorHAnsi" w:eastAsiaTheme="minorEastAsia" w:hAnsiTheme="majorHAnsi" w:cstheme="majorHAnsi"/>
          <w:lang w:val="en-GB"/>
        </w:rPr>
        <w:t xml:space="preserve"> for a linear spline on age, evaluated at age</w:t>
      </w:r>
      <w:r w:rsidR="008F6E05" w:rsidRPr="005173CD">
        <w:rPr>
          <w:rFonts w:asciiTheme="majorHAnsi" w:eastAsiaTheme="minorEastAsia" w:hAnsiTheme="majorHAnsi" w:cstheme="majorHAnsi"/>
          <w:lang w:val="en-GB"/>
        </w:rPr>
        <w:t xml:space="preserve"> group</w:t>
      </w:r>
      <w:r w:rsidRPr="005173CD">
        <w:rPr>
          <w:rFonts w:asciiTheme="majorHAnsi" w:eastAsiaTheme="minorEastAsia" w:hAnsiTheme="majorHAnsi" w:cstheme="majorHAnsi"/>
          <w:lang w:val="en-GB"/>
        </w:rPr>
        <w:t xml:space="preserve"> </w:t>
      </w:r>
      <m:oMath>
        <m:r>
          <w:rPr>
            <w:rFonts w:ascii="Cambria Math" w:eastAsiaTheme="minorEastAsia" w:hAnsi="Cambria Math" w:cstheme="majorHAnsi"/>
            <w:lang w:val="en-GB"/>
          </w:rPr>
          <m:t>a</m:t>
        </m:r>
      </m:oMath>
    </w:p>
    <w:p w14:paraId="3ECFC1F2" w14:textId="77777777" w:rsidR="00891164" w:rsidRPr="005173CD" w:rsidRDefault="00891164" w:rsidP="00983528">
      <w:pPr>
        <w:spacing w:after="0" w:line="360" w:lineRule="auto"/>
        <w:contextualSpacing/>
        <w:rPr>
          <w:rFonts w:asciiTheme="majorHAnsi" w:eastAsiaTheme="minorEastAsia" w:hAnsiTheme="majorHAnsi" w:cstheme="majorHAnsi"/>
          <w:lang w:val="en-GB"/>
        </w:rPr>
      </w:pPr>
    </w:p>
    <w:p w14:paraId="00FA44DE" w14:textId="01B2AE27" w:rsidR="00570DB0" w:rsidRPr="005173CD" w:rsidRDefault="00570DB0" w:rsidP="00983528">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Prior distributions were assigned for each random comp</w:t>
      </w:r>
      <w:r w:rsidR="00FD1FAA" w:rsidRPr="005173CD">
        <w:rPr>
          <w:rFonts w:asciiTheme="majorHAnsi" w:eastAsiaTheme="minorEastAsia" w:hAnsiTheme="majorHAnsi" w:cstheme="majorHAnsi"/>
          <w:lang w:val="en-GB"/>
        </w:rPr>
        <w:t xml:space="preserve">onent: </w:t>
      </w:r>
    </w:p>
    <w:p w14:paraId="02587A13" w14:textId="46B9DECE" w:rsidR="00891164" w:rsidRPr="005173CD" w:rsidRDefault="00891164" w:rsidP="00891164">
      <w:pPr>
        <w:numPr>
          <w:ilvl w:val="0"/>
          <w:numId w:val="13"/>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Each element of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1</m:t>
            </m:r>
          </m:sub>
        </m:sSub>
      </m:oMath>
      <w:r w:rsidRPr="005173CD">
        <w:rPr>
          <w:rFonts w:asciiTheme="majorHAnsi" w:eastAsiaTheme="minorEastAsia" w:hAnsiTheme="majorHAnsi" w:cstheme="majorHAnsi"/>
          <w:lang w:val="en-GB"/>
        </w:rPr>
        <w:t xml:space="preserve">—corresponding to each covariate in </w:t>
      </w:r>
      <m:oMath>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m:t>
            </m:r>
          </m:sub>
        </m:sSub>
      </m:oMath>
      <w:r w:rsidRPr="005173CD">
        <w:rPr>
          <w:rFonts w:asciiTheme="majorHAnsi" w:eastAsiaTheme="minorEastAsia" w:hAnsiTheme="majorHAnsi" w:cstheme="majorHAnsi"/>
          <w:lang w:val="en-GB"/>
        </w:rPr>
        <w:t>—was</w:t>
      </w:r>
      <w:r w:rsidRPr="005173CD">
        <w:rPr>
          <w:rFonts w:asciiTheme="majorHAnsi" w:eastAsiaTheme="minorEastAsia" w:hAnsiTheme="majorHAnsi" w:cstheme="majorHAnsi"/>
          <w:b/>
          <w:lang w:val="en-GB"/>
        </w:rPr>
        <w:t xml:space="preserve"> </w:t>
      </w:r>
      <w:r w:rsidRPr="005173CD">
        <w:rPr>
          <w:rFonts w:asciiTheme="majorHAnsi" w:eastAsiaTheme="minorEastAsia" w:hAnsiTheme="majorHAnsi" w:cstheme="majorHAnsi"/>
          <w:lang w:val="en-GB"/>
        </w:rPr>
        <w:t xml:space="preserve">assumed to follow an independent and identically distributed (IID) mean-0 Normal distribution.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1</m:t>
            </m:r>
          </m:sub>
        </m:sSub>
      </m:oMath>
      <w:r w:rsidRPr="005173CD">
        <w:rPr>
          <w:rFonts w:asciiTheme="majorHAnsi" w:eastAsiaTheme="minorEastAsia" w:hAnsiTheme="majorHAnsi" w:cstheme="majorHAnsi"/>
          <w:lang w:val="en-GB"/>
        </w:rPr>
        <w:t xml:space="preserve"> is associated with </w:t>
      </w:r>
      <w:r w:rsidRPr="005173CD">
        <w:rPr>
          <w:rFonts w:asciiTheme="majorHAnsi" w:eastAsiaTheme="minorEastAsia" w:hAnsiTheme="majorHAnsi" w:cstheme="majorHAnsi"/>
          <w:lang w:val="en-GB"/>
        </w:rPr>
        <w:lastRenderedPageBreak/>
        <w:t>three hyperparameters (</w:t>
      </w:r>
      <m:oMath>
        <m:sSubSup>
          <m:sSubSupPr>
            <m:ctrlPr>
              <w:rPr>
                <w:rFonts w:ascii="Cambria Math" w:eastAsiaTheme="minorEastAsia" w:hAnsi="Cambria Math" w:cstheme="majorHAnsi"/>
                <w:b/>
                <w:i/>
                <w:lang w:val="en-GB"/>
              </w:rPr>
            </m:ctrlPr>
          </m:sSubSupPr>
          <m:e>
            <m:r>
              <m:rPr>
                <m:sty m:val="bi"/>
              </m:rPr>
              <w:rPr>
                <w:rFonts w:ascii="Cambria Math" w:eastAsiaTheme="minorEastAsia" w:hAnsi="Cambria Math" w:cstheme="majorHAnsi"/>
                <w:lang w:val="en-GB"/>
              </w:rPr>
              <m:t>σ</m:t>
            </m:r>
          </m:e>
          <m:sub>
            <m:r>
              <m:rPr>
                <m:sty m:val="bi"/>
              </m:rPr>
              <w:rPr>
                <w:rFonts w:ascii="Cambria Math" w:eastAsiaTheme="minorEastAsia" w:hAnsi="Cambria Math" w:cstheme="majorHAnsi"/>
                <w:lang w:val="en-GB"/>
              </w:rPr>
              <m:t>1</m:t>
            </m:r>
          </m:sub>
          <m:sup>
            <m:r>
              <m:rPr>
                <m:sty m:val="bi"/>
              </m:rPr>
              <w:rPr>
                <w:rFonts w:ascii="Cambria Math" w:eastAsiaTheme="minorEastAsia" w:hAnsi="Cambria Math" w:cstheme="majorHAnsi"/>
                <w:lang w:val="en-GB"/>
              </w:rPr>
              <m:t>2</m:t>
            </m:r>
          </m:sup>
        </m:sSubSup>
      </m:oMath>
      <w:r w:rsidRPr="005173CD">
        <w:rPr>
          <w:rFonts w:asciiTheme="majorHAnsi" w:eastAsiaTheme="minorEastAsia" w:hAnsiTheme="majorHAnsi" w:cstheme="majorHAnsi"/>
          <w:lang w:val="en-GB"/>
        </w:rPr>
        <w:t xml:space="preserve">), corresponding to the variance of this random </w:t>
      </w:r>
      <w:r w:rsidR="000F5D1B"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 for each covariate. </w:t>
      </w:r>
    </w:p>
    <w:p w14:paraId="174FE68C" w14:textId="6179D523" w:rsidR="00891164" w:rsidRPr="005173CD" w:rsidRDefault="007A62BF" w:rsidP="00891164">
      <w:pPr>
        <w:numPr>
          <w:ilvl w:val="0"/>
          <w:numId w:val="13"/>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2</m:t>
            </m:r>
          </m:sub>
        </m:sSub>
      </m:oMath>
      <w:r w:rsidR="00891164" w:rsidRPr="005173CD">
        <w:rPr>
          <w:rFonts w:asciiTheme="majorHAnsi" w:eastAsiaTheme="minorEastAsia" w:hAnsiTheme="majorHAnsi" w:cstheme="majorHAnsi"/>
          <w:lang w:val="en-GB"/>
        </w:rPr>
        <w:t xml:space="preserve"> was assumed to follow a conditional autoregressive distribution of the form described by Leroux, Lei, and Breslow,</w:t>
      </w:r>
      <w:r w:rsidR="00891164"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{"citationID":"2hTHr149","properties":{"formattedCitation":"\\super 17\\nosupersub{}","plainCitation":"17","noteIndex":0},"citationItems":[{"id":"wdkIiMrh/i0N4Lq4P","uris":["http://zotero.org/users/5216175/items/6KU865NH"],"itemData":{"id":3095,"type":"webpage","title":"Estimation of Disease Rates in Small Areas: A new Mixed Model for Spatial Dependence | SpringerLink","URL":"https://link.springer.com/chapter/10.1007/978-1-4612-1284-3_4","accessed":{"date-parts":[["2022",7,1]]}}}],"schema":"https://github.com/citation-style-language/schema/raw/master/csl-citation.json"} </w:instrText>
      </w:r>
      <w:r w:rsidR="00891164"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17</w:t>
      </w:r>
      <w:r w:rsidR="00891164" w:rsidRPr="005173CD">
        <w:rPr>
          <w:rFonts w:asciiTheme="majorHAnsi" w:eastAsiaTheme="minorEastAsia" w:hAnsiTheme="majorHAnsi" w:cstheme="majorHAnsi"/>
          <w:lang w:val="en-GB"/>
        </w:rPr>
        <w:fldChar w:fldCharType="end"/>
      </w:r>
      <w:r w:rsidR="00891164" w:rsidRPr="005173CD">
        <w:rPr>
          <w:rFonts w:asciiTheme="majorHAnsi" w:eastAsiaTheme="minorEastAsia" w:hAnsiTheme="majorHAnsi" w:cstheme="majorHAnsi"/>
          <w:lang w:val="en-GB"/>
        </w:rPr>
        <w:t xml:space="preserve"> which corresponds to the following full conditional distribution for each individual element of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2</m:t>
            </m:r>
          </m:sub>
        </m:sSub>
      </m:oMath>
      <w:r w:rsidR="00891164" w:rsidRPr="005173CD">
        <w:rPr>
          <w:rFonts w:asciiTheme="majorHAnsi" w:eastAsiaTheme="minorEastAsia" w:hAnsiTheme="majorHAnsi" w:cstheme="majorHAnsi"/>
          <w:lang w:val="en-GB"/>
        </w:rPr>
        <w:t>:</w:t>
      </w:r>
    </w:p>
    <w:p w14:paraId="5B903073" w14:textId="77777777" w:rsidR="00391DDA" w:rsidRPr="005173CD" w:rsidRDefault="00391DDA" w:rsidP="00983528">
      <w:pPr>
        <w:spacing w:after="0" w:line="360" w:lineRule="auto"/>
        <w:rPr>
          <w:rFonts w:asciiTheme="majorHAnsi" w:eastAsiaTheme="minorEastAsia" w:hAnsiTheme="majorHAnsi" w:cstheme="majorHAnsi"/>
          <w:lang w:val="en-GB"/>
        </w:rPr>
      </w:pPr>
    </w:p>
    <w:p w14:paraId="07DE6B01" w14:textId="767B33A5" w:rsidR="00C565D5" w:rsidRPr="005173CD" w:rsidRDefault="007A62BF" w:rsidP="00983528">
      <w:pPr>
        <w:spacing w:after="0" w:line="360" w:lineRule="auto"/>
        <w:contextualSpacing/>
        <w:rPr>
          <w:rFonts w:asciiTheme="majorHAnsi" w:eastAsiaTheme="minorEastAsia" w:hAnsiTheme="majorHAnsi" w:cstheme="majorHAnsi"/>
          <w:lang w:val="en-GB"/>
        </w:rPr>
      </w:pPr>
      <m:oMathPara>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k~j</m:t>
              </m:r>
            </m:sub>
          </m:sSub>
          <m:r>
            <w:rPr>
              <w:rFonts w:ascii="Cambria Math" w:eastAsiaTheme="minorEastAsia" w:hAnsi="Cambria Math" w:cstheme="majorHAnsi"/>
              <w:lang w:val="en-GB"/>
            </w:rPr>
            <m:t>,</m:t>
          </m:r>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r>
            <w:rPr>
              <w:rFonts w:ascii="Cambria Math" w:eastAsiaTheme="minorEastAsia" w:hAnsi="Cambria Math" w:cstheme="majorHAnsi"/>
              <w:lang w:val="en-GB"/>
            </w:rPr>
            <m:t xml:space="preserve">,ρ ~ </m:t>
          </m:r>
          <m:r>
            <m:rPr>
              <m:sty m:val="p"/>
            </m:rPr>
            <w:rPr>
              <w:rFonts w:ascii="Cambria Math" w:eastAsiaTheme="minorEastAsia" w:hAnsi="Cambria Math" w:cstheme="majorHAnsi"/>
              <w:lang w:val="en-GB"/>
            </w:rPr>
            <m:t>Normal</m:t>
          </m:r>
          <m:d>
            <m:dPr>
              <m:ctrlPr>
                <w:rPr>
                  <w:rFonts w:ascii="Cambria Math" w:eastAsiaTheme="minorEastAsia" w:hAnsi="Cambria Math" w:cstheme="majorHAnsi"/>
                  <w:i/>
                  <w:lang w:val="en-GB"/>
                </w:rPr>
              </m:ctrlPr>
            </m:dPr>
            <m:e>
              <m:f>
                <m:fPr>
                  <m:ctrlPr>
                    <w:rPr>
                      <w:rFonts w:ascii="Cambria Math" w:eastAsiaTheme="minorEastAsia" w:hAnsi="Cambria Math" w:cstheme="majorHAnsi"/>
                      <w:i/>
                      <w:lang w:val="en-GB"/>
                    </w:rPr>
                  </m:ctrlPr>
                </m:fPr>
                <m:num>
                  <m:r>
                    <w:rPr>
                      <w:rFonts w:ascii="Cambria Math" w:eastAsiaTheme="minorEastAsia" w:hAnsi="Cambria Math" w:cstheme="majorHAnsi"/>
                      <w:lang w:val="en-GB"/>
                    </w:rPr>
                    <m:t>ρ</m:t>
                  </m:r>
                  <m:r>
                    <m:rPr>
                      <m:sty m:val="p"/>
                    </m:rPr>
                    <w:rPr>
                      <w:rFonts w:ascii="Cambria Math" w:eastAsia="Times New Roman" w:hAnsi="Cambria Math" w:cstheme="majorHAnsi"/>
                      <w:lang w:val="en-GB"/>
                    </w:rPr>
                    <m:t>⋅</m:t>
                  </m:r>
                  <m:nary>
                    <m:naryPr>
                      <m:chr m:val="∑"/>
                      <m:limLoc m:val="undOvr"/>
                      <m:supHide m:val="1"/>
                      <m:ctrlPr>
                        <w:rPr>
                          <w:rFonts w:ascii="Cambria Math" w:eastAsia="Times New Roman" w:hAnsi="Cambria Math" w:cstheme="majorHAnsi"/>
                          <w:lang w:val="en-GB"/>
                        </w:rPr>
                      </m:ctrlPr>
                    </m:naryPr>
                    <m:sub>
                      <m:r>
                        <w:rPr>
                          <w:rFonts w:ascii="Cambria Math" w:eastAsia="Times New Roman" w:hAnsi="Cambria Math" w:cstheme="majorHAnsi"/>
                          <w:lang w:val="en-GB"/>
                        </w:rPr>
                        <m:t>k~j</m:t>
                      </m:r>
                    </m:sub>
                    <m:sup/>
                    <m:e>
                      <m:sSub>
                        <m:sSubPr>
                          <m:ctrlPr>
                            <w:rPr>
                              <w:rFonts w:ascii="Cambria Math" w:eastAsia="Times New Roman" w:hAnsi="Cambria Math" w:cstheme="majorHAnsi"/>
                              <w:i/>
                              <w:lang w:val="en-GB"/>
                            </w:rPr>
                          </m:ctrlPr>
                        </m:sSubPr>
                        <m:e>
                          <m:r>
                            <w:rPr>
                              <w:rFonts w:ascii="Cambria Math" w:eastAsia="Times New Roman" w:hAnsi="Cambria Math" w:cstheme="majorHAnsi"/>
                              <w:lang w:val="en-GB"/>
                            </w:rPr>
                            <m:t>γ</m:t>
                          </m:r>
                        </m:e>
                        <m:sub>
                          <m:r>
                            <w:rPr>
                              <w:rFonts w:ascii="Cambria Math" w:eastAsia="Times New Roman" w:hAnsi="Cambria Math" w:cstheme="majorHAnsi"/>
                              <w:lang w:val="en-GB"/>
                            </w:rPr>
                            <m:t>k</m:t>
                          </m:r>
                        </m:sub>
                      </m:sSub>
                    </m:e>
                  </m:nary>
                </m:num>
                <m:den>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n</m:t>
                      </m:r>
                    </m:e>
                    <m:sub>
                      <m:r>
                        <w:rPr>
                          <w:rFonts w:ascii="Cambria Math" w:eastAsiaTheme="minorEastAsia" w:hAnsi="Cambria Math" w:cstheme="majorHAnsi"/>
                          <w:lang w:val="en-GB"/>
                        </w:rPr>
                        <m:t>j</m:t>
                      </m:r>
                    </m:sub>
                  </m:sSub>
                  <m:r>
                    <m:rPr>
                      <m:sty m:val="p"/>
                    </m:rPr>
                    <w:rPr>
                      <w:rFonts w:ascii="Cambria Math" w:eastAsia="Times New Roman" w:hAnsi="Cambria Math" w:cstheme="majorHAnsi"/>
                      <w:lang w:val="en-GB"/>
                    </w:rPr>
                    <m:t>⋅</m:t>
                  </m:r>
                  <m:r>
                    <w:rPr>
                      <w:rFonts w:ascii="Cambria Math" w:eastAsia="Times New Roman" w:hAnsi="Cambria Math" w:cstheme="majorHAnsi"/>
                      <w:lang w:val="en-GB"/>
                    </w:rPr>
                    <m:t>ρ</m:t>
                  </m:r>
                  <m:r>
                    <m:rPr>
                      <m:sty m:val="p"/>
                    </m:rPr>
                    <w:rPr>
                      <w:rFonts w:ascii="Cambria Math" w:eastAsia="Times New Roman" w:hAnsi="Cambria Math" w:cstheme="majorHAnsi"/>
                      <w:lang w:val="en-GB"/>
                    </w:rPr>
                    <m:t>+1-</m:t>
                  </m:r>
                  <m:r>
                    <w:rPr>
                      <w:rFonts w:ascii="Cambria Math" w:eastAsia="Times New Roman" w:hAnsi="Cambria Math" w:cstheme="majorHAnsi"/>
                      <w:lang w:val="en-GB"/>
                    </w:rPr>
                    <m:t>ρ</m:t>
                  </m:r>
                </m:den>
              </m:f>
              <m:r>
                <w:rPr>
                  <w:rFonts w:ascii="Cambria Math" w:eastAsiaTheme="minorEastAsia" w:hAnsi="Cambria Math" w:cstheme="majorHAnsi"/>
                  <w:lang w:val="en-GB"/>
                </w:rPr>
                <m:t>,</m:t>
              </m:r>
              <m:f>
                <m:fPr>
                  <m:ctrlPr>
                    <w:rPr>
                      <w:rFonts w:ascii="Cambria Math" w:eastAsiaTheme="minorEastAsia" w:hAnsi="Cambria Math" w:cstheme="majorHAnsi"/>
                      <w:i/>
                      <w:lang w:val="en-GB"/>
                    </w:rPr>
                  </m:ctrlPr>
                </m:fPr>
                <m:num>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num>
                <m:den>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n</m:t>
                      </m:r>
                    </m:e>
                    <m:sub>
                      <m:r>
                        <w:rPr>
                          <w:rFonts w:ascii="Cambria Math" w:eastAsiaTheme="minorEastAsia" w:hAnsi="Cambria Math" w:cstheme="majorHAnsi"/>
                          <w:lang w:val="en-GB"/>
                        </w:rPr>
                        <m:t>j</m:t>
                      </m:r>
                    </m:sub>
                  </m:sSub>
                  <m:r>
                    <m:rPr>
                      <m:sty m:val="p"/>
                    </m:rPr>
                    <w:rPr>
                      <w:rFonts w:ascii="Cambria Math" w:eastAsia="Times New Roman" w:hAnsi="Cambria Math" w:cstheme="majorHAnsi"/>
                      <w:lang w:val="en-GB"/>
                    </w:rPr>
                    <m:t>⋅</m:t>
                  </m:r>
                  <m:r>
                    <w:rPr>
                      <w:rFonts w:ascii="Cambria Math" w:eastAsiaTheme="minorEastAsia" w:hAnsi="Cambria Math" w:cstheme="majorHAnsi"/>
                      <w:lang w:val="en-GB"/>
                    </w:rPr>
                    <m:t>ρ+1-ρ</m:t>
                  </m:r>
                </m:den>
              </m:f>
            </m:e>
          </m:d>
        </m:oMath>
      </m:oMathPara>
    </w:p>
    <w:p w14:paraId="6F79317B" w14:textId="77777777" w:rsidR="00391DDA" w:rsidRPr="005173CD" w:rsidRDefault="00391DDA" w:rsidP="00983528">
      <w:pPr>
        <w:spacing w:after="0" w:line="360" w:lineRule="auto"/>
        <w:contextualSpacing/>
        <w:rPr>
          <w:rFonts w:asciiTheme="majorHAnsi" w:eastAsiaTheme="minorEastAsia" w:hAnsiTheme="majorHAnsi" w:cstheme="majorHAnsi"/>
          <w:lang w:val="en-GB"/>
        </w:rPr>
      </w:pPr>
    </w:p>
    <w:p w14:paraId="11BB5447" w14:textId="365E4BD0" w:rsidR="00891164" w:rsidRPr="005173CD" w:rsidRDefault="00891164" w:rsidP="00891164">
      <w:pPr>
        <w:spacing w:after="0" w:line="360" w:lineRule="auto"/>
        <w:ind w:left="720"/>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where </w:t>
      </w:r>
      <m:oMath>
        <m:r>
          <w:rPr>
            <w:rFonts w:ascii="Cambria Math" w:eastAsiaTheme="minorEastAsia" w:hAnsi="Cambria Math" w:cstheme="majorHAnsi"/>
            <w:lang w:val="en-GB"/>
          </w:rPr>
          <m:t>k ~ j</m:t>
        </m:r>
      </m:oMath>
      <w:r w:rsidRPr="005173CD">
        <w:rPr>
          <w:rFonts w:asciiTheme="majorHAnsi" w:eastAsiaTheme="minorEastAsia" w:hAnsiTheme="majorHAnsi" w:cstheme="majorHAnsi"/>
          <w:i/>
          <w:lang w:val="en-GB"/>
        </w:rPr>
        <w:t xml:space="preserve"> </w:t>
      </w:r>
      <w:r w:rsidRPr="005173CD">
        <w:rPr>
          <w:rFonts w:asciiTheme="majorHAnsi" w:eastAsiaTheme="minorEastAsia" w:hAnsiTheme="majorHAnsi" w:cstheme="majorHAnsi"/>
          <w:lang w:val="en-GB"/>
        </w:rPr>
        <w:t xml:space="preserve">indicates the set of counties that are adjacent to county </w:t>
      </w:r>
      <m:oMath>
        <m:r>
          <w:rPr>
            <w:rFonts w:ascii="Cambria Math" w:eastAsiaTheme="minorEastAsia" w:hAnsi="Cambria Math" w:cstheme="majorHAnsi"/>
            <w:lang w:val="en-GB"/>
          </w:rPr>
          <m:t>j</m:t>
        </m:r>
      </m:oMath>
      <w:r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n</m:t>
            </m:r>
          </m:e>
          <m:sub>
            <m:r>
              <w:rPr>
                <w:rFonts w:ascii="Cambria Math" w:eastAsiaTheme="minorEastAsia" w:hAnsi="Cambria Math" w:cstheme="majorHAnsi"/>
                <w:lang w:val="en-GB"/>
              </w:rPr>
              <m:t>j</m:t>
            </m:r>
          </m:sub>
        </m:sSub>
      </m:oMath>
      <w:r w:rsidRPr="005173CD">
        <w:rPr>
          <w:rFonts w:asciiTheme="majorHAnsi" w:eastAsiaTheme="minorEastAsia" w:hAnsiTheme="majorHAnsi" w:cstheme="majorHAnsi"/>
          <w:i/>
          <w:lang w:val="en-GB"/>
        </w:rPr>
        <w:t xml:space="preserve"> </w:t>
      </w:r>
      <w:r w:rsidRPr="005173CD">
        <w:rPr>
          <w:rFonts w:asciiTheme="majorHAnsi" w:eastAsiaTheme="minorEastAsia" w:hAnsiTheme="majorHAnsi" w:cstheme="majorHAnsi"/>
          <w:lang w:val="en-GB"/>
        </w:rPr>
        <w:t xml:space="preserve">is the number of counties in </w:t>
      </w:r>
      <m:oMath>
        <m:r>
          <w:rPr>
            <w:rFonts w:ascii="Cambria Math" w:eastAsiaTheme="minorEastAsia" w:hAnsi="Cambria Math" w:cstheme="majorHAnsi"/>
            <w:lang w:val="en-GB"/>
          </w:rPr>
          <m:t>k ~ j</m:t>
        </m:r>
      </m:oMath>
      <w:r w:rsidRPr="005173CD">
        <w:rPr>
          <w:rFonts w:asciiTheme="majorHAnsi" w:eastAsiaTheme="minorEastAsia" w:hAnsiTheme="majorHAnsi" w:cstheme="majorHAnsi"/>
          <w:lang w:val="en-GB"/>
        </w:rPr>
        <w:t xml:space="preserve">. In this distribution, the </w:t>
      </w:r>
      <m:oMath>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oMath>
      <w:r w:rsidRPr="005173CD">
        <w:rPr>
          <w:rFonts w:asciiTheme="majorHAnsi" w:eastAsiaTheme="minorEastAsia" w:hAnsiTheme="majorHAnsi" w:cstheme="majorHAnsi"/>
          <w:lang w:val="en-GB"/>
        </w:rPr>
        <w:t xml:space="preserve"> parameter controls the degree of spatial variation, </w:t>
      </w:r>
      <w:r w:rsidR="001C0EAA" w:rsidRPr="005173CD">
        <w:rPr>
          <w:rFonts w:asciiTheme="majorHAnsi" w:eastAsiaTheme="minorEastAsia" w:hAnsiTheme="majorHAnsi" w:cstheme="majorHAnsi"/>
          <w:lang w:val="en-GB"/>
        </w:rPr>
        <w:t>and</w:t>
      </w:r>
      <w:r w:rsidRPr="005173CD">
        <w:rPr>
          <w:rFonts w:asciiTheme="majorHAnsi" w:eastAsiaTheme="minorEastAsia" w:hAnsiTheme="majorHAnsi" w:cstheme="majorHAnsi"/>
          <w:lang w:val="en-GB"/>
        </w:rPr>
        <w:t xml:space="preserve"> the </w:t>
      </w:r>
      <m:oMath>
        <m:r>
          <w:rPr>
            <w:rFonts w:ascii="Cambria Math" w:eastAsiaTheme="minorEastAsia" w:hAnsi="Cambria Math" w:cstheme="majorHAnsi"/>
            <w:lang w:val="en-GB"/>
          </w:rPr>
          <m:t>ρ</m:t>
        </m:r>
      </m:oMath>
      <w:r w:rsidRPr="005173CD">
        <w:rPr>
          <w:rFonts w:asciiTheme="majorHAnsi" w:eastAsiaTheme="minorEastAsia" w:hAnsiTheme="majorHAnsi" w:cstheme="majorHAnsi"/>
          <w:lang w:val="en-GB"/>
        </w:rPr>
        <w:t xml:space="preserve"> parameter, which varies between 0 and 1, determines the degree of spatial smoothness.</w:t>
      </w:r>
    </w:p>
    <w:p w14:paraId="5A9CD87F" w14:textId="6BC5106E" w:rsidR="00891164" w:rsidRPr="005173CD" w:rsidRDefault="007A62BF" w:rsidP="00891164">
      <w:pPr>
        <w:numPr>
          <w:ilvl w:val="0"/>
          <w:numId w:val="14"/>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00891164" w:rsidRPr="005173CD">
        <w:rPr>
          <w:rFonts w:asciiTheme="majorHAnsi" w:eastAsiaTheme="minorEastAsia" w:hAnsiTheme="majorHAnsi" w:cstheme="majorHAnsi"/>
          <w:lang w:val="en-GB"/>
        </w:rPr>
        <w:t xml:space="preserve"> was assumed to follow a mean-0, multivariate Normal distribution with a separable covariance structure defined via the Kronecker product of the covariance matrix of three distributions:</w:t>
      </w:r>
      <w:r w:rsidR="00891164"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{"citationID":"vi0chRdH","properties":{"formattedCitation":"\\super 18,19\\nosupersub{}","plainCitation":"18,19","noteIndex":0},"citationItems":[{"id":"wdkIiMrh/kMviEDQS","uris":["http://zotero.org/users/5216175/items/NLLRGM7Z"],"itemData":{"id":3097,"type":"webpage","abstract":"In a family study of breast cancer, epidemiologists in Southern California increase the power for detecting a gene-environment interaction. In Gambia, a study helps a vaccination program reduce the incidence of Hepatitis B carriage. Archaeologists in Austria place a Bronze Age site in its true temporal location on the calendar scale. And in France, researchers map a rare disease with relatively little variation.Each of these studies applied Markov chain Monte Carlo methods to produce more accura","container-title":"Routledge &amp; CRC Press","language":"en","title":"Markov Chain Monte Carlo in Practice","URL":"https://www.routledge.com/Markov-Chain-Monte-Carlo-in-Practice/Gilks-Richardson-Spiegelhalter/p/book/9780412055515","accessed":{"date-parts":[["2022",7,1]]}}},{"id":"wdkIiMrh/JBfhPnbw","uris":["http://zotero.org/users/5216175/items/NIPDACXB"],"itemData":{"id":3099,"type":"article-journal","abstract":"This paper proposes a unified framework for a Bayesian analysis of incidence or mortality data in space and time. We introduce four different types of prior distributions for space×time interaction in extension of a model with only main effects. Each type implies a certain degree of prior dependence for the interaction parameters, and corresponds to the product of one of the two spatial with one of the two temporal main effects. The methodology is illustrated by an analysis of Ohio lung cancer data 1968–1988 via Markov chain Monte Carlo simulation. We compare the fit and the complexity of several models with different types of interaction by means of quantities related to the posterior deviance. Our results confirm an epidemiological hypothesis about the temporal development of the association between urbanization and risk factors for cancer. Copyright © 2000 John Wiley &amp; Sons, Ltd.","container-title":"Statistics in Medicine","DOI":"10.1002/1097-0258(20000915/30)19:17/18&lt;2555::AID-SIM587&gt;3.0.CO;2-#","ISSN":"1097-0258","issue":"17-18","language":"en","note":"_eprint: https://onlinelibrary.wiley.com/doi/pdf/10.1002/1097-0258%2820000915/30%2919%3A17/18%3C2555%3A%3AAID-SIM587%3E3.0.CO%3B2-%23","page":"2555-2567","source":"Wiley Online Library","title":"Bayesian modelling of inseparable space-time variation in disease risk","volume":"19","author":[{"family":"Knorr-Held","given":"Leonhard"}],"issued":{"date-parts":[["2000"]]}}}],"schema":"https://github.com/citation-style-language/schema/raw/master/csl-citation.json"} </w:instrText>
      </w:r>
      <w:r w:rsidR="00891164"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18,19</w:t>
      </w:r>
      <w:r w:rsidR="00891164" w:rsidRPr="005173CD">
        <w:rPr>
          <w:rFonts w:asciiTheme="majorHAnsi" w:eastAsiaTheme="minorEastAsia" w:hAnsiTheme="majorHAnsi" w:cstheme="majorHAnsi"/>
          <w:lang w:val="en-GB"/>
        </w:rPr>
        <w:fldChar w:fldCharType="end"/>
      </w:r>
      <w:r w:rsidR="00891164" w:rsidRPr="005173CD">
        <w:rPr>
          <w:rFonts w:asciiTheme="majorHAnsi" w:eastAsiaTheme="minorEastAsia" w:hAnsiTheme="majorHAnsi" w:cstheme="majorHAnsi"/>
          <w:lang w:val="en-GB"/>
        </w:rPr>
        <w:t xml:space="preserve"> a conditional autoregressive distribution as in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2</m:t>
            </m:r>
          </m:sub>
        </m:sSub>
      </m:oMath>
      <w:r w:rsidR="00891164" w:rsidRPr="005173CD">
        <w:rPr>
          <w:rFonts w:asciiTheme="majorHAnsi" w:eastAsiaTheme="minorEastAsia" w:hAnsiTheme="majorHAnsi" w:cstheme="majorHAnsi"/>
          <w:lang w:val="en-GB"/>
        </w:rPr>
        <w:t xml:space="preserve"> but defined for age groups rather than counties; a second conditional autoregressive distribution as in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2</m:t>
            </m:r>
          </m:sub>
        </m:sSub>
      </m:oMath>
      <w:r w:rsidR="00891164" w:rsidRPr="005173CD">
        <w:rPr>
          <w:rFonts w:asciiTheme="majorHAnsi" w:eastAsiaTheme="minorEastAsia" w:hAnsiTheme="majorHAnsi" w:cstheme="majorHAnsi"/>
          <w:lang w:val="en-GB"/>
        </w:rPr>
        <w:t xml:space="preserve"> but defined for years rather than counties; and a multivariate Normal distribution with a diagonal covariance matrix. This random </w:t>
      </w:r>
      <w:r w:rsidR="00B16E44" w:rsidRPr="005173CD">
        <w:rPr>
          <w:rFonts w:asciiTheme="majorHAnsi" w:eastAsiaTheme="minorEastAsia" w:hAnsiTheme="majorHAnsi" w:cstheme="majorHAnsi"/>
          <w:lang w:val="en-GB"/>
        </w:rPr>
        <w:t>intercept</w:t>
      </w:r>
      <w:r w:rsidR="00891164" w:rsidRPr="005173CD">
        <w:rPr>
          <w:rFonts w:asciiTheme="majorHAnsi" w:eastAsiaTheme="minorEastAsia" w:hAnsiTheme="majorHAnsi" w:cstheme="majorHAnsi"/>
          <w:lang w:val="en-GB"/>
        </w:rPr>
        <w:t xml:space="preserve"> is associated with three hyperparameters: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3,a</m:t>
            </m:r>
          </m:sub>
        </m:sSub>
      </m:oMath>
      <w:r w:rsidR="00891164"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3,t</m:t>
            </m:r>
          </m:sub>
        </m:sSub>
      </m:oMath>
      <w:r w:rsidR="00891164" w:rsidRPr="005173CD">
        <w:rPr>
          <w:rFonts w:asciiTheme="majorHAnsi" w:eastAsiaTheme="minorEastAsia" w:hAnsiTheme="majorHAnsi" w:cstheme="majorHAnsi"/>
          <w:lang w:val="en-GB"/>
        </w:rPr>
        <w:t xml:space="preserve">, which control the correlation across age groups and time, respectively; and </w:t>
      </w: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3</m:t>
            </m:r>
          </m:sub>
          <m:sup>
            <m:r>
              <w:rPr>
                <w:rFonts w:ascii="Cambria Math" w:eastAsiaTheme="minorEastAsia" w:hAnsi="Cambria Math" w:cstheme="majorHAnsi"/>
                <w:lang w:val="en-GB"/>
              </w:rPr>
              <m:t>2</m:t>
            </m:r>
          </m:sup>
        </m:sSubSup>
      </m:oMath>
      <w:r w:rsidR="00891164" w:rsidRPr="005173CD">
        <w:rPr>
          <w:rFonts w:asciiTheme="majorHAnsi" w:eastAsiaTheme="minorEastAsia" w:hAnsiTheme="majorHAnsi" w:cstheme="majorHAnsi"/>
          <w:lang w:val="en-GB"/>
        </w:rPr>
        <w:t xml:space="preserve"> which controls the degree of variation. </w:t>
      </w:r>
    </w:p>
    <w:p w14:paraId="49E28084" w14:textId="6C7D2740" w:rsidR="00372DEA" w:rsidRPr="005173CD" w:rsidRDefault="007A62BF" w:rsidP="00891164">
      <w:pPr>
        <w:pStyle w:val="ListParagraph"/>
        <w:numPr>
          <w:ilvl w:val="0"/>
          <w:numId w:val="14"/>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00891164" w:rsidRPr="005173CD">
        <w:rPr>
          <w:rFonts w:asciiTheme="majorHAnsi" w:eastAsiaTheme="minorEastAsia" w:hAnsiTheme="majorHAnsi" w:cstheme="majorHAnsi"/>
          <w:lang w:val="en-GB"/>
        </w:rPr>
        <w:t xml:space="preserve"> was also assumed to follow a mean-0, multivariate Normal distribution, in this case with a separable covariance structure defined via the Kronecker product of the covariance matrix of four distributions: three conditional autoregressive distributions as described above, for county, age spline basis, and year spline basis; and an IID Normal distribution for racial</w:t>
      </w:r>
      <w:r w:rsidR="00B16E44" w:rsidRPr="005173CD">
        <w:rPr>
          <w:rFonts w:asciiTheme="majorHAnsi" w:eastAsiaTheme="minorEastAsia" w:hAnsiTheme="majorHAnsi" w:cstheme="majorHAnsi"/>
          <w:lang w:val="en-GB"/>
        </w:rPr>
        <w:t xml:space="preserve"> and </w:t>
      </w:r>
      <w:r w:rsidR="00891164" w:rsidRPr="005173CD">
        <w:rPr>
          <w:rFonts w:asciiTheme="majorHAnsi" w:eastAsiaTheme="minorEastAsia" w:hAnsiTheme="majorHAnsi" w:cstheme="majorHAnsi"/>
          <w:lang w:val="en-GB"/>
        </w:rPr>
        <w:t xml:space="preserve">ethnic </w:t>
      </w:r>
      <w:r w:rsidR="00B16E44" w:rsidRPr="005173CD">
        <w:rPr>
          <w:rFonts w:asciiTheme="majorHAnsi" w:eastAsiaTheme="minorEastAsia" w:hAnsiTheme="majorHAnsi" w:cstheme="majorHAnsi"/>
          <w:lang w:val="en-GB"/>
        </w:rPr>
        <w:t>population</w:t>
      </w:r>
      <w:r w:rsidR="00891164" w:rsidRPr="005173CD">
        <w:rPr>
          <w:rFonts w:asciiTheme="majorHAnsi" w:eastAsiaTheme="minorEastAsia" w:hAnsiTheme="majorHAnsi" w:cstheme="majorHAnsi"/>
          <w:lang w:val="en-GB"/>
        </w:rPr>
        <w:t xml:space="preserve">. For this random </w:t>
      </w:r>
      <w:r w:rsidR="00103474" w:rsidRPr="005173CD">
        <w:rPr>
          <w:rFonts w:asciiTheme="majorHAnsi" w:eastAsiaTheme="minorEastAsia" w:hAnsiTheme="majorHAnsi" w:cstheme="majorHAnsi"/>
          <w:lang w:val="en-GB"/>
        </w:rPr>
        <w:t>intercept</w:t>
      </w:r>
      <w:r w:rsidR="00891164" w:rsidRPr="005173CD">
        <w:rPr>
          <w:rFonts w:asciiTheme="majorHAnsi" w:eastAsiaTheme="minorEastAsia" w:hAnsiTheme="majorHAnsi" w:cstheme="majorHAnsi"/>
          <w:lang w:val="en-GB"/>
        </w:rPr>
        <w:t xml:space="preserve">, there are two sets of hyperparameters: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891164"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891164"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oMath>
      <w:r w:rsidR="00891164" w:rsidRPr="005173CD">
        <w:rPr>
          <w:rFonts w:asciiTheme="majorHAnsi" w:eastAsiaTheme="minorEastAsia" w:hAnsiTheme="majorHAnsi" w:cstheme="majorHAnsi"/>
          <w:lang w:val="en-GB"/>
        </w:rPr>
        <w:t xml:space="preserve">, which control the smoothness over the age spline, year spline, and county, respectively; and </w:t>
      </w:r>
      <m:oMath>
        <m:sSubSup>
          <m:sSubSupPr>
            <m:ctrlPr>
              <w:rPr>
                <w:rFonts w:ascii="Cambria Math" w:eastAsiaTheme="minorEastAsia" w:hAnsi="Cambria Math" w:cstheme="majorHAnsi"/>
                <w:bCs/>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4</m:t>
            </m:r>
          </m:sub>
          <m:sup>
            <m:r>
              <w:rPr>
                <w:rFonts w:ascii="Cambria Math" w:eastAsiaTheme="minorEastAsia" w:hAnsi="Cambria Math" w:cstheme="majorHAnsi"/>
                <w:lang w:val="en-GB"/>
              </w:rPr>
              <m:t>2</m:t>
            </m:r>
          </m:sup>
        </m:sSubSup>
      </m:oMath>
      <w:r w:rsidR="00891164" w:rsidRPr="005173CD">
        <w:rPr>
          <w:rFonts w:asciiTheme="majorHAnsi" w:eastAsiaTheme="minorEastAsia" w:hAnsiTheme="majorHAnsi" w:cstheme="majorHAnsi"/>
          <w:b/>
          <w:lang w:val="en-GB"/>
        </w:rPr>
        <w:t xml:space="preserve"> </w:t>
      </w:r>
      <w:r w:rsidR="00891164" w:rsidRPr="005173CD">
        <w:rPr>
          <w:rFonts w:asciiTheme="majorHAnsi" w:eastAsiaTheme="minorEastAsia" w:hAnsiTheme="majorHAnsi" w:cstheme="majorHAnsi"/>
          <w:lang w:val="en-GB"/>
        </w:rPr>
        <w:t>which controls the degree of variation.</w:t>
      </w:r>
    </w:p>
    <w:p w14:paraId="01C1301B" w14:textId="77777777" w:rsidR="00891164" w:rsidRPr="005173CD" w:rsidRDefault="00891164" w:rsidP="00D60D61">
      <w:pPr>
        <w:spacing w:after="0" w:line="360" w:lineRule="auto"/>
        <w:ind w:left="360"/>
        <w:rPr>
          <w:rFonts w:asciiTheme="majorHAnsi" w:eastAsiaTheme="minorEastAsia" w:hAnsiTheme="majorHAnsi" w:cstheme="majorHAnsi"/>
          <w:lang w:val="en-GB"/>
        </w:rPr>
      </w:pPr>
    </w:p>
    <w:p w14:paraId="429F9CE9" w14:textId="79F3EC13" w:rsidR="00D60D61" w:rsidRPr="005173CD" w:rsidRDefault="00D60D61" w:rsidP="00D60D61">
      <w:pPr>
        <w:spacing w:after="0" w:line="360" w:lineRule="auto"/>
        <w:contextualSpacing/>
        <w:rPr>
          <w:rFonts w:asciiTheme="majorHAnsi" w:eastAsia="Arial" w:hAnsiTheme="majorHAnsi" w:cstheme="majorHAnsi"/>
          <w:color w:val="000000" w:themeColor="text1"/>
          <w:lang w:val="en-GB"/>
        </w:rPr>
      </w:pPr>
      <w:r w:rsidRPr="005173CD">
        <w:rPr>
          <w:rFonts w:asciiTheme="majorHAnsi" w:eastAsia="Arial" w:hAnsiTheme="majorHAnsi" w:cstheme="majorHAnsi"/>
          <w:color w:val="000000" w:themeColor="text1"/>
          <w:lang w:val="en-GB"/>
        </w:rPr>
        <w:t>Finally, hyperpriors were defined for the standard deviation (</w:t>
      </w:r>
      <m:oMath>
        <m:r>
          <w:rPr>
            <w:rFonts w:ascii="Cambria Math" w:eastAsia="Arial" w:hAnsi="Cambria Math" w:cstheme="majorHAnsi"/>
            <w:color w:val="000000" w:themeColor="text1"/>
            <w:lang w:val="en-GB"/>
          </w:rPr>
          <m:t>σ</m:t>
        </m:r>
      </m:oMath>
      <w:r w:rsidRPr="005173CD">
        <w:rPr>
          <w:rFonts w:asciiTheme="majorHAnsi" w:eastAsia="Arial" w:hAnsiTheme="majorHAnsi" w:cstheme="majorHAnsi"/>
          <w:color w:val="000000" w:themeColor="text1"/>
          <w:lang w:val="en-GB"/>
        </w:rPr>
        <w:t>) and, where applicable, autocorrelation (</w:t>
      </w:r>
      <m:oMath>
        <m:r>
          <w:rPr>
            <w:rFonts w:ascii="Cambria Math" w:eastAsia="Arial" w:hAnsi="Cambria Math" w:cstheme="majorHAnsi"/>
            <w:color w:val="000000" w:themeColor="text1"/>
            <w:lang w:val="en-GB"/>
          </w:rPr>
          <m:t>ρ</m:t>
        </m:r>
      </m:oMath>
      <w:r w:rsidRPr="005173CD">
        <w:rPr>
          <w:rFonts w:asciiTheme="majorHAnsi" w:eastAsia="Arial" w:hAnsiTheme="majorHAnsi" w:cstheme="majorHAnsi"/>
          <w:color w:val="000000" w:themeColor="text1"/>
          <w:lang w:val="en-GB"/>
        </w:rPr>
        <w:t xml:space="preserve">) hyperparameters: </w:t>
      </w:r>
    </w:p>
    <w:p w14:paraId="005368FF" w14:textId="5D99B6EC" w:rsidR="00D60D61" w:rsidRPr="005173CD" w:rsidRDefault="00D60D61" w:rsidP="00D60D61">
      <w:pPr>
        <w:numPr>
          <w:ilvl w:val="0"/>
          <w:numId w:val="14"/>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Penali</w:t>
      </w:r>
      <w:r w:rsidR="00103474"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ed complexity (PC) priors were specified for the inverse variance (</w:t>
      </w:r>
      <m:oMath>
        <m:f>
          <m:fPr>
            <m:type m:val="lin"/>
            <m:ctrlPr>
              <w:rPr>
                <w:rFonts w:ascii="Cambria Math" w:eastAsiaTheme="minorEastAsia" w:hAnsi="Cambria Math" w:cstheme="majorHAnsi"/>
                <w:i/>
                <w:lang w:val="en-GB"/>
              </w:rPr>
            </m:ctrlPr>
          </m:fPr>
          <m:num>
            <m:r>
              <w:rPr>
                <w:rFonts w:ascii="Cambria Math" w:eastAsiaTheme="minorEastAsia" w:hAnsi="Cambria Math" w:cstheme="majorHAnsi"/>
                <w:lang w:val="en-GB"/>
              </w:rPr>
              <m:t>1</m:t>
            </m:r>
          </m:num>
          <m:den>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den>
        </m:f>
      </m:oMath>
      <w:r w:rsidRPr="005173CD">
        <w:rPr>
          <w:rFonts w:asciiTheme="majorHAnsi" w:eastAsiaTheme="minorEastAsia" w:hAnsiTheme="majorHAnsi" w:cstheme="majorHAnsi"/>
          <w:lang w:val="en-GB"/>
        </w:rPr>
        <w:t>) of each random effect.</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{"citationID":"mhNONv0x","properties":{"formattedCitation":"\\super 16\\nosupersub{}","plainCitation":"16","noteIndex":0},"citationItems":[{"id":"wdkIiMrh/uOlwvuNh","uris":["http://zotero.org/users/5216175/items/3DSUGPDP"],"itemData":{"id":3092,"type":"article","abstract":"Priors are important for achieving proper posteriors with physically meaningful covariance structures for Gaussian random fields (GRFs) since the likelihood typically only provides limited information about the covariance structure under in-fill asymptotics. We extend the recent Penalised Complexity prior framework and develop a principled joint prior for the range and the marginal variance of one-dimensional, two-dimensional and three-dimensional Mat\\'ern GRFs with fixed smoothness. The prior is weakly informative and penalises complexity by shrinking the range towards infinity and the marginal variance towards zero. We propose guidelines for selecting the hyperparameters, and a simulation study shows that the new prior provides a principled alternative to reference priors that can leverage prior knowledge to achieve shorter credible intervals while maintaining good coverage. We extend the prior to a non-stationary GRF parametrized through local ranges and marginal standard deviations, and introduce a scheme for selecting the hyperparameters based on the coverage of the parameters when fitting simulated stationary data. The approach is applied to a dataset of annual precipitation in southern Norway and the scheme for selecting the hyperparameters leads to concervative estimates of non-stationarity and improved predictive performance over the stationary model.","DOI":"10.48550/arXiv.1503.00256","note":"arXiv:1503.00256 [stat]","number":"arXiv:1503.00256","publisher":"arXiv","source":"arXiv.org","title":"Constructing Priors that Penalize the Complexity of Gaussian Random Fields","URL":"http://arxiv.org/abs/1503.00256","author":[{"family":"Fuglstad","given":"Geir-Arne"},{"family":"Simpson","given":"Daniel"},{"family":"Lindgren","given":"Finn"},{"family":"Rue","given":"Håvard"}],"accessed":{"date-parts":[["2022",7,1]]},"issued":{"date-parts":[["2017",11,27]]}}}],"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16</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PC priors shrink toward a base model, which in this case is where the marginal variance is </w:t>
      </w:r>
      <w:r w:rsidRPr="005173CD">
        <w:rPr>
          <w:rFonts w:asciiTheme="majorHAnsi" w:eastAsiaTheme="minorEastAsia" w:hAnsiTheme="majorHAnsi" w:cstheme="majorHAnsi"/>
          <w:lang w:val="en-GB"/>
        </w:rPr>
        <w:lastRenderedPageBreak/>
        <w:t xml:space="preserve">0. They are specified by setting the tail probability on each hyperparameter. We followed the recommendation by </w:t>
      </w:r>
      <w:proofErr w:type="spellStart"/>
      <w:r w:rsidRPr="005173CD">
        <w:rPr>
          <w:rFonts w:asciiTheme="majorHAnsi" w:eastAsiaTheme="minorEastAsia" w:hAnsiTheme="majorHAnsi" w:cstheme="majorHAnsi"/>
          <w:lang w:val="en-GB"/>
        </w:rPr>
        <w:t>Fuglstad</w:t>
      </w:r>
      <w:proofErr w:type="spellEnd"/>
      <w:r w:rsidRPr="005173CD">
        <w:rPr>
          <w:rFonts w:asciiTheme="majorHAnsi" w:eastAsiaTheme="minorEastAsia" w:hAnsiTheme="majorHAnsi" w:cstheme="majorHAnsi"/>
          <w:lang w:val="en-GB"/>
        </w:rPr>
        <w:t xml:space="preserve"> et al.,</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{"citationID":"iIQtocs0","properties":{"formattedCitation":"\\super 16\\nosupersub{}","plainCitation":"16","noteIndex":0},"citationItems":[{"id":"wdkIiMrh/uOlwvuNh","uris":["http://zotero.org/users/5216175/items/3DSUGPDP"],"itemData":{"id":3092,"type":"article","abstract":"Priors are important for achieving proper posteriors with physically meaningful covariance structures for Gaussian random fields (GRFs) since the likelihood typically only provides limited information about the covariance structure under in-fill asymptotics. We extend the recent Penalised Complexity prior framework and develop a principled joint prior for the range and the marginal variance of one-dimensional, two-dimensional and three-dimensional Mat\\'ern GRFs with fixed smoothness. The prior is weakly informative and penalises complexity by shrinking the range towards infinity and the marginal variance towards zero. We propose guidelines for selecting the hyperparameters, and a simulation study shows that the new prior provides a principled alternative to reference priors that can leverage prior knowledge to achieve shorter credible intervals while maintaining good coverage. We extend the prior to a non-stationary GRF parametrized through local ranges and marginal standard deviations, and introduce a scheme for selecting the hyperparameters based on the coverage of the parameters when fitting simulated stationary data. The approach is applied to a dataset of annual precipitation in southern Norway and the scheme for selecting the hyperparameters leads to concervative estimates of non-stationarity and improved predictive performance over the stationary model.","DOI":"10.48550/arXiv.1503.00256","note":"arXiv:1503.00256 [stat]","number":"arXiv:1503.00256","publisher":"arXiv","source":"arXiv.org","title":"Constructing Priors that Penalize the Complexity of Gaussian Random Fields","URL":"http://arxiv.org/abs/1503.00256","author":[{"family":"Fuglstad","given":"Geir-Arne"},{"family":"Simpson","given":"Daniel"},{"family":"Lindgren","given":"Finn"},{"family":"Rue","given":"Håvard"}],"accessed":{"date-parts":[["2022",7,1]]},"issued":{"date-parts":[["2017",11,27]]}}}],"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16</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selecting priors that satisfy</w:t>
      </w:r>
      <m:oMath>
        <m:r>
          <w:rPr>
            <w:rFonts w:ascii="Cambria Math" w:eastAsiaTheme="minorEastAsia" w:hAnsi="Cambria Math" w:cstheme="majorHAnsi"/>
            <w:lang w:val="en-GB"/>
          </w:rPr>
          <m:t xml:space="preserve"> Pr(σ&gt;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 = 0.05</m:t>
        </m:r>
      </m:oMath>
      <w:r w:rsidRPr="005173CD">
        <w:rPr>
          <w:rFonts w:asciiTheme="majorHAnsi" w:eastAsiaTheme="minorEastAsia" w:hAnsiTheme="majorHAnsi" w:cstheme="majorHAnsi"/>
          <w:lang w:val="en-GB"/>
        </w:rPr>
        <w:t xml:space="preserve"> where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oMath>
      <w:r w:rsidRPr="005173CD">
        <w:rPr>
          <w:rFonts w:asciiTheme="majorHAnsi" w:eastAsiaTheme="minorEastAsia" w:hAnsiTheme="majorHAnsi" w:cstheme="majorHAnsi"/>
          <w:lang w:val="en-GB"/>
        </w:rPr>
        <w:t xml:space="preserve"> is between 2.5 and 40 times the expected true marginal standard deviation. Specifically, we set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Pr(σ&gt;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 = 0.05</m:t>
        </m:r>
      </m:oMath>
      <w:r w:rsidRPr="005173CD">
        <w:rPr>
          <w:rFonts w:asciiTheme="majorHAnsi" w:eastAsiaTheme="minorEastAsia" w:hAnsiTheme="majorHAnsi" w:cstheme="majorHAnsi"/>
          <w:lang w:val="en-GB"/>
        </w:rPr>
        <w:t>.</w:t>
      </w:r>
    </w:p>
    <w:p w14:paraId="1AEFA3A7" w14:textId="14C77573" w:rsidR="00D60D61" w:rsidRPr="005173CD" w:rsidRDefault="00D60D61" w:rsidP="00D60D61">
      <w:pPr>
        <w:numPr>
          <w:ilvl w:val="0"/>
          <w:numId w:val="14"/>
        </w:numPr>
        <w:spacing w:after="0" w:line="360" w:lineRule="auto"/>
        <w:rPr>
          <w:rFonts w:asciiTheme="majorHAnsi" w:eastAsiaTheme="minorEastAsia" w:hAnsiTheme="majorHAnsi" w:cstheme="majorHAnsi"/>
          <w:lang w:val="en-GB"/>
        </w:rPr>
      </w:pPr>
      <w:proofErr w:type="gramStart"/>
      <w:r w:rsidRPr="005173CD">
        <w:rPr>
          <w:rFonts w:asciiTheme="majorHAnsi" w:eastAsiaTheme="minorEastAsia" w:hAnsiTheme="majorHAnsi" w:cstheme="majorHAnsi"/>
          <w:lang w:val="en-GB"/>
        </w:rPr>
        <w:t>Normal(</w:t>
      </w:r>
      <w:proofErr w:type="gramEnd"/>
      <w:r w:rsidR="001E22D3">
        <w:rPr>
          <w:rFonts w:asciiTheme="majorHAnsi" w:eastAsiaTheme="minorEastAsia" w:hAnsiTheme="majorHAnsi" w:cstheme="majorHAnsi"/>
          <w:lang w:val="en-GB"/>
        </w:rPr>
        <w:t xml:space="preserve">mean = </w:t>
      </w:r>
      <w:r w:rsidRPr="005173CD">
        <w:rPr>
          <w:rFonts w:asciiTheme="majorHAnsi" w:eastAsiaTheme="minorEastAsia" w:hAnsiTheme="majorHAnsi" w:cstheme="majorHAnsi"/>
          <w:lang w:val="en-GB"/>
        </w:rPr>
        <w:t>0,</w:t>
      </w:r>
      <w:r w:rsidR="001E22D3">
        <w:rPr>
          <w:rFonts w:asciiTheme="majorHAnsi" w:eastAsiaTheme="minorEastAsia" w:hAnsiTheme="majorHAnsi" w:cstheme="majorHAnsi"/>
          <w:lang w:val="en-GB"/>
        </w:rPr>
        <w:t xml:space="preserve"> variance =</w:t>
      </w:r>
      <w:r w:rsidRPr="005173CD">
        <w:rPr>
          <w:rFonts w:asciiTheme="majorHAnsi" w:eastAsiaTheme="minorEastAsia" w:hAnsiTheme="majorHAnsi" w:cstheme="majorHAnsi"/>
          <w:lang w:val="en-GB"/>
        </w:rPr>
        <w:t xml:space="preserve"> 1.5</w:t>
      </w:r>
      <w:r w:rsidR="009261BC">
        <w:rPr>
          <w:rFonts w:asciiTheme="majorHAnsi" w:eastAsiaTheme="minorEastAsia" w:hAnsiTheme="majorHAnsi" w:cstheme="majorHAnsi"/>
          <w:vertAlign w:val="superscript"/>
          <w:lang w:val="en-GB"/>
        </w:rPr>
        <w:t>2</w:t>
      </w:r>
      <w:r w:rsidRPr="005173CD">
        <w:rPr>
          <w:rFonts w:asciiTheme="majorHAnsi" w:eastAsiaTheme="minorEastAsia" w:hAnsiTheme="majorHAnsi" w:cstheme="majorHAnsi"/>
          <w:lang w:val="en-GB"/>
        </w:rPr>
        <w:t>) priors were specified for the logit-transform of the correlation parameters (</w:t>
      </w:r>
      <m:oMath>
        <m:r>
          <w:rPr>
            <w:rFonts w:ascii="Cambria Math" w:eastAsiaTheme="minorEastAsia" w:hAnsi="Cambria Math" w:cstheme="majorHAnsi"/>
            <w:lang w:val="en-GB"/>
          </w:rPr>
          <m:t>ρ</m:t>
        </m:r>
      </m:oMath>
      <w:r w:rsidRPr="005173CD">
        <w:rPr>
          <w:rFonts w:asciiTheme="majorHAnsi" w:eastAsiaTheme="minorEastAsia" w:hAnsiTheme="majorHAnsi" w:cstheme="majorHAnsi"/>
          <w:lang w:val="en-GB"/>
        </w:rPr>
        <w:t>).</w:t>
      </w:r>
      <w:r w:rsidR="009261BC">
        <w:rPr>
          <w:rFonts w:asciiTheme="majorHAnsi" w:eastAsiaTheme="minorEastAsia" w:hAnsiTheme="majorHAnsi" w:cstheme="majorHAnsi"/>
          <w:lang w:val="en-GB"/>
        </w:rPr>
        <w:t xml:space="preserve"> This relatively vague prior was selected to allow for the possibility of both low and high correlation.</w:t>
      </w:r>
    </w:p>
    <w:p w14:paraId="76660D2A" w14:textId="4FC0D2FA" w:rsidR="00D60D61" w:rsidRPr="005173CD" w:rsidRDefault="00D60D61" w:rsidP="00D60D61">
      <w:pPr>
        <w:spacing w:after="0" w:line="360" w:lineRule="auto"/>
        <w:rPr>
          <w:rFonts w:asciiTheme="majorHAnsi" w:hAnsiTheme="majorHAnsi" w:cstheme="majorHAnsi"/>
          <w:lang w:val="en-GB"/>
        </w:rPr>
      </w:pPr>
      <w:r w:rsidRPr="005173CD">
        <w:rPr>
          <w:rFonts w:asciiTheme="majorHAnsi" w:hAnsiTheme="majorHAnsi" w:cstheme="majorHAnsi"/>
          <w:lang w:val="en-GB"/>
        </w:rPr>
        <w:t xml:space="preserve">Posterior means and standard errors for these hyperparameters are provided in section 3.6. </w:t>
      </w:r>
    </w:p>
    <w:p w14:paraId="210465A9" w14:textId="4838E13E" w:rsidR="00EC314F" w:rsidRPr="005173CD" w:rsidRDefault="00EC314F" w:rsidP="00983528">
      <w:pPr>
        <w:spacing w:after="0" w:line="360" w:lineRule="auto"/>
        <w:rPr>
          <w:rFonts w:asciiTheme="majorHAnsi" w:eastAsiaTheme="minorEastAsia" w:hAnsiTheme="majorHAnsi" w:cstheme="majorHAnsi"/>
          <w:lang w:val="en-GB"/>
        </w:rPr>
      </w:pPr>
    </w:p>
    <w:p w14:paraId="104B1683" w14:textId="69962FF7"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Descriptively, this model specifies the log of the underlying mortality rate (</w:t>
      </w:r>
      <m:oMath>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oMath>
      <w:r w:rsidRPr="005173CD">
        <w:rPr>
          <w:rFonts w:asciiTheme="majorHAnsi" w:eastAsiaTheme="minorEastAsia" w:hAnsiTheme="majorHAnsi" w:cstheme="majorHAnsi"/>
          <w:lang w:val="en-GB"/>
        </w:rPr>
        <w:t>) as a function of covariates and additional variation by county, year, age, and racial</w:t>
      </w:r>
      <w:r w:rsidR="0084588D"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84588D"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The covariates we included in this model—educational attainment, poverty rate, proportion foreign-born, median household income, and population density—were selected based on data availability and previously observed relationships with all-cause mortality. The fixed effects (</w:t>
      </w:r>
      <m:oMath>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oMath>
      <w:r w:rsidRPr="005173CD">
        <w:rPr>
          <w:rFonts w:asciiTheme="majorHAnsi" w:eastAsiaTheme="minorEastAsia" w:hAnsiTheme="majorHAnsi" w:cstheme="majorHAnsi"/>
          <w:b/>
          <w:bCs/>
          <w:lang w:val="en-GB"/>
        </w:rPr>
        <w:t xml:space="preserve">, </w:t>
      </w:r>
      <m:oMath>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oMath>
      <w:r w:rsidRPr="005173CD">
        <w:rPr>
          <w:rFonts w:asciiTheme="majorHAnsi" w:eastAsiaTheme="minorEastAsia" w:hAnsiTheme="majorHAnsi" w:cstheme="majorHAnsi"/>
          <w:lang w:val="en-GB"/>
        </w:rPr>
        <w:t xml:space="preserve">) on </w:t>
      </w:r>
      <w:r w:rsidR="00CB1F83" w:rsidRPr="005173CD">
        <w:rPr>
          <w:rFonts w:asciiTheme="majorHAnsi" w:eastAsiaTheme="minorEastAsia" w:hAnsiTheme="majorHAnsi" w:cstheme="majorHAnsi"/>
          <w:lang w:val="en-GB"/>
        </w:rPr>
        <w:t>covariates at</w:t>
      </w:r>
      <w:r w:rsidRPr="005173CD">
        <w:rPr>
          <w:rFonts w:asciiTheme="majorHAnsi" w:eastAsiaTheme="minorEastAsia" w:hAnsiTheme="majorHAnsi" w:cstheme="majorHAnsi"/>
          <w:lang w:val="en-GB"/>
        </w:rPr>
        <w:t xml:space="preserve"> the county</w:t>
      </w:r>
      <w:r w:rsidR="00CB1F83" w:rsidRPr="005173CD">
        <w:rPr>
          <w:rFonts w:asciiTheme="majorHAnsi" w:eastAsiaTheme="minorEastAsia" w:hAnsiTheme="majorHAnsi" w:cstheme="majorHAnsi"/>
          <w:lang w:val="en-GB"/>
        </w:rPr>
        <w:t xml:space="preserve"> level</w:t>
      </w:r>
      <w:r w:rsidRPr="005173CD">
        <w:rPr>
          <w:rFonts w:asciiTheme="majorHAnsi" w:eastAsiaTheme="minorEastAsia" w:hAnsiTheme="majorHAnsi" w:cstheme="majorHAnsi"/>
          <w:lang w:val="en-GB"/>
        </w:rPr>
        <w:t xml:space="preserve"> and</w:t>
      </w:r>
      <w:r w:rsidR="00CB1F83" w:rsidRPr="005173CD">
        <w:rPr>
          <w:rFonts w:asciiTheme="majorHAnsi" w:eastAsiaTheme="minorEastAsia" w:hAnsiTheme="majorHAnsi" w:cstheme="majorHAnsi"/>
          <w:lang w:val="en-GB"/>
        </w:rPr>
        <w:t xml:space="preserve"> covariates specific to</w:t>
      </w:r>
      <w:r w:rsidRPr="005173CD">
        <w:rPr>
          <w:rFonts w:asciiTheme="majorHAnsi" w:eastAsiaTheme="minorEastAsia" w:hAnsiTheme="majorHAnsi" w:cstheme="majorHAnsi"/>
          <w:lang w:val="en-GB"/>
        </w:rPr>
        <w:t xml:space="preserve"> county</w:t>
      </w:r>
      <w:r w:rsidR="00CB1F8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CB1F8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ethnic</w:t>
      </w:r>
      <w:r w:rsidR="00CB1F83" w:rsidRPr="005173CD">
        <w:rPr>
          <w:rFonts w:asciiTheme="majorHAnsi" w:eastAsiaTheme="minorEastAsia" w:hAnsiTheme="majorHAnsi" w:cstheme="majorHAnsi"/>
          <w:lang w:val="en-GB"/>
        </w:rPr>
        <w:t xml:space="preserve"> population combinations</w:t>
      </w:r>
      <w:r w:rsidRPr="005173CD">
        <w:rPr>
          <w:rFonts w:asciiTheme="majorHAnsi" w:eastAsiaTheme="minorEastAsia" w:hAnsiTheme="majorHAnsi" w:cstheme="majorHAnsi"/>
          <w:lang w:val="en-GB"/>
        </w:rPr>
        <w:t xml:space="preserve"> (</w:t>
      </w:r>
      <m:oMath>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m:rPr>
            <m:sty m:val="bi"/>
          </m:rPr>
          <w:rPr>
            <w:rFonts w:ascii="Cambria Math" w:hAnsi="Cambria Math" w:cstheme="majorHAnsi"/>
            <w:lang w:val="en-GB"/>
          </w:rPr>
          <m:t xml:space="preserve">, </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oMath>
      <w:r w:rsidRPr="005173CD">
        <w:rPr>
          <w:rFonts w:asciiTheme="majorHAnsi" w:eastAsiaTheme="minorEastAsia" w:hAnsiTheme="majorHAnsi" w:cstheme="majorHAnsi"/>
          <w:lang w:val="en-GB"/>
        </w:rPr>
        <w:t xml:space="preserve">) capture the relationships between each covariate and mortality. For the </w:t>
      </w:r>
      <w:r w:rsidR="00CB1F83" w:rsidRPr="005173CD">
        <w:rPr>
          <w:rFonts w:asciiTheme="majorHAnsi" w:eastAsiaTheme="minorEastAsia" w:hAnsiTheme="majorHAnsi" w:cstheme="majorHAnsi"/>
          <w:lang w:val="en-GB"/>
        </w:rPr>
        <w:t xml:space="preserve">covariates by </w:t>
      </w:r>
      <w:r w:rsidRPr="005173CD">
        <w:rPr>
          <w:rFonts w:asciiTheme="majorHAnsi" w:eastAsiaTheme="minorEastAsia" w:hAnsiTheme="majorHAnsi" w:cstheme="majorHAnsi"/>
          <w:lang w:val="en-GB"/>
        </w:rPr>
        <w:t>racial</w:t>
      </w:r>
      <w:r w:rsidR="00CB1F8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CB1F83"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we additionally include random </w:t>
      </w:r>
      <w:r w:rsidR="00020CD9" w:rsidRPr="005173CD">
        <w:rPr>
          <w:rFonts w:asciiTheme="majorHAnsi" w:eastAsiaTheme="minorEastAsia" w:hAnsiTheme="majorHAnsi" w:cstheme="majorHAnsi"/>
          <w:lang w:val="en-GB"/>
        </w:rPr>
        <w:t>slope</w:t>
      </w:r>
      <w:r w:rsidRPr="005173CD">
        <w:rPr>
          <w:rFonts w:asciiTheme="majorHAnsi" w:eastAsiaTheme="minorEastAsia" w:hAnsiTheme="majorHAnsi" w:cstheme="majorHAnsi"/>
          <w:lang w:val="en-GB"/>
        </w:rPr>
        <w:t xml:space="preserve">s,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1</m:t>
            </m:r>
          </m:sub>
        </m:sSub>
      </m:oMath>
      <w:r w:rsidRPr="005173CD">
        <w:rPr>
          <w:rFonts w:asciiTheme="majorHAnsi" w:eastAsiaTheme="minorEastAsia" w:hAnsiTheme="majorHAnsi" w:cstheme="majorHAnsi"/>
          <w:lang w:val="en-GB"/>
        </w:rPr>
        <w:t>,</w:t>
      </w:r>
      <w:r w:rsidRPr="005173CD">
        <w:rPr>
          <w:rFonts w:asciiTheme="majorHAnsi" w:eastAsiaTheme="minorEastAsia" w:hAnsiTheme="majorHAnsi" w:cstheme="majorHAnsi"/>
          <w:b/>
          <w:lang w:val="en-GB"/>
        </w:rPr>
        <w:t xml:space="preserve"> </w:t>
      </w:r>
      <w:r w:rsidRPr="005173CD">
        <w:rPr>
          <w:rFonts w:asciiTheme="majorHAnsi" w:eastAsiaTheme="minorEastAsia" w:hAnsiTheme="majorHAnsi" w:cstheme="majorHAnsi"/>
          <w:lang w:val="en-GB"/>
        </w:rPr>
        <w:t>to allow for the relationship between these variables and mortality to vary by racial</w:t>
      </w:r>
      <w:r w:rsidR="00020CD9"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020CD9"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The covariates do not explain all variation in mortality across time, age, geography, and racial</w:t>
      </w:r>
      <w:r w:rsidR="00C7311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C7311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so further random </w:t>
      </w:r>
      <w:r w:rsidR="00C73115"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s are included in the model to capture additional variation. The random </w:t>
      </w:r>
      <w:r w:rsidR="007F641A" w:rsidRPr="005173CD">
        <w:rPr>
          <w:rFonts w:asciiTheme="majorHAnsi" w:eastAsiaTheme="minorEastAsia" w:hAnsiTheme="majorHAnsi" w:cstheme="majorHAnsi"/>
          <w:lang w:val="en-GB"/>
        </w:rPr>
        <w:t>in</w:t>
      </w:r>
      <w:r w:rsidR="00E16C5C" w:rsidRPr="005173CD">
        <w:rPr>
          <w:rFonts w:asciiTheme="majorHAnsi" w:eastAsiaTheme="minorEastAsia" w:hAnsiTheme="majorHAnsi" w:cstheme="majorHAnsi"/>
          <w:lang w:val="en-GB"/>
        </w:rPr>
        <w:t>tercept</w:t>
      </w:r>
      <w:r w:rsidRPr="005173CD">
        <w:rPr>
          <w:rFonts w:asciiTheme="majorHAnsi" w:eastAsiaTheme="minorEastAsia" w:hAnsiTheme="majorHAnsi" w:cstheme="majorHAnsi"/>
          <w:lang w:val="en-GB"/>
        </w:rPr>
        <w:t xml:space="preserve">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2</m:t>
            </m:r>
          </m:sub>
        </m:sSub>
      </m:oMath>
      <w:r w:rsidRPr="005173CD">
        <w:rPr>
          <w:rFonts w:asciiTheme="majorHAnsi" w:eastAsiaTheme="minorEastAsia" w:hAnsiTheme="majorHAnsi" w:cstheme="majorHAnsi"/>
          <w:lang w:val="en-GB"/>
        </w:rPr>
        <w:t xml:space="preserve"> allows for spatial (ie, between-county) variation in the level of mortality, shared across age, year, and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 The random </w:t>
      </w:r>
      <w:r w:rsidR="00E16C5C"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Pr="005173CD">
        <w:rPr>
          <w:rFonts w:asciiTheme="majorHAnsi" w:eastAsiaTheme="minorEastAsia" w:hAnsiTheme="majorHAnsi" w:cstheme="majorHAnsi"/>
          <w:lang w:val="en-GB"/>
        </w:rPr>
        <w:t xml:space="preserve"> allows for variation in mortality by age, time, and racial</w:t>
      </w:r>
      <w:r w:rsidR="00C7311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C7311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shared across all counties. Finally, the random </w:t>
      </w:r>
      <w:r w:rsidR="00A20CE2"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Pr="005173CD">
        <w:rPr>
          <w:rFonts w:asciiTheme="majorHAnsi" w:eastAsiaTheme="minorEastAsia" w:hAnsiTheme="majorHAnsi" w:cstheme="majorHAnsi"/>
          <w:lang w:val="en-GB"/>
        </w:rPr>
        <w:t xml:space="preserve"> was included to allow for county-specific deviations in the mortality patterns by age, time, and racial</w:t>
      </w:r>
      <w:r w:rsidR="007F641A"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7F641A"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compared </w:t>
      </w:r>
      <w:r w:rsidR="000754D1" w:rsidRPr="005173CD">
        <w:rPr>
          <w:rFonts w:asciiTheme="majorHAnsi" w:eastAsiaTheme="minorEastAsia" w:hAnsiTheme="majorHAnsi" w:cstheme="majorHAnsi"/>
          <w:lang w:val="en-GB"/>
        </w:rPr>
        <w:t>with</w:t>
      </w:r>
      <w:r w:rsidRPr="005173CD">
        <w:rPr>
          <w:rFonts w:asciiTheme="majorHAnsi" w:eastAsiaTheme="minorEastAsia" w:hAnsiTheme="majorHAnsi" w:cstheme="majorHAnsi"/>
          <w:lang w:val="en-GB"/>
        </w:rPr>
        <w:t xml:space="preserve"> the general pattern captured by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Pr="005173CD">
        <w:rPr>
          <w:rFonts w:asciiTheme="majorHAnsi" w:eastAsiaTheme="minorEastAsia" w:hAnsiTheme="majorHAnsi" w:cstheme="majorHAnsi"/>
          <w:lang w:val="en-GB"/>
        </w:rPr>
        <w:t xml:space="preserve">. This random </w:t>
      </w:r>
      <w:r w:rsidR="000754D1"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 incorporates a linear spline in the age and time dimensions to reduce computational complexity: the equivalent model for all age groups and years was found to be computationally infeasible. Although the splines in this random </w:t>
      </w:r>
      <w:r w:rsidR="00663E6C" w:rsidRPr="005173CD">
        <w:rPr>
          <w:rFonts w:asciiTheme="majorHAnsi" w:eastAsiaTheme="minorEastAsia" w:hAnsiTheme="majorHAnsi" w:cstheme="majorHAnsi"/>
          <w:lang w:val="en-GB"/>
        </w:rPr>
        <w:t>intercept</w:t>
      </w:r>
      <w:r w:rsidRPr="005173CD">
        <w:rPr>
          <w:rFonts w:asciiTheme="majorHAnsi" w:eastAsiaTheme="minorEastAsia" w:hAnsiTheme="majorHAnsi" w:cstheme="majorHAnsi"/>
          <w:lang w:val="en-GB"/>
        </w:rPr>
        <w:t xml:space="preserve"> are linear, we are not assuming that the time or age trends for </w:t>
      </w:r>
      <m:oMath>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log</m:t>
            </m:r>
          </m:fName>
          <m:e>
            <m:d>
              <m:dPr>
                <m:ctrlPr>
                  <w:rPr>
                    <w:rFonts w:ascii="Cambria Math" w:eastAsiaTheme="minorEastAsia"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oMath>
      <w:r w:rsidRPr="005173CD">
        <w:rPr>
          <w:rFonts w:asciiTheme="majorHAnsi" w:eastAsiaTheme="minorEastAsia" w:hAnsiTheme="majorHAnsi" w:cstheme="majorHAnsi"/>
          <w:lang w:val="en-GB"/>
        </w:rPr>
        <w:t xml:space="preserve"> are linear, as both the contributions from the covariates as well as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Pr="005173CD">
        <w:rPr>
          <w:rFonts w:asciiTheme="majorHAnsi" w:eastAsiaTheme="minorEastAsia" w:hAnsiTheme="majorHAnsi" w:cstheme="majorHAnsi"/>
          <w:lang w:val="en-GB"/>
        </w:rPr>
        <w:t xml:space="preserve"> allow for non-linear variation. </w:t>
      </w:r>
      <w:r w:rsidR="008A2E1B" w:rsidRPr="008754A0">
        <w:rPr>
          <w:rFonts w:asciiTheme="majorHAnsi" w:eastAsiaTheme="minorEastAsia" w:hAnsiTheme="majorHAnsi" w:cstheme="majorHAnsi"/>
          <w:lang w:val="en-GB"/>
        </w:rPr>
        <w:t xml:space="preserve">The number of age and year knots </w:t>
      </w:r>
      <w:r w:rsidR="008A2E1B">
        <w:rPr>
          <w:rFonts w:asciiTheme="majorHAnsi" w:eastAsiaTheme="minorEastAsia" w:hAnsiTheme="majorHAnsi" w:cstheme="majorHAnsi"/>
          <w:lang w:val="en-GB"/>
        </w:rPr>
        <w:t>was</w:t>
      </w:r>
      <w:r w:rsidR="008A2E1B" w:rsidRPr="008754A0">
        <w:rPr>
          <w:rFonts w:asciiTheme="majorHAnsi" w:eastAsiaTheme="minorEastAsia" w:hAnsiTheme="majorHAnsi" w:cstheme="majorHAnsi"/>
          <w:lang w:val="en-GB"/>
        </w:rPr>
        <w:t xml:space="preserve"> chosen to maximise flexibility while maintaining a reasonable runtime.</w:t>
      </w:r>
      <w:r w:rsidR="008A2E1B">
        <w:rPr>
          <w:rFonts w:asciiTheme="majorHAnsi" w:eastAsiaTheme="minorEastAsia" w:hAnsiTheme="majorHAnsi" w:cstheme="majorHAnsi"/>
          <w:lang w:val="en-GB"/>
        </w:rPr>
        <w:t xml:space="preserve"> In determining the placement of these knots, we considered that the role of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008A2E1B">
        <w:rPr>
          <w:rFonts w:asciiTheme="majorHAnsi" w:eastAsiaTheme="minorEastAsia" w:hAnsiTheme="majorHAnsi" w:cstheme="majorHAnsi"/>
          <w:b/>
          <w:lang w:val="en-GB"/>
        </w:rPr>
        <w:t xml:space="preserve"> </w:t>
      </w:r>
      <w:r w:rsidR="008A2E1B">
        <w:rPr>
          <w:rFonts w:asciiTheme="majorHAnsi" w:eastAsiaTheme="minorEastAsia" w:hAnsiTheme="majorHAnsi" w:cstheme="majorHAnsi"/>
          <w:bCs/>
          <w:lang w:val="en-GB"/>
        </w:rPr>
        <w:t xml:space="preserve">is to capture county-level deviations in the patterns of mortality over time, age, and race and ethnicity, compared to the general patterns captured by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008A2E1B">
        <w:rPr>
          <w:rFonts w:asciiTheme="majorHAnsi" w:eastAsiaTheme="minorEastAsia" w:hAnsiTheme="majorHAnsi" w:cstheme="majorHAnsi"/>
          <w:bCs/>
          <w:lang w:val="en-GB"/>
        </w:rPr>
        <w:t xml:space="preserve">. We do not </w:t>
      </w:r>
      <w:r w:rsidR="008A2E1B">
        <w:rPr>
          <w:rFonts w:asciiTheme="majorHAnsi" w:eastAsiaTheme="minorEastAsia" w:hAnsiTheme="majorHAnsi" w:cstheme="majorHAnsi"/>
          <w:bCs/>
          <w:lang w:val="en-GB"/>
        </w:rPr>
        <w:lastRenderedPageBreak/>
        <w:t xml:space="preserve">believe, a priori, that these deviations are more or less likely at different times during the study period, and we therefore chose to have equally spaced year knots. Moreover, we found that adding more than four knots did not meaningfully change the resulting predictions. The age knots were set at age groups </w:t>
      </w:r>
      <w:r w:rsidR="008A2E1B" w:rsidRPr="008754A0">
        <w:rPr>
          <w:rFonts w:asciiTheme="majorHAnsi" w:eastAsiaTheme="minorEastAsia" w:hAnsiTheme="majorHAnsi" w:cstheme="majorHAnsi"/>
          <w:lang w:val="en-GB"/>
        </w:rPr>
        <w:t>0, 25</w:t>
      </w:r>
      <w:r w:rsidR="008A2E1B" w:rsidRPr="008754A0">
        <w:rPr>
          <w:rFonts w:asciiTheme="majorHAnsi" w:eastAsia="Calibri Light" w:hAnsiTheme="majorHAnsi" w:cstheme="majorHAnsi"/>
          <w:color w:val="000000" w:themeColor="text1"/>
        </w:rPr>
        <w:t>–</w:t>
      </w:r>
      <w:r w:rsidR="008A2E1B" w:rsidRPr="008754A0">
        <w:rPr>
          <w:rFonts w:asciiTheme="majorHAnsi" w:eastAsiaTheme="minorEastAsia" w:hAnsiTheme="majorHAnsi" w:cstheme="majorHAnsi"/>
          <w:lang w:val="en-GB"/>
        </w:rPr>
        <w:t>29, 45</w:t>
      </w:r>
      <w:r w:rsidR="008A2E1B" w:rsidRPr="008754A0">
        <w:rPr>
          <w:rFonts w:asciiTheme="majorHAnsi" w:eastAsia="Calibri Light" w:hAnsiTheme="majorHAnsi" w:cstheme="majorHAnsi"/>
          <w:color w:val="000000" w:themeColor="text1"/>
        </w:rPr>
        <w:t>–</w:t>
      </w:r>
      <w:r w:rsidR="008A2E1B" w:rsidRPr="008754A0">
        <w:rPr>
          <w:rFonts w:asciiTheme="majorHAnsi" w:eastAsiaTheme="minorEastAsia" w:hAnsiTheme="majorHAnsi" w:cstheme="majorHAnsi"/>
          <w:lang w:val="en-GB"/>
        </w:rPr>
        <w:t>49, 65</w:t>
      </w:r>
      <w:r w:rsidR="008A2E1B" w:rsidRPr="008754A0">
        <w:rPr>
          <w:rFonts w:asciiTheme="majorHAnsi" w:eastAsia="Calibri Light" w:hAnsiTheme="majorHAnsi" w:cstheme="majorHAnsi"/>
          <w:color w:val="000000" w:themeColor="text1"/>
        </w:rPr>
        <w:t>–</w:t>
      </w:r>
      <w:r w:rsidR="008A2E1B" w:rsidRPr="008754A0">
        <w:rPr>
          <w:rFonts w:asciiTheme="majorHAnsi" w:eastAsiaTheme="minorEastAsia" w:hAnsiTheme="majorHAnsi" w:cstheme="majorHAnsi"/>
          <w:lang w:val="en-GB"/>
        </w:rPr>
        <w:t>69, and 85+ years</w:t>
      </w:r>
      <w:r w:rsidR="008A2E1B">
        <w:rPr>
          <w:rFonts w:asciiTheme="majorHAnsi" w:eastAsiaTheme="minorEastAsia" w:hAnsiTheme="majorHAnsi" w:cstheme="majorHAnsi"/>
          <w:lang w:val="en-GB"/>
        </w:rPr>
        <w:t>, which are ages where we observe more notable changes in the level of all-cause mortality. Because we model many causes, it was not feasible to customise the knot placement for each cause individually; however, in testing, we found that changing the age knot placement to a neighbouring age group (</w:t>
      </w:r>
      <w:proofErr w:type="spellStart"/>
      <w:r w:rsidR="008A2E1B">
        <w:rPr>
          <w:rFonts w:asciiTheme="majorHAnsi" w:eastAsiaTheme="minorEastAsia" w:hAnsiTheme="majorHAnsi" w:cstheme="majorHAnsi"/>
          <w:lang w:val="en-GB"/>
        </w:rPr>
        <w:t>eg</w:t>
      </w:r>
      <w:proofErr w:type="spellEnd"/>
      <w:r w:rsidR="008A2E1B">
        <w:rPr>
          <w:rFonts w:asciiTheme="majorHAnsi" w:eastAsiaTheme="minorEastAsia" w:hAnsiTheme="majorHAnsi" w:cstheme="majorHAnsi"/>
          <w:lang w:val="en-GB"/>
        </w:rPr>
        <w:t xml:space="preserve">, </w:t>
      </w:r>
      <w:r w:rsidR="008A2E1B" w:rsidRPr="008754A0">
        <w:rPr>
          <w:rFonts w:asciiTheme="majorHAnsi" w:eastAsiaTheme="minorEastAsia" w:hAnsiTheme="majorHAnsi" w:cstheme="majorHAnsi"/>
          <w:lang w:val="en-GB"/>
        </w:rPr>
        <w:t>4</w:t>
      </w:r>
      <w:r w:rsidR="008A2E1B">
        <w:rPr>
          <w:rFonts w:asciiTheme="majorHAnsi" w:eastAsiaTheme="minorEastAsia" w:hAnsiTheme="majorHAnsi" w:cstheme="majorHAnsi"/>
          <w:lang w:val="en-GB"/>
        </w:rPr>
        <w:t>0</w:t>
      </w:r>
      <w:r w:rsidR="008A2E1B" w:rsidRPr="008754A0">
        <w:rPr>
          <w:rFonts w:asciiTheme="majorHAnsi" w:eastAsia="Calibri Light" w:hAnsiTheme="majorHAnsi" w:cstheme="majorHAnsi"/>
          <w:color w:val="000000" w:themeColor="text1"/>
        </w:rPr>
        <w:t>–</w:t>
      </w:r>
      <w:r w:rsidR="008A2E1B" w:rsidRPr="008754A0">
        <w:rPr>
          <w:rFonts w:asciiTheme="majorHAnsi" w:eastAsiaTheme="minorEastAsia" w:hAnsiTheme="majorHAnsi" w:cstheme="majorHAnsi"/>
          <w:lang w:val="en-GB"/>
        </w:rPr>
        <w:t>4</w:t>
      </w:r>
      <w:r w:rsidR="008A2E1B">
        <w:rPr>
          <w:rFonts w:asciiTheme="majorHAnsi" w:eastAsiaTheme="minorEastAsia" w:hAnsiTheme="majorHAnsi" w:cstheme="majorHAnsi"/>
          <w:lang w:val="en-GB"/>
        </w:rPr>
        <w:t xml:space="preserve">4 instead of </w:t>
      </w:r>
      <w:r w:rsidR="008A2E1B" w:rsidRPr="008754A0">
        <w:rPr>
          <w:rFonts w:asciiTheme="majorHAnsi" w:eastAsiaTheme="minorEastAsia" w:hAnsiTheme="majorHAnsi" w:cstheme="majorHAnsi"/>
          <w:lang w:val="en-GB"/>
        </w:rPr>
        <w:t>45</w:t>
      </w:r>
      <w:r w:rsidR="008A2E1B" w:rsidRPr="008754A0">
        <w:rPr>
          <w:rFonts w:asciiTheme="majorHAnsi" w:eastAsia="Calibri Light" w:hAnsiTheme="majorHAnsi" w:cstheme="majorHAnsi"/>
          <w:color w:val="000000" w:themeColor="text1"/>
        </w:rPr>
        <w:t>–</w:t>
      </w:r>
      <w:r w:rsidR="008A2E1B" w:rsidRPr="008754A0">
        <w:rPr>
          <w:rFonts w:asciiTheme="majorHAnsi" w:eastAsiaTheme="minorEastAsia" w:hAnsiTheme="majorHAnsi" w:cstheme="majorHAnsi"/>
          <w:lang w:val="en-GB"/>
        </w:rPr>
        <w:t>49</w:t>
      </w:r>
      <w:r w:rsidR="008A2E1B">
        <w:rPr>
          <w:rFonts w:asciiTheme="majorHAnsi" w:eastAsiaTheme="minorEastAsia" w:hAnsiTheme="majorHAnsi" w:cstheme="majorHAnsi"/>
          <w:lang w:val="en-GB"/>
        </w:rPr>
        <w:t>) generally made little difference in the resulting estimates.</w:t>
      </w:r>
    </w:p>
    <w:p w14:paraId="2BAB5A43"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p>
    <w:p w14:paraId="67B2786E" w14:textId="699AB7F0"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We used the Template Model Builder (TMB) package</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{"citationID":"ftN25sMJ","properties":{"formattedCitation":"\\super 20\\nosupersub{}","plainCitation":"20","noteIndex":0},"citationItems":[{"id":"wdkIiMrh/eZKXYWCq","uris":["http://zotero.org/users/5216175/items/32JXUDCX"],"itemData":{"id":3104,"type":"article-journal","abstract":"TMB is an open source R package that enables quick implementation of complex nonlinear random effects (latent variable) models in a manner similar to the established AD Model Builder package (ADMB, http://admb-project.org/; Fournier et al. 2011). In addition, it offers easy access to parallel computations. The user defines the joint likelihood for the data and the random effects as a C++ template function, while all the other operations are done in R; e.g., reading in the data. The package evaluates and maximizes the Laplace approximation of the marginal likelihood where the random effects are automatically integrated out. This approximation, and its derivatives, are obtained using automatic differentiation (up to order three) of the joint likelihood. The computations are designed to be fast for problems with many random effects (≈ 106 ) and parameters (≈ 103 ). Computation times using ADMB and TMB are compared on a suite of examples ranging from simple models to large spatial models where the random effects are a Gaussian random field. Speedups ranging from 1.5 to about 100 are obtained with increasing gains for large problems. The package and examples are available at http://tmb-project.org/.","container-title":"Journal of Statistical Software","DOI":"10.18637/jss.v070.i05","ISSN":"1548-7660","language":"en","license":"Copyright (c) 2016 Kasper Kristensen, Anders Nielsen, Casper W. Berg, Hans Skaug, Bradley M. Bell","page":"1-21","source":"www.jstatsoft.org","title":"TMB: Automatic Differentiation and Laplace Approximation","title-short":"TMB","volume":"70","author":[{"family":"Kristensen","given":"Kasper"},{"family":"Nielsen","given":"Anders"},{"family":"Berg","given":"Casper W."},{"family":"Skaug","given":"Hans"},{"family":"Bell","given":"Bradley M."}],"issued":{"date-parts":[["2016",4,4]]}}}],"schema":"https://github.com/citation-style-language/schema/raw/master/csl-citation.json"}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20</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in R version 3.6.1</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{"citationID":"xPfpA4fl","properties":{"formattedCitation":"\\super 15\\nosupersub{}","plainCitation":"15","noteIndex":0},"citationItems":[{"id":"wdkIiMrh/tODJie47","uris":["http://zotero.org/users/74831/items/9RT5VWTX"],"itemData":{"id":1316,"type":"software","event-place":"Vienna, Austria","publisher":"R Foundation for Statistical Computing","publisher-place":"Vienna, Austria","title":"R: A language and environment for statistical computing.","URL":"https://www.R-project.org/.","author":[{"literal":"R Core Team"}],"issued":{"date-parts":[["2019"]]}}}],"schema":"https://github.com/citation-style-language/schema/raw/master/csl-citation.json"}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15</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to fit these models using an empirical Bayes approach. TMB calculates analytic approximations to the posterior distribution based on Laplace approximations. We use TMB for fitting these models rather than INLA—another common alternative to classic Markov chain Monte Carlo (MCMC) methods and the tool that we used for the covariate imputation and smoothing models (section 2.3)—as TMB is substantially more flexible with respect to the model specification.</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{"citationID":"aSwTSIT9","properties":{"formattedCitation":"\\super 21\\nosupersub{}","plainCitation":"21","noteIndex":0},"citationItems":[{"id":"wdkIiMrh/ohIPdNxm","uris":["http://zotero.org/users/5216175/items/JB8IKSMS"],"itemData":{"id":3106,"type":"article","abstract":"The integrated nested Laplace approximation (INLA) is a well-known and popular technique for spatial modeling with a user-friendly interface in the R-INLA package. Unfortunately, only a certain class of latent Gaussian models are amenable to fitting with INLA. In this paper we describe Template Model Builder (TMB), an existing technique which is well-suited to fitting complex spatio-temporal models. TMB is relatively unknown to the spatial statistics community, but is a highly flexible random effects modeling tool which allows users to define complex random effects models through simple C++ templates. After contrasting the methodology behind TMB with INLA, we provide a large-scale simulation study assessing and comparing R-INLA and TMB for continuous spatial models, fitted via the Stochastic Partial Differential Equations (SPDE) approximation. The results show that the predictive fields from both methods are comparable in most situations even though TMB estimates for fixed or random effects may have slightly larger bias than R-INLA. We also present a smaller discrete spatial simulation study, in which both approaches perform well. We conclude with an analysis of breast cancer incidence and mortality data using a joint model which cannot be fit with INLA.","DOI":"10.48550/arXiv.2103.09929","note":"arXiv:2103.09929 [stat]","number":"arXiv:2103.09929","publisher":"arXiv","source":"arXiv.org","title":"A Statistical Introduction to Template Model Builder: A Flexible Tool for Spatial Modeling","title-short":"A Statistical Introduction to Template Model Builder","URL":"http://arxiv.org/abs/2103.09929","author":[{"family":"Osgood-Zimmerman","given":"Aaron"},{"family":"Wakefield","given":"Jon"}],"accessed":{"date-parts":[["2022",7,1]]},"issued":{"date-parts":[["2021",3,17]]}}}],"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21</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Of particular importance for this analysis: random effects in INLA are restricted to two-way interactions, whereas TMB allows us to incorporate higher-order interactions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3</m:t>
            </m:r>
          </m:sub>
        </m:sSub>
      </m:oMath>
      <w:r w:rsidRPr="005173CD">
        <w:rPr>
          <w:rFonts w:asciiTheme="majorHAnsi" w:eastAsiaTheme="minorEastAsia" w:hAnsiTheme="majorHAnsi" w:cstheme="majorHAnsi"/>
          <w:lang w:val="en-GB"/>
        </w:rPr>
        <w:t xml:space="preserve"> and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Pr="005173CD">
        <w:rPr>
          <w:rFonts w:asciiTheme="majorHAnsi" w:eastAsiaTheme="minorEastAsia" w:hAnsiTheme="majorHAnsi" w:cstheme="majorHAnsi"/>
          <w:lang w:val="en-GB"/>
        </w:rPr>
        <w:t xml:space="preserve">) in our modelling approach. </w:t>
      </w:r>
    </w:p>
    <w:p w14:paraId="44C307BA"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p>
    <w:p w14:paraId="090C3667" w14:textId="0634BB7B"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In addition to the more formal model </w:t>
      </w:r>
      <w:proofErr w:type="gramStart"/>
      <w:r w:rsidRPr="005173CD">
        <w:rPr>
          <w:rFonts w:asciiTheme="majorHAnsi" w:eastAsiaTheme="minorEastAsia" w:hAnsiTheme="majorHAnsi" w:cstheme="majorHAnsi"/>
          <w:lang w:val="en-GB"/>
        </w:rPr>
        <w:t>validation</w:t>
      </w:r>
      <w:proofErr w:type="gramEnd"/>
      <w:r w:rsidRPr="005173CD">
        <w:rPr>
          <w:rFonts w:asciiTheme="majorHAnsi" w:eastAsiaTheme="minorEastAsia" w:hAnsiTheme="majorHAnsi" w:cstheme="majorHAnsi"/>
          <w:lang w:val="en-GB"/>
        </w:rPr>
        <w:t xml:space="preserve"> we describe below, we assessed model fit by inspecting plots comparing the estimated time and age trends in mortality to the observed data at the national, state, and (in selected counties) county level. Additionally, for the all-cause mortality model we used graphical posterior predictive checks</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{"citationID":"pWk0e4tH","properties":{"formattedCitation":"\\super 22\\nosupersub{}","plainCitation":"22","noteIndex":0},"citationItems":[{"id":"wdkIiMrh/zsbQSfeG","uris":["http://zotero.org/users/5216175/items/2YD99DGF"],"itemData":{"id":3102,"type":"webpage","abstract":"Winner of the 2016 De Groot Prize from the International Society for Bayesian Analysis\nNow in its third edition, this classic book is widely considered the leading text on Bayesian methods, lauded for its accessible, practical approach to analyzing data and solving research problems. Bayesian Data Analysis, Third Edition continues to take an applied approach to analysis using up-to-date Bayesian methods. The authors—all leaders in the statistics community—introduce basic concepts from a data","container-title":"Routledge &amp; CRC Press","language":"en","title":"Bayesian Data Analysis","URL":"https://www.routledge.com/Bayesian-Data-Analysis/Gelman-Carlin-Stern-Dunson-Vehtari-Rubin/p/book/9781439840955","accessed":{"date-parts":[["2022",7,1]]}}}],"schema":"https://github.com/citation-style-language/schema/raw/master/csl-citation.json"} </w:instrText>
      </w:r>
      <w:r w:rsidRPr="005173CD">
        <w:rPr>
          <w:rFonts w:asciiTheme="majorHAnsi" w:eastAsiaTheme="minorEastAsia" w:hAnsiTheme="majorHAnsi" w:cstheme="majorHAnsi"/>
          <w:lang w:val="en-GB"/>
        </w:rPr>
        <w:fldChar w:fldCharType="separate"/>
      </w:r>
      <w:r w:rsidR="00881AB8" w:rsidRPr="00881AB8">
        <w:rPr>
          <w:rFonts w:ascii="Calibri Light" w:hAnsi="Calibri Light" w:cs="Calibri Light"/>
          <w:vertAlign w:val="superscript"/>
        </w:rPr>
        <w:t>22</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to assess if the observed data are over-dispersed or zero-inflated relative to our model; we found no evidence that this is the case. Finally, we examined plots of the binned residuals compared </w:t>
      </w:r>
      <w:r w:rsidR="00F85236" w:rsidRPr="005173CD">
        <w:rPr>
          <w:rFonts w:asciiTheme="majorHAnsi" w:eastAsiaTheme="minorEastAsia" w:hAnsiTheme="majorHAnsi" w:cstheme="majorHAnsi"/>
          <w:lang w:val="en-GB"/>
        </w:rPr>
        <w:t>with</w:t>
      </w:r>
      <w:r w:rsidRPr="005173CD">
        <w:rPr>
          <w:rFonts w:asciiTheme="majorHAnsi" w:eastAsiaTheme="minorEastAsia" w:hAnsiTheme="majorHAnsi" w:cstheme="majorHAnsi"/>
          <w:lang w:val="en-GB"/>
        </w:rPr>
        <w:t xml:space="preserve"> each covariate to assess the assumption that the relationship between log mortality and each covariate is linear; we found no evidence of bias in our estimates </w:t>
      </w:r>
      <w:proofErr w:type="gramStart"/>
      <w:r w:rsidRPr="005173CD">
        <w:rPr>
          <w:rFonts w:asciiTheme="majorHAnsi" w:eastAsiaTheme="minorEastAsia" w:hAnsiTheme="majorHAnsi" w:cstheme="majorHAnsi"/>
          <w:lang w:val="en-GB"/>
        </w:rPr>
        <w:t>as a result of</w:t>
      </w:r>
      <w:proofErr w:type="gramEnd"/>
      <w:r w:rsidRPr="005173CD">
        <w:rPr>
          <w:rFonts w:asciiTheme="majorHAnsi" w:eastAsiaTheme="minorEastAsia" w:hAnsiTheme="majorHAnsi" w:cstheme="majorHAnsi"/>
          <w:lang w:val="en-GB"/>
        </w:rPr>
        <w:t xml:space="preserve"> non-linearity in these relationships. </w:t>
      </w:r>
    </w:p>
    <w:p w14:paraId="348FBA00"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p>
    <w:p w14:paraId="08DF6EC4" w14:textId="77777777" w:rsidR="00D60D61" w:rsidRPr="005173CD" w:rsidRDefault="00D60D61" w:rsidP="00622388">
      <w:pPr>
        <w:pStyle w:val="Heading4"/>
        <w:spacing w:line="360" w:lineRule="auto"/>
        <w:rPr>
          <w:rFonts w:eastAsiaTheme="minorEastAsia" w:cstheme="majorHAnsi"/>
          <w:lang w:val="en-GB"/>
        </w:rPr>
      </w:pPr>
      <w:r w:rsidRPr="005173CD">
        <w:rPr>
          <w:rFonts w:cstheme="majorHAnsi"/>
          <w:lang w:val="en-GB"/>
        </w:rPr>
        <w:t xml:space="preserve">Cause-specific model exceptions </w:t>
      </w:r>
    </w:p>
    <w:p w14:paraId="059F86B6" w14:textId="3D799B16" w:rsidR="00D60D61" w:rsidRPr="005173CD" w:rsidRDefault="00D60D61" w:rsidP="00D60D61">
      <w:p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The cause-specific models described above tend to smooth mortality over time and thus can perform poorly in cases where there are sudden </w:t>
      </w:r>
      <w:r w:rsidR="00206600" w:rsidRPr="005173CD">
        <w:rPr>
          <w:rFonts w:asciiTheme="majorHAnsi" w:eastAsiaTheme="minorEastAsia" w:hAnsiTheme="majorHAnsi" w:cstheme="majorHAnsi"/>
          <w:lang w:val="en-GB"/>
        </w:rPr>
        <w:t xml:space="preserve">substantial </w:t>
      </w:r>
      <w:r w:rsidRPr="005173CD">
        <w:rPr>
          <w:rFonts w:asciiTheme="majorHAnsi" w:eastAsiaTheme="minorEastAsia" w:hAnsiTheme="majorHAnsi" w:cstheme="majorHAnsi"/>
          <w:lang w:val="en-GB"/>
        </w:rPr>
        <w:t xml:space="preserve">changes in mortality, particularly when those changes are short-term. </w:t>
      </w:r>
      <w:proofErr w:type="gramStart"/>
      <w:r w:rsidRPr="005173CD">
        <w:rPr>
          <w:rFonts w:asciiTheme="majorHAnsi" w:eastAsiaTheme="minorEastAsia" w:hAnsiTheme="majorHAnsi" w:cstheme="majorHAnsi"/>
          <w:lang w:val="en-GB"/>
        </w:rPr>
        <w:t>In particular, we</w:t>
      </w:r>
      <w:proofErr w:type="gramEnd"/>
      <w:r w:rsidRPr="005173CD">
        <w:rPr>
          <w:rFonts w:asciiTheme="majorHAnsi" w:eastAsiaTheme="minorEastAsia" w:hAnsiTheme="majorHAnsi" w:cstheme="majorHAnsi"/>
          <w:lang w:val="en-GB"/>
        </w:rPr>
        <w:t xml:space="preserve"> find that this model performed poorly when modelling intentional injuries, due to the </w:t>
      </w:r>
      <w:r w:rsidR="00206600" w:rsidRPr="005173CD">
        <w:rPr>
          <w:rFonts w:asciiTheme="majorHAnsi" w:eastAsiaTheme="minorEastAsia" w:hAnsiTheme="majorHAnsi" w:cstheme="majorHAnsi"/>
          <w:lang w:val="en-GB"/>
        </w:rPr>
        <w:t>pronounced</w:t>
      </w:r>
      <w:r w:rsidRPr="005173CD">
        <w:rPr>
          <w:rFonts w:asciiTheme="majorHAnsi" w:eastAsiaTheme="minorEastAsia" w:hAnsiTheme="majorHAnsi" w:cstheme="majorHAnsi"/>
          <w:lang w:val="en-GB"/>
        </w:rPr>
        <w:t xml:space="preserve"> increase in observed deaths </w:t>
      </w:r>
      <w:proofErr w:type="gramStart"/>
      <w:r w:rsidRPr="005173CD">
        <w:rPr>
          <w:rFonts w:asciiTheme="majorHAnsi" w:eastAsiaTheme="minorEastAsia" w:hAnsiTheme="majorHAnsi" w:cstheme="majorHAnsi"/>
          <w:lang w:val="en-GB"/>
        </w:rPr>
        <w:t>as a consequence of</w:t>
      </w:r>
      <w:proofErr w:type="gramEnd"/>
      <w:r w:rsidRPr="005173CD">
        <w:rPr>
          <w:rFonts w:asciiTheme="majorHAnsi" w:eastAsiaTheme="minorEastAsia" w:hAnsiTheme="majorHAnsi" w:cstheme="majorHAnsi"/>
          <w:lang w:val="en-GB"/>
        </w:rPr>
        <w:t xml:space="preserve"> the September 11, </w:t>
      </w:r>
      <w:proofErr w:type="gramStart"/>
      <w:r w:rsidRPr="005173CD">
        <w:rPr>
          <w:rFonts w:asciiTheme="majorHAnsi" w:eastAsiaTheme="minorEastAsia" w:hAnsiTheme="majorHAnsi" w:cstheme="majorHAnsi"/>
          <w:lang w:val="en-GB"/>
        </w:rPr>
        <w:t>2001</w:t>
      </w:r>
      <w:proofErr w:type="gramEnd"/>
      <w:r w:rsidRPr="005173CD">
        <w:rPr>
          <w:rFonts w:asciiTheme="majorHAnsi" w:eastAsiaTheme="minorEastAsia" w:hAnsiTheme="majorHAnsi" w:cstheme="majorHAnsi"/>
          <w:lang w:val="en-GB"/>
        </w:rPr>
        <w:t xml:space="preserve"> </w:t>
      </w:r>
      <w:r w:rsidRPr="005173CD">
        <w:rPr>
          <w:rFonts w:asciiTheme="majorHAnsi" w:eastAsiaTheme="minorEastAsia" w:hAnsiTheme="majorHAnsi" w:cstheme="majorHAnsi"/>
          <w:lang w:val="en-GB"/>
        </w:rPr>
        <w:lastRenderedPageBreak/>
        <w:t xml:space="preserve">terrorist attacks, and when modelling unintentional injuries, due to the large increase in observed deaths as consequence of Hurricane Katrina in 2005. </w:t>
      </w:r>
    </w:p>
    <w:p w14:paraId="53FFA99D" w14:textId="77777777" w:rsidR="00D60D61" w:rsidRPr="005173CD" w:rsidRDefault="00D60D61" w:rsidP="00D60D61">
      <w:pPr>
        <w:spacing w:after="0" w:line="360" w:lineRule="auto"/>
        <w:rPr>
          <w:rFonts w:asciiTheme="majorHAnsi" w:eastAsiaTheme="minorEastAsia" w:hAnsiTheme="majorHAnsi" w:cstheme="majorHAnsi"/>
          <w:lang w:val="en-GB"/>
        </w:rPr>
      </w:pPr>
    </w:p>
    <w:p w14:paraId="121AE067" w14:textId="531FDD25" w:rsidR="00D60D61" w:rsidRPr="005173CD" w:rsidRDefault="00D60D61" w:rsidP="00D60D61">
      <w:pPr>
        <w:spacing w:after="0" w:line="360" w:lineRule="auto"/>
        <w:rPr>
          <w:rFonts w:asciiTheme="majorHAnsi" w:hAnsiTheme="majorHAnsi" w:cstheme="majorHAnsi"/>
          <w:lang w:val="en-GB"/>
        </w:rPr>
      </w:pPr>
      <w:r w:rsidRPr="005173CD">
        <w:rPr>
          <w:rFonts w:asciiTheme="majorHAnsi" w:eastAsiaTheme="minorEastAsia" w:hAnsiTheme="majorHAnsi" w:cstheme="majorHAnsi"/>
          <w:lang w:val="en-GB"/>
        </w:rPr>
        <w:t xml:space="preserve">In order to better reflect the impact of these events in our mortality estimates for intentional injuries and unintentional injuries, we added </w:t>
      </w:r>
      <w:r w:rsidR="003D76C6" w:rsidRPr="005173CD">
        <w:rPr>
          <w:rFonts w:asciiTheme="majorHAnsi" w:eastAsiaTheme="minorEastAsia" w:hAnsiTheme="majorHAnsi" w:cstheme="majorHAnsi"/>
          <w:lang w:val="en-GB"/>
        </w:rPr>
        <w:t>two</w:t>
      </w:r>
      <w:r w:rsidRPr="005173CD">
        <w:rPr>
          <w:rFonts w:asciiTheme="majorHAnsi" w:eastAsiaTheme="minorEastAsia" w:hAnsiTheme="majorHAnsi" w:cstheme="majorHAnsi"/>
          <w:lang w:val="en-GB"/>
        </w:rPr>
        <w:t xml:space="preserve"> additional random </w:t>
      </w:r>
      <w:r w:rsidR="003D76C6" w:rsidRPr="005173CD">
        <w:rPr>
          <w:rFonts w:asciiTheme="majorHAnsi" w:eastAsiaTheme="minorEastAsia" w:hAnsiTheme="majorHAnsi" w:cstheme="majorHAnsi"/>
          <w:lang w:val="en-GB"/>
        </w:rPr>
        <w:t>slopes (one by county, and one by age)</w:t>
      </w:r>
      <w:r w:rsidRPr="005173CD">
        <w:rPr>
          <w:rFonts w:asciiTheme="majorHAnsi" w:eastAsiaTheme="minorEastAsia" w:hAnsiTheme="majorHAnsi" w:cstheme="majorHAnsi"/>
          <w:lang w:val="en-GB"/>
        </w:rPr>
        <w:t xml:space="preserve"> to the models for these two causes</w:t>
      </w:r>
      <w:r w:rsidR="00AB5623" w:rsidRPr="005173CD">
        <w:rPr>
          <w:rFonts w:asciiTheme="majorHAnsi" w:eastAsiaTheme="minorEastAsia" w:hAnsiTheme="majorHAnsi" w:cstheme="majorHAnsi"/>
          <w:lang w:val="en-GB"/>
        </w:rPr>
        <w:t>, both of which are</w:t>
      </w:r>
      <w:r w:rsidRPr="005173CD">
        <w:rPr>
          <w:rFonts w:asciiTheme="majorHAnsi" w:eastAsiaTheme="minorEastAsia" w:hAnsiTheme="majorHAnsi" w:cstheme="majorHAnsi"/>
          <w:lang w:val="en-GB"/>
        </w:rPr>
        <w:t xml:space="preserve"> multiplied by an indicator variable </w:t>
      </w:r>
      <m:oMath>
        <m:r>
          <w:rPr>
            <w:rFonts w:ascii="Cambria Math" w:hAnsi="Cambria Math" w:cstheme="majorHAnsi"/>
            <w:lang w:val="en-GB"/>
          </w:rPr>
          <m:t>I</m:t>
        </m:r>
      </m:oMath>
      <w:r w:rsidRPr="005173CD">
        <w:rPr>
          <w:rFonts w:asciiTheme="majorHAnsi" w:hAnsiTheme="majorHAnsi" w:cstheme="majorHAnsi"/>
          <w:lang w:val="en-GB"/>
        </w:rPr>
        <w:t xml:space="preserve"> that is 1 for </w:t>
      </w:r>
      <w:r w:rsidR="00CA24A4" w:rsidRPr="005173CD">
        <w:rPr>
          <w:rFonts w:asciiTheme="majorHAnsi" w:hAnsiTheme="majorHAnsi" w:cstheme="majorHAnsi"/>
          <w:lang w:val="en-GB"/>
        </w:rPr>
        <w:t>counties</w:t>
      </w:r>
      <w:r w:rsidRPr="005173CD">
        <w:rPr>
          <w:rFonts w:asciiTheme="majorHAnsi" w:hAnsiTheme="majorHAnsi" w:cstheme="majorHAnsi"/>
          <w:lang w:val="en-GB"/>
        </w:rPr>
        <w:t xml:space="preserve"> where there was at least one observed death due to the event in question, and 0 otherwise. For self-harm and interpersonal violence, ICD code U01.1 was used to identify deaths in 2001 that were due to 9/11. For unintentional injuries, ICD code X37.0 is used to identify deaths in 2005 that were likely due to Hurricane Katrina. With th</w:t>
      </w:r>
      <w:r w:rsidR="009D7F04" w:rsidRPr="005173CD">
        <w:rPr>
          <w:rFonts w:asciiTheme="majorHAnsi" w:hAnsiTheme="majorHAnsi" w:cstheme="majorHAnsi"/>
          <w:lang w:val="en-GB"/>
        </w:rPr>
        <w:t>ese</w:t>
      </w:r>
      <w:r w:rsidRPr="005173CD">
        <w:rPr>
          <w:rFonts w:asciiTheme="majorHAnsi" w:hAnsiTheme="majorHAnsi" w:cstheme="majorHAnsi"/>
          <w:lang w:val="en-GB"/>
        </w:rPr>
        <w:t xml:space="preserve"> additional random </w:t>
      </w:r>
      <w:r w:rsidR="009D7F04" w:rsidRPr="005173CD">
        <w:rPr>
          <w:rFonts w:asciiTheme="majorHAnsi" w:hAnsiTheme="majorHAnsi" w:cstheme="majorHAnsi"/>
          <w:lang w:val="en-GB"/>
        </w:rPr>
        <w:t>slopes</w:t>
      </w:r>
      <w:r w:rsidRPr="005173CD">
        <w:rPr>
          <w:rFonts w:asciiTheme="majorHAnsi" w:hAnsiTheme="majorHAnsi" w:cstheme="majorHAnsi"/>
          <w:lang w:val="en-GB"/>
        </w:rPr>
        <w:t xml:space="preserve">, the model is specified as follows: </w:t>
      </w:r>
    </w:p>
    <w:p w14:paraId="2C1F8644" w14:textId="77777777" w:rsidR="00D60D61" w:rsidRPr="005173CD" w:rsidRDefault="00D60D61" w:rsidP="00D60D61">
      <w:pPr>
        <w:spacing w:after="0" w:line="360" w:lineRule="auto"/>
        <w:rPr>
          <w:rFonts w:asciiTheme="majorHAnsi" w:hAnsiTheme="majorHAnsi" w:cstheme="majorHAnsi"/>
          <w:lang w:val="en-GB"/>
        </w:rPr>
      </w:pPr>
    </w:p>
    <w:p w14:paraId="506EB70B" w14:textId="52C60E4E" w:rsidR="00D60D61" w:rsidRPr="005173CD" w:rsidRDefault="007A62BF" w:rsidP="00D60D61">
      <w:pPr>
        <w:spacing w:after="0" w:line="360" w:lineRule="auto"/>
        <w:contextualSpacing/>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5,j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6,a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m:t>
              </m:r>
            </m:sub>
          </m:sSub>
        </m:oMath>
      </m:oMathPara>
    </w:p>
    <w:p w14:paraId="427100C1"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0436CB34" w14:textId="77777777" w:rsidR="00D60D61" w:rsidRPr="005173CD" w:rsidRDefault="007A62BF" w:rsidP="00D60D61">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5</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Sub>
          <m:r>
            <w:rPr>
              <w:rFonts w:ascii="Cambria Math" w:eastAsiaTheme="minorEastAsia" w:hAnsi="Cambria Math" w:cstheme="majorHAnsi"/>
              <w:lang w:val="en-GB"/>
            </w:rPr>
            <m:t>)</m:t>
          </m:r>
        </m:oMath>
      </m:oMathPara>
    </w:p>
    <w:p w14:paraId="451E2A42"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071A444" w14:textId="77777777" w:rsidR="00760C2E" w:rsidRPr="005173CD" w:rsidRDefault="007A62BF" w:rsidP="00760C2E">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6</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Sub>
          <m:r>
            <w:rPr>
              <w:rFonts w:ascii="Cambria Math" w:eastAsiaTheme="minorEastAsia" w:hAnsi="Cambria Math" w:cstheme="majorHAnsi"/>
              <w:lang w:val="en-GB"/>
            </w:rPr>
            <m:t>)</m:t>
          </m:r>
        </m:oMath>
      </m:oMathPara>
    </w:p>
    <w:p w14:paraId="62B7A4FC" w14:textId="77777777" w:rsidR="00760C2E" w:rsidRPr="005173CD" w:rsidRDefault="007A62BF" w:rsidP="00760C2E">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314811CD" w14:textId="27A73E11" w:rsidR="00D60D61" w:rsidRPr="005173CD" w:rsidRDefault="00D60D61" w:rsidP="00D60D61">
      <w:pPr>
        <w:spacing w:after="0" w:line="360" w:lineRule="auto"/>
        <w:contextualSpacing/>
        <w:rPr>
          <w:rFonts w:asciiTheme="majorHAnsi" w:eastAsiaTheme="minorEastAsia" w:hAnsiTheme="majorHAnsi" w:cstheme="majorHAnsi"/>
          <w:lang w:val="en-GB"/>
        </w:rPr>
      </w:pPr>
    </w:p>
    <w:p w14:paraId="6AAA195F" w14:textId="77777777" w:rsidR="00981C46" w:rsidRPr="005173CD" w:rsidRDefault="00981C46" w:rsidP="00981C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Additionally, </w:t>
      </w:r>
      <w:proofErr w:type="gramStart"/>
      <w:r w:rsidRPr="005173CD">
        <w:rPr>
          <w:rFonts w:asciiTheme="majorHAnsi" w:eastAsiaTheme="minorEastAsia" w:hAnsiTheme="majorHAnsi" w:cstheme="majorHAnsi"/>
          <w:lang w:val="en-GB"/>
        </w:rPr>
        <w:t>in order to</w:t>
      </w:r>
      <w:proofErr w:type="gramEnd"/>
      <w:r w:rsidRPr="005173CD">
        <w:rPr>
          <w:rFonts w:asciiTheme="majorHAnsi" w:eastAsiaTheme="minorEastAsia" w:hAnsiTheme="majorHAnsi" w:cstheme="majorHAnsi"/>
          <w:lang w:val="en-GB"/>
        </w:rPr>
        <w:t xml:space="preserve"> better reflect these sharp increases in mortality throughout the cause hierarchy, we added random slopes for </w:t>
      </w:r>
      <w:proofErr w:type="gramStart"/>
      <w:r w:rsidRPr="005173CD">
        <w:rPr>
          <w:rFonts w:asciiTheme="majorHAnsi" w:eastAsiaTheme="minorEastAsia" w:hAnsiTheme="majorHAnsi" w:cstheme="majorHAnsi"/>
          <w:lang w:val="en-GB"/>
        </w:rPr>
        <w:t>both of these</w:t>
      </w:r>
      <w:proofErr w:type="gramEnd"/>
      <w:r w:rsidRPr="005173CD">
        <w:rPr>
          <w:rFonts w:asciiTheme="majorHAnsi" w:eastAsiaTheme="minorEastAsia" w:hAnsiTheme="majorHAnsi" w:cstheme="majorHAnsi"/>
          <w:lang w:val="en-GB"/>
        </w:rPr>
        <w:t xml:space="preserve"> events to the all-cause model, which was thus specified as follows:</w:t>
      </w:r>
    </w:p>
    <w:p w14:paraId="1A9C36F8" w14:textId="77777777" w:rsidR="00981C46" w:rsidRPr="005173CD" w:rsidRDefault="00981C46" w:rsidP="00981C46">
      <w:pPr>
        <w:spacing w:after="0" w:line="360" w:lineRule="auto"/>
        <w:contextualSpacing/>
        <w:rPr>
          <w:rFonts w:asciiTheme="majorHAnsi" w:eastAsiaTheme="minorEastAsia" w:hAnsiTheme="majorHAnsi" w:cstheme="majorHAnsi"/>
          <w:lang w:val="en-GB"/>
        </w:rPr>
      </w:pPr>
    </w:p>
    <w:p w14:paraId="75F57952" w14:textId="77777777" w:rsidR="00981C46" w:rsidRPr="005173CD" w:rsidRDefault="007A62BF" w:rsidP="00981C46">
      <w:pPr>
        <w:spacing w:after="0" w:line="360" w:lineRule="auto"/>
        <w:contextualSpacing/>
        <w:jc w:val="center"/>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5,j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j,t(2001)</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6,j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j,t(2005)</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7,a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j,t(2001)</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8,a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j,t(2005)</m:t>
              </m:r>
            </m:sub>
          </m:sSub>
        </m:oMath>
      </m:oMathPara>
    </w:p>
    <w:p w14:paraId="653C2597" w14:textId="77777777" w:rsidR="00981C46" w:rsidRPr="005173CD" w:rsidRDefault="00981C46" w:rsidP="00981C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4F7AF3C9" w14:textId="77777777" w:rsidR="00981C46" w:rsidRPr="005173CD" w:rsidRDefault="007A62BF" w:rsidP="00981C46">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5</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Sub>
          <m:r>
            <w:rPr>
              <w:rFonts w:ascii="Cambria Math" w:eastAsiaTheme="minorEastAsia" w:hAnsi="Cambria Math" w:cstheme="majorHAnsi"/>
              <w:lang w:val="en-GB"/>
            </w:rPr>
            <m:t>)</m:t>
          </m:r>
        </m:oMath>
      </m:oMathPara>
    </w:p>
    <w:p w14:paraId="3AE74F5F" w14:textId="77777777" w:rsidR="00981C46" w:rsidRPr="005173CD" w:rsidRDefault="007A62BF" w:rsidP="00981C46">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56DCB1D2" w14:textId="77777777" w:rsidR="00981C46" w:rsidRPr="005173CD" w:rsidRDefault="007A62BF" w:rsidP="00981C46">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6</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Sub>
          <m:r>
            <w:rPr>
              <w:rFonts w:ascii="Cambria Math" w:eastAsiaTheme="minorEastAsia" w:hAnsi="Cambria Math" w:cstheme="majorHAnsi"/>
              <w:lang w:val="en-GB"/>
            </w:rPr>
            <m:t>)</m:t>
          </m:r>
        </m:oMath>
      </m:oMathPara>
    </w:p>
    <w:p w14:paraId="6B9EBBF9" w14:textId="77777777" w:rsidR="00981C46" w:rsidRPr="005173CD" w:rsidRDefault="007A62BF" w:rsidP="00981C46">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39E34DF" w14:textId="77777777" w:rsidR="00981C46" w:rsidRPr="005173CD" w:rsidRDefault="007A62BF" w:rsidP="00981C46">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7</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7</m:t>
              </m:r>
            </m:sub>
          </m:sSub>
          <m:r>
            <w:rPr>
              <w:rFonts w:ascii="Cambria Math" w:eastAsiaTheme="minorEastAsia" w:hAnsi="Cambria Math" w:cstheme="majorHAnsi"/>
              <w:lang w:val="en-GB"/>
            </w:rPr>
            <m:t>)</m:t>
          </m:r>
        </m:oMath>
      </m:oMathPara>
    </w:p>
    <w:p w14:paraId="275F1AC4" w14:textId="77777777" w:rsidR="00981C46" w:rsidRPr="005173CD" w:rsidRDefault="007A62BF" w:rsidP="00981C46">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7</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06929D2F" w14:textId="77777777" w:rsidR="00981C46" w:rsidRPr="005173CD" w:rsidRDefault="007A62BF" w:rsidP="00981C46">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8</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8</m:t>
              </m:r>
            </m:sub>
          </m:sSub>
          <m:r>
            <w:rPr>
              <w:rFonts w:ascii="Cambria Math" w:eastAsiaTheme="minorEastAsia" w:hAnsi="Cambria Math" w:cstheme="majorHAnsi"/>
              <w:lang w:val="en-GB"/>
            </w:rPr>
            <m:t>)</m:t>
          </m:r>
        </m:oMath>
      </m:oMathPara>
    </w:p>
    <w:p w14:paraId="41A4CE98" w14:textId="77777777" w:rsidR="00981C46" w:rsidRPr="005173CD" w:rsidRDefault="007A62BF" w:rsidP="00981C46">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8</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7A382A05" w14:textId="77777777" w:rsidR="00981C46" w:rsidRPr="005173CD" w:rsidRDefault="00981C46" w:rsidP="00D60D61">
      <w:pPr>
        <w:spacing w:after="0" w:line="360" w:lineRule="auto"/>
        <w:contextualSpacing/>
        <w:rPr>
          <w:rFonts w:asciiTheme="majorHAnsi" w:eastAsiaTheme="minorEastAsia" w:hAnsiTheme="majorHAnsi" w:cstheme="majorHAnsi"/>
          <w:lang w:val="en-GB"/>
        </w:rPr>
      </w:pPr>
    </w:p>
    <w:p w14:paraId="34DFA78F" w14:textId="77777777" w:rsidR="00D60D61" w:rsidRPr="005173CD" w:rsidRDefault="00D60D61" w:rsidP="00D60D61">
      <w:pPr>
        <w:pStyle w:val="Heading3"/>
        <w:rPr>
          <w:rFonts w:cstheme="majorHAnsi"/>
          <w:lang w:val="en-GB"/>
        </w:rPr>
      </w:pPr>
      <w:bookmarkStart w:id="14" w:name="_Toc112329075"/>
      <w:bookmarkStart w:id="15" w:name="_Toc175308177"/>
      <w:r w:rsidRPr="005173CD">
        <w:rPr>
          <w:rFonts w:cstheme="majorHAnsi"/>
          <w:lang w:val="en-GB"/>
        </w:rPr>
        <w:t>County-level model</w:t>
      </w:r>
      <w:bookmarkEnd w:id="14"/>
      <w:bookmarkEnd w:id="15"/>
    </w:p>
    <w:p w14:paraId="032BFABC" w14:textId="0B6F0150"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Similar models were estimated for each cause for all racial</w:t>
      </w:r>
      <w:r w:rsidR="007F07E2"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7F07E2" w:rsidRPr="005173CD">
        <w:rPr>
          <w:rFonts w:asciiTheme="majorHAnsi" w:eastAsiaTheme="minorEastAsia" w:hAnsiTheme="majorHAnsi" w:cstheme="majorHAnsi"/>
          <w:lang w:val="en-GB"/>
        </w:rPr>
        <w:t>populations</w:t>
      </w:r>
      <w:r w:rsidRPr="005173CD">
        <w:rPr>
          <w:rFonts w:asciiTheme="majorHAnsi" w:eastAsiaTheme="minorEastAsia" w:hAnsiTheme="majorHAnsi" w:cstheme="majorHAnsi"/>
          <w:lang w:val="en-GB"/>
        </w:rPr>
        <w:t xml:space="preserve"> combined. These models were specified as follows, with all terms defined as described above: </w:t>
      </w:r>
    </w:p>
    <w:p w14:paraId="493EB359" w14:textId="77777777" w:rsidR="00D60D61" w:rsidRPr="005173CD" w:rsidRDefault="00D60D61" w:rsidP="00D60D61">
      <w:pPr>
        <w:spacing w:after="0" w:line="360" w:lineRule="auto"/>
        <w:ind w:firstLine="720"/>
        <w:contextualSpacing/>
        <w:rPr>
          <w:rFonts w:asciiTheme="majorHAnsi" w:eastAsiaTheme="minorEastAsia" w:hAnsiTheme="majorHAnsi" w:cstheme="majorHAnsi"/>
          <w:lang w:val="en-GB"/>
        </w:rPr>
      </w:pPr>
    </w:p>
    <w:p w14:paraId="057327E4" w14:textId="77777777" w:rsidR="00D60D61" w:rsidRPr="005173CD" w:rsidRDefault="007A62BF" w:rsidP="00D60D61">
      <w:pPr>
        <w:spacing w:after="0" w:line="360" w:lineRule="auto"/>
        <w:contextualSpacing/>
        <w:jc w:val="center"/>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m:t>
                      </m:r>
                    </m:sub>
                  </m:sSub>
                </m:e>
              </m:d>
            </m:e>
          </m:func>
          <m:r>
            <m:rPr>
              <m:aln/>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hAnsi="Cambria Math" w:cstheme="majorHAnsi"/>
              <w:lang w:val="en-GB"/>
            </w:rPr>
            <m:t xml:space="preserve"> </m:t>
          </m:r>
        </m:oMath>
      </m:oMathPara>
    </w:p>
    <w:p w14:paraId="2DCE160B"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p>
    <w:p w14:paraId="56307105" w14:textId="77777777" w:rsidR="00D60D61" w:rsidRPr="005173CD" w:rsidRDefault="00D60D61" w:rsidP="00D60D61">
      <w:pPr>
        <w:spacing w:after="0" w:line="360" w:lineRule="auto"/>
        <w:ind w:left="360"/>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Priors: </w:t>
      </w:r>
    </w:p>
    <w:p w14:paraId="1B6CC288"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2</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LCAR</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2</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2</m:t>
            </m:r>
          </m:sub>
        </m:sSub>
        <m:r>
          <w:rPr>
            <w:rFonts w:ascii="Cambria Math" w:eastAsiaTheme="minorEastAsia" w:hAnsi="Cambria Math" w:cstheme="majorHAnsi"/>
            <w:lang w:val="en-GB"/>
          </w:rPr>
          <m:t>)</m:t>
        </m:r>
      </m:oMath>
      <w:r w:rsidR="00D60D61" w:rsidRPr="005173CD">
        <w:rPr>
          <w:rFonts w:asciiTheme="majorHAnsi" w:eastAsiaTheme="minorEastAsia" w:hAnsiTheme="majorHAnsi" w:cstheme="majorHAnsi"/>
          <w:lang w:val="en-GB"/>
        </w:rPr>
        <w:t xml:space="preserve"> </w:t>
      </w:r>
    </w:p>
    <w:p w14:paraId="366F9C98"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3</m:t>
              </m:r>
            </m:sub>
          </m:sSub>
          <m:r>
            <w:rPr>
              <w:rFonts w:ascii="Cambria Math" w:eastAsiaTheme="minorEastAsia" w:hAnsi="Cambria Math" w:cstheme="majorHAnsi"/>
              <w:lang w:val="en-GB"/>
            </w:rPr>
            <m:t xml:space="preserve"> ~ </m:t>
          </m:r>
          <m:r>
            <m:rPr>
              <m:sty m:val="p"/>
            </m:rPr>
            <w:rPr>
              <w:rFonts w:ascii="Cambria Math" w:eastAsiaTheme="minorEastAsia" w:hAnsi="Cambria Math" w:cstheme="majorHAnsi"/>
              <w:lang w:val="en-GB"/>
            </w:rPr>
            <m:t>LCAR:LCAR</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3,t</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3,a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3</m:t>
              </m:r>
            </m:sub>
          </m:sSub>
          <m:r>
            <w:rPr>
              <w:rFonts w:ascii="Cambria Math" w:eastAsiaTheme="minorEastAsia" w:hAnsi="Cambria Math" w:cstheme="majorHAnsi"/>
              <w:lang w:val="en-GB"/>
            </w:rPr>
            <m:t xml:space="preserve">) </m:t>
          </m:r>
        </m:oMath>
      </m:oMathPara>
    </w:p>
    <w:p w14:paraId="72D74E1B"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4</m:t>
            </m:r>
          </m:sub>
        </m:sSub>
        <m:r>
          <w:rPr>
            <w:rFonts w:ascii="Cambria Math" w:hAnsi="Cambria Math" w:cstheme="majorHAnsi"/>
            <w:lang w:val="en-GB"/>
          </w:rPr>
          <m:t xml:space="preserve"> ~ </m:t>
        </m:r>
        <m:r>
          <m:rPr>
            <m:sty m:val="p"/>
          </m:rPr>
          <w:rPr>
            <w:rFonts w:ascii="Cambria Math" w:hAnsi="Cambria Math" w:cstheme="majorHAnsi"/>
            <w:lang w:val="en-GB"/>
          </w:rPr>
          <m:t>LCAR:LCAR:LCAR</m:t>
        </m:r>
        <m:r>
          <w:rPr>
            <w:rFonts w:ascii="Cambria Math"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D60D61"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D60D61" w:rsidRPr="005173CD">
        <w:rPr>
          <w:rFonts w:asciiTheme="majorHAnsi" w:eastAsiaTheme="minorEastAsia" w:hAnsiTheme="majorHAnsi" w:cstheme="majorHAnsi"/>
          <w:lang w:val="en-GB"/>
        </w:rPr>
        <w:t>,</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r>
          <w:rPr>
            <w:rFonts w:ascii="Cambria Math" w:hAnsi="Cambria Math" w:cstheme="majorHAnsi"/>
            <w:lang w:val="en-GB"/>
          </w:rPr>
          <m:t xml:space="preserve">, </m:t>
        </m:r>
        <m:sSub>
          <m:sSubPr>
            <m:ctrlPr>
              <w:rPr>
                <w:rFonts w:ascii="Cambria Math" w:hAnsi="Cambria Math" w:cstheme="majorHAnsi"/>
                <w:i/>
                <w:lang w:val="en-GB"/>
              </w:rPr>
            </m:ctrlPr>
          </m:sSubPr>
          <m:e>
            <m:r>
              <w:rPr>
                <w:rFonts w:ascii="Cambria Math" w:hAnsi="Cambria Math" w:cstheme="majorHAnsi"/>
                <w:lang w:val="en-GB"/>
              </w:rPr>
              <m:t>σ</m:t>
            </m:r>
          </m:e>
          <m:sub>
            <m:r>
              <w:rPr>
                <w:rFonts w:ascii="Cambria Math" w:hAnsi="Cambria Math" w:cstheme="majorHAnsi"/>
                <w:lang w:val="en-GB"/>
              </w:rPr>
              <m:t>4</m:t>
            </m:r>
          </m:sub>
        </m:sSub>
        <m:r>
          <w:rPr>
            <w:rFonts w:ascii="Cambria Math" w:hAnsi="Cambria Math" w:cstheme="majorHAnsi"/>
            <w:lang w:val="en-GB"/>
          </w:rPr>
          <m:t>)</m:t>
        </m:r>
      </m:oMath>
    </w:p>
    <w:p w14:paraId="48DC484F" w14:textId="77777777" w:rsidR="00D60D61" w:rsidRPr="005173CD" w:rsidRDefault="00D60D61" w:rsidP="00D60D61">
      <w:pPr>
        <w:spacing w:after="0" w:line="360" w:lineRule="auto"/>
        <w:rPr>
          <w:rFonts w:asciiTheme="majorHAnsi" w:eastAsiaTheme="minorEastAsia" w:hAnsiTheme="majorHAnsi" w:cstheme="majorHAnsi"/>
          <w:lang w:val="en-GB"/>
        </w:rPr>
      </w:pPr>
    </w:p>
    <w:p w14:paraId="45CEEB1F" w14:textId="3C921B7A" w:rsidR="00D60D61" w:rsidRPr="005173CD" w:rsidRDefault="00D60D61" w:rsidP="00D60D61">
      <w:pPr>
        <w:spacing w:after="0" w:line="360" w:lineRule="auto"/>
        <w:ind w:left="360"/>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Hyperpriors: </w:t>
      </w:r>
    </w:p>
    <w:p w14:paraId="2E1ED7BC"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Para>
        <m:oMathParaPr>
          <m:jc m:val="left"/>
        </m:oMathParaPr>
        <m:oMath>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σ</m:t>
              </m:r>
            </m:e>
            <m:sup>
              <m:r>
                <w:rPr>
                  <w:rFonts w:ascii="Cambria Math" w:eastAsiaTheme="minorEastAsia" w:hAnsi="Cambria Math" w:cstheme="majorHAnsi"/>
                  <w:lang w:val="en-GB"/>
                </w:rPr>
                <m:t>-2</m:t>
              </m:r>
            </m:sup>
          </m:s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7047081B" w14:textId="2B6C3143" w:rsidR="00D60D61" w:rsidRPr="005173CD" w:rsidRDefault="00D60D61" w:rsidP="00D60D61">
      <w:pPr>
        <w:spacing w:after="0" w:line="360" w:lineRule="auto"/>
        <w:ind w:left="720"/>
        <w:rPr>
          <w:rFonts w:asciiTheme="majorHAnsi" w:eastAsiaTheme="minorEastAsia" w:hAnsiTheme="majorHAnsi" w:cstheme="majorHAnsi"/>
          <w:lang w:val="en-GB"/>
        </w:rPr>
      </w:pPr>
      <m:oMathPara>
        <m:oMathParaPr>
          <m:jc m:val="left"/>
        </m:oMathParaPr>
        <m:oMath>
          <m:r>
            <m:rPr>
              <m:sty m:val="p"/>
            </m:rPr>
            <w:rPr>
              <w:rFonts w:ascii="Cambria Math" w:eastAsiaTheme="minorEastAsia" w:hAnsi="Cambria Math" w:cstheme="majorHAnsi"/>
              <w:lang w:val="en-GB"/>
            </w:rPr>
            <m:t>logit</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ρ</m:t>
              </m:r>
            </m:e>
          </m:d>
          <m:r>
            <w:rPr>
              <w:rFonts w:ascii="Cambria Math" w:eastAsiaTheme="minorEastAsia" w:hAnsi="Cambria Math" w:cstheme="majorHAnsi"/>
              <w:lang w:val="en-GB"/>
            </w:rPr>
            <m:t>∼</m:t>
          </m:r>
          <m:r>
            <m:rPr>
              <m:sty m:val="p"/>
            </m:rPr>
            <w:rPr>
              <w:rFonts w:ascii="Cambria Math" w:eastAsiaTheme="minorEastAsia" w:hAnsi="Cambria Math" w:cstheme="majorHAnsi"/>
              <w:lang w:val="en-GB"/>
            </w:rPr>
            <m:t>Normal</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 xml:space="preserve">0, </m:t>
              </m:r>
              <m:sSup>
                <m:sSupPr>
                  <m:ctrlPr>
                    <w:rPr>
                      <w:rFonts w:ascii="Cambria Math" w:eastAsiaTheme="minorEastAsia" w:hAnsi="Cambria Math" w:cstheme="majorHAnsi"/>
                      <w:i/>
                      <w:lang w:val="en-GB"/>
                    </w:rPr>
                  </m:ctrlPr>
                </m:sSupPr>
                <m:e>
                  <m:r>
                    <w:rPr>
                      <w:rFonts w:ascii="Cambria Math" w:eastAsiaTheme="minorEastAsia" w:hAnsi="Cambria Math" w:cstheme="majorHAnsi"/>
                      <w:lang w:val="en-GB"/>
                    </w:rPr>
                    <m:t>1.5</m:t>
                  </m:r>
                </m:e>
                <m:sup>
                  <m:r>
                    <w:rPr>
                      <w:rFonts w:ascii="Cambria Math" w:eastAsiaTheme="minorEastAsia" w:hAnsi="Cambria Math" w:cstheme="majorHAnsi"/>
                      <w:lang w:val="en-GB"/>
                    </w:rPr>
                    <m:t>2</m:t>
                  </m:r>
                </m:sup>
              </m:sSup>
            </m:e>
          </m:d>
        </m:oMath>
      </m:oMathPara>
    </w:p>
    <w:p w14:paraId="700EF894"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p>
    <w:p w14:paraId="096340E0" w14:textId="77777777" w:rsidR="00D60D61" w:rsidRPr="005173CD" w:rsidRDefault="00D60D61" w:rsidP="00D60D61">
      <w:pPr>
        <w:pStyle w:val="Heading4"/>
        <w:rPr>
          <w:rFonts w:eastAsiaTheme="minorEastAsia" w:cstheme="majorHAnsi"/>
          <w:lang w:val="en-GB"/>
        </w:rPr>
      </w:pPr>
      <w:r w:rsidRPr="005173CD">
        <w:rPr>
          <w:rFonts w:cstheme="majorHAnsi"/>
          <w:lang w:val="en-GB"/>
        </w:rPr>
        <w:t>Cause-specific model exceptions</w:t>
      </w:r>
    </w:p>
    <w:p w14:paraId="3FBC95A3" w14:textId="6493F0A4" w:rsidR="00D60D61" w:rsidRPr="005173CD" w:rsidRDefault="00D60D61" w:rsidP="00D60D61">
      <w:pPr>
        <w:spacing w:after="0" w:line="360" w:lineRule="auto"/>
        <w:rPr>
          <w:rFonts w:asciiTheme="majorHAnsi" w:hAnsiTheme="majorHAnsi" w:cstheme="majorHAnsi"/>
          <w:lang w:val="en-GB"/>
        </w:rPr>
      </w:pPr>
      <w:proofErr w:type="gramStart"/>
      <w:r w:rsidRPr="005173CD">
        <w:rPr>
          <w:rFonts w:asciiTheme="majorHAnsi" w:eastAsiaTheme="minorEastAsia" w:hAnsiTheme="majorHAnsi" w:cstheme="majorHAnsi"/>
          <w:lang w:val="en-GB"/>
        </w:rPr>
        <w:t>Similar to</w:t>
      </w:r>
      <w:proofErr w:type="gramEnd"/>
      <w:r w:rsidRPr="005173CD">
        <w:rPr>
          <w:rFonts w:asciiTheme="majorHAnsi" w:eastAsiaTheme="minorEastAsia" w:hAnsiTheme="majorHAnsi" w:cstheme="majorHAnsi"/>
          <w:lang w:val="en-GB"/>
        </w:rPr>
        <w:t xml:space="preserve"> the</w:t>
      </w:r>
      <w:r w:rsidR="00171049" w:rsidRPr="005173CD">
        <w:rPr>
          <w:rFonts w:asciiTheme="majorHAnsi" w:eastAsiaTheme="minorEastAsia" w:hAnsiTheme="majorHAnsi" w:cstheme="majorHAnsi"/>
          <w:lang w:val="en-GB"/>
        </w:rPr>
        <w:t xml:space="preserve"> model specific to</w:t>
      </w:r>
      <w:r w:rsidRPr="005173CD">
        <w:rPr>
          <w:rFonts w:asciiTheme="majorHAnsi" w:eastAsiaTheme="minorEastAsia" w:hAnsiTheme="majorHAnsi" w:cstheme="majorHAnsi"/>
          <w:lang w:val="en-GB"/>
        </w:rPr>
        <w:t xml:space="preserve"> county</w:t>
      </w:r>
      <w:r w:rsidR="00171049"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171049"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171049"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an additional random </w:t>
      </w:r>
      <w:r w:rsidR="00171049" w:rsidRPr="005173CD">
        <w:rPr>
          <w:rFonts w:asciiTheme="majorHAnsi" w:eastAsiaTheme="minorEastAsia" w:hAnsiTheme="majorHAnsi" w:cstheme="majorHAnsi"/>
          <w:lang w:val="en-GB"/>
        </w:rPr>
        <w:t>slope</w:t>
      </w:r>
      <w:r w:rsidRPr="005173CD">
        <w:rPr>
          <w:rFonts w:asciiTheme="majorHAnsi" w:eastAsiaTheme="minorEastAsia" w:hAnsiTheme="majorHAnsi" w:cstheme="majorHAnsi"/>
          <w:lang w:val="en-GB"/>
        </w:rPr>
        <w:t xml:space="preserve"> </w:t>
      </w:r>
      <w:r w:rsidR="00171049" w:rsidRPr="005173CD">
        <w:rPr>
          <w:rFonts w:asciiTheme="majorHAnsi" w:eastAsiaTheme="minorEastAsia" w:hAnsiTheme="majorHAnsi" w:cstheme="majorHAnsi"/>
          <w:lang w:val="en-GB"/>
        </w:rPr>
        <w:t>wa</w:t>
      </w:r>
      <w:r w:rsidRPr="005173CD">
        <w:rPr>
          <w:rFonts w:asciiTheme="majorHAnsi" w:eastAsiaTheme="minorEastAsia" w:hAnsiTheme="majorHAnsi" w:cstheme="majorHAnsi"/>
          <w:lang w:val="en-GB"/>
        </w:rPr>
        <w:t xml:space="preserve">s included for the models of unintentional injuries and </w:t>
      </w:r>
      <w:r w:rsidRPr="005173CD">
        <w:rPr>
          <w:rFonts w:asciiTheme="majorHAnsi" w:hAnsiTheme="majorHAnsi" w:cstheme="majorHAnsi"/>
          <w:lang w:val="en-GB"/>
        </w:rPr>
        <w:t>self-harm and interpersonal violence. The indicators were created in the same way. Thus, the model is as follows:</w:t>
      </w:r>
    </w:p>
    <w:p w14:paraId="40C553E6" w14:textId="1FF91A4B" w:rsidR="00D60D61" w:rsidRPr="005173CD" w:rsidRDefault="007A62BF" w:rsidP="00D60D61">
      <w:pPr>
        <w:spacing w:after="0" w:line="360" w:lineRule="auto"/>
        <w:contextualSpacing/>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5,j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6,a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m:t>
              </m:r>
            </m:sub>
          </m:sSub>
        </m:oMath>
      </m:oMathPara>
    </w:p>
    <w:p w14:paraId="6D30758B" w14:textId="77777777"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771A5146" w14:textId="77777777" w:rsidR="00D60D61" w:rsidRPr="005173CD" w:rsidRDefault="007A62BF" w:rsidP="00D60D61">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5</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Sub>
          <m:r>
            <w:rPr>
              <w:rFonts w:ascii="Cambria Math" w:eastAsiaTheme="minorEastAsia" w:hAnsi="Cambria Math" w:cstheme="majorHAnsi"/>
              <w:lang w:val="en-GB"/>
            </w:rPr>
            <m:t>)</m:t>
          </m:r>
        </m:oMath>
      </m:oMathPara>
    </w:p>
    <w:p w14:paraId="47ACED54" w14:textId="77777777" w:rsidR="00D60D61" w:rsidRPr="005173CD" w:rsidRDefault="007A62BF" w:rsidP="00D60D61">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2276412E" w14:textId="77777777" w:rsidR="00F2126D" w:rsidRPr="005173CD" w:rsidRDefault="007A62BF" w:rsidP="00F2126D">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6</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Sub>
          <m:r>
            <w:rPr>
              <w:rFonts w:ascii="Cambria Math" w:eastAsiaTheme="minorEastAsia" w:hAnsi="Cambria Math" w:cstheme="majorHAnsi"/>
              <w:lang w:val="en-GB"/>
            </w:rPr>
            <m:t>)</m:t>
          </m:r>
        </m:oMath>
      </m:oMathPara>
    </w:p>
    <w:p w14:paraId="2DAF442C" w14:textId="77777777" w:rsidR="00F2126D" w:rsidRPr="005173CD" w:rsidRDefault="007A62BF" w:rsidP="00F2126D">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802604A" w14:textId="77777777" w:rsidR="00F2126D" w:rsidRPr="005173CD" w:rsidRDefault="00F2126D" w:rsidP="00923BCE">
      <w:pPr>
        <w:spacing w:after="0" w:line="360" w:lineRule="auto"/>
        <w:rPr>
          <w:rFonts w:asciiTheme="majorHAnsi" w:eastAsiaTheme="minorEastAsia" w:hAnsiTheme="majorHAnsi" w:cstheme="majorHAnsi"/>
          <w:lang w:val="en-GB"/>
        </w:rPr>
      </w:pPr>
    </w:p>
    <w:p w14:paraId="2FA3BE7E" w14:textId="77777777" w:rsidR="00923BCE" w:rsidRPr="005173CD" w:rsidRDefault="00923BCE" w:rsidP="00923BCE">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Additionally, the all-cause model was constructed similarly:</w:t>
      </w:r>
    </w:p>
    <w:p w14:paraId="37CFC014" w14:textId="77777777" w:rsidR="00923BCE" w:rsidRPr="005173CD" w:rsidRDefault="007A62BF" w:rsidP="00923BCE">
      <w:pPr>
        <w:spacing w:after="0" w:line="360" w:lineRule="auto"/>
        <w:contextualSpacing/>
        <w:jc w:val="center"/>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5,j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j,t(2001)</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6,j</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j,t(2005)</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7,a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j,t(2001)</m:t>
              </m:r>
            </m:sub>
          </m:sSub>
          <m: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γ</m:t>
              </m:r>
            </m:e>
            <m:sub>
              <m:r>
                <w:rPr>
                  <w:rFonts w:ascii="Cambria Math" w:eastAsiaTheme="minorEastAsia" w:hAnsi="Cambria Math" w:cstheme="majorHAnsi"/>
                  <w:lang w:val="en-GB"/>
                </w:rPr>
                <m:t>8,a</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I</m:t>
              </m:r>
            </m:e>
            <m:sub>
              <m:r>
                <w:rPr>
                  <w:rFonts w:ascii="Cambria Math" w:eastAsiaTheme="minorEastAsia" w:hAnsi="Cambria Math" w:cstheme="majorHAnsi"/>
                  <w:lang w:val="en-GB"/>
                </w:rPr>
                <m:t>j,t(2005)</m:t>
              </m:r>
            </m:sub>
          </m:sSub>
        </m:oMath>
      </m:oMathPara>
    </w:p>
    <w:p w14:paraId="3808885C" w14:textId="77777777" w:rsidR="00923BCE" w:rsidRPr="005173CD" w:rsidRDefault="00923BCE" w:rsidP="00923BCE">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3A63FF59" w14:textId="77777777" w:rsidR="00923BCE" w:rsidRPr="005173CD" w:rsidRDefault="007A62BF" w:rsidP="00923BCE">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5</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Sub>
          <m:r>
            <w:rPr>
              <w:rFonts w:ascii="Cambria Math" w:eastAsiaTheme="minorEastAsia" w:hAnsi="Cambria Math" w:cstheme="majorHAnsi"/>
              <w:lang w:val="en-GB"/>
            </w:rPr>
            <m:t>)</m:t>
          </m:r>
        </m:oMath>
      </m:oMathPara>
    </w:p>
    <w:p w14:paraId="2947CF94" w14:textId="77777777" w:rsidR="00923BCE" w:rsidRPr="005173CD" w:rsidRDefault="007A62BF" w:rsidP="00923BCE">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5</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2F316DD" w14:textId="77777777" w:rsidR="00923BCE" w:rsidRPr="005173CD" w:rsidRDefault="007A62BF" w:rsidP="00923BCE">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6</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Sub>
          <m:r>
            <w:rPr>
              <w:rFonts w:ascii="Cambria Math" w:eastAsiaTheme="minorEastAsia" w:hAnsi="Cambria Math" w:cstheme="majorHAnsi"/>
              <w:lang w:val="en-GB"/>
            </w:rPr>
            <m:t>)</m:t>
          </m:r>
        </m:oMath>
      </m:oMathPara>
    </w:p>
    <w:p w14:paraId="02C0FBAC" w14:textId="77777777" w:rsidR="00923BCE" w:rsidRPr="005173CD" w:rsidRDefault="007A62BF" w:rsidP="00923BCE">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6</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083B1BA" w14:textId="77777777" w:rsidR="00923BCE" w:rsidRPr="005173CD" w:rsidRDefault="007A62BF" w:rsidP="00923BCE">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7</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7</m:t>
              </m:r>
            </m:sub>
          </m:sSub>
          <m:r>
            <w:rPr>
              <w:rFonts w:ascii="Cambria Math" w:eastAsiaTheme="minorEastAsia" w:hAnsi="Cambria Math" w:cstheme="majorHAnsi"/>
              <w:lang w:val="en-GB"/>
            </w:rPr>
            <m:t>)</m:t>
          </m:r>
        </m:oMath>
      </m:oMathPara>
    </w:p>
    <w:p w14:paraId="174607EA" w14:textId="77777777" w:rsidR="00923BCE" w:rsidRPr="005173CD" w:rsidRDefault="007A62BF" w:rsidP="00923BCE">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7</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74AA503B" w14:textId="77777777" w:rsidR="00923BCE" w:rsidRPr="005173CD" w:rsidRDefault="007A62BF" w:rsidP="00923BCE">
      <w:pPr>
        <w:spacing w:after="0" w:line="360" w:lineRule="auto"/>
        <w:ind w:left="720" w:firstLine="720"/>
        <w:contextualSpacing/>
        <w:rPr>
          <w:rFonts w:asciiTheme="majorHAnsi" w:eastAsiaTheme="minorEastAsia" w:hAnsiTheme="majorHAnsi" w:cstheme="majorHAnsi"/>
          <w:lang w:val="en-GB"/>
        </w:rPr>
      </w:pPr>
      <m:oMathPara>
        <m:oMathParaPr>
          <m:jc m:val="left"/>
        </m:oMathPara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8</m:t>
              </m:r>
            </m:sub>
          </m:sSub>
          <m:r>
            <w:rPr>
              <w:rFonts w:ascii="Cambria Math" w:hAnsi="Cambria Math" w:cstheme="majorHAnsi"/>
              <w:lang w:val="en-GB"/>
            </w:rPr>
            <m:t xml:space="preserve"> ~ </m:t>
          </m:r>
          <m:r>
            <m:rPr>
              <m:sty m:val="p"/>
            </m:rPr>
            <w:rPr>
              <w:rFonts w:ascii="Cambria Math" w:eastAsiaTheme="minorEastAsia" w:hAnsi="Cambria Math" w:cstheme="majorHAnsi"/>
              <w:lang w:val="en-GB"/>
            </w:rPr>
            <m:t>IID</m:t>
          </m:r>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8</m:t>
              </m:r>
            </m:sub>
          </m:sSub>
          <m:r>
            <w:rPr>
              <w:rFonts w:ascii="Cambria Math" w:eastAsiaTheme="minorEastAsia" w:hAnsi="Cambria Math" w:cstheme="majorHAnsi"/>
              <w:lang w:val="en-GB"/>
            </w:rPr>
            <m:t>)</m:t>
          </m:r>
        </m:oMath>
      </m:oMathPara>
    </w:p>
    <w:p w14:paraId="44D4D86D" w14:textId="77777777" w:rsidR="00923BCE" w:rsidRPr="005173CD" w:rsidRDefault="007A62BF" w:rsidP="00923BCE">
      <w:pPr>
        <w:spacing w:after="0" w:line="360" w:lineRule="auto"/>
        <w:ind w:left="720"/>
        <w:rPr>
          <w:rFonts w:asciiTheme="majorHAnsi" w:eastAsiaTheme="minorEastAsia" w:hAnsiTheme="majorHAnsi" w:cstheme="majorHAnsi"/>
          <w:lang w:val="en-GB"/>
        </w:rPr>
      </w:pPr>
      <m:oMathPara>
        <m:oMathParaPr>
          <m:jc m:val="left"/>
        </m:oMathParaP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σ</m:t>
              </m:r>
            </m:e>
            <m:sub>
              <m:r>
                <w:rPr>
                  <w:rFonts w:ascii="Cambria Math" w:eastAsiaTheme="minorEastAsia" w:hAnsi="Cambria Math" w:cstheme="majorHAnsi"/>
                  <w:lang w:val="en-GB"/>
                </w:rPr>
                <m:t>8</m:t>
              </m:r>
            </m:sub>
            <m:sup>
              <m:r>
                <w:rPr>
                  <w:rFonts w:ascii="Cambria Math" w:eastAsiaTheme="minorEastAsia" w:hAnsi="Cambria Math" w:cstheme="majorHAnsi"/>
                  <w:lang w:val="en-GB"/>
                </w:rPr>
                <m:t>-2</m:t>
              </m:r>
            </m:sup>
          </m:sSubSup>
          <m:r>
            <w:rPr>
              <w:rFonts w:ascii="Cambria Math" w:eastAsiaTheme="minorEastAsia" w:hAnsi="Cambria Math" w:cstheme="majorHAnsi"/>
              <w:lang w:val="en-GB"/>
            </w:rPr>
            <m:t>∼</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71DC5E37" w14:textId="77777777" w:rsidR="00923BCE" w:rsidRPr="005173CD" w:rsidRDefault="00923BCE" w:rsidP="00D60D61">
      <w:pPr>
        <w:spacing w:after="0" w:line="360" w:lineRule="auto"/>
        <w:contextualSpacing/>
        <w:rPr>
          <w:rFonts w:asciiTheme="majorHAnsi" w:eastAsiaTheme="minorEastAsia" w:hAnsiTheme="majorHAnsi" w:cstheme="majorHAnsi"/>
          <w:lang w:val="en-GB"/>
        </w:rPr>
      </w:pPr>
    </w:p>
    <w:p w14:paraId="009A2402" w14:textId="1A83A104" w:rsidR="00D60D61" w:rsidRPr="005173CD" w:rsidRDefault="00D60D61" w:rsidP="00D60D61">
      <w:pPr>
        <w:pStyle w:val="Heading3"/>
        <w:rPr>
          <w:rFonts w:cstheme="majorHAnsi"/>
          <w:lang w:val="en-GB"/>
        </w:rPr>
      </w:pPr>
      <w:bookmarkStart w:id="16" w:name="_Toc99615569"/>
      <w:bookmarkStart w:id="17" w:name="_Toc112329076"/>
      <w:bookmarkStart w:id="18" w:name="_Toc175308178"/>
      <w:r w:rsidRPr="005173CD">
        <w:rPr>
          <w:rFonts w:cstheme="majorHAnsi"/>
          <w:lang w:val="en-GB"/>
        </w:rPr>
        <w:t>Hyperprior sensitivity analysis</w:t>
      </w:r>
      <w:bookmarkEnd w:id="16"/>
      <w:bookmarkEnd w:id="17"/>
      <w:bookmarkEnd w:id="18"/>
    </w:p>
    <w:p w14:paraId="346411F5" w14:textId="30053340" w:rsidR="00D60D61"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In previous work on all-cause mortality</w:t>
      </w:r>
      <w:r w:rsidR="00F44AC3">
        <w:rPr>
          <w:rFonts w:asciiTheme="majorHAnsi" w:eastAsiaTheme="minorEastAsia" w:hAnsiTheme="majorHAnsi" w:cstheme="majorHAnsi"/>
          <w:lang w:val="en-GB"/>
        </w:rPr>
        <w:fldChar w:fldCharType="begin"/>
      </w:r>
      <w:r w:rsidR="00A668C0">
        <w:rPr>
          <w:rFonts w:asciiTheme="majorHAnsi" w:eastAsiaTheme="minorEastAsia" w:hAnsiTheme="majorHAnsi" w:cstheme="majorHAnsi"/>
          <w:lang w:val="en-GB"/>
        </w:rPr>
        <w:instrText xml:space="preserve"> ADDIN ZOTERO_ITEM CSL_CITATION {"citationID":"YeDSa9mf","properties":{"formattedCitation":"\\super 1\\nosupersub{}","plainCitation":"1","noteIndex":0},"citationItems":[{"id":44875,"uris":["http://zotero.org/groups/2703628/items/F4BQJ3XD"],"itemData":{"id":44875,"type":"article-journal","abstract":"Background\nLarge disparities in mortality exist across racial–ethnic groups and by location in the USA, but the extent to which racial–ethnic disparities vary by location, or how these patterns vary by cause of death, is not well understood. We aimed to estimate age-standardised mortality by racial–ethnic group, county, and cause of death and describe the intersection between racial–ethnic and place-based disparities in mortality in the USA, comparing patterns across health conditions.\nMethods\nWe applied small-area estimation models to death certificate data from the US National Vital Statistics system and population data from the US National Center for Health Statistics to estimate mortality by age, sex, county, and racial–ethnic group annually from 2000 to 2019 for 19 broad causes of death. Race and ethnicity were categorised as non-Latino and non-Hispanic American Indian or Alaska Native (AIAN), non-Latino and non-Hispanic Asian or Pacific Islander (Asian), non-Latino and non-Hispanic Black (Black), Latino or Hispanic (Latino), and non-Latino and non-Hispanic White (White). We adjusted these mortality rates to correct for misreporting of race and ethnicity on death certificates and generated age-standardised results using direct standardisation to the 2010 US census population.\nFindings\nFrom 2000 to 2019, across 3110 US counties, racial–ethnic disparities in age-standardised mortality were noted for all causes of death considered. Mortality was substantially higher in the AIAN population (all-cause mortality 1028·2 [95% uncertainty interval 922·2–1142·3] per 100 000 population in 2019) and Black population (953·5 [947·5–958·8] per 100 000) than in the White population (802·5 [800·3–804·7] per 100 000), but substantially lower in the Asian population (442·3 [429·3–455·0] per 100 000) and Latino population (595·6 [583·7–606·8] per 100 000), and this pattern was found for most causes of death. However, there were exceptions to this pattern, and the exact order among racial–ethnic groups, magnitude of the disparity in both absolute and relative terms, and change over time in this magnitude varied considerably by cause of death. Similarly, substantial geographical variation in mortality was observed for all causes of death, both overall and within each racial–ethnic group. Racial–ethnic disparities observed at the national level reflect widespread disparities at the county level, although the magnitude of these disparities varied widely among counties. Certain patterns of disparity were nearly universal among counties; for example, in 2019, mortality was higher among the AIAN population than the White population in at least 95% of counties for skin and subcutaneous diseases (455 [97·8%] of 465 counties with unmasked estimates) and HIV/AIDS and sexually transmitted infections (458 [98·5%] counties), and mortality was higher among the Black population than the White population in nearly all counties for skin and subcutaneous diseases (1436 [96·6%] of 1486 counties), diabetes and kidney diseases (1473 [99·1%]), maternal and neonatal disorders (1486 [100·0%] counties), and HIV/AIDS and sexually transmitted infections (1486 [100·0%] counties).\nInterpretation\nDisparities in mortality among racial–ethnic groups are ubiquitous, occurring across locations in the USA and for a wide range of health conditions. There is an urgent need to address the shared structural factors driving these widespread disparities.\nFunding\nNational Institute on Minority Health and Health Disparities; National Heart, Lung, and Blood Institute; National Cancer Institute; National Institute on Aging; National Institute of Arthritis and Musculoskeletal and Skin Diseases; Office of Disease Prevention; and Office of Behavioral and Social Sciences Research, US National Institutes of Health.","container-title":"Lancet","DOI":"10.1016/S0140-6736(23)01088-7","ISSN":"0140-6736","issue":"10407","journalAbbreviation":"Lancet","page":"1065-1082","source":"ScienceDirect","title":"Cause-specific mortality by county, race, and ethnicity in the USA, 2000–19: a systematic analysis of health disparities","title-short":"Cause-specific mortality by county, race, and ethnicity in the usa, 2000–19","volume":"402","author":[{"family":"Dwyer-Lindgren","given":"Laura"},{"family":"Kendrick","given":"Parkes"},{"family":"Kelly","given":"Yekaterina O"},{"family":"Baumann","given":"Mathew M"},{"family":"Compton","given":"Kelly"},{"family":"Blacker","given":"Brigette F"},{"family":"Daoud","given":"Farah"},{"family":"Li","given":"Zhuochen"},{"family":"Mouhanna","given":"Farah"},{"family":"Nassereldine","given":"Hasan"},{"family":"Schmidt","given":"Chris"},{"family":"Sylte","given":"Dillon O"},{"family":"Hay","given":"Simon I"},{"family":"Mensah","given":"George A"},{"family":"Nápoles","given":"Anna M"},{"family":"Pérez-Stable","given":"Eliseo J"},{"family":"Murray","given":"Christopher J L"},{"family":"Mokdad","given":"Ali H"}],"issued":{"date-parts":[["2023",9,23]]}}}],"schema":"https://github.com/citation-style-language/schema/raw/master/csl-citation.json"} </w:instrText>
      </w:r>
      <w:r w:rsidR="00F44AC3">
        <w:rPr>
          <w:rFonts w:asciiTheme="majorHAnsi" w:eastAsiaTheme="minorEastAsia" w:hAnsiTheme="majorHAnsi" w:cstheme="majorHAnsi"/>
          <w:lang w:val="en-GB"/>
        </w:rPr>
        <w:fldChar w:fldCharType="separate"/>
      </w:r>
      <w:r w:rsidR="00A668C0" w:rsidRPr="00A668C0">
        <w:rPr>
          <w:rFonts w:ascii="Calibri Light" w:hAnsi="Calibri Light" w:cs="Calibri Light"/>
          <w:vertAlign w:val="superscript"/>
        </w:rPr>
        <w:t>1</w:t>
      </w:r>
      <w:r w:rsidR="00F44AC3">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and life expectancy,</w:t>
      </w:r>
      <w:r w:rsidRPr="005173CD">
        <w:rPr>
          <w:rFonts w:asciiTheme="majorHAnsi" w:eastAsiaTheme="minorEastAsia" w:hAnsiTheme="majorHAnsi" w:cstheme="majorHAnsi"/>
          <w:lang w:val="en-GB"/>
        </w:rPr>
        <w:fldChar w:fldCharType="begin"/>
      </w:r>
      <w:r w:rsidR="00CD15EE">
        <w:rPr>
          <w:rFonts w:asciiTheme="majorHAnsi" w:eastAsiaTheme="minorEastAsia" w:hAnsiTheme="majorHAnsi" w:cstheme="majorHAnsi"/>
          <w:lang w:val="en-GB"/>
        </w:rPr>
        <w:instrText xml:space="preserve"> ADDIN ZOTERO_ITEM CSL_CITATION {"citationID":"fMRCSyUe","properties":{"formattedCitation":"\\super 3\\nosupersub{}","plainCitation":"3","noteIndex":0},"citationItems":[{"id":42737,"uris":["http://zotero.org/groups/2703628/items/E85NTHHB"],"itemData":{"id":42737,"type":"article-journal","container-title":"Lancet","DOI":"10.1016/S0140-6736(22)00876-5","ISSN":"0140-6736, 1474-547X","issue":"10345","journalAbbreviation":"Lancet","language":"English","note":"publisher: Elsevier\nPMID: 35717994","page":"25-38","source":"www.thelancet.com","title":"Life expectancy by county, race, and ethnicity in the usa, 2000–19: a systematic analysis of health disparities","title-short":"Life expectancy by county, race, and ethnicity in the usa, 2000–19","volume":"400","author":[{"family":"Dwyer-Lindgren","given":"Laura"},{"family":"Kendrick","given":"Parkes"},{"family":"Kelly","given":"Yekaterina O."},{"family":"Sylte","given":"Dillon O."},{"family":"Schmidt","given":"Chris"},{"family":"Blacker","given":"Brigette F."},{"family":"Daoud","given":"Farah"},{"family":"Abdi","given":"Amal A."},{"family":"Baumann","given":"Mathew"},{"family":"Mouhanna","given":"Farah"},{"family":"Kahn","given":"Ethan"},{"family":"Hay","given":"Simon I."},{"family":"Mensah","given":"George A."},{"family":"Nápoles","given":"Anna M."},{"family":"Pérez-Stable","given":"Eliseo J."},{"family":"Shiels","given":"Meredith"},{"family":"Freedman","given":"Neal"},{"family":"Arias","given":"Elizabeth"},{"family":"George","given":"Stephanie A."},{"family":"Murray","given":"David M."},{"family":"Phillips","given":"John WR"},{"family":"Spittel","given":"Michael L."},{"family":"Murray","given":"Christopher JL"},{"family":"Mokdad","given":"Ali H."}],"issued":{"date-parts":[["2022",7,2]]}}}],"schema":"https://github.com/citation-style-language/schema/raw/master/csl-citation.json"} </w:instrText>
      </w:r>
      <w:r w:rsidRPr="005173CD">
        <w:rPr>
          <w:rFonts w:asciiTheme="majorHAnsi" w:eastAsiaTheme="minorEastAsia" w:hAnsiTheme="majorHAnsi" w:cstheme="majorHAnsi"/>
          <w:lang w:val="en-GB"/>
        </w:rPr>
        <w:fldChar w:fldCharType="separate"/>
      </w:r>
      <w:r w:rsidR="009A5BDD" w:rsidRPr="005173CD">
        <w:rPr>
          <w:rFonts w:asciiTheme="majorHAnsi" w:hAnsiTheme="majorHAnsi" w:cstheme="majorHAnsi"/>
          <w:szCs w:val="24"/>
          <w:vertAlign w:val="superscript"/>
        </w:rPr>
        <w:t>3</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we tested a wide range of alternative hyperparameter specifications. Because testing </w:t>
      </w:r>
      <w:proofErr w:type="gramStart"/>
      <w:r w:rsidRPr="005173CD">
        <w:rPr>
          <w:rFonts w:asciiTheme="majorHAnsi" w:eastAsiaTheme="minorEastAsia" w:hAnsiTheme="majorHAnsi" w:cstheme="majorHAnsi"/>
          <w:lang w:val="en-GB"/>
        </w:rPr>
        <w:t>all of</w:t>
      </w:r>
      <w:proofErr w:type="gramEnd"/>
      <w:r w:rsidRPr="005173CD">
        <w:rPr>
          <w:rFonts w:asciiTheme="majorHAnsi" w:eastAsiaTheme="minorEastAsia" w:hAnsiTheme="majorHAnsi" w:cstheme="majorHAnsi"/>
          <w:lang w:val="en-GB"/>
        </w:rPr>
        <w:t xml:space="preserve"> these combinations across all causes would be computationally intractable, we chose a subset of both hyperparameter specifications and causes for the purposes of testing the effect of these by cause. Thus, a variety of penali</w:t>
      </w:r>
      <w:r w:rsidR="00384A9E"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ed complexity (PC) specifications were chosen:</w:t>
      </w:r>
    </w:p>
    <w:p w14:paraId="7E11A471" w14:textId="77777777" w:rsidR="00D60D61" w:rsidRPr="005173CD" w:rsidRDefault="007A62BF" w:rsidP="00D60D61">
      <w:pPr>
        <w:pStyle w:val="ListParagraph"/>
        <w:numPr>
          <w:ilvl w:val="0"/>
          <w:numId w:val="26"/>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 xml:space="preserve"> = 1; </m:t>
        </m:r>
        <m:r>
          <m:rPr>
            <m:sty m:val="p"/>
          </m:rPr>
          <w:rPr>
            <w:rFonts w:ascii="Cambria Math" w:eastAsiaTheme="minorEastAsia" w:hAnsi="Cambria Math" w:cstheme="majorHAnsi"/>
            <w:lang w:val="en-GB"/>
          </w:rPr>
          <m:t>Pr</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e>
        </m:d>
        <m:r>
          <w:rPr>
            <w:rFonts w:ascii="Cambria Math" w:eastAsiaTheme="minorEastAsia" w:hAnsi="Cambria Math" w:cstheme="majorHAnsi"/>
            <w:lang w:val="en-GB"/>
          </w:rPr>
          <m:t>= 0.02,0.05, 0.1</m:t>
        </m:r>
      </m:oMath>
    </w:p>
    <w:p w14:paraId="05DE707D" w14:textId="77777777" w:rsidR="00D60D61" w:rsidRPr="005173CD" w:rsidRDefault="007A62BF" w:rsidP="00D60D61">
      <w:pPr>
        <w:pStyle w:val="ListParagraph"/>
        <w:numPr>
          <w:ilvl w:val="0"/>
          <w:numId w:val="26"/>
        </w:numPr>
        <w:spacing w:after="0" w:line="360" w:lineRule="auto"/>
        <w:rPr>
          <w:rFonts w:asciiTheme="majorHAnsi" w:eastAsiaTheme="minorEastAsia" w:hAnsiTheme="majorHAnsi" w:cstheme="majorHAnsi"/>
          <w:lang w:val="en-GB"/>
        </w:rPr>
      </w:pP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 xml:space="preserve"> = 5; </m:t>
        </m:r>
        <m:r>
          <m:rPr>
            <m:sty m:val="p"/>
          </m:rPr>
          <w:rPr>
            <w:rFonts w:ascii="Cambria Math" w:eastAsiaTheme="minorEastAsia" w:hAnsi="Cambria Math" w:cstheme="majorHAnsi"/>
            <w:lang w:val="en-GB"/>
          </w:rPr>
          <m:t>Pr</m:t>
        </m:r>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e>
        </m:d>
        <m:r>
          <w:rPr>
            <w:rFonts w:ascii="Cambria Math" w:eastAsiaTheme="minorEastAsia" w:hAnsi="Cambria Math" w:cstheme="majorHAnsi"/>
            <w:lang w:val="en-GB"/>
          </w:rPr>
          <m:t>=0.1</m:t>
        </m:r>
      </m:oMath>
    </w:p>
    <w:p w14:paraId="418E16CB" w14:textId="77777777" w:rsidR="00D60D61" w:rsidRPr="005173CD" w:rsidRDefault="00D60D61" w:rsidP="00D60D61">
      <w:pPr>
        <w:pStyle w:val="ListParagraph"/>
        <w:spacing w:after="0" w:line="360" w:lineRule="auto"/>
        <w:rPr>
          <w:rFonts w:asciiTheme="majorHAnsi" w:eastAsiaTheme="minorEastAsia" w:hAnsiTheme="majorHAnsi" w:cstheme="majorHAnsi"/>
          <w:lang w:val="en-GB"/>
        </w:rPr>
      </w:pPr>
    </w:p>
    <w:p w14:paraId="030D4A1C" w14:textId="0A22B312" w:rsidR="00D60D61" w:rsidRPr="005173CD" w:rsidRDefault="00384A9E" w:rsidP="00D60D61">
      <w:p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T</w:t>
      </w:r>
      <w:r w:rsidR="00D60D61" w:rsidRPr="005173CD">
        <w:rPr>
          <w:rFonts w:asciiTheme="majorHAnsi" w:eastAsiaTheme="minorEastAsia" w:hAnsiTheme="majorHAnsi" w:cstheme="majorHAnsi"/>
          <w:lang w:val="en-GB"/>
        </w:rPr>
        <w:t>o test a range of models with varying burden, age</w:t>
      </w:r>
      <w:r w:rsidR="000066A6" w:rsidRPr="005173CD">
        <w:rPr>
          <w:rFonts w:asciiTheme="majorHAnsi" w:eastAsiaTheme="minorEastAsia" w:hAnsiTheme="majorHAnsi" w:cstheme="majorHAnsi"/>
          <w:lang w:val="en-GB"/>
        </w:rPr>
        <w:t xml:space="preserve"> restrictions, </w:t>
      </w:r>
      <w:r w:rsidR="00D60D61" w:rsidRPr="005173CD">
        <w:rPr>
          <w:rFonts w:asciiTheme="majorHAnsi" w:eastAsiaTheme="minorEastAsia" w:hAnsiTheme="majorHAnsi" w:cstheme="majorHAnsi"/>
          <w:lang w:val="en-GB"/>
        </w:rPr>
        <w:t xml:space="preserve">sex restrictions, and mortality patterns, the following </w:t>
      </w:r>
      <w:r w:rsidR="000066A6" w:rsidRPr="005173CD">
        <w:rPr>
          <w:rFonts w:asciiTheme="majorHAnsi" w:eastAsiaTheme="minorEastAsia" w:hAnsiTheme="majorHAnsi" w:cstheme="majorHAnsi"/>
          <w:lang w:val="en-GB"/>
        </w:rPr>
        <w:t>L</w:t>
      </w:r>
      <w:r w:rsidR="00D60D61" w:rsidRPr="005173CD">
        <w:rPr>
          <w:rFonts w:asciiTheme="majorHAnsi" w:eastAsiaTheme="minorEastAsia" w:hAnsiTheme="majorHAnsi" w:cstheme="majorHAnsi"/>
          <w:lang w:val="en-GB"/>
        </w:rPr>
        <w:t xml:space="preserve">evel 2 causes were modelled </w:t>
      </w:r>
      <w:r w:rsidR="000066A6" w:rsidRPr="005173CD">
        <w:rPr>
          <w:rFonts w:asciiTheme="majorHAnsi" w:eastAsiaTheme="minorEastAsia" w:hAnsiTheme="majorHAnsi" w:cstheme="majorHAnsi"/>
          <w:lang w:val="en-GB"/>
        </w:rPr>
        <w:t>by use of</w:t>
      </w:r>
      <w:r w:rsidR="00D60D61" w:rsidRPr="005173CD">
        <w:rPr>
          <w:rFonts w:asciiTheme="majorHAnsi" w:eastAsiaTheme="minorEastAsia" w:hAnsiTheme="majorHAnsi" w:cstheme="majorHAnsi"/>
          <w:lang w:val="en-GB"/>
        </w:rPr>
        <w:t xml:space="preserve"> each of the above hyperparameter combinations:</w:t>
      </w:r>
    </w:p>
    <w:p w14:paraId="2FE0B7EA" w14:textId="77777777" w:rsidR="00D60D61" w:rsidRPr="005173CD" w:rsidRDefault="00D60D61" w:rsidP="00D60D61">
      <w:pPr>
        <w:pStyle w:val="ListParagraph"/>
        <w:numPr>
          <w:ilvl w:val="0"/>
          <w:numId w:val="27"/>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Enteric infections</w:t>
      </w:r>
    </w:p>
    <w:p w14:paraId="5AFC5823" w14:textId="77777777" w:rsidR="00D60D61" w:rsidRPr="005173CD" w:rsidRDefault="00D60D61" w:rsidP="00D60D61">
      <w:pPr>
        <w:pStyle w:val="ListParagraph"/>
        <w:numPr>
          <w:ilvl w:val="0"/>
          <w:numId w:val="27"/>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HIV/AIDS &amp; STIs</w:t>
      </w:r>
    </w:p>
    <w:p w14:paraId="1DCE162D" w14:textId="77777777" w:rsidR="00D60D61" w:rsidRPr="005173CD" w:rsidRDefault="00D60D61" w:rsidP="00D60D61">
      <w:pPr>
        <w:pStyle w:val="ListParagraph"/>
        <w:numPr>
          <w:ilvl w:val="0"/>
          <w:numId w:val="27"/>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Maternal disorders</w:t>
      </w:r>
    </w:p>
    <w:p w14:paraId="06357F90" w14:textId="77777777" w:rsidR="00D60D61" w:rsidRPr="005173CD" w:rsidRDefault="00D60D61" w:rsidP="00D60D61">
      <w:pPr>
        <w:pStyle w:val="ListParagraph"/>
        <w:numPr>
          <w:ilvl w:val="0"/>
          <w:numId w:val="27"/>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Neoplasms</w:t>
      </w:r>
    </w:p>
    <w:p w14:paraId="4D6B682A" w14:textId="77777777" w:rsidR="00D60D61" w:rsidRPr="005173CD" w:rsidRDefault="00D60D61" w:rsidP="00D60D61">
      <w:pPr>
        <w:pStyle w:val="ListParagraph"/>
        <w:numPr>
          <w:ilvl w:val="0"/>
          <w:numId w:val="27"/>
        </w:numPr>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Substance use</w:t>
      </w:r>
    </w:p>
    <w:p w14:paraId="2C87FD95" w14:textId="77777777" w:rsidR="00D60D61" w:rsidRPr="005173CD" w:rsidRDefault="00D60D61" w:rsidP="00D60D61">
      <w:pPr>
        <w:pStyle w:val="ListParagraph"/>
        <w:spacing w:after="0" w:line="360" w:lineRule="auto"/>
        <w:rPr>
          <w:rFonts w:asciiTheme="majorHAnsi" w:eastAsiaTheme="minorEastAsia" w:hAnsiTheme="majorHAnsi" w:cstheme="majorHAnsi"/>
          <w:lang w:val="en-GB"/>
        </w:rPr>
      </w:pPr>
    </w:p>
    <w:p w14:paraId="045034BA" w14:textId="0EED2C84" w:rsidR="002D3892" w:rsidRPr="005173CD" w:rsidRDefault="00D60D61" w:rsidP="00D60D61">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The model results were very similar across parameteri</w:t>
      </w:r>
      <w:r w:rsidR="000066A6"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ations. The figure in section 4.2 shows the difference in the estimates derived from models using these alternate prior specifications compared </w:t>
      </w:r>
      <w:r w:rsidR="000066A6" w:rsidRPr="005173CD">
        <w:rPr>
          <w:rFonts w:asciiTheme="majorHAnsi" w:eastAsiaTheme="minorEastAsia" w:hAnsiTheme="majorHAnsi" w:cstheme="majorHAnsi"/>
          <w:lang w:val="en-GB"/>
        </w:rPr>
        <w:t>with</w:t>
      </w:r>
      <w:r w:rsidRPr="005173CD">
        <w:rPr>
          <w:rFonts w:asciiTheme="majorHAnsi" w:eastAsiaTheme="minorEastAsia" w:hAnsiTheme="majorHAnsi" w:cstheme="majorHAnsi"/>
          <w:lang w:val="en-GB"/>
        </w:rPr>
        <w:t xml:space="preserve"> our main model. These differences are generally very small across all parameteri</w:t>
      </w:r>
      <w:r w:rsidR="000066A6"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ations and prior specifications.</w:t>
      </w:r>
    </w:p>
    <w:p w14:paraId="3BD8E568" w14:textId="79C075E3" w:rsidR="007A6422" w:rsidRPr="005173CD" w:rsidRDefault="007A6422" w:rsidP="00983528">
      <w:pPr>
        <w:spacing w:after="0" w:line="360" w:lineRule="auto"/>
        <w:contextualSpacing/>
        <w:rPr>
          <w:rFonts w:asciiTheme="majorHAnsi" w:eastAsiaTheme="minorEastAsia" w:hAnsiTheme="majorHAnsi" w:cstheme="majorHAnsi"/>
          <w:lang w:val="en-GB"/>
        </w:rPr>
      </w:pPr>
    </w:p>
    <w:p w14:paraId="298E933D" w14:textId="76E41212" w:rsidR="00AD09BC" w:rsidRPr="005173CD" w:rsidRDefault="004D101A" w:rsidP="00983528">
      <w:pPr>
        <w:pStyle w:val="Heading2"/>
        <w:spacing w:before="0" w:line="360" w:lineRule="auto"/>
        <w:contextualSpacing/>
        <w:rPr>
          <w:rFonts w:eastAsiaTheme="minorEastAsia" w:cstheme="majorHAnsi"/>
          <w:lang w:val="en-GB"/>
        </w:rPr>
      </w:pPr>
      <w:bookmarkStart w:id="19" w:name="_Toc1909546361"/>
      <w:bookmarkStart w:id="20" w:name="_Toc175308179"/>
      <w:r w:rsidRPr="005173CD">
        <w:rPr>
          <w:rFonts w:eastAsiaTheme="minorEastAsia" w:cstheme="majorHAnsi"/>
          <w:lang w:val="en-GB"/>
        </w:rPr>
        <w:t>2</w:t>
      </w:r>
      <w:r w:rsidR="009664F9" w:rsidRPr="005173CD">
        <w:rPr>
          <w:rFonts w:eastAsiaTheme="minorEastAsia" w:cstheme="majorHAnsi"/>
          <w:lang w:val="en-GB"/>
        </w:rPr>
        <w:t>.</w:t>
      </w:r>
      <w:r w:rsidR="0021151F" w:rsidRPr="005173CD">
        <w:rPr>
          <w:rFonts w:eastAsiaTheme="minorEastAsia" w:cstheme="majorHAnsi"/>
          <w:lang w:val="en-GB"/>
        </w:rPr>
        <w:t>5</w:t>
      </w:r>
      <w:r w:rsidR="009664F9" w:rsidRPr="005173CD">
        <w:rPr>
          <w:rFonts w:eastAsiaTheme="minorEastAsia" w:cstheme="majorHAnsi"/>
          <w:lang w:val="en-GB"/>
        </w:rPr>
        <w:t xml:space="preserve"> </w:t>
      </w:r>
      <w:r w:rsidR="00B50187" w:rsidRPr="005173CD">
        <w:rPr>
          <w:rFonts w:eastAsiaTheme="minorEastAsia" w:cstheme="majorHAnsi"/>
          <w:lang w:val="en-GB"/>
        </w:rPr>
        <w:t>Small</w:t>
      </w:r>
      <w:r w:rsidR="00AF5FCF" w:rsidRPr="005173CD">
        <w:rPr>
          <w:rFonts w:eastAsiaTheme="minorEastAsia" w:cstheme="majorHAnsi"/>
          <w:lang w:val="en-GB"/>
        </w:rPr>
        <w:t>-</w:t>
      </w:r>
      <w:r w:rsidR="00B50187" w:rsidRPr="005173CD">
        <w:rPr>
          <w:rFonts w:eastAsiaTheme="minorEastAsia" w:cstheme="majorHAnsi"/>
          <w:lang w:val="en-GB"/>
        </w:rPr>
        <w:t>area model v</w:t>
      </w:r>
      <w:r w:rsidR="00AD09BC" w:rsidRPr="005173CD">
        <w:rPr>
          <w:rFonts w:eastAsiaTheme="minorEastAsia" w:cstheme="majorHAnsi"/>
          <w:lang w:val="en-GB"/>
        </w:rPr>
        <w:t>alidation</w:t>
      </w:r>
      <w:bookmarkEnd w:id="19"/>
      <w:bookmarkEnd w:id="20"/>
    </w:p>
    <w:p w14:paraId="5949422A" w14:textId="496B60C8" w:rsidR="00391DDA" w:rsidRPr="005173CD" w:rsidRDefault="00391DDA" w:rsidP="00983528">
      <w:pPr>
        <w:pStyle w:val="Heading3"/>
        <w:spacing w:before="0" w:line="360" w:lineRule="auto"/>
        <w:contextualSpacing/>
        <w:rPr>
          <w:rFonts w:cstheme="majorHAnsi"/>
          <w:lang w:val="en-GB"/>
        </w:rPr>
      </w:pPr>
      <w:bookmarkStart w:id="21" w:name="_Toc1887747970"/>
      <w:bookmarkStart w:id="22" w:name="_Toc175308180"/>
      <w:r w:rsidRPr="005173CD">
        <w:rPr>
          <w:rFonts w:cstheme="majorHAnsi"/>
          <w:lang w:val="en-GB"/>
        </w:rPr>
        <w:t>Approach</w:t>
      </w:r>
      <w:bookmarkEnd w:id="21"/>
      <w:bookmarkEnd w:id="22"/>
    </w:p>
    <w:p w14:paraId="673B80D5" w14:textId="2964C8CC" w:rsidR="00C55B46" w:rsidRPr="005173CD" w:rsidRDefault="00C55B46" w:rsidP="00C55B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The framework used to evaluate the performance of the models in this analysis is an extension of a previously proposed</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{"citationID":"Ysz2TsCI","properties":{"formattedCitation":"\\super 23\\nosupersub{}","plainCitation":"23","noteIndex":0},"citationItems":[{"id":"wdkIiMrh/R99Ezu1U","uris":["http://zotero.org/users/5216175/items/YXB5MX4M"],"itemData":{"id":3108,"type":"article-journal","abstract":"Local measurements of health behaviors, diseases, and use of health services are critical inputs into local, state, and national decision-making. Small area measurement methods can deliver more precise and accurate local-level information than direct estimates from surveys or administrative records, where sample sizes are often too small to yield acceptable standard errors. However, small area measurement requires careful validation using approaches other than conventional statistical methods such as in-sample or cross-validation methods because they do not solve the problem of validating estimates in data-sparse domains.","container-title":"Population Health Metrics","DOI":"10.1186/1478-7954-8-26","ISSN":"1478-7954","issue":"1","journalAbbreviation":"Population Health Metrics","page":"26","source":"BioMed Central","title":"A novel framework for validating and applying standardized small area measurement strategies","volume":"8","author":[{"family":"Srebotnjak","given":"Tanja"},{"family":"Mokdad","given":"Ali H."},{"family":"Murray","given":"Christopher JL"}],"issued":{"date-parts":[["2010",9,29]]}}}],"schema":"https://github.com/citation-style-language/schema/raw/master/csl-citation.json"} </w:instrText>
      </w:r>
      <w:r w:rsidRPr="005173CD">
        <w:rPr>
          <w:rFonts w:asciiTheme="majorHAnsi" w:eastAsiaTheme="minorEastAsia" w:hAnsiTheme="majorHAnsi" w:cstheme="majorHAnsi"/>
          <w:lang w:val="en-GB"/>
        </w:rPr>
        <w:fldChar w:fldCharType="separate"/>
      </w:r>
      <w:r w:rsidR="000C35A7" w:rsidRPr="000C35A7">
        <w:rPr>
          <w:rFonts w:ascii="Calibri Light" w:hAnsi="Calibri Light" w:cs="Calibri Light"/>
          <w:vertAlign w:val="superscript"/>
        </w:rPr>
        <w:t>23</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and extensively used framework designed specifically for county-level models in the USA. </w:t>
      </w:r>
      <w:r w:rsidR="50E5E6CA" w:rsidRPr="005173CD">
        <w:rPr>
          <w:rFonts w:asciiTheme="majorHAnsi" w:eastAsiaTheme="minorEastAsia" w:hAnsiTheme="majorHAnsi" w:cstheme="majorHAnsi"/>
          <w:lang w:val="en-GB"/>
        </w:rPr>
        <w:t>We modified this framework earlier</w:t>
      </w:r>
      <w:r w:rsidRPr="005173CD">
        <w:rPr>
          <w:rFonts w:asciiTheme="majorHAnsi" w:eastAsiaTheme="minorEastAsia" w:hAnsiTheme="majorHAnsi" w:cstheme="majorHAnsi"/>
          <w:lang w:val="en-GB"/>
        </w:rPr>
        <w:t xml:space="preserve">, to </w:t>
      </w:r>
      <w:r w:rsidR="78B07A5A" w:rsidRPr="005173CD">
        <w:rPr>
          <w:rFonts w:asciiTheme="majorHAnsi" w:eastAsiaTheme="minorEastAsia" w:hAnsiTheme="majorHAnsi" w:cstheme="majorHAnsi"/>
          <w:lang w:val="en-GB"/>
        </w:rPr>
        <w:t>evaluate model</w:t>
      </w:r>
      <w:r w:rsidRPr="005173CD">
        <w:rPr>
          <w:rFonts w:asciiTheme="majorHAnsi" w:eastAsiaTheme="minorEastAsia" w:hAnsiTheme="majorHAnsi" w:cstheme="majorHAnsi"/>
          <w:lang w:val="en-GB"/>
        </w:rPr>
        <w:t xml:space="preserve"> performance with respect to generating estimates of life expectancy by county and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w:t>
      </w:r>
      <w:r w:rsidR="004A192A" w:rsidRPr="005173CD">
        <w:rPr>
          <w:rFonts w:asciiTheme="majorHAnsi" w:eastAsiaTheme="minorEastAsia" w:hAnsiTheme="majorHAnsi" w:cstheme="majorHAnsi"/>
          <w:lang w:val="en-GB"/>
        </w:rPr>
        <w:fldChar w:fldCharType="begin"/>
      </w:r>
      <w:r w:rsidR="00CD15EE">
        <w:rPr>
          <w:rFonts w:asciiTheme="majorHAnsi" w:eastAsiaTheme="minorEastAsia" w:hAnsiTheme="majorHAnsi" w:cstheme="majorHAnsi"/>
          <w:lang w:val="en-GB"/>
        </w:rPr>
        <w:instrText xml:space="preserve"> ADDIN ZOTERO_ITEM CSL_CITATION {"citationID":"pEHKybuy","properties":{"formattedCitation":"\\super 3\\nosupersub{}","plainCitation":"3","noteIndex":0},"citationItems":[{"id":42737,"uris":["http://zotero.org/groups/2703628/items/E85NTHHB"],"itemData":{"id":42737,"type":"article-journal","container-title":"Lancet","DOI":"10.1016/S0140-6736(22)00876-5","ISSN":"0140-6736, 1474-547X","issue":"10345","journalAbbreviation":"Lancet","language":"English","note":"publisher: Elsevier\nPMID: 35717994","page":"25-38","source":"www.thelancet.com","title":"Life expectancy by county, race, and ethnicity in the usa, 2000–19: a systematic analysis of health disparities","title-short":"Life expectancy by county, race, and ethnicity in the usa, 2000–19","volume":"400","author":[{"family":"Dwyer-Lindgren","given":"Laura"},{"family":"Kendrick","given":"Parkes"},{"family":"Kelly","given":"Yekaterina O."},{"family":"Sylte","given":"Dillon O."},{"family":"Schmidt","given":"Chris"},{"family":"Blacker","given":"Brigette F."},{"family":"Daoud","given":"Farah"},{"family":"Abdi","given":"Amal A."},{"family":"Baumann","given":"Mathew"},{"family":"Mouhanna","given":"Farah"},{"family":"Kahn","given":"Ethan"},{"family":"Hay","given":"Simon I."},{"family":"Mensah","given":"George A."},{"family":"Nápoles","given":"Anna M."},{"family":"Pérez-Stable","given":"Eliseo J."},{"family":"Shiels","given":"Meredith"},{"family":"Freedman","given":"Neal"},{"family":"Arias","given":"Elizabeth"},{"family":"George","given":"Stephanie A."},{"family":"Murray","given":"David M."},{"family":"Phillips","given":"John WR"},{"family":"Spittel","given":"Michael L."},{"family":"Murray","given":"Christopher JL"},{"family":"Mokdad","given":"Ali H."}],"issued":{"date-parts":[["2022",7,2]]}}}],"schema":"https://github.com/citation-style-language/schema/raw/master/csl-citation.json"} </w:instrText>
      </w:r>
      <w:r w:rsidR="004A192A" w:rsidRPr="005173CD">
        <w:rPr>
          <w:rFonts w:asciiTheme="majorHAnsi" w:eastAsiaTheme="minorEastAsia" w:hAnsiTheme="majorHAnsi" w:cstheme="majorHAnsi"/>
          <w:lang w:val="en-GB"/>
        </w:rPr>
        <w:fldChar w:fldCharType="separate"/>
      </w:r>
      <w:r w:rsidR="004A192A" w:rsidRPr="005173CD">
        <w:rPr>
          <w:rFonts w:asciiTheme="majorHAnsi" w:hAnsiTheme="majorHAnsi" w:cstheme="majorHAnsi"/>
          <w:szCs w:val="24"/>
          <w:vertAlign w:val="superscript"/>
        </w:rPr>
        <w:t>3</w:t>
      </w:r>
      <w:r w:rsidR="004A192A"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Here, we use this </w:t>
      </w:r>
      <w:r w:rsidR="48CA4EAF" w:rsidRPr="005173CD">
        <w:rPr>
          <w:rFonts w:asciiTheme="majorHAnsi" w:eastAsiaTheme="minorEastAsia" w:hAnsiTheme="majorHAnsi" w:cstheme="majorHAnsi"/>
          <w:lang w:val="en-GB"/>
        </w:rPr>
        <w:t xml:space="preserve">same </w:t>
      </w:r>
      <w:r w:rsidRPr="005173CD">
        <w:rPr>
          <w:rFonts w:asciiTheme="majorHAnsi" w:eastAsiaTheme="minorEastAsia" w:hAnsiTheme="majorHAnsi" w:cstheme="majorHAnsi"/>
          <w:lang w:val="en-GB"/>
        </w:rPr>
        <w:t>framework to evaluate performance of the same model with respect to producing estimates of age-standardi</w:t>
      </w:r>
      <w:r w:rsidR="000066A6"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ed mortality and </w:t>
      </w:r>
      <w:r w:rsidR="00565F52">
        <w:rPr>
          <w:rFonts w:asciiTheme="majorHAnsi" w:eastAsiaTheme="minorEastAsia" w:hAnsiTheme="majorHAnsi" w:cstheme="majorHAnsi"/>
          <w:lang w:val="en-GB"/>
        </w:rPr>
        <w:t xml:space="preserve">to </w:t>
      </w:r>
      <w:r w:rsidRPr="005173CD">
        <w:rPr>
          <w:rFonts w:asciiTheme="majorHAnsi" w:eastAsiaTheme="minorEastAsia" w:hAnsiTheme="majorHAnsi" w:cstheme="majorHAnsi"/>
          <w:lang w:val="en-GB"/>
        </w:rPr>
        <w:t xml:space="preserve">compare performance of two simplified versions of this model. </w:t>
      </w:r>
    </w:p>
    <w:p w14:paraId="70CA4E35" w14:textId="77777777" w:rsidR="00C55B46" w:rsidRPr="005173CD" w:rsidRDefault="00C55B46" w:rsidP="00C55B46">
      <w:pPr>
        <w:spacing w:after="0" w:line="360" w:lineRule="auto"/>
        <w:contextualSpacing/>
        <w:rPr>
          <w:rFonts w:asciiTheme="majorHAnsi" w:eastAsiaTheme="minorEastAsia" w:hAnsiTheme="majorHAnsi" w:cstheme="majorHAnsi"/>
          <w:lang w:val="en-GB"/>
        </w:rPr>
      </w:pPr>
    </w:p>
    <w:p w14:paraId="1C273780" w14:textId="0D703517" w:rsidR="00C55B46" w:rsidRPr="005173CD" w:rsidRDefault="00C55B46" w:rsidP="00C55B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First, a “validation set” of county</w:t>
      </w:r>
      <w:r w:rsidR="000066A6"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0066A6"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0066A6"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pairs was identified. The validation set is a collection of county and racial</w:t>
      </w:r>
      <w:r w:rsidR="00123ECD"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123ECD"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pairs for which directly calculated mortality rates are a good representation of the underlying mortality rate</w:t>
      </w:r>
      <w:r w:rsidR="00F31FD8" w:rsidRPr="005173CD">
        <w:rPr>
          <w:rFonts w:asciiTheme="majorHAnsi" w:eastAsiaTheme="minorEastAsia" w:hAnsiTheme="majorHAnsi" w:cstheme="majorHAnsi"/>
          <w:lang w:val="en-GB"/>
        </w:rPr>
        <w:t>—</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xml:space="preserve">, where the population and corresponding number of deaths is sufficiently large to generate stable direct estimates. </w:t>
      </w:r>
      <w:r w:rsidR="00466E3F" w:rsidRPr="005173CD">
        <w:rPr>
          <w:rFonts w:asciiTheme="majorHAnsi" w:eastAsiaTheme="minorEastAsia" w:hAnsiTheme="majorHAnsi" w:cstheme="majorHAnsi"/>
          <w:lang w:val="en-GB"/>
        </w:rPr>
        <w:t>T</w:t>
      </w:r>
      <w:r w:rsidRPr="005173CD">
        <w:rPr>
          <w:rFonts w:asciiTheme="majorHAnsi" w:eastAsiaTheme="minorEastAsia" w:hAnsiTheme="majorHAnsi" w:cstheme="majorHAnsi"/>
          <w:lang w:val="en-GB"/>
        </w:rPr>
        <w:t>o increase the number of county</w:t>
      </w:r>
      <w:r w:rsidR="00466E3F"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466E3F"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466E3F" w:rsidRPr="005173CD">
        <w:rPr>
          <w:rFonts w:asciiTheme="majorHAnsi" w:eastAsiaTheme="minorEastAsia" w:hAnsiTheme="majorHAnsi" w:cstheme="majorHAnsi"/>
          <w:lang w:val="en-GB"/>
        </w:rPr>
        <w:t xml:space="preserve">population combinations </w:t>
      </w:r>
      <w:r w:rsidRPr="005173CD">
        <w:rPr>
          <w:rFonts w:asciiTheme="majorHAnsi" w:eastAsiaTheme="minorEastAsia" w:hAnsiTheme="majorHAnsi" w:cstheme="majorHAnsi"/>
          <w:lang w:val="en-GB"/>
        </w:rPr>
        <w:t xml:space="preserve">that were retained in the validation set, deaths and population data were pooled across time </w:t>
      </w:r>
      <w:r w:rsidR="00466E3F" w:rsidRPr="005173CD">
        <w:rPr>
          <w:rFonts w:asciiTheme="majorHAnsi" w:eastAsiaTheme="minorEastAsia" w:hAnsiTheme="majorHAnsi" w:cstheme="majorHAnsi"/>
          <w:lang w:val="en-GB"/>
        </w:rPr>
        <w:t>by use of</w:t>
      </w:r>
      <w:r w:rsidRPr="005173CD">
        <w:rPr>
          <w:rFonts w:asciiTheme="majorHAnsi" w:eastAsiaTheme="minorEastAsia" w:hAnsiTheme="majorHAnsi" w:cstheme="majorHAnsi"/>
          <w:lang w:val="en-GB"/>
        </w:rPr>
        <w:t xml:space="preserve"> a moving window of three years for the purposes of defining the validation set. A series of criteria were used to remove county and racial</w:t>
      </w:r>
      <w:r w:rsidR="00466E3F"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466E3F" w:rsidRPr="005173CD">
        <w:rPr>
          <w:rFonts w:asciiTheme="majorHAnsi" w:eastAsiaTheme="minorEastAsia" w:hAnsiTheme="majorHAnsi" w:cstheme="majorHAnsi"/>
          <w:lang w:val="en-GB"/>
        </w:rPr>
        <w:t xml:space="preserve">population </w:t>
      </w:r>
      <w:r w:rsidRPr="005173CD">
        <w:rPr>
          <w:rFonts w:asciiTheme="majorHAnsi" w:eastAsiaTheme="minorEastAsia" w:hAnsiTheme="majorHAnsi" w:cstheme="majorHAnsi"/>
          <w:lang w:val="en-GB"/>
        </w:rPr>
        <w:t>combinations from the set of all county and racial</w:t>
      </w:r>
      <w:r w:rsidR="00466E3F"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466E3F" w:rsidRPr="005173CD">
        <w:rPr>
          <w:rFonts w:asciiTheme="majorHAnsi" w:eastAsiaTheme="minorEastAsia" w:hAnsiTheme="majorHAnsi" w:cstheme="majorHAnsi"/>
          <w:lang w:val="en-GB"/>
        </w:rPr>
        <w:t>po</w:t>
      </w:r>
      <w:r w:rsidR="004A192A" w:rsidRPr="005173CD">
        <w:rPr>
          <w:rFonts w:asciiTheme="majorHAnsi" w:eastAsiaTheme="minorEastAsia" w:hAnsiTheme="majorHAnsi" w:cstheme="majorHAnsi"/>
          <w:lang w:val="en-GB"/>
        </w:rPr>
        <w:t>p</w:t>
      </w:r>
      <w:r w:rsidR="00466E3F" w:rsidRPr="005173CD">
        <w:rPr>
          <w:rFonts w:asciiTheme="majorHAnsi" w:eastAsiaTheme="minorEastAsia" w:hAnsiTheme="majorHAnsi" w:cstheme="majorHAnsi"/>
          <w:lang w:val="en-GB"/>
        </w:rPr>
        <w:t>ulation</w:t>
      </w:r>
      <w:r w:rsidRPr="005173CD">
        <w:rPr>
          <w:rFonts w:asciiTheme="majorHAnsi" w:eastAsiaTheme="minorEastAsia" w:hAnsiTheme="majorHAnsi" w:cstheme="majorHAnsi"/>
          <w:lang w:val="en-GB"/>
        </w:rPr>
        <w:t xml:space="preserve"> combinations, with </w:t>
      </w:r>
      <w:r w:rsidRPr="005173CD">
        <w:rPr>
          <w:rFonts w:asciiTheme="majorHAnsi" w:eastAsiaTheme="minorEastAsia" w:hAnsiTheme="majorHAnsi" w:cstheme="majorHAnsi"/>
          <w:lang w:val="en-GB"/>
        </w:rPr>
        <w:lastRenderedPageBreak/>
        <w:t>the remainder forming the validation set. First, any county and 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combination with zero pooled deaths in any age, sex, and year (window) combination were removed. Second, among the remaining county and 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combinations, those where the median (across all years, sexes, and age groups) coefficient of variation was greater than 20% for the age-specific mortality rates or greater than 5% for the age-standardi</w:t>
      </w:r>
      <w:r w:rsidR="00020FF8"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ed and crude mortality rates were removed. In order to calculate the coefficient of variation, 1000 draws of death counts were simulated for each age group, sex, and year, assuming a Poisson distribution with rate and size equal to the observed mortality rate and population size, respectively; age-specific, crude (all-ages), and age-standardi</w:t>
      </w:r>
      <w:r w:rsidR="00F33BE5"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ed mortality rates were then calculated for each draw; and finally the coefficient of variation was calculated as the standard deviation of the draws divided by their mean. The validation set has 138 county</w:t>
      </w:r>
      <w:r w:rsidR="001A607A" w:rsidRPr="005173CD">
        <w:rPr>
          <w:rFonts w:asciiTheme="majorHAnsi" w:eastAsiaTheme="minorEastAsia" w:hAnsiTheme="majorHAnsi" w:cstheme="majorHAnsi"/>
          <w:lang w:val="en-GB"/>
        </w:rPr>
        <w:t xml:space="preserve"> and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 pairs, composed of 96 counties and </w:t>
      </w:r>
      <w:r w:rsidR="00F33BE5" w:rsidRPr="005173CD">
        <w:rPr>
          <w:rFonts w:asciiTheme="majorHAnsi" w:eastAsiaTheme="minorEastAsia" w:hAnsiTheme="majorHAnsi" w:cstheme="majorHAnsi"/>
          <w:lang w:val="en-GB"/>
        </w:rPr>
        <w:t>four</w:t>
      </w:r>
      <w:r w:rsidRPr="005173CD">
        <w:rPr>
          <w:rFonts w:asciiTheme="majorHAnsi" w:eastAsiaTheme="minorEastAsia" w:hAnsiTheme="majorHAnsi" w:cstheme="majorHAnsi"/>
          <w:lang w:val="en-GB"/>
        </w:rPr>
        <w:t xml:space="preserve"> 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s (section 3.7). The AIAN </w:t>
      </w:r>
      <w:r w:rsidR="004E293D"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was not represented in the validation set. These pooled mortality rates were used as a “gold standard” against which to compare model predictions.</w:t>
      </w:r>
    </w:p>
    <w:p w14:paraId="2788E0E0" w14:textId="77777777" w:rsidR="00C55B46" w:rsidRPr="004C277A" w:rsidRDefault="00C55B46" w:rsidP="00C55B46">
      <w:pPr>
        <w:spacing w:after="0" w:line="360" w:lineRule="auto"/>
        <w:contextualSpacing/>
        <w:rPr>
          <w:rFonts w:asciiTheme="majorHAnsi" w:eastAsiaTheme="minorEastAsia" w:hAnsiTheme="majorHAnsi" w:cstheme="majorHAnsi"/>
          <w:lang w:val="en-GB"/>
        </w:rPr>
      </w:pPr>
    </w:p>
    <w:p w14:paraId="4927ADC4" w14:textId="5B9F0011" w:rsidR="00C55B46" w:rsidRPr="005173CD" w:rsidRDefault="00C55B46" w:rsidP="00C55B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Next, “validation datasets” were constructed. A total of 40 validation sets were used: 5 iterations each of simulated datasets with reference population sizes of 10, 100, 1000, 3000, 5000, 10</w:t>
      </w:r>
      <w:r w:rsidRPr="005173CD">
        <w:rPr>
          <w:rFonts w:asciiTheme="majorHAnsi" w:hAnsiTheme="majorHAnsi" w:cstheme="majorHAnsi"/>
          <w:lang w:val="en-GB"/>
        </w:rPr>
        <w:t> </w:t>
      </w:r>
      <w:r w:rsidRPr="005173CD">
        <w:rPr>
          <w:rFonts w:asciiTheme="majorHAnsi" w:eastAsiaTheme="minorEastAsia" w:hAnsiTheme="majorHAnsi" w:cstheme="majorHAnsi"/>
          <w:lang w:val="en-GB"/>
        </w:rPr>
        <w:t>000, 25</w:t>
      </w:r>
      <w:r w:rsidRPr="005173CD">
        <w:rPr>
          <w:rFonts w:asciiTheme="majorHAnsi" w:hAnsiTheme="majorHAnsi" w:cstheme="majorHAnsi"/>
          <w:lang w:val="en-GB"/>
        </w:rPr>
        <w:t> </w:t>
      </w:r>
      <w:r w:rsidRPr="005173CD">
        <w:rPr>
          <w:rFonts w:asciiTheme="majorHAnsi" w:eastAsiaTheme="minorEastAsia" w:hAnsiTheme="majorHAnsi" w:cstheme="majorHAnsi"/>
          <w:lang w:val="en-GB"/>
        </w:rPr>
        <w:t>000, and 100</w:t>
      </w:r>
      <w:r w:rsidRPr="005173CD">
        <w:rPr>
          <w:rFonts w:asciiTheme="majorHAnsi" w:hAnsiTheme="majorHAnsi" w:cstheme="majorHAnsi"/>
          <w:lang w:val="en-GB"/>
        </w:rPr>
        <w:t> </w:t>
      </w:r>
      <w:r w:rsidRPr="005173CD">
        <w:rPr>
          <w:rFonts w:asciiTheme="majorHAnsi" w:eastAsiaTheme="minorEastAsia" w:hAnsiTheme="majorHAnsi" w:cstheme="majorHAnsi"/>
          <w:lang w:val="en-GB"/>
        </w:rPr>
        <w:t>000. Additionally, a sixth iteration was prepared for each of these population sizes because, rarely, models for some iterations failed to converge; this sixth iteration was only used if a model failed to converge. The sizes 1000–100</w:t>
      </w:r>
      <w:r w:rsidRPr="005173CD">
        <w:rPr>
          <w:rFonts w:asciiTheme="majorHAnsi" w:hAnsiTheme="majorHAnsi" w:cstheme="majorHAnsi"/>
          <w:lang w:val="en-GB"/>
        </w:rPr>
        <w:t> </w:t>
      </w:r>
      <w:r w:rsidRPr="005173CD">
        <w:rPr>
          <w:rFonts w:asciiTheme="majorHAnsi" w:eastAsiaTheme="minorEastAsia" w:hAnsiTheme="majorHAnsi" w:cstheme="majorHAnsi"/>
          <w:lang w:val="en-GB"/>
        </w:rPr>
        <w:t>000 were chosen because they correspond roughly to the 1st, 5th, 10th, 25th, 50th, and 80th percentiles for the total population (all 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s combined) across all counties and years. Sizes 10 and 100 were added because similar population sizes are common for specific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s at the county level. To make these validation data sets, a population of the specified size was sampled for each county</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in the validation set, with the probability of sampling an individual of a given age and sex proportional to the observed population structure for that county</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Then, for each age and sex within each county</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deaths were simulated from a Poisson distribution with mean equal to the observed mortality rate times the sampled population for that age group and sex. The data for all county</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F33BE5"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F33BE5"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pairs that were not in the validation set were included without modification. </w:t>
      </w:r>
    </w:p>
    <w:p w14:paraId="1242217B" w14:textId="77777777" w:rsidR="00C55B46" w:rsidRPr="005173CD" w:rsidRDefault="00C55B46" w:rsidP="00C55B46">
      <w:pPr>
        <w:spacing w:after="0" w:line="360" w:lineRule="auto"/>
        <w:ind w:firstLine="720"/>
        <w:contextualSpacing/>
        <w:rPr>
          <w:rFonts w:asciiTheme="majorHAnsi" w:eastAsiaTheme="minorEastAsia" w:hAnsiTheme="majorHAnsi" w:cstheme="majorHAnsi"/>
          <w:lang w:val="en-GB"/>
        </w:rPr>
      </w:pPr>
    </w:p>
    <w:p w14:paraId="0E0B2708" w14:textId="4666731F" w:rsidR="00C55B46" w:rsidRPr="005173CD" w:rsidRDefault="00C55B46" w:rsidP="00C55B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Finally, small</w:t>
      </w:r>
      <w:r w:rsidR="00AF5FCF" w:rsidRPr="005173CD">
        <w:rPr>
          <w:rFonts w:asciiTheme="majorHAnsi" w:eastAsiaTheme="minorEastAsia" w:hAnsiTheme="majorHAnsi" w:cstheme="majorHAnsi"/>
          <w:lang w:val="en-GB"/>
        </w:rPr>
        <w:t>-</w:t>
      </w:r>
      <w:r w:rsidRPr="005173CD">
        <w:rPr>
          <w:rFonts w:asciiTheme="majorHAnsi" w:eastAsiaTheme="minorEastAsia" w:hAnsiTheme="majorHAnsi" w:cstheme="majorHAnsi"/>
          <w:lang w:val="en-GB"/>
        </w:rPr>
        <w:t xml:space="preserve">area models were fit and predictions generated as described above to each of the 40 validation datasets. To evaluate the performance, the predictions based on each validation data set were </w:t>
      </w:r>
      <w:r w:rsidRPr="005173CD">
        <w:rPr>
          <w:rFonts w:asciiTheme="majorHAnsi" w:eastAsiaTheme="minorEastAsia" w:hAnsiTheme="majorHAnsi" w:cstheme="majorHAnsi"/>
          <w:lang w:val="en-GB"/>
        </w:rPr>
        <w:lastRenderedPageBreak/>
        <w:t xml:space="preserve">compiled and compared against the gold standard mortality rates. First, </w:t>
      </w:r>
      <w:r w:rsidR="00252381">
        <w:rPr>
          <w:rFonts w:asciiTheme="majorHAnsi" w:eastAsiaTheme="minorEastAsia" w:hAnsiTheme="majorHAnsi" w:cstheme="majorHAnsi"/>
          <w:lang w:val="en-GB"/>
        </w:rPr>
        <w:t xml:space="preserve">relative </w:t>
      </w:r>
      <w:r w:rsidRPr="005173CD">
        <w:rPr>
          <w:rFonts w:asciiTheme="majorHAnsi" w:eastAsiaTheme="minorEastAsia" w:hAnsiTheme="majorHAnsi" w:cstheme="majorHAnsi"/>
          <w:lang w:val="en-GB"/>
        </w:rPr>
        <w:t xml:space="preserve">errors were calculated as </w:t>
      </w:r>
      <m:oMath>
        <m:d>
          <m:dPr>
            <m:ctrlPr>
              <w:rPr>
                <w:rFonts w:ascii="Cambria Math" w:eastAsiaTheme="minorEastAsia" w:hAnsi="Cambria Math" w:cstheme="majorHAnsi"/>
                <w:i/>
                <w:lang w:val="en-GB"/>
              </w:rPr>
            </m:ctrlPr>
          </m:dPr>
          <m:e>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m</m:t>
                </m:r>
              </m:e>
              <m:sub>
                <m:r>
                  <w:rPr>
                    <w:rFonts w:ascii="Cambria Math" w:eastAsiaTheme="minorEastAsia" w:hAnsi="Cambria Math" w:cstheme="majorHAnsi"/>
                    <w:lang w:val="en-GB"/>
                  </w:rPr>
                  <m:t>j,t,r</m:t>
                </m:r>
              </m:sub>
              <m:sup>
                <m:r>
                  <w:rPr>
                    <w:rFonts w:ascii="Cambria Math" w:eastAsiaTheme="minorEastAsia" w:hAnsi="Cambria Math" w:cstheme="majorHAnsi"/>
                    <w:lang w:val="en-GB"/>
                  </w:rPr>
                  <m:t>gs</m:t>
                </m:r>
              </m:sup>
            </m:sSubSup>
            <m:r>
              <w:rPr>
                <w:rFonts w:ascii="Cambria Math" w:eastAsiaTheme="minorEastAsia" w:hAnsi="Cambria Math" w:cstheme="majorHAnsi"/>
                <w:lang w:val="en-GB"/>
              </w:rPr>
              <m:t>-</m:t>
            </m:r>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m</m:t>
                </m:r>
              </m:e>
              <m:sub>
                <m:r>
                  <w:rPr>
                    <w:rFonts w:ascii="Cambria Math" w:eastAsiaTheme="minorEastAsia" w:hAnsi="Cambria Math" w:cstheme="majorHAnsi"/>
                    <w:lang w:val="en-GB"/>
                  </w:rPr>
                  <m:t>j,t,a,r</m:t>
                </m:r>
              </m:sub>
              <m:sup>
                <m:r>
                  <w:rPr>
                    <w:rFonts w:ascii="Cambria Math" w:eastAsiaTheme="minorEastAsia" w:hAnsi="Cambria Math" w:cstheme="majorHAnsi"/>
                    <w:lang w:val="en-GB"/>
                  </w:rPr>
                  <m:t>pred</m:t>
                </m:r>
              </m:sup>
            </m:sSubSup>
          </m:e>
        </m:d>
        <m:r>
          <w:rPr>
            <w:rFonts w:ascii="Cambria Math" w:eastAsiaTheme="minorEastAsia" w:hAnsi="Cambria Math" w:cstheme="majorHAnsi"/>
            <w:lang w:val="en-GB"/>
          </w:rPr>
          <m:t>/</m:t>
        </m:r>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m</m:t>
            </m:r>
          </m:e>
          <m:sub>
            <m:r>
              <w:rPr>
                <w:rFonts w:ascii="Cambria Math" w:eastAsiaTheme="minorEastAsia" w:hAnsi="Cambria Math" w:cstheme="majorHAnsi"/>
                <w:lang w:val="en-GB"/>
              </w:rPr>
              <m:t>j,t,r</m:t>
            </m:r>
          </m:sub>
          <m:sup>
            <m:r>
              <w:rPr>
                <w:rFonts w:ascii="Cambria Math" w:eastAsiaTheme="minorEastAsia" w:hAnsi="Cambria Math" w:cstheme="majorHAnsi"/>
                <w:lang w:val="en-GB"/>
              </w:rPr>
              <m:t>gs</m:t>
            </m:r>
          </m:sup>
        </m:sSubSup>
        <m:r>
          <w:rPr>
            <w:rFonts w:ascii="Cambria Math" w:eastAsiaTheme="minorEastAsia" w:hAnsi="Cambria Math" w:cstheme="majorHAnsi"/>
            <w:lang w:val="en-GB"/>
          </w:rPr>
          <m:t xml:space="preserve"> </m:t>
        </m:r>
      </m:oMath>
      <w:r w:rsidRPr="005173CD">
        <w:rPr>
          <w:rFonts w:asciiTheme="majorHAnsi" w:eastAsiaTheme="minorEastAsia" w:hAnsiTheme="majorHAnsi" w:cstheme="majorHAnsi"/>
          <w:lang w:val="en-GB"/>
        </w:rPr>
        <w:t xml:space="preserve">where </w:t>
      </w: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m</m:t>
            </m:r>
          </m:e>
          <m:sub>
            <m:r>
              <w:rPr>
                <w:rFonts w:ascii="Cambria Math" w:eastAsiaTheme="minorEastAsia" w:hAnsi="Cambria Math" w:cstheme="majorHAnsi"/>
                <w:lang w:val="en-GB"/>
              </w:rPr>
              <m:t>j,t,r</m:t>
            </m:r>
          </m:sub>
          <m:sup>
            <m:r>
              <w:rPr>
                <w:rFonts w:ascii="Cambria Math" w:eastAsiaTheme="minorEastAsia" w:hAnsi="Cambria Math" w:cstheme="majorHAnsi"/>
                <w:lang w:val="en-GB"/>
              </w:rPr>
              <m:t>gs</m:t>
            </m:r>
          </m:sup>
        </m:sSubSup>
      </m:oMath>
      <w:r w:rsidRPr="005173CD">
        <w:rPr>
          <w:rFonts w:asciiTheme="majorHAnsi" w:eastAsiaTheme="minorEastAsia" w:hAnsiTheme="majorHAnsi" w:cstheme="majorHAnsi"/>
          <w:lang w:val="en-GB"/>
        </w:rPr>
        <w:t xml:space="preserve"> is the gold standard age-standardi</w:t>
      </w:r>
      <w:r w:rsidR="00F33BE5"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ed mortality rate per 100 000, and </w:t>
      </w:r>
      <m:oMath>
        <m:sSubSup>
          <m:sSubSupPr>
            <m:ctrlPr>
              <w:rPr>
                <w:rFonts w:ascii="Cambria Math" w:eastAsiaTheme="minorEastAsia" w:hAnsi="Cambria Math" w:cstheme="majorHAnsi"/>
                <w:i/>
                <w:lang w:val="en-GB"/>
              </w:rPr>
            </m:ctrlPr>
          </m:sSubSupPr>
          <m:e>
            <m:r>
              <w:rPr>
                <w:rFonts w:ascii="Cambria Math" w:eastAsiaTheme="minorEastAsia" w:hAnsi="Cambria Math" w:cstheme="majorHAnsi"/>
                <w:lang w:val="en-GB"/>
              </w:rPr>
              <m:t>m</m:t>
            </m:r>
          </m:e>
          <m:sub>
            <m:r>
              <w:rPr>
                <w:rFonts w:ascii="Cambria Math" w:eastAsiaTheme="minorEastAsia" w:hAnsi="Cambria Math" w:cstheme="majorHAnsi"/>
                <w:lang w:val="en-GB"/>
              </w:rPr>
              <m:t>j,t,r</m:t>
            </m:r>
          </m:sub>
          <m:sup>
            <m:r>
              <w:rPr>
                <w:rFonts w:ascii="Cambria Math" w:eastAsiaTheme="minorEastAsia" w:hAnsi="Cambria Math" w:cstheme="majorHAnsi"/>
                <w:lang w:val="en-GB"/>
              </w:rPr>
              <m:t>pred</m:t>
            </m:r>
          </m:sup>
        </m:sSubSup>
      </m:oMath>
      <w:r w:rsidRPr="005173CD">
        <w:rPr>
          <w:rFonts w:asciiTheme="majorHAnsi" w:eastAsiaTheme="minorEastAsia" w:hAnsiTheme="majorHAnsi" w:cstheme="majorHAnsi"/>
          <w:lang w:val="en-GB"/>
        </w:rPr>
        <w:t xml:space="preserve"> is the predicted age-standardi</w:t>
      </w:r>
      <w:r w:rsidR="00F33BE5"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ed mortality rate per 100 000. The mean </w:t>
      </w:r>
      <w:r w:rsidR="00670C72">
        <w:rPr>
          <w:rFonts w:asciiTheme="majorHAnsi" w:eastAsiaTheme="minorEastAsia" w:hAnsiTheme="majorHAnsi" w:cstheme="majorHAnsi"/>
          <w:lang w:val="en-GB"/>
        </w:rPr>
        <w:t xml:space="preserve">relative </w:t>
      </w:r>
      <w:r w:rsidRPr="005173CD">
        <w:rPr>
          <w:rFonts w:asciiTheme="majorHAnsi" w:eastAsiaTheme="minorEastAsia" w:hAnsiTheme="majorHAnsi" w:cstheme="majorHAnsi"/>
          <w:lang w:val="en-GB"/>
        </w:rPr>
        <w:t>error</w:t>
      </w:r>
      <w:r w:rsidR="00AE5070" w:rsidRPr="008754A0">
        <w:rPr>
          <w:rFonts w:asciiTheme="majorHAnsi" w:eastAsiaTheme="minorEastAsia" w:hAnsiTheme="majorHAnsi" w:cstheme="majorHAnsi"/>
          <w:lang w:val="en-GB"/>
        </w:rPr>
        <w:t>—</w:t>
      </w:r>
      <w:r w:rsidR="00AE5070">
        <w:rPr>
          <w:rFonts w:asciiTheme="majorHAnsi" w:eastAsiaTheme="minorEastAsia" w:hAnsiTheme="majorHAnsi" w:cstheme="majorHAnsi"/>
          <w:lang w:val="en-GB"/>
        </w:rPr>
        <w:t>a measure of bias</w:t>
      </w:r>
      <w:r w:rsidR="00AE5070" w:rsidRPr="008754A0">
        <w:rPr>
          <w:rFonts w:asciiTheme="majorHAnsi" w:eastAsiaTheme="minorEastAsia" w:hAnsiTheme="majorHAnsi" w:cstheme="majorHAnsi"/>
          <w:lang w:val="en-GB"/>
        </w:rPr>
        <w:t>—</w:t>
      </w:r>
      <w:r w:rsidRPr="005173CD">
        <w:rPr>
          <w:rFonts w:asciiTheme="majorHAnsi" w:eastAsiaTheme="minorEastAsia" w:hAnsiTheme="majorHAnsi" w:cstheme="majorHAnsi"/>
          <w:lang w:val="en-GB"/>
        </w:rPr>
        <w:t xml:space="preserve">and the mean </w:t>
      </w:r>
      <w:r w:rsidR="00985892">
        <w:rPr>
          <w:rFonts w:asciiTheme="majorHAnsi" w:eastAsiaTheme="minorEastAsia" w:hAnsiTheme="majorHAnsi" w:cstheme="majorHAnsi"/>
          <w:lang w:val="en-GB"/>
        </w:rPr>
        <w:t xml:space="preserve">relative </w:t>
      </w:r>
      <w:r w:rsidRPr="005173CD">
        <w:rPr>
          <w:rFonts w:asciiTheme="majorHAnsi" w:eastAsiaTheme="minorEastAsia" w:hAnsiTheme="majorHAnsi" w:cstheme="majorHAnsi"/>
          <w:lang w:val="en-GB"/>
        </w:rPr>
        <w:t>absolute error—</w:t>
      </w:r>
      <w:r w:rsidR="00985892">
        <w:rPr>
          <w:rFonts w:asciiTheme="majorHAnsi" w:eastAsiaTheme="minorEastAsia" w:hAnsiTheme="majorHAnsi" w:cstheme="majorHAnsi"/>
          <w:lang w:val="en-GB"/>
        </w:rPr>
        <w:t xml:space="preserve">a </w:t>
      </w:r>
      <w:r w:rsidRPr="005173CD">
        <w:rPr>
          <w:rFonts w:asciiTheme="majorHAnsi" w:eastAsiaTheme="minorEastAsia" w:hAnsiTheme="majorHAnsi" w:cstheme="majorHAnsi"/>
          <w:lang w:val="en-GB"/>
        </w:rPr>
        <w:t>measure of</w:t>
      </w:r>
      <w:r w:rsidR="00985892">
        <w:rPr>
          <w:rFonts w:asciiTheme="majorHAnsi" w:eastAsiaTheme="minorEastAsia" w:hAnsiTheme="majorHAnsi" w:cstheme="majorHAnsi"/>
          <w:lang w:val="en-GB"/>
        </w:rPr>
        <w:t xml:space="preserve"> total error (encompassing both</w:t>
      </w:r>
      <w:r w:rsidRPr="005173CD">
        <w:rPr>
          <w:rFonts w:asciiTheme="majorHAnsi" w:eastAsiaTheme="minorEastAsia" w:hAnsiTheme="majorHAnsi" w:cstheme="majorHAnsi"/>
          <w:lang w:val="en-GB"/>
        </w:rPr>
        <w:t xml:space="preserve"> bias and precision</w:t>
      </w:r>
      <w:r w:rsidR="00985892">
        <w:rPr>
          <w:rFonts w:asciiTheme="majorHAnsi" w:eastAsiaTheme="minorEastAsia" w:hAnsiTheme="majorHAnsi" w:cstheme="majorHAnsi"/>
          <w:lang w:val="en-GB"/>
        </w:rPr>
        <w:t>)</w:t>
      </w:r>
      <w:r w:rsidRPr="005173CD">
        <w:rPr>
          <w:rFonts w:asciiTheme="majorHAnsi" w:eastAsiaTheme="minorEastAsia" w:hAnsiTheme="majorHAnsi" w:cstheme="majorHAnsi"/>
          <w:lang w:val="en-GB"/>
        </w:rPr>
        <w:t>—were calculated across all county</w:t>
      </w:r>
      <w:r w:rsidR="00756698"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756698"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ethnic</w:t>
      </w:r>
      <w:r w:rsidR="00756698" w:rsidRPr="005173CD">
        <w:rPr>
          <w:rFonts w:asciiTheme="majorHAnsi" w:eastAsiaTheme="minorEastAsia" w:hAnsiTheme="majorHAnsi" w:cstheme="majorHAnsi"/>
          <w:lang w:val="en-GB"/>
        </w:rPr>
        <w:t xml:space="preserve"> population combinations</w:t>
      </w:r>
      <w:r w:rsidRPr="005173CD">
        <w:rPr>
          <w:rFonts w:asciiTheme="majorHAnsi" w:eastAsiaTheme="minorEastAsia" w:hAnsiTheme="majorHAnsi" w:cstheme="majorHAnsi"/>
          <w:lang w:val="en-GB"/>
        </w:rPr>
        <w:t xml:space="preserve"> in the validation set and all iterations at each population level. Coverage (</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the percentage of county</w:t>
      </w:r>
      <w:r w:rsidR="00DA7A5B" w:rsidRPr="005173CD">
        <w:rPr>
          <w:rFonts w:asciiTheme="majorHAnsi" w:eastAsiaTheme="minorEastAsia" w:hAnsiTheme="majorHAnsi" w:cstheme="majorHAnsi"/>
          <w:lang w:val="en-GB"/>
        </w:rPr>
        <w:t xml:space="preserve">, </w:t>
      </w:r>
      <w:r w:rsidRPr="005173CD">
        <w:rPr>
          <w:rFonts w:asciiTheme="majorHAnsi" w:eastAsiaTheme="minorEastAsia" w:hAnsiTheme="majorHAnsi" w:cstheme="majorHAnsi"/>
          <w:lang w:val="en-GB"/>
        </w:rPr>
        <w:t>racial</w:t>
      </w:r>
      <w:r w:rsidR="00756698"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ethnic</w:t>
      </w:r>
      <w:r w:rsidR="00DA7A5B" w:rsidRPr="005173CD">
        <w:rPr>
          <w:rFonts w:asciiTheme="majorHAnsi" w:eastAsiaTheme="minorEastAsia" w:hAnsiTheme="majorHAnsi" w:cstheme="majorHAnsi"/>
          <w:lang w:val="en-GB"/>
        </w:rPr>
        <w:t xml:space="preserve"> population, and year combinations</w:t>
      </w:r>
      <w:r w:rsidRPr="005173CD">
        <w:rPr>
          <w:rFonts w:asciiTheme="majorHAnsi" w:eastAsiaTheme="minorEastAsia" w:hAnsiTheme="majorHAnsi" w:cstheme="majorHAnsi"/>
          <w:lang w:val="en-GB"/>
        </w:rPr>
        <w:t xml:space="preserve"> where the gold standard estimate was between the lower and upper uncertainty intervals for the modelled estimate) was also recorded.</w:t>
      </w:r>
    </w:p>
    <w:p w14:paraId="5CE50BFC" w14:textId="77777777" w:rsidR="00C55B46" w:rsidRPr="005173CD" w:rsidRDefault="00C55B46" w:rsidP="00C55B46">
      <w:pPr>
        <w:spacing w:after="0" w:line="360" w:lineRule="auto"/>
        <w:ind w:firstLine="720"/>
        <w:contextualSpacing/>
        <w:rPr>
          <w:rFonts w:asciiTheme="majorHAnsi" w:eastAsiaTheme="minorEastAsia" w:hAnsiTheme="majorHAnsi" w:cstheme="majorHAnsi"/>
          <w:lang w:val="en-GB"/>
        </w:rPr>
      </w:pPr>
    </w:p>
    <w:p w14:paraId="5A09B795" w14:textId="77777777" w:rsidR="00C55B46" w:rsidRPr="005173CD" w:rsidRDefault="00C55B46" w:rsidP="00C55B46">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This validation procedure was used to assess and compare model performance of three models:</w:t>
      </w:r>
    </w:p>
    <w:p w14:paraId="41D4C4B1" w14:textId="2F6B342C" w:rsidR="00C55B46" w:rsidRPr="005173CD" w:rsidRDefault="00C55B46" w:rsidP="00C55B46">
      <w:pPr>
        <w:pStyle w:val="ListParagraph"/>
        <w:numPr>
          <w:ilvl w:val="0"/>
          <w:numId w:val="28"/>
        </w:numPr>
        <w:spacing w:after="0" w:line="360" w:lineRule="auto"/>
        <w:rPr>
          <w:rFonts w:asciiTheme="majorHAnsi" w:eastAsia="Calibri" w:hAnsiTheme="majorHAnsi" w:cstheme="majorHAnsi"/>
          <w:lang w:val="en-GB"/>
        </w:rPr>
      </w:pPr>
      <w:r w:rsidRPr="005173CD">
        <w:rPr>
          <w:rFonts w:asciiTheme="majorHAnsi" w:eastAsiaTheme="minorEastAsia" w:hAnsiTheme="majorHAnsi" w:cstheme="majorHAnsi"/>
          <w:lang w:val="en-GB"/>
        </w:rPr>
        <w:t xml:space="preserve">The model for all-cause </w:t>
      </w:r>
      <w:r w:rsidR="00820FF9" w:rsidRPr="005173CD">
        <w:rPr>
          <w:rFonts w:asciiTheme="majorHAnsi" w:eastAsiaTheme="minorEastAsia" w:hAnsiTheme="majorHAnsi" w:cstheme="majorHAnsi"/>
          <w:lang w:val="en-GB"/>
        </w:rPr>
        <w:t xml:space="preserve">mortality </w:t>
      </w:r>
      <w:r w:rsidRPr="005173CD">
        <w:rPr>
          <w:rFonts w:asciiTheme="majorHAnsi" w:eastAsiaTheme="minorEastAsia" w:hAnsiTheme="majorHAnsi" w:cstheme="majorHAnsi"/>
          <w:lang w:val="en-GB"/>
        </w:rPr>
        <w:t xml:space="preserve">used </w:t>
      </w:r>
      <w:r w:rsidR="00E4360E" w:rsidRPr="005173CD">
        <w:rPr>
          <w:rFonts w:asciiTheme="majorHAnsi" w:eastAsiaTheme="minorEastAsia" w:hAnsiTheme="majorHAnsi" w:cstheme="majorHAnsi"/>
          <w:lang w:val="en-GB"/>
        </w:rPr>
        <w:t xml:space="preserve">previously to estimate </w:t>
      </w:r>
      <w:r w:rsidRPr="005173CD">
        <w:rPr>
          <w:rFonts w:asciiTheme="majorHAnsi" w:eastAsiaTheme="minorEastAsia" w:hAnsiTheme="majorHAnsi" w:cstheme="majorHAnsi"/>
          <w:lang w:val="en-GB"/>
        </w:rPr>
        <w:t xml:space="preserve">life expectancy: </w:t>
      </w:r>
    </w:p>
    <w:p w14:paraId="1A8A93EB" w14:textId="77777777" w:rsidR="00C55B46" w:rsidRPr="005173CD" w:rsidRDefault="007A62BF" w:rsidP="00C55B46">
      <w:pPr>
        <w:pStyle w:val="ListParagraph"/>
        <w:spacing w:after="0" w:line="360" w:lineRule="auto"/>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m:rPr>
              <m:aln/>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hAnsi="Cambria Math" w:cstheme="majorHAnsi"/>
              <w:lang w:val="en-GB"/>
            </w:rPr>
            <m:t xml:space="preserve"> </m:t>
          </m:r>
        </m:oMath>
      </m:oMathPara>
    </w:p>
    <w:p w14:paraId="51595B23" w14:textId="77777777" w:rsidR="00C55B46" w:rsidRPr="005173CD" w:rsidRDefault="00C55B46" w:rsidP="00C55B46">
      <w:pPr>
        <w:pStyle w:val="ListParagraph"/>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6C0A3377" w14:textId="77777777" w:rsidR="00C55B46" w:rsidRPr="005173CD" w:rsidRDefault="007A62BF" w:rsidP="00C55B46">
      <w:pPr>
        <w:spacing w:after="0" w:line="360" w:lineRule="auto"/>
        <w:jc w:val="center"/>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4</m:t>
            </m:r>
          </m:sub>
        </m:sSub>
        <m:r>
          <w:rPr>
            <w:rFonts w:ascii="Cambria Math" w:hAnsi="Cambria Math" w:cstheme="majorHAnsi"/>
            <w:lang w:val="en-GB"/>
          </w:rPr>
          <m:t xml:space="preserve"> ~ </m:t>
        </m:r>
        <m:r>
          <m:rPr>
            <m:sty m:val="p"/>
          </m:rPr>
          <w:rPr>
            <w:rFonts w:ascii="Cambria Math" w:hAnsi="Cambria Math" w:cstheme="majorHAnsi"/>
            <w:lang w:val="en-GB"/>
          </w:rPr>
          <m:t>LCAR:LCAR:LCAR:MVN</m:t>
        </m:r>
        <m:r>
          <w:rPr>
            <w:rFonts w:ascii="Cambria Math"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r>
          <w:rPr>
            <w:rFonts w:ascii="Cambria Math" w:hAnsi="Cambria Math" w:cstheme="majorHAnsi"/>
            <w:lang w:val="en-GB"/>
          </w:rPr>
          <m:t xml:space="preserve">, </m:t>
        </m:r>
        <m:sSub>
          <m:sSubPr>
            <m:ctrlPr>
              <w:rPr>
                <w:rFonts w:ascii="Cambria Math" w:hAnsi="Cambria Math" w:cstheme="majorHAnsi"/>
                <w:b/>
                <w:i/>
                <w:lang w:val="en-GB"/>
              </w:rPr>
            </m:ctrlPr>
          </m:sSubPr>
          <m:e>
            <m:r>
              <m:rPr>
                <m:sty m:val="bi"/>
              </m:rPr>
              <w:rPr>
                <w:rFonts w:ascii="Cambria Math" w:hAnsi="Cambria Math" w:cstheme="majorHAnsi"/>
                <w:lang w:val="en-GB"/>
              </w:rPr>
              <m:t>σ</m:t>
            </m:r>
          </m:e>
          <m:sub>
            <m:r>
              <m:rPr>
                <m:sty m:val="bi"/>
              </m:rPr>
              <w:rPr>
                <w:rFonts w:ascii="Cambria Math" w:hAnsi="Cambria Math" w:cstheme="majorHAnsi"/>
                <w:lang w:val="en-GB"/>
              </w:rPr>
              <m:t>4</m:t>
            </m:r>
          </m:sub>
        </m:sSub>
        <m:r>
          <w:rPr>
            <w:rFonts w:ascii="Cambria Math" w:hAnsi="Cambria Math" w:cstheme="majorHAnsi"/>
            <w:lang w:val="en-GB"/>
          </w:rPr>
          <m:t>,</m:t>
        </m:r>
        <m:r>
          <m:rPr>
            <m:sty m:val="bi"/>
          </m:rPr>
          <w:rPr>
            <w:rFonts w:ascii="Cambria Math" w:hAnsi="Cambria Math" w:cstheme="majorHAnsi"/>
            <w:lang w:val="en-GB"/>
          </w:rPr>
          <m:t>θ</m:t>
        </m:r>
        <m:r>
          <w:rPr>
            <w:rFonts w:ascii="Cambria Math" w:hAnsi="Cambria Math" w:cstheme="majorHAnsi"/>
            <w:lang w:val="en-GB"/>
          </w:rPr>
          <m:t>)</m:t>
        </m:r>
      </m:oMath>
    </w:p>
    <w:p w14:paraId="5E654FB2" w14:textId="77777777" w:rsidR="00C55B46" w:rsidRPr="005173CD" w:rsidRDefault="00C55B46" w:rsidP="00C55B46">
      <w:pPr>
        <w:pStyle w:val="ListParagraph"/>
        <w:spacing w:after="0" w:line="360" w:lineRule="auto"/>
        <w:rPr>
          <w:rFonts w:asciiTheme="majorHAnsi" w:eastAsia="Calibri" w:hAnsiTheme="majorHAnsi" w:cstheme="majorHAnsi"/>
          <w:lang w:val="en-GB"/>
        </w:rPr>
      </w:pPr>
    </w:p>
    <w:p w14:paraId="6FAF360E" w14:textId="12321C2C" w:rsidR="00C55B46" w:rsidRPr="005173CD" w:rsidRDefault="00C55B46" w:rsidP="00C55B46">
      <w:pPr>
        <w:pStyle w:val="ListParagraph"/>
        <w:numPr>
          <w:ilvl w:val="0"/>
          <w:numId w:val="28"/>
        </w:numPr>
        <w:spacing w:after="0" w:line="360" w:lineRule="auto"/>
        <w:rPr>
          <w:rFonts w:asciiTheme="majorHAnsi" w:eastAsia="Calibri" w:hAnsiTheme="majorHAnsi" w:cstheme="majorHAnsi"/>
          <w:lang w:val="en-GB"/>
        </w:rPr>
      </w:pPr>
      <w:r w:rsidRPr="005173CD">
        <w:rPr>
          <w:rFonts w:asciiTheme="majorHAnsi" w:eastAsiaTheme="minorEastAsia" w:hAnsiTheme="majorHAnsi" w:cstheme="majorHAnsi"/>
          <w:lang w:val="en-GB"/>
        </w:rPr>
        <w:t xml:space="preserve">The model described </w:t>
      </w:r>
      <w:r w:rsidR="00E4360E" w:rsidRPr="005173CD">
        <w:rPr>
          <w:rFonts w:asciiTheme="majorHAnsi" w:eastAsiaTheme="minorEastAsia" w:hAnsiTheme="majorHAnsi" w:cstheme="majorHAnsi"/>
          <w:lang w:val="en-GB"/>
        </w:rPr>
        <w:t xml:space="preserve">above </w:t>
      </w:r>
      <w:r w:rsidRPr="005173CD">
        <w:rPr>
          <w:rFonts w:asciiTheme="majorHAnsi" w:eastAsiaTheme="minorEastAsia" w:hAnsiTheme="majorHAnsi" w:cstheme="majorHAnsi"/>
          <w:lang w:val="en-GB"/>
        </w:rPr>
        <w:t xml:space="preserve">for </w:t>
      </w:r>
      <w:r w:rsidR="00E4360E" w:rsidRPr="005173CD">
        <w:rPr>
          <w:rFonts w:asciiTheme="majorHAnsi" w:eastAsiaTheme="minorEastAsia" w:hAnsiTheme="majorHAnsi" w:cstheme="majorHAnsi"/>
          <w:lang w:val="en-GB"/>
        </w:rPr>
        <w:t>most</w:t>
      </w:r>
      <w:r w:rsidRPr="005173CD">
        <w:rPr>
          <w:rFonts w:asciiTheme="majorHAnsi" w:eastAsiaTheme="minorEastAsia" w:hAnsiTheme="majorHAnsi" w:cstheme="majorHAnsi"/>
          <w:lang w:val="en-GB"/>
        </w:rPr>
        <w:t xml:space="preserve"> causes (except </w:t>
      </w:r>
      <w:r w:rsidR="00E4360E" w:rsidRPr="005173CD">
        <w:rPr>
          <w:rFonts w:asciiTheme="majorHAnsi" w:eastAsiaTheme="minorEastAsia" w:hAnsiTheme="majorHAnsi" w:cstheme="majorHAnsi"/>
          <w:lang w:val="en-GB"/>
        </w:rPr>
        <w:t xml:space="preserve">all-cause mortality, </w:t>
      </w:r>
      <w:r w:rsidRPr="005173CD">
        <w:rPr>
          <w:rFonts w:asciiTheme="majorHAnsi" w:eastAsiaTheme="minorEastAsia" w:hAnsiTheme="majorHAnsi" w:cstheme="majorHAnsi"/>
          <w:lang w:val="en-GB"/>
        </w:rPr>
        <w:t>unintentional injuries</w:t>
      </w:r>
      <w:r w:rsidR="00E4360E" w:rsidRPr="005173CD">
        <w:rPr>
          <w:rFonts w:asciiTheme="majorHAnsi" w:eastAsiaTheme="minorEastAsia" w:hAnsiTheme="majorHAnsi" w:cstheme="majorHAnsi"/>
          <w:lang w:val="en-GB"/>
        </w:rPr>
        <w:t>,</w:t>
      </w:r>
      <w:r w:rsidRPr="005173CD">
        <w:rPr>
          <w:rFonts w:asciiTheme="majorHAnsi" w:eastAsiaTheme="minorEastAsia" w:hAnsiTheme="majorHAnsi" w:cstheme="majorHAnsi"/>
          <w:lang w:val="en-GB"/>
        </w:rPr>
        <w:t xml:space="preserve"> and self-harm and interpersonal violence</w:t>
      </w:r>
      <w:r w:rsidR="00A10516" w:rsidRPr="005173CD">
        <w:rPr>
          <w:rFonts w:asciiTheme="majorHAnsi" w:eastAsiaTheme="minorEastAsia" w:hAnsiTheme="majorHAnsi" w:cstheme="majorHAnsi"/>
          <w:lang w:val="en-GB"/>
        </w:rPr>
        <w:t>, which have additional components to specifically model increases in mortality due to the 9/11 terrorist attacks and Hurr</w:t>
      </w:r>
      <w:r w:rsidR="00A66227" w:rsidRPr="005173CD">
        <w:rPr>
          <w:rFonts w:asciiTheme="majorHAnsi" w:eastAsiaTheme="minorEastAsia" w:hAnsiTheme="majorHAnsi" w:cstheme="majorHAnsi"/>
          <w:lang w:val="en-GB"/>
        </w:rPr>
        <w:t>ic</w:t>
      </w:r>
      <w:r w:rsidR="00A10516" w:rsidRPr="005173CD">
        <w:rPr>
          <w:rFonts w:asciiTheme="majorHAnsi" w:eastAsiaTheme="minorEastAsia" w:hAnsiTheme="majorHAnsi" w:cstheme="majorHAnsi"/>
          <w:lang w:val="en-GB"/>
        </w:rPr>
        <w:t>ane Katrina</w:t>
      </w:r>
      <w:r w:rsidRPr="005173CD">
        <w:rPr>
          <w:rFonts w:asciiTheme="majorHAnsi" w:eastAsiaTheme="minorEastAsia" w:hAnsiTheme="majorHAnsi" w:cstheme="majorHAnsi"/>
          <w:lang w:val="en-GB"/>
        </w:rPr>
        <w:t>)</w:t>
      </w:r>
      <w:r w:rsidR="00A10516" w:rsidRPr="005173CD">
        <w:rPr>
          <w:rFonts w:asciiTheme="majorHAnsi" w:eastAsiaTheme="minorEastAsia" w:hAnsiTheme="majorHAnsi" w:cstheme="majorHAnsi"/>
          <w:lang w:val="en-GB"/>
        </w:rPr>
        <w:t>:</w:t>
      </w:r>
    </w:p>
    <w:p w14:paraId="2FB9A17C" w14:textId="77777777" w:rsidR="00C55B46" w:rsidRPr="005173CD" w:rsidRDefault="007A62BF" w:rsidP="00C55B46">
      <w:pPr>
        <w:pStyle w:val="ListParagraph"/>
        <w:spacing w:after="0" w:line="360" w:lineRule="auto"/>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m:rPr>
              <m:aln/>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hAnsi="Cambria Math" w:cstheme="majorHAnsi"/>
              <w:lang w:val="en-GB"/>
            </w:rPr>
            <m:t xml:space="preserve"> </m:t>
          </m:r>
        </m:oMath>
      </m:oMathPara>
    </w:p>
    <w:p w14:paraId="7F74E92F" w14:textId="77777777" w:rsidR="00C55B46" w:rsidRPr="005173CD" w:rsidRDefault="00C55B46" w:rsidP="00C55B46">
      <w:pPr>
        <w:pStyle w:val="ListParagraph"/>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4322B9CB" w14:textId="77777777" w:rsidR="00C55B46" w:rsidRPr="005173CD" w:rsidRDefault="007A62BF" w:rsidP="00C55B46">
      <w:pPr>
        <w:spacing w:after="0" w:line="360" w:lineRule="auto"/>
        <w:jc w:val="center"/>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4</m:t>
            </m:r>
          </m:sub>
        </m:sSub>
        <m:r>
          <w:rPr>
            <w:rFonts w:ascii="Cambria Math" w:hAnsi="Cambria Math" w:cstheme="majorHAnsi"/>
            <w:lang w:val="en-GB"/>
          </w:rPr>
          <m:t xml:space="preserve"> ~ </m:t>
        </m:r>
        <m:r>
          <m:rPr>
            <m:sty m:val="p"/>
          </m:rPr>
          <w:rPr>
            <w:rFonts w:ascii="Cambria Math" w:hAnsi="Cambria Math" w:cstheme="majorHAnsi"/>
            <w:lang w:val="en-GB"/>
          </w:rPr>
          <m:t>LCAR:LCAR:LCAR:IID</m:t>
        </m:r>
        <m:r>
          <w:rPr>
            <w:rFonts w:ascii="Cambria Math"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r>
          <w:rPr>
            <w:rFonts w:ascii="Cambria Math" w:hAnsi="Cambria Math" w:cstheme="majorHAnsi"/>
            <w:lang w:val="en-GB"/>
          </w:rPr>
          <m:t xml:space="preserve">, </m:t>
        </m:r>
        <m:sSub>
          <m:sSubPr>
            <m:ctrlPr>
              <w:rPr>
                <w:rFonts w:ascii="Cambria Math" w:hAnsi="Cambria Math" w:cstheme="majorHAnsi"/>
                <w:bCs/>
                <w:i/>
                <w:lang w:val="en-GB"/>
              </w:rPr>
            </m:ctrlPr>
          </m:sSubPr>
          <m:e>
            <m:r>
              <w:rPr>
                <w:rFonts w:ascii="Cambria Math" w:hAnsi="Cambria Math" w:cstheme="majorHAnsi"/>
                <w:lang w:val="en-GB"/>
              </w:rPr>
              <m:t>σ</m:t>
            </m:r>
          </m:e>
          <m:sub>
            <m:r>
              <w:rPr>
                <w:rFonts w:ascii="Cambria Math" w:hAnsi="Cambria Math" w:cstheme="majorHAnsi"/>
                <w:lang w:val="en-GB"/>
              </w:rPr>
              <m:t>4</m:t>
            </m:r>
          </m:sub>
        </m:sSub>
        <m:r>
          <w:rPr>
            <w:rFonts w:ascii="Cambria Math" w:hAnsi="Cambria Math" w:cstheme="majorHAnsi"/>
            <w:lang w:val="en-GB"/>
          </w:rPr>
          <m:t>)</m:t>
        </m:r>
      </m:oMath>
    </w:p>
    <w:p w14:paraId="263E7531" w14:textId="77777777" w:rsidR="00C55B46" w:rsidRPr="005173CD" w:rsidRDefault="00C55B46" w:rsidP="00C55B46">
      <w:pPr>
        <w:pStyle w:val="ListParagraph"/>
        <w:spacing w:after="0" w:line="360" w:lineRule="auto"/>
        <w:rPr>
          <w:rFonts w:asciiTheme="majorHAnsi" w:eastAsia="Calibri" w:hAnsiTheme="majorHAnsi" w:cstheme="majorHAnsi"/>
          <w:lang w:val="en-GB"/>
        </w:rPr>
      </w:pPr>
    </w:p>
    <w:p w14:paraId="4522A77A" w14:textId="1C710699" w:rsidR="00C55B46" w:rsidRPr="005173CD" w:rsidRDefault="00C55B46" w:rsidP="00C55B46">
      <w:pPr>
        <w:pStyle w:val="ListParagraph"/>
        <w:numPr>
          <w:ilvl w:val="0"/>
          <w:numId w:val="28"/>
        </w:numPr>
        <w:spacing w:after="0" w:line="360" w:lineRule="auto"/>
        <w:rPr>
          <w:rFonts w:asciiTheme="majorHAnsi" w:eastAsia="Calibri" w:hAnsiTheme="majorHAnsi" w:cstheme="majorHAnsi"/>
          <w:lang w:val="en-GB"/>
        </w:rPr>
      </w:pPr>
      <w:r w:rsidRPr="005173CD">
        <w:rPr>
          <w:rFonts w:asciiTheme="majorHAnsi" w:eastAsiaTheme="minorEastAsia" w:hAnsiTheme="majorHAnsi" w:cstheme="majorHAnsi"/>
          <w:lang w:val="en-GB"/>
        </w:rPr>
        <w:lastRenderedPageBreak/>
        <w:t xml:space="preserve">The same model as (2), but with a </w:t>
      </w:r>
      <m:oMath>
        <m:sSubSup>
          <m:sSubSupPr>
            <m:ctrlPr>
              <w:rPr>
                <w:rFonts w:ascii="Cambria Math" w:eastAsiaTheme="minorEastAsia" w:hAnsi="Cambria Math" w:cstheme="majorHAnsi"/>
                <w:b/>
                <w:i/>
                <w:lang w:val="en-GB"/>
              </w:rPr>
            </m:ctrlPr>
          </m:sSubSupPr>
          <m:e>
            <m:r>
              <m:rPr>
                <m:sty m:val="bi"/>
              </m:rPr>
              <w:rPr>
                <w:rFonts w:ascii="Cambria Math" w:eastAsiaTheme="minorEastAsia" w:hAnsi="Cambria Math" w:cstheme="majorHAnsi"/>
                <w:lang w:val="en-GB"/>
              </w:rPr>
              <m:t>σ</m:t>
            </m:r>
          </m:e>
          <m:sub>
            <m:r>
              <m:rPr>
                <m:sty m:val="bi"/>
              </m:rPr>
              <w:rPr>
                <w:rFonts w:ascii="Cambria Math" w:eastAsiaTheme="minorEastAsia" w:hAnsi="Cambria Math" w:cstheme="majorHAnsi"/>
                <w:lang w:val="en-GB"/>
              </w:rPr>
              <m:t>4</m:t>
            </m:r>
          </m:sub>
          <m:sup>
            <m:r>
              <w:rPr>
                <w:rFonts w:ascii="Cambria Math" w:eastAsiaTheme="minorEastAsia" w:hAnsi="Cambria Math" w:cstheme="majorHAnsi"/>
                <w:lang w:val="en-GB"/>
              </w:rPr>
              <m:t>2</m:t>
            </m:r>
          </m:sup>
        </m:sSubSup>
      </m:oMath>
      <w:r w:rsidRPr="005173CD">
        <w:rPr>
          <w:rFonts w:asciiTheme="majorHAnsi" w:eastAsiaTheme="minorEastAsia" w:hAnsiTheme="majorHAnsi" w:cstheme="majorHAnsi"/>
          <w:b/>
          <w:lang w:val="en-GB"/>
        </w:rPr>
        <w:t xml:space="preserve"> </w:t>
      </w:r>
      <w:r w:rsidRPr="005173CD">
        <w:rPr>
          <w:rFonts w:asciiTheme="majorHAnsi" w:eastAsiaTheme="minorEastAsia" w:hAnsiTheme="majorHAnsi" w:cstheme="majorHAnsi"/>
          <w:lang w:val="en-GB"/>
        </w:rPr>
        <w:t>(length = 5) term that controls the variation for each racial</w:t>
      </w:r>
      <w:r w:rsidR="00A10516"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A10516" w:rsidRPr="005173CD">
        <w:rPr>
          <w:rFonts w:asciiTheme="majorHAnsi" w:eastAsiaTheme="minorEastAsia" w:hAnsiTheme="majorHAnsi" w:cstheme="majorHAnsi"/>
          <w:lang w:val="en-GB"/>
        </w:rPr>
        <w:t>population separately</w:t>
      </w:r>
      <w:r w:rsidRPr="005173CD">
        <w:rPr>
          <w:rFonts w:asciiTheme="majorHAnsi" w:eastAsiaTheme="minorEastAsia" w:hAnsiTheme="majorHAnsi" w:cstheme="majorHAnsi"/>
          <w:lang w:val="en-GB"/>
        </w:rPr>
        <w:t>, thus allowing further variation across racial</w:t>
      </w:r>
      <w:r w:rsidR="00A10516"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A10516"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s.</w:t>
      </w:r>
    </w:p>
    <w:p w14:paraId="5D7FC285" w14:textId="77777777" w:rsidR="00C55B46" w:rsidRPr="005173CD" w:rsidRDefault="007A62BF" w:rsidP="00C55B46">
      <w:pPr>
        <w:pStyle w:val="ListParagraph"/>
        <w:spacing w:after="0" w:line="360" w:lineRule="auto"/>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D</m:t>
              </m:r>
            </m:e>
            <m:sub>
              <m:r>
                <w:rPr>
                  <w:rFonts w:ascii="Cambria Math" w:hAnsi="Cambria Math" w:cstheme="majorHAnsi"/>
                  <w:lang w:val="en-GB"/>
                </w:rPr>
                <m:t>j,t,a,r</m:t>
              </m:r>
            </m:sub>
          </m:sSub>
          <m:r>
            <m:rPr>
              <m:aln/>
            </m:rPr>
            <w:rPr>
              <w:rFonts w:ascii="Cambria Math" w:hAnsi="Cambria Math" w:cstheme="majorHAnsi"/>
              <w:lang w:val="en-GB"/>
            </w:rPr>
            <m:t>∼</m:t>
          </m:r>
          <m:r>
            <m:rPr>
              <m:sty m:val="p"/>
            </m:rPr>
            <w:rPr>
              <w:rFonts w:ascii="Cambria Math" w:hAnsi="Cambria Math" w:cstheme="majorHAnsi"/>
              <w:lang w:val="en-GB"/>
            </w:rPr>
            <m:t>Poisson</m:t>
          </m:r>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P</m:t>
                  </m:r>
                </m:e>
                <m:sub>
                  <m:r>
                    <w:rPr>
                      <w:rFonts w:ascii="Cambria Math" w:hAnsi="Cambria Math" w:cstheme="majorHAnsi"/>
                      <w:lang w:val="en-GB"/>
                    </w:rPr>
                    <m:t>j,t,a,r</m:t>
                  </m:r>
                </m:sub>
              </m:sSub>
            </m:e>
          </m:d>
          <m:r>
            <m:rPr>
              <m:sty m:val="p"/>
            </m:rPr>
            <w:rPr>
              <w:rFonts w:ascii="Cambria Math" w:hAnsi="Cambria Math" w:cstheme="majorHAnsi"/>
              <w:lang w:val="en-GB"/>
            </w:rPr>
            <w:br/>
          </m:r>
        </m:oMath>
        <m:oMath>
          <m:func>
            <m:funcPr>
              <m:ctrlPr>
                <w:rPr>
                  <w:rFonts w:ascii="Cambria Math" w:hAnsi="Cambria Math" w:cstheme="majorHAnsi"/>
                  <w:i/>
                  <w:lang w:val="en-GB"/>
                </w:rPr>
              </m:ctrlPr>
            </m:funcPr>
            <m:fName>
              <m:r>
                <m:rPr>
                  <m:sty m:val="p"/>
                </m:rPr>
                <w:rPr>
                  <w:rFonts w:ascii="Cambria Math" w:hAnsi="Cambria Math" w:cstheme="majorHAnsi"/>
                  <w:lang w:val="en-GB"/>
                </w:rPr>
                <m:t>log</m:t>
              </m:r>
            </m:fName>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m</m:t>
                      </m:r>
                    </m:e>
                    <m:sub>
                      <m:r>
                        <w:rPr>
                          <w:rFonts w:ascii="Cambria Math" w:hAnsi="Cambria Math" w:cstheme="majorHAnsi"/>
                          <w:lang w:val="en-GB"/>
                        </w:rPr>
                        <m:t>j,t,a,r</m:t>
                      </m:r>
                    </m:sub>
                  </m:sSub>
                </m:e>
              </m:d>
            </m:e>
          </m:func>
          <m:r>
            <m:rPr>
              <m:aln/>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β</m:t>
              </m:r>
            </m:e>
            <m:sub>
              <m:r>
                <w:rPr>
                  <w:rFonts w:ascii="Cambria Math" w:hAnsi="Cambria Math" w:cstheme="majorHAnsi"/>
                  <w:lang w:val="en-GB"/>
                </w:rPr>
                <m:t>0</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1</m:t>
              </m:r>
            </m:sub>
          </m:sSub>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1,j,t</m:t>
              </m:r>
            </m:sub>
          </m:sSub>
          <m:r>
            <w:rPr>
              <w:rFonts w:ascii="Cambria Math" w:hAnsi="Cambria Math" w:cstheme="majorHAnsi"/>
              <w:lang w:val="en-GB"/>
            </w:rPr>
            <m:t>+</m:t>
          </m:r>
          <m:d>
            <m:dPr>
              <m:ctrlPr>
                <w:rPr>
                  <w:rFonts w:ascii="Cambria Math" w:hAnsi="Cambria Math" w:cstheme="majorHAnsi"/>
                  <w:i/>
                  <w:lang w:val="en-GB"/>
                </w:rPr>
              </m:ctrlPr>
            </m:dPr>
            <m:e>
              <m:sSub>
                <m:sSubPr>
                  <m:ctrlPr>
                    <w:rPr>
                      <w:rFonts w:ascii="Cambria Math" w:hAnsi="Cambria Math" w:cstheme="majorHAnsi"/>
                      <w:b/>
                      <w:i/>
                      <w:lang w:val="en-GB"/>
                    </w:rPr>
                  </m:ctrlPr>
                </m:sSubPr>
                <m:e>
                  <m:r>
                    <m:rPr>
                      <m:sty m:val="bi"/>
                    </m:rPr>
                    <w:rPr>
                      <w:rFonts w:ascii="Cambria Math" w:hAnsi="Cambria Math" w:cstheme="majorHAnsi"/>
                      <w:lang w:val="en-GB"/>
                    </w:rPr>
                    <m:t>β</m:t>
                  </m:r>
                </m:e>
                <m:sub>
                  <m:r>
                    <m:rPr>
                      <m:sty m:val="bi"/>
                    </m:rPr>
                    <w:rPr>
                      <w:rFonts w:ascii="Cambria Math" w:hAnsi="Cambria Math" w:cstheme="majorHAnsi"/>
                      <w:lang w:val="en-GB"/>
                    </w:rPr>
                    <m:t>2</m:t>
                  </m:r>
                </m:sub>
              </m:sSub>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1,r</m:t>
                  </m:r>
                </m:sub>
              </m:sSub>
            </m:e>
          </m:d>
          <m:r>
            <w:rPr>
              <w:rFonts w:ascii="Cambria Math" w:hAnsi="Cambria Math" w:cstheme="majorHAnsi"/>
              <w:lang w:val="en-GB"/>
            </w:rPr>
            <m:t>⋅</m:t>
          </m:r>
          <m:sSub>
            <m:sSubPr>
              <m:ctrlPr>
                <w:rPr>
                  <w:rFonts w:ascii="Cambria Math" w:hAnsi="Cambria Math" w:cstheme="majorHAnsi"/>
                  <w:b/>
                  <w:i/>
                  <w:lang w:val="en-GB"/>
                </w:rPr>
              </m:ctrlPr>
            </m:sSubPr>
            <m:e>
              <m:r>
                <m:rPr>
                  <m:sty m:val="bi"/>
                </m:rPr>
                <w:rPr>
                  <w:rFonts w:ascii="Cambria Math" w:hAnsi="Cambria Math" w:cstheme="majorHAnsi"/>
                  <w:lang w:val="en-GB"/>
                </w:rPr>
                <m:t>X</m:t>
              </m:r>
            </m:e>
            <m:sub>
              <m:r>
                <m:rPr>
                  <m:sty m:val="bi"/>
                </m:rPr>
                <w:rPr>
                  <w:rFonts w:ascii="Cambria Math" w:hAnsi="Cambria Math" w:cstheme="majorHAnsi"/>
                  <w:lang w:val="en-GB"/>
                </w:rPr>
                <m:t>2,j,t,r</m:t>
              </m:r>
            </m:sub>
          </m:sSub>
          <m:r>
            <m:rPr>
              <m:brk m:alnAt="1"/>
            </m:rP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2,j</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3,t,a,r</m:t>
              </m:r>
            </m:sub>
          </m:sSub>
          <m:r>
            <w:rPr>
              <w:rFonts w:ascii="Cambria Math" w:hAnsi="Cambria Math" w:cstheme="majorHAnsi"/>
              <w:lang w:val="en-GB"/>
            </w:rPr>
            <m:t>+</m:t>
          </m:r>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t</m:t>
                  </m:r>
                </m:sub>
              </m:sSub>
            </m:sup>
            <m:e>
              <m:nary>
                <m:naryPr>
                  <m:chr m:val="∑"/>
                  <m:limLoc m:val="undOvr"/>
                  <m:ctrlPr>
                    <w:rPr>
                      <w:rFonts w:ascii="Cambria Math" w:hAnsi="Cambria Math" w:cstheme="majorHAnsi"/>
                      <w:i/>
                      <w:lang w:val="en-GB"/>
                    </w:rPr>
                  </m:ctrlPr>
                </m:naryPr>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=1</m:t>
                  </m:r>
                </m:sub>
                <m:sup>
                  <m:sSub>
                    <m:sSubPr>
                      <m:ctrlPr>
                        <w:rPr>
                          <w:rFonts w:ascii="Cambria Math" w:hAnsi="Cambria Math" w:cstheme="majorHAnsi"/>
                          <w:i/>
                          <w:lang w:val="en-GB"/>
                        </w:rPr>
                      </m:ctrlPr>
                    </m:sSubPr>
                    <m:e>
                      <m:r>
                        <w:rPr>
                          <w:rFonts w:ascii="Cambria Math" w:hAnsi="Cambria Math" w:cstheme="majorHAnsi"/>
                          <w:lang w:val="en-GB"/>
                        </w:rPr>
                        <m:t>k</m:t>
                      </m:r>
                    </m:e>
                    <m:sub>
                      <m:r>
                        <w:rPr>
                          <w:rFonts w:ascii="Cambria Math" w:hAnsi="Cambria Math" w:cstheme="majorHAnsi"/>
                          <w:lang w:val="en-GB"/>
                        </w:rPr>
                        <m:t>a</m:t>
                      </m:r>
                    </m:sub>
                  </m:sSub>
                </m:sup>
                <m:e>
                  <m:d>
                    <m:dPr>
                      <m:ctrlPr>
                        <w:rPr>
                          <w:rFonts w:ascii="Cambria Math" w:hAnsi="Cambria Math" w:cstheme="majorHAnsi"/>
                          <w:i/>
                          <w:lang w:val="en-GB"/>
                        </w:rPr>
                      </m:ctrlPr>
                    </m:dPr>
                    <m:e>
                      <m:sSub>
                        <m:sSubPr>
                          <m:ctrlPr>
                            <w:rPr>
                              <w:rFonts w:ascii="Cambria Math" w:hAnsi="Cambria Math" w:cstheme="majorHAnsi"/>
                              <w:i/>
                              <w:lang w:val="en-GB"/>
                            </w:rPr>
                          </m:ctrlPr>
                        </m:sSubPr>
                        <m:e>
                          <m:r>
                            <w:rPr>
                              <w:rFonts w:ascii="Cambria Math" w:hAnsi="Cambria Math" w:cstheme="majorHAnsi"/>
                              <w:lang w:val="en-GB"/>
                            </w:rPr>
                            <m:t>γ</m:t>
                          </m:r>
                        </m:e>
                        <m:sub>
                          <m:r>
                            <w:rPr>
                              <w:rFonts w:ascii="Cambria Math" w:hAnsi="Cambria Math" w:cstheme="majorHAnsi"/>
                              <w:lang w:val="en-GB"/>
                            </w:rPr>
                            <m:t>4,j,</m:t>
                          </m:r>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r>
                            <w:rPr>
                              <w:rFonts w:ascii="Cambria Math" w:hAnsi="Cambria Math" w:cstheme="majorHAnsi"/>
                              <w:lang w:val="en-GB"/>
                            </w:rPr>
                            <m:t>,</m:t>
                          </m:r>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r>
                            <w:rPr>
                              <w:rFonts w:ascii="Cambria Math" w:hAnsi="Cambria Math" w:cstheme="majorHAnsi"/>
                              <w:lang w:val="en-GB"/>
                            </w:rPr>
                            <m:t>,r</m:t>
                          </m:r>
                        </m:sub>
                      </m:sSub>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t</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t</m:t>
                          </m:r>
                        </m:e>
                      </m:d>
                      <m:r>
                        <w:rPr>
                          <w:rFonts w:ascii="Cambria Math" w:hAnsi="Cambria Math" w:cstheme="majorHAnsi"/>
                          <w:lang w:val="en-GB"/>
                        </w:rPr>
                        <m:t>⋅</m:t>
                      </m:r>
                      <m:sSub>
                        <m:sSubPr>
                          <m:ctrlPr>
                            <w:rPr>
                              <w:rFonts w:ascii="Cambria Math" w:hAnsi="Cambria Math" w:cstheme="majorHAnsi"/>
                              <w:i/>
                              <w:lang w:val="en-GB"/>
                            </w:rPr>
                          </m:ctrlPr>
                        </m:sSubPr>
                        <m:e>
                          <m:r>
                            <w:rPr>
                              <w:rFonts w:ascii="Cambria Math" w:hAnsi="Cambria Math" w:cstheme="majorHAnsi"/>
                              <w:lang w:val="en-GB"/>
                            </w:rPr>
                            <m:t>S</m:t>
                          </m:r>
                        </m:e>
                        <m:sub>
                          <m:sSup>
                            <m:sSupPr>
                              <m:ctrlPr>
                                <w:rPr>
                                  <w:rFonts w:ascii="Cambria Math" w:hAnsi="Cambria Math" w:cstheme="majorHAnsi"/>
                                  <w:i/>
                                  <w:lang w:val="en-GB"/>
                                </w:rPr>
                              </m:ctrlPr>
                            </m:sSupPr>
                            <m:e>
                              <m:r>
                                <w:rPr>
                                  <w:rFonts w:ascii="Cambria Math" w:hAnsi="Cambria Math" w:cstheme="majorHAnsi"/>
                                  <w:lang w:val="en-GB"/>
                                </w:rPr>
                                <m:t>a</m:t>
                              </m:r>
                            </m:e>
                            <m:sup>
                              <m:r>
                                <w:rPr>
                                  <w:rFonts w:ascii="Cambria Math" w:hAnsi="Cambria Math" w:cstheme="majorHAnsi"/>
                                  <w:lang w:val="en-GB"/>
                                </w:rPr>
                                <m:t>'</m:t>
                              </m:r>
                            </m:sup>
                          </m:sSup>
                        </m:sub>
                      </m:sSub>
                      <m:d>
                        <m:dPr>
                          <m:ctrlPr>
                            <w:rPr>
                              <w:rFonts w:ascii="Cambria Math" w:hAnsi="Cambria Math" w:cstheme="majorHAnsi"/>
                              <w:i/>
                              <w:lang w:val="en-GB"/>
                            </w:rPr>
                          </m:ctrlPr>
                        </m:dPr>
                        <m:e>
                          <m:r>
                            <w:rPr>
                              <w:rFonts w:ascii="Cambria Math" w:hAnsi="Cambria Math" w:cstheme="majorHAnsi"/>
                              <w:lang w:val="en-GB"/>
                            </w:rPr>
                            <m:t>a</m:t>
                          </m:r>
                        </m:e>
                      </m:d>
                    </m:e>
                  </m:d>
                </m:e>
              </m:nary>
            </m:e>
          </m:nary>
          <m:r>
            <w:rPr>
              <w:rFonts w:ascii="Cambria Math" w:hAnsi="Cambria Math" w:cstheme="majorHAnsi"/>
              <w:lang w:val="en-GB"/>
            </w:rPr>
            <m:t xml:space="preserve"> </m:t>
          </m:r>
        </m:oMath>
      </m:oMathPara>
    </w:p>
    <w:p w14:paraId="095641EF" w14:textId="77777777" w:rsidR="00C55B46" w:rsidRPr="005173CD" w:rsidRDefault="00C55B46" w:rsidP="00C55B46">
      <w:pPr>
        <w:pStyle w:val="ListParagraph"/>
        <w:spacing w:after="0" w:line="360" w:lineRule="auto"/>
        <w:rPr>
          <w:rFonts w:asciiTheme="majorHAnsi" w:eastAsiaTheme="minorEastAsia" w:hAnsiTheme="majorHAnsi" w:cstheme="majorHAnsi"/>
          <w:lang w:val="en-GB"/>
        </w:rPr>
      </w:pPr>
      <w:r w:rsidRPr="005173CD">
        <w:rPr>
          <w:rFonts w:asciiTheme="majorHAnsi" w:eastAsiaTheme="minorEastAsia" w:hAnsiTheme="majorHAnsi" w:cstheme="majorHAnsi"/>
          <w:lang w:val="en-GB"/>
        </w:rPr>
        <w:t>Where:</w:t>
      </w:r>
    </w:p>
    <w:p w14:paraId="4D2C2A97" w14:textId="77777777" w:rsidR="00C55B46" w:rsidRPr="005173CD" w:rsidRDefault="007A62BF" w:rsidP="00C55B46">
      <w:pPr>
        <w:spacing w:after="0" w:line="360" w:lineRule="auto"/>
        <w:jc w:val="center"/>
        <w:rPr>
          <w:rFonts w:asciiTheme="majorHAnsi" w:eastAsiaTheme="minorEastAsia" w:hAnsiTheme="majorHAnsi" w:cstheme="majorHAnsi"/>
          <w:lang w:val="en-GB"/>
        </w:rPr>
      </w:pPr>
      <m:oMath>
        <m:sSub>
          <m:sSubPr>
            <m:ctrlPr>
              <w:rPr>
                <w:rFonts w:ascii="Cambria Math" w:hAnsi="Cambria Math" w:cstheme="majorHAnsi"/>
                <w:b/>
                <w:i/>
                <w:lang w:val="en-GB"/>
              </w:rPr>
            </m:ctrlPr>
          </m:sSubPr>
          <m:e>
            <m:r>
              <m:rPr>
                <m:sty m:val="bi"/>
              </m:rPr>
              <w:rPr>
                <w:rFonts w:ascii="Cambria Math" w:hAnsi="Cambria Math" w:cstheme="majorHAnsi"/>
                <w:lang w:val="en-GB"/>
              </w:rPr>
              <m:t>γ</m:t>
            </m:r>
          </m:e>
          <m:sub>
            <m:r>
              <m:rPr>
                <m:sty m:val="bi"/>
              </m:rPr>
              <w:rPr>
                <w:rFonts w:ascii="Cambria Math" w:hAnsi="Cambria Math" w:cstheme="majorHAnsi"/>
                <w:lang w:val="en-GB"/>
              </w:rPr>
              <m:t>4</m:t>
            </m:r>
          </m:sub>
        </m:sSub>
        <m:r>
          <w:rPr>
            <w:rFonts w:ascii="Cambria Math" w:hAnsi="Cambria Math" w:cstheme="majorHAnsi"/>
            <w:lang w:val="en-GB"/>
          </w:rPr>
          <m:t xml:space="preserve"> ~ </m:t>
        </m:r>
        <m:r>
          <m:rPr>
            <m:sty m:val="p"/>
          </m:rPr>
          <w:rPr>
            <w:rFonts w:ascii="Cambria Math" w:hAnsi="Cambria Math" w:cstheme="majorHAnsi"/>
            <w:lang w:val="en-GB"/>
          </w:rPr>
          <m:t>LCAR:LCAR:LCAR:IID</m:t>
        </m:r>
        <m:r>
          <w:rPr>
            <w:rFonts w:ascii="Cambria Math"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a</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r>
          <m:rPr>
            <m:sty m:val="p"/>
          </m:rPr>
          <w:rPr>
            <w:rFonts w:ascii="Cambria Math" w:eastAsiaTheme="minorEastAsia" w:hAnsi="Cambria Math" w:cstheme="majorHAnsi"/>
            <w:lang w:val="en-GB"/>
          </w:rPr>
          <m:t xml:space="preserve"> </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m:t>
            </m:r>
            <m:sSup>
              <m:sSupPr>
                <m:ctrlPr>
                  <w:rPr>
                    <w:rFonts w:ascii="Cambria Math" w:eastAsia="Times New Roman" w:hAnsi="Cambria Math" w:cstheme="majorHAnsi"/>
                    <w:lang w:val="en-GB"/>
                  </w:rPr>
                </m:ctrlPr>
              </m:sSupPr>
              <m:e>
                <m:r>
                  <w:rPr>
                    <w:rFonts w:ascii="Cambria Math" w:eastAsia="Times New Roman" w:hAnsi="Cambria Math" w:cstheme="majorHAnsi"/>
                    <w:lang w:val="en-GB"/>
                  </w:rPr>
                  <m:t>t</m:t>
                </m:r>
              </m:e>
              <m:sup>
                <m:r>
                  <m:rPr>
                    <m:sty m:val="p"/>
                  </m:rPr>
                  <w:rPr>
                    <w:rFonts w:ascii="Cambria Math" w:eastAsia="Times New Roman" w:hAnsi="Cambria Math" w:cstheme="majorHAnsi"/>
                    <w:lang w:val="en-GB"/>
                  </w:rPr>
                  <m:t>'</m:t>
                </m:r>
              </m:sup>
            </m:sSup>
          </m:sub>
        </m:sSub>
      </m:oMath>
      <w:r w:rsidR="00C55B46" w:rsidRPr="005173CD">
        <w:rPr>
          <w:rFonts w:asciiTheme="majorHAnsi" w:eastAsiaTheme="minorEastAsia" w:hAnsiTheme="majorHAnsi" w:cstheme="majorHAnsi"/>
          <w:lang w:val="en-GB"/>
        </w:rPr>
        <w:t>,</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ρ</m:t>
            </m:r>
          </m:e>
          <m:sub>
            <m:r>
              <w:rPr>
                <w:rFonts w:ascii="Cambria Math" w:eastAsiaTheme="minorEastAsia" w:hAnsi="Cambria Math" w:cstheme="majorHAnsi"/>
                <w:lang w:val="en-GB"/>
              </w:rPr>
              <m:t>4,j</m:t>
            </m:r>
          </m:sub>
        </m:sSub>
        <m:r>
          <w:rPr>
            <w:rFonts w:ascii="Cambria Math" w:hAnsi="Cambria Math" w:cstheme="majorHAnsi"/>
            <w:lang w:val="en-GB"/>
          </w:rPr>
          <m:t xml:space="preserve">, </m:t>
        </m:r>
        <m:sSub>
          <m:sSubPr>
            <m:ctrlPr>
              <w:rPr>
                <w:rFonts w:ascii="Cambria Math" w:hAnsi="Cambria Math" w:cstheme="majorHAnsi"/>
                <w:b/>
                <w:i/>
                <w:lang w:val="en-GB"/>
              </w:rPr>
            </m:ctrlPr>
          </m:sSubPr>
          <m:e>
            <m:r>
              <m:rPr>
                <m:sty m:val="bi"/>
              </m:rPr>
              <w:rPr>
                <w:rFonts w:ascii="Cambria Math" w:hAnsi="Cambria Math" w:cstheme="majorHAnsi"/>
                <w:lang w:val="en-GB"/>
              </w:rPr>
              <m:t>σ</m:t>
            </m:r>
          </m:e>
          <m:sub>
            <m:r>
              <m:rPr>
                <m:sty m:val="bi"/>
              </m:rPr>
              <w:rPr>
                <w:rFonts w:ascii="Cambria Math" w:hAnsi="Cambria Math" w:cstheme="majorHAnsi"/>
                <w:lang w:val="en-GB"/>
              </w:rPr>
              <m:t>4</m:t>
            </m:r>
          </m:sub>
        </m:sSub>
        <m:r>
          <w:rPr>
            <w:rFonts w:ascii="Cambria Math" w:hAnsi="Cambria Math" w:cstheme="majorHAnsi"/>
            <w:lang w:val="en-GB"/>
          </w:rPr>
          <m:t>)</m:t>
        </m:r>
      </m:oMath>
    </w:p>
    <w:p w14:paraId="326AC89C" w14:textId="77777777" w:rsidR="00C55B46" w:rsidRPr="005173CD" w:rsidRDefault="007A62BF" w:rsidP="00C55B46">
      <w:pPr>
        <w:spacing w:after="0" w:line="360" w:lineRule="auto"/>
        <w:rPr>
          <w:rFonts w:asciiTheme="majorHAnsi" w:eastAsiaTheme="minorEastAsia" w:hAnsiTheme="majorHAnsi" w:cstheme="majorHAnsi"/>
          <w:lang w:val="en-GB"/>
        </w:rPr>
      </w:pPr>
      <m:oMathPara>
        <m:oMath>
          <m:sSubSup>
            <m:sSubSupPr>
              <m:ctrlPr>
                <w:rPr>
                  <w:rFonts w:ascii="Cambria Math" w:hAnsi="Cambria Math" w:cstheme="majorHAnsi"/>
                  <w:b/>
                  <w:i/>
                  <w:lang w:val="en-GB"/>
                </w:rPr>
              </m:ctrlPr>
            </m:sSubSupPr>
            <m:e>
              <m:r>
                <m:rPr>
                  <m:sty m:val="bi"/>
                </m:rPr>
                <w:rPr>
                  <w:rFonts w:ascii="Cambria Math" w:hAnsi="Cambria Math" w:cstheme="majorHAnsi"/>
                  <w:lang w:val="en-GB"/>
                </w:rPr>
                <m:t>σ</m:t>
              </m:r>
            </m:e>
            <m:sub>
              <m:r>
                <m:rPr>
                  <m:sty m:val="bi"/>
                </m:rPr>
                <w:rPr>
                  <w:rFonts w:ascii="Cambria Math" w:hAnsi="Cambria Math" w:cstheme="majorHAnsi"/>
                  <w:lang w:val="en-GB"/>
                </w:rPr>
                <m:t>4</m:t>
              </m:r>
              <m:r>
                <m:rPr>
                  <m:sty m:val="bi"/>
                </m:rPr>
                <w:rPr>
                  <w:rFonts w:ascii="Cambria Math" w:hAnsi="Cambria Math" w:cstheme="majorHAnsi"/>
                  <w:lang w:val="en-GB"/>
                </w:rPr>
                <m:t>i</m:t>
              </m:r>
            </m:sub>
            <m:sup>
              <m:r>
                <m:rPr>
                  <m:sty m:val="bi"/>
                </m:rPr>
                <w:rPr>
                  <w:rFonts w:ascii="Cambria Math" w:hAnsi="Cambria Math" w:cstheme="majorHAnsi"/>
                  <w:lang w:val="en-GB"/>
                </w:rPr>
                <m:t>-2</m:t>
              </m:r>
            </m:sup>
          </m:sSubSup>
          <m:r>
            <m:rPr>
              <m:sty m:val="bi"/>
            </m:rPr>
            <w:rPr>
              <w:rFonts w:ascii="Cambria Math" w:hAnsi="Cambria Math" w:cstheme="majorHAnsi"/>
              <w:lang w:val="en-GB"/>
            </w:rPr>
            <m:t xml:space="preserve"> ~ </m:t>
          </m:r>
          <m:r>
            <m:rPr>
              <m:sty m:val="p"/>
            </m:rPr>
            <w:rPr>
              <w:rFonts w:ascii="Cambria Math" w:eastAsiaTheme="minorEastAsia" w:hAnsi="Cambria Math" w:cstheme="majorHAnsi"/>
              <w:lang w:val="en-GB"/>
            </w:rPr>
            <m:t>PC</m:t>
          </m:r>
          <m:d>
            <m:dPr>
              <m:ctrlPr>
                <w:rPr>
                  <w:rFonts w:ascii="Cambria Math" w:eastAsiaTheme="minorEastAsia" w:hAnsi="Cambria Math" w:cstheme="majorHAnsi"/>
                  <w:i/>
                  <w:lang w:val="en-GB"/>
                </w:rPr>
              </m:ctrlPr>
            </m:dPr>
            <m:e>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e>
          </m:d>
          <m:r>
            <w:rPr>
              <w:rFonts w:ascii="Cambria Math" w:eastAsiaTheme="minorEastAsia" w:hAnsi="Cambria Math" w:cstheme="majorHAnsi"/>
              <w:lang w:val="en-GB"/>
            </w:rPr>
            <m:t>→</m:t>
          </m:r>
          <m:func>
            <m:funcPr>
              <m:ctrlPr>
                <w:rPr>
                  <w:rFonts w:ascii="Cambria Math" w:eastAsiaTheme="minorEastAsia" w:hAnsi="Cambria Math" w:cstheme="majorHAnsi"/>
                  <w:i/>
                  <w:lang w:val="en-GB"/>
                </w:rPr>
              </m:ctrlPr>
            </m:funcPr>
            <m:fName>
              <m:r>
                <m:rPr>
                  <m:sty m:val="p"/>
                </m:rPr>
                <w:rPr>
                  <w:rFonts w:ascii="Cambria Math" w:eastAsiaTheme="minorEastAsia" w:hAnsi="Cambria Math" w:cstheme="majorHAnsi"/>
                  <w:lang w:val="en-GB"/>
                </w:rPr>
                <m:t>Pr</m:t>
              </m:r>
            </m:fName>
            <m:e>
              <m:d>
                <m:dPr>
                  <m:ctrlPr>
                    <w:rPr>
                      <w:rFonts w:ascii="Cambria Math" w:eastAsiaTheme="minorEastAsia" w:hAnsi="Cambria Math" w:cstheme="majorHAnsi"/>
                      <w:i/>
                      <w:lang w:val="en-GB"/>
                    </w:rPr>
                  </m:ctrlPr>
                </m:dPr>
                <m:e>
                  <m:r>
                    <w:rPr>
                      <w:rFonts w:ascii="Cambria Math" w:eastAsiaTheme="minorEastAsia" w:hAnsi="Cambria Math" w:cstheme="majorHAnsi"/>
                      <w:lang w:val="en-GB"/>
                    </w:rPr>
                    <m:t>σ&gt;5</m:t>
                  </m:r>
                </m:e>
              </m:d>
            </m:e>
          </m:func>
          <m:r>
            <w:rPr>
              <w:rFonts w:ascii="Cambria Math" w:eastAsiaTheme="minorEastAsia" w:hAnsi="Cambria Math" w:cstheme="majorHAnsi"/>
              <w:lang w:val="en-GB"/>
            </w:rPr>
            <m:t>=0.05</m:t>
          </m:r>
        </m:oMath>
      </m:oMathPara>
    </w:p>
    <w:p w14:paraId="459ED5C6" w14:textId="77777777" w:rsidR="00C55B46" w:rsidRPr="005173CD" w:rsidRDefault="00C55B46" w:rsidP="00C55B46">
      <w:pPr>
        <w:spacing w:after="0" w:line="360" w:lineRule="auto"/>
        <w:rPr>
          <w:rFonts w:asciiTheme="majorHAnsi" w:eastAsia="Calibri" w:hAnsiTheme="majorHAnsi" w:cstheme="majorHAnsi"/>
          <w:lang w:val="en-GB"/>
        </w:rPr>
      </w:pPr>
    </w:p>
    <w:p w14:paraId="797BE33E" w14:textId="752BA01E" w:rsidR="00C55B46" w:rsidRPr="005173CD" w:rsidRDefault="00C55B46" w:rsidP="00C55B46">
      <w:pPr>
        <w:spacing w:after="0" w:line="360" w:lineRule="auto"/>
        <w:rPr>
          <w:rFonts w:asciiTheme="majorHAnsi" w:eastAsia="Calibri" w:hAnsiTheme="majorHAnsi" w:cstheme="majorHAnsi"/>
          <w:lang w:val="en-GB"/>
        </w:rPr>
      </w:pPr>
      <w:r w:rsidRPr="005173CD">
        <w:rPr>
          <w:rFonts w:asciiTheme="majorHAnsi" w:eastAsia="Calibri" w:hAnsiTheme="majorHAnsi" w:cstheme="majorHAnsi"/>
          <w:lang w:val="en-GB"/>
        </w:rPr>
        <w:t>The variant of the model that reduces the racial</w:t>
      </w:r>
      <w:r w:rsidR="00A10516" w:rsidRPr="005173CD">
        <w:rPr>
          <w:rFonts w:asciiTheme="majorHAnsi" w:eastAsia="Calibri" w:hAnsiTheme="majorHAnsi" w:cstheme="majorHAnsi"/>
          <w:lang w:val="en-GB"/>
        </w:rPr>
        <w:t xml:space="preserve"> and </w:t>
      </w:r>
      <w:r w:rsidRPr="005173CD">
        <w:rPr>
          <w:rFonts w:asciiTheme="majorHAnsi" w:eastAsia="Calibri" w:hAnsiTheme="majorHAnsi" w:cstheme="majorHAnsi"/>
          <w:lang w:val="en-GB"/>
        </w:rPr>
        <w:t xml:space="preserve">ethnic </w:t>
      </w:r>
      <w:r w:rsidR="00A10516" w:rsidRPr="005173CD">
        <w:rPr>
          <w:rFonts w:asciiTheme="majorHAnsi" w:eastAsia="Calibri" w:hAnsiTheme="majorHAnsi" w:cstheme="majorHAnsi"/>
          <w:lang w:val="en-GB"/>
        </w:rPr>
        <w:t>population</w:t>
      </w:r>
      <w:r w:rsidRPr="005173CD">
        <w:rPr>
          <w:rFonts w:asciiTheme="majorHAnsi" w:eastAsia="Calibri" w:hAnsiTheme="majorHAnsi" w:cstheme="majorHAnsi"/>
          <w:lang w:val="en-GB"/>
        </w:rPr>
        <w:t xml:space="preserve"> component of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Pr="005173CD">
        <w:rPr>
          <w:rFonts w:asciiTheme="majorHAnsi" w:eastAsia="Calibri" w:hAnsiTheme="majorHAnsi" w:cstheme="majorHAnsi"/>
          <w:b/>
          <w:lang w:val="en-GB"/>
        </w:rPr>
        <w:t xml:space="preserve"> </w:t>
      </w:r>
      <w:r w:rsidRPr="005173CD">
        <w:rPr>
          <w:rFonts w:asciiTheme="majorHAnsi" w:eastAsia="Calibri" w:hAnsiTheme="majorHAnsi" w:cstheme="majorHAnsi"/>
          <w:lang w:val="en-GB"/>
        </w:rPr>
        <w:t xml:space="preserve">to IID (model 2) was included to assess the performance of the model that was most computational feasible to run for all causes. The variant of the model with an identically (but not independent) distributed </w:t>
      </w:r>
      <m:oMath>
        <m:sSub>
          <m:sSubPr>
            <m:ctrlPr>
              <w:rPr>
                <w:rFonts w:ascii="Cambria Math" w:eastAsiaTheme="minorEastAsia" w:hAnsi="Cambria Math" w:cstheme="majorHAnsi"/>
                <w:b/>
                <w:i/>
                <w:lang w:val="en-GB"/>
              </w:rPr>
            </m:ctrlPr>
          </m:sSubPr>
          <m:e>
            <m:r>
              <m:rPr>
                <m:sty m:val="bi"/>
              </m:rPr>
              <w:rPr>
                <w:rFonts w:ascii="Cambria Math" w:eastAsiaTheme="minorEastAsia" w:hAnsi="Cambria Math" w:cstheme="majorHAnsi"/>
                <w:lang w:val="en-GB"/>
              </w:rPr>
              <m:t>γ</m:t>
            </m:r>
          </m:e>
          <m:sub>
            <m:r>
              <m:rPr>
                <m:sty m:val="bi"/>
              </m:rPr>
              <w:rPr>
                <w:rFonts w:ascii="Cambria Math" w:eastAsiaTheme="minorEastAsia" w:hAnsi="Cambria Math" w:cstheme="majorHAnsi"/>
                <w:lang w:val="en-GB"/>
              </w:rPr>
              <m:t>4</m:t>
            </m:r>
          </m:sub>
        </m:sSub>
      </m:oMath>
      <w:r w:rsidRPr="005173CD">
        <w:rPr>
          <w:rFonts w:asciiTheme="majorHAnsi" w:eastAsia="Calibri" w:hAnsiTheme="majorHAnsi" w:cstheme="majorHAnsi"/>
          <w:lang w:val="en-GB"/>
        </w:rPr>
        <w:t xml:space="preserve"> racial</w:t>
      </w:r>
      <w:r w:rsidR="003465A4" w:rsidRPr="005173CD">
        <w:rPr>
          <w:rFonts w:asciiTheme="majorHAnsi" w:eastAsia="Calibri" w:hAnsiTheme="majorHAnsi" w:cstheme="majorHAnsi"/>
          <w:lang w:val="en-GB"/>
        </w:rPr>
        <w:t xml:space="preserve"> and </w:t>
      </w:r>
      <w:r w:rsidRPr="005173CD">
        <w:rPr>
          <w:rFonts w:asciiTheme="majorHAnsi" w:eastAsia="Calibri" w:hAnsiTheme="majorHAnsi" w:cstheme="majorHAnsi"/>
          <w:lang w:val="en-GB"/>
        </w:rPr>
        <w:t xml:space="preserve">ethnic </w:t>
      </w:r>
      <w:r w:rsidR="003465A4" w:rsidRPr="005173CD">
        <w:rPr>
          <w:rFonts w:asciiTheme="majorHAnsi" w:eastAsia="Calibri" w:hAnsiTheme="majorHAnsi" w:cstheme="majorHAnsi"/>
          <w:lang w:val="en-GB"/>
        </w:rPr>
        <w:t>population</w:t>
      </w:r>
      <w:r w:rsidRPr="005173CD">
        <w:rPr>
          <w:rFonts w:asciiTheme="majorHAnsi" w:eastAsia="Calibri" w:hAnsiTheme="majorHAnsi" w:cstheme="majorHAnsi"/>
          <w:lang w:val="en-GB"/>
        </w:rPr>
        <w:t xml:space="preserve"> </w:t>
      </w:r>
      <w:r w:rsidR="003465A4" w:rsidRPr="005173CD">
        <w:rPr>
          <w:rFonts w:asciiTheme="majorHAnsi" w:eastAsia="Calibri" w:hAnsiTheme="majorHAnsi" w:cstheme="majorHAnsi"/>
          <w:lang w:val="en-GB"/>
        </w:rPr>
        <w:t>intercept</w:t>
      </w:r>
      <w:r w:rsidRPr="005173CD">
        <w:rPr>
          <w:rFonts w:asciiTheme="majorHAnsi" w:eastAsia="Calibri" w:hAnsiTheme="majorHAnsi" w:cstheme="majorHAnsi"/>
          <w:lang w:val="en-GB"/>
        </w:rPr>
        <w:t xml:space="preserve"> (model 3) was included to assess the importance of separate variance terms</w:t>
      </w:r>
      <w:r w:rsidR="003465A4" w:rsidRPr="005173CD">
        <w:rPr>
          <w:rFonts w:asciiTheme="majorHAnsi" w:eastAsia="Calibri" w:hAnsiTheme="majorHAnsi" w:cstheme="majorHAnsi"/>
          <w:lang w:val="en-GB"/>
        </w:rPr>
        <w:t xml:space="preserve"> by racial and ethnic population</w:t>
      </w:r>
      <w:r w:rsidRPr="005173CD">
        <w:rPr>
          <w:rFonts w:asciiTheme="majorHAnsi" w:eastAsia="Calibri" w:hAnsiTheme="majorHAnsi" w:cstheme="majorHAnsi"/>
          <w:lang w:val="en-GB"/>
        </w:rPr>
        <w:t>.</w:t>
      </w:r>
    </w:p>
    <w:p w14:paraId="20C9CB52" w14:textId="77777777" w:rsidR="00C55B46" w:rsidRPr="005173CD" w:rsidRDefault="00C55B46" w:rsidP="00C55B46">
      <w:pPr>
        <w:spacing w:after="0" w:line="360" w:lineRule="auto"/>
        <w:contextualSpacing/>
        <w:rPr>
          <w:rFonts w:asciiTheme="majorHAnsi" w:eastAsiaTheme="minorEastAsia" w:hAnsiTheme="majorHAnsi" w:cstheme="majorHAnsi"/>
          <w:highlight w:val="green"/>
          <w:lang w:val="en-GB"/>
        </w:rPr>
      </w:pPr>
    </w:p>
    <w:p w14:paraId="7889BDC3" w14:textId="77777777" w:rsidR="00C55B46" w:rsidRPr="005173CD" w:rsidRDefault="00C55B46" w:rsidP="00C55B46">
      <w:pPr>
        <w:pStyle w:val="Heading3"/>
        <w:spacing w:before="0" w:line="360" w:lineRule="auto"/>
        <w:contextualSpacing/>
        <w:rPr>
          <w:rFonts w:cstheme="majorHAnsi"/>
          <w:lang w:val="en-GB"/>
        </w:rPr>
      </w:pPr>
      <w:bookmarkStart w:id="23" w:name="_Toc1107220322"/>
      <w:bookmarkStart w:id="24" w:name="_Toc112329079"/>
      <w:bookmarkStart w:id="25" w:name="_Toc175308181"/>
      <w:r w:rsidRPr="005173CD">
        <w:rPr>
          <w:rFonts w:cstheme="majorHAnsi"/>
          <w:lang w:val="en-GB"/>
        </w:rPr>
        <w:t>Results</w:t>
      </w:r>
      <w:bookmarkEnd w:id="23"/>
      <w:bookmarkEnd w:id="24"/>
      <w:bookmarkEnd w:id="25"/>
    </w:p>
    <w:p w14:paraId="5741CBCA" w14:textId="26FB6E64" w:rsidR="00C55B46" w:rsidRPr="005173CD" w:rsidRDefault="4A34B8AF" w:rsidP="64439A67">
      <w:pPr>
        <w:spacing w:after="0" w:line="360" w:lineRule="auto"/>
        <w:rPr>
          <w:rFonts w:asciiTheme="majorHAnsi" w:hAnsiTheme="majorHAnsi" w:cstheme="majorHAnsi"/>
          <w:lang w:val="en-GB"/>
        </w:rPr>
      </w:pPr>
      <w:r w:rsidRPr="005173CD">
        <w:rPr>
          <w:rFonts w:asciiTheme="majorHAnsi" w:hAnsiTheme="majorHAnsi" w:cstheme="majorHAnsi"/>
          <w:lang w:val="en-GB"/>
        </w:rPr>
        <w:t>The mean relative error, mean absolute relative error, and coverage for each model are provided in sections 3.8 (table) and 4.2 (figure). The mean relative error is a measure of relative bias</w:t>
      </w:r>
      <w:r w:rsidR="4C50B722" w:rsidRPr="005173CD">
        <w:rPr>
          <w:rFonts w:asciiTheme="majorHAnsi" w:eastAsiaTheme="minorEastAsia" w:hAnsiTheme="majorHAnsi" w:cstheme="majorHAnsi"/>
          <w:lang w:val="en-GB"/>
        </w:rPr>
        <w:t>—</w:t>
      </w:r>
      <w:proofErr w:type="spellStart"/>
      <w:r w:rsidRPr="005173CD">
        <w:rPr>
          <w:rFonts w:asciiTheme="majorHAnsi" w:hAnsiTheme="majorHAnsi" w:cstheme="majorHAnsi"/>
          <w:lang w:val="en-GB"/>
        </w:rPr>
        <w:t>ie</w:t>
      </w:r>
      <w:proofErr w:type="spellEnd"/>
      <w:r w:rsidRPr="005173CD">
        <w:rPr>
          <w:rFonts w:asciiTheme="majorHAnsi" w:hAnsiTheme="majorHAnsi" w:cstheme="majorHAnsi"/>
          <w:lang w:val="en-GB"/>
        </w:rPr>
        <w:t xml:space="preserve">, it indicates if the estimates from the models were systematically higher or lower than the gold standard values and is measured as a percent difference compared </w:t>
      </w:r>
      <w:r w:rsidR="3F1575DF" w:rsidRPr="005173CD">
        <w:rPr>
          <w:rFonts w:asciiTheme="majorHAnsi" w:hAnsiTheme="majorHAnsi" w:cstheme="majorHAnsi"/>
          <w:lang w:val="en-GB"/>
        </w:rPr>
        <w:t>with</w:t>
      </w:r>
      <w:r w:rsidRPr="005173CD">
        <w:rPr>
          <w:rFonts w:asciiTheme="majorHAnsi" w:hAnsiTheme="majorHAnsi" w:cstheme="majorHAnsi"/>
          <w:lang w:val="en-GB"/>
        </w:rPr>
        <w:t xml:space="preserve"> the gold standard. As expected, mean relative error tended to improve (was closer to 0%) as the simulated population size increased for all models and all </w:t>
      </w:r>
      <w:r w:rsidR="28F1E044" w:rsidRPr="005173CD">
        <w:rPr>
          <w:rFonts w:asciiTheme="majorHAnsi" w:hAnsiTheme="majorHAnsi" w:cstheme="majorHAnsi"/>
          <w:lang w:val="en-GB"/>
        </w:rPr>
        <w:t>racial and ethnic population</w:t>
      </w:r>
      <w:r w:rsidRPr="005173CD">
        <w:rPr>
          <w:rFonts w:asciiTheme="majorHAnsi" w:hAnsiTheme="majorHAnsi" w:cstheme="majorHAnsi"/>
          <w:lang w:val="en-GB"/>
        </w:rPr>
        <w:t>s. In model 1, there was evidence of bias for most racial</w:t>
      </w:r>
      <w:r w:rsidR="4C50B722"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4C50B722" w:rsidRPr="005173CD">
        <w:rPr>
          <w:rFonts w:asciiTheme="majorHAnsi" w:hAnsiTheme="majorHAnsi" w:cstheme="majorHAnsi"/>
          <w:lang w:val="en-GB"/>
        </w:rPr>
        <w:t>population</w:t>
      </w:r>
      <w:r w:rsidRPr="005173CD">
        <w:rPr>
          <w:rFonts w:asciiTheme="majorHAnsi" w:hAnsiTheme="majorHAnsi" w:cstheme="majorHAnsi"/>
          <w:lang w:val="en-GB"/>
        </w:rPr>
        <w:t>s in populations &lt; 10 000, although the mean relative errors were minimal at the two larger population sizes. At size 10, the model overestimated the age-standardi</w:t>
      </w:r>
      <w:r w:rsidR="4C50B722" w:rsidRPr="005173CD">
        <w:rPr>
          <w:rFonts w:asciiTheme="majorHAnsi" w:hAnsiTheme="majorHAnsi" w:cstheme="majorHAnsi"/>
          <w:lang w:val="en-GB"/>
        </w:rPr>
        <w:t>s</w:t>
      </w:r>
      <w:r w:rsidRPr="005173CD">
        <w:rPr>
          <w:rFonts w:asciiTheme="majorHAnsi" w:hAnsiTheme="majorHAnsi" w:cstheme="majorHAnsi"/>
          <w:lang w:val="en-GB"/>
        </w:rPr>
        <w:t xml:space="preserve">ed mortality rate for the Asian, Black, and Latino </w:t>
      </w:r>
      <w:r w:rsidR="5922B201" w:rsidRPr="005173CD">
        <w:rPr>
          <w:rFonts w:asciiTheme="majorHAnsi" w:hAnsiTheme="majorHAnsi" w:cstheme="majorHAnsi"/>
          <w:lang w:val="en-GB"/>
        </w:rPr>
        <w:t>population</w:t>
      </w:r>
      <w:r w:rsidRPr="005173CD">
        <w:rPr>
          <w:rFonts w:asciiTheme="majorHAnsi" w:hAnsiTheme="majorHAnsi" w:cstheme="majorHAnsi"/>
          <w:lang w:val="en-GB"/>
        </w:rPr>
        <w:t>s by 8</w:t>
      </w:r>
      <w:r w:rsidR="4C50B722" w:rsidRPr="005173CD">
        <w:rPr>
          <w:rFonts w:asciiTheme="majorHAnsi" w:hAnsiTheme="majorHAnsi" w:cstheme="majorHAnsi"/>
          <w:lang w:val="en-GB"/>
        </w:rPr>
        <w:t>.</w:t>
      </w:r>
      <w:r w:rsidRPr="005173CD">
        <w:rPr>
          <w:rFonts w:asciiTheme="majorHAnsi" w:hAnsiTheme="majorHAnsi" w:cstheme="majorHAnsi"/>
          <w:lang w:val="en-GB"/>
        </w:rPr>
        <w:t>67%, 2</w:t>
      </w:r>
      <w:r w:rsidR="4C50B722" w:rsidRPr="005173CD">
        <w:rPr>
          <w:rFonts w:asciiTheme="majorHAnsi" w:hAnsiTheme="majorHAnsi" w:cstheme="majorHAnsi"/>
          <w:lang w:val="en-GB"/>
        </w:rPr>
        <w:t>.</w:t>
      </w:r>
      <w:r w:rsidRPr="005173CD">
        <w:rPr>
          <w:rFonts w:asciiTheme="majorHAnsi" w:hAnsiTheme="majorHAnsi" w:cstheme="majorHAnsi"/>
          <w:lang w:val="en-GB"/>
        </w:rPr>
        <w:t>9</w:t>
      </w:r>
      <w:r w:rsidR="001271FC">
        <w:rPr>
          <w:rFonts w:asciiTheme="majorHAnsi" w:hAnsiTheme="majorHAnsi" w:cstheme="majorHAnsi"/>
          <w:lang w:val="en-GB"/>
        </w:rPr>
        <w:t>0</w:t>
      </w:r>
      <w:r w:rsidRPr="005173CD">
        <w:rPr>
          <w:rFonts w:asciiTheme="majorHAnsi" w:hAnsiTheme="majorHAnsi" w:cstheme="majorHAnsi"/>
          <w:lang w:val="en-GB"/>
        </w:rPr>
        <w:t>%, and 2</w:t>
      </w:r>
      <w:r w:rsidR="4B647211" w:rsidRPr="005173CD">
        <w:rPr>
          <w:rFonts w:asciiTheme="majorHAnsi" w:hAnsiTheme="majorHAnsi" w:cstheme="majorHAnsi"/>
          <w:lang w:val="en-GB"/>
        </w:rPr>
        <w:t>.</w:t>
      </w:r>
      <w:r w:rsidRPr="005173CD">
        <w:rPr>
          <w:rFonts w:asciiTheme="majorHAnsi" w:hAnsiTheme="majorHAnsi" w:cstheme="majorHAnsi"/>
          <w:lang w:val="en-GB"/>
        </w:rPr>
        <w:t xml:space="preserve">57%, respectively. However, it underestimated for the White </w:t>
      </w:r>
      <w:r w:rsidR="5922B201" w:rsidRPr="005173CD">
        <w:rPr>
          <w:rFonts w:asciiTheme="majorHAnsi" w:hAnsiTheme="majorHAnsi" w:cstheme="majorHAnsi"/>
          <w:lang w:val="en-GB"/>
        </w:rPr>
        <w:t>population</w:t>
      </w:r>
      <w:r w:rsidRPr="005173CD">
        <w:rPr>
          <w:rFonts w:asciiTheme="majorHAnsi" w:hAnsiTheme="majorHAnsi" w:cstheme="majorHAnsi"/>
          <w:lang w:val="en-GB"/>
        </w:rPr>
        <w:t xml:space="preserve"> by 1</w:t>
      </w:r>
      <w:r w:rsidR="4B647211" w:rsidRPr="005173CD">
        <w:rPr>
          <w:rFonts w:asciiTheme="majorHAnsi" w:hAnsiTheme="majorHAnsi" w:cstheme="majorHAnsi"/>
          <w:lang w:val="en-GB"/>
        </w:rPr>
        <w:t>.</w:t>
      </w:r>
      <w:r w:rsidRPr="005173CD">
        <w:rPr>
          <w:rFonts w:asciiTheme="majorHAnsi" w:hAnsiTheme="majorHAnsi" w:cstheme="majorHAnsi"/>
          <w:lang w:val="en-GB"/>
        </w:rPr>
        <w:t xml:space="preserve">07%. Both model 2 and 3 performed better than model 1 in terms of mean relative error at all population sizes except 100 000. However, the mean relative error was still quite large for the Asian </w:t>
      </w:r>
      <w:r w:rsidR="5922B201" w:rsidRPr="005173CD">
        <w:rPr>
          <w:rFonts w:asciiTheme="majorHAnsi" w:hAnsiTheme="majorHAnsi" w:cstheme="majorHAnsi"/>
          <w:lang w:val="en-GB"/>
        </w:rPr>
        <w:t>population</w:t>
      </w:r>
      <w:r w:rsidRPr="005173CD">
        <w:rPr>
          <w:rFonts w:asciiTheme="majorHAnsi" w:hAnsiTheme="majorHAnsi" w:cstheme="majorHAnsi"/>
          <w:lang w:val="en-GB"/>
        </w:rPr>
        <w:t>; at size 10, model 2 and model 3 overestimated by 7</w:t>
      </w:r>
      <w:r w:rsidR="4B3F06ED" w:rsidRPr="005173CD">
        <w:rPr>
          <w:rFonts w:asciiTheme="majorHAnsi" w:hAnsiTheme="majorHAnsi" w:cstheme="majorHAnsi"/>
          <w:lang w:val="en-GB"/>
        </w:rPr>
        <w:t>.</w:t>
      </w:r>
      <w:r w:rsidRPr="005173CD">
        <w:rPr>
          <w:rFonts w:asciiTheme="majorHAnsi" w:hAnsiTheme="majorHAnsi" w:cstheme="majorHAnsi"/>
          <w:lang w:val="en-GB"/>
        </w:rPr>
        <w:t>77% and 6</w:t>
      </w:r>
      <w:r w:rsidR="4B3F06ED" w:rsidRPr="005173CD">
        <w:rPr>
          <w:rFonts w:asciiTheme="majorHAnsi" w:hAnsiTheme="majorHAnsi" w:cstheme="majorHAnsi"/>
          <w:lang w:val="en-GB"/>
        </w:rPr>
        <w:t>.</w:t>
      </w:r>
      <w:r w:rsidRPr="005173CD">
        <w:rPr>
          <w:rFonts w:asciiTheme="majorHAnsi" w:hAnsiTheme="majorHAnsi" w:cstheme="majorHAnsi"/>
          <w:lang w:val="en-GB"/>
        </w:rPr>
        <w:t xml:space="preserve">98%, respectively. However, the Asian </w:t>
      </w:r>
      <w:r w:rsidR="5922B201" w:rsidRPr="005173CD">
        <w:rPr>
          <w:rFonts w:asciiTheme="majorHAnsi" w:hAnsiTheme="majorHAnsi" w:cstheme="majorHAnsi"/>
          <w:lang w:val="en-GB"/>
        </w:rPr>
        <w:t>population</w:t>
      </w:r>
      <w:r w:rsidRPr="005173CD">
        <w:rPr>
          <w:rFonts w:asciiTheme="majorHAnsi" w:hAnsiTheme="majorHAnsi" w:cstheme="majorHAnsi"/>
          <w:lang w:val="en-GB"/>
        </w:rPr>
        <w:t xml:space="preserve"> only had four counties in the validation set, so it is difficult to </w:t>
      </w:r>
      <w:r w:rsidRPr="005173CD">
        <w:rPr>
          <w:rFonts w:asciiTheme="majorHAnsi" w:hAnsiTheme="majorHAnsi" w:cstheme="majorHAnsi"/>
          <w:lang w:val="en-GB"/>
        </w:rPr>
        <w:lastRenderedPageBreak/>
        <w:t>draw general conclusions about bias for this racial</w:t>
      </w:r>
      <w:r w:rsidR="4B647211"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4B647211" w:rsidRPr="005173CD">
        <w:rPr>
          <w:rFonts w:asciiTheme="majorHAnsi" w:hAnsiTheme="majorHAnsi" w:cstheme="majorHAnsi"/>
          <w:lang w:val="en-GB"/>
        </w:rPr>
        <w:t>population</w:t>
      </w:r>
      <w:r w:rsidRPr="005173CD">
        <w:rPr>
          <w:rFonts w:asciiTheme="majorHAnsi" w:hAnsiTheme="majorHAnsi" w:cstheme="majorHAnsi"/>
          <w:lang w:val="en-GB"/>
        </w:rPr>
        <w:t>. Across all racial</w:t>
      </w:r>
      <w:r w:rsidR="4B647211"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4B647211" w:rsidRPr="005173CD">
        <w:rPr>
          <w:rFonts w:asciiTheme="majorHAnsi" w:hAnsiTheme="majorHAnsi" w:cstheme="majorHAnsi"/>
          <w:lang w:val="en-GB"/>
        </w:rPr>
        <w:t>population</w:t>
      </w:r>
      <w:r w:rsidRPr="005173CD">
        <w:rPr>
          <w:rFonts w:asciiTheme="majorHAnsi" w:hAnsiTheme="majorHAnsi" w:cstheme="majorHAnsi"/>
          <w:lang w:val="en-GB"/>
        </w:rPr>
        <w:t xml:space="preserve">s, the mean relative errors for model 2 were smaller in magnitude compared </w:t>
      </w:r>
      <w:r w:rsidR="0CC1F13D" w:rsidRPr="005173CD">
        <w:rPr>
          <w:rFonts w:asciiTheme="majorHAnsi" w:hAnsiTheme="majorHAnsi" w:cstheme="majorHAnsi"/>
          <w:lang w:val="en-GB"/>
        </w:rPr>
        <w:t>with</w:t>
      </w:r>
      <w:r w:rsidRPr="005173CD">
        <w:rPr>
          <w:rFonts w:asciiTheme="majorHAnsi" w:hAnsiTheme="majorHAnsi" w:cstheme="majorHAnsi"/>
          <w:lang w:val="en-GB"/>
        </w:rPr>
        <w:t xml:space="preserve"> the other models for about 70% of racial</w:t>
      </w:r>
      <w:r w:rsidR="0CC1F13D"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CC1F13D" w:rsidRPr="005173CD">
        <w:rPr>
          <w:rFonts w:asciiTheme="majorHAnsi" w:hAnsiTheme="majorHAnsi" w:cstheme="majorHAnsi"/>
          <w:lang w:val="en-GB"/>
        </w:rPr>
        <w:t>population</w:t>
      </w:r>
      <w:r w:rsidRPr="005173CD">
        <w:rPr>
          <w:rFonts w:asciiTheme="majorHAnsi" w:hAnsiTheme="majorHAnsi" w:cstheme="majorHAnsi"/>
          <w:lang w:val="en-GB"/>
        </w:rPr>
        <w:t xml:space="preserve">s and population sizes, but they were </w:t>
      </w:r>
      <w:proofErr w:type="gramStart"/>
      <w:r w:rsidRPr="005173CD">
        <w:rPr>
          <w:rFonts w:asciiTheme="majorHAnsi" w:hAnsiTheme="majorHAnsi" w:cstheme="majorHAnsi"/>
          <w:lang w:val="en-GB"/>
        </w:rPr>
        <w:t>similar to</w:t>
      </w:r>
      <w:proofErr w:type="gramEnd"/>
      <w:r w:rsidRPr="005173CD">
        <w:rPr>
          <w:rFonts w:asciiTheme="majorHAnsi" w:hAnsiTheme="majorHAnsi" w:cstheme="majorHAnsi"/>
          <w:lang w:val="en-GB"/>
        </w:rPr>
        <w:t xml:space="preserve"> those from model 3. </w:t>
      </w:r>
    </w:p>
    <w:p w14:paraId="1233D83B" w14:textId="77777777" w:rsidR="00C55B46" w:rsidRPr="005173CD" w:rsidRDefault="00C55B46" w:rsidP="00C55B46">
      <w:pPr>
        <w:spacing w:after="0" w:line="360" w:lineRule="auto"/>
        <w:rPr>
          <w:rFonts w:asciiTheme="majorHAnsi" w:hAnsiTheme="majorHAnsi" w:cstheme="majorHAnsi"/>
          <w:lang w:val="en-GB"/>
        </w:rPr>
      </w:pPr>
    </w:p>
    <w:p w14:paraId="69FB0CB9" w14:textId="1E0CC06D" w:rsidR="00C55B46" w:rsidRPr="005173CD" w:rsidRDefault="00C55B46" w:rsidP="00C55B46">
      <w:pPr>
        <w:spacing w:after="0" w:line="360" w:lineRule="auto"/>
        <w:rPr>
          <w:rFonts w:asciiTheme="majorHAnsi" w:hAnsiTheme="majorHAnsi" w:cstheme="majorHAnsi"/>
          <w:lang w:val="en-GB"/>
        </w:rPr>
      </w:pPr>
      <w:r w:rsidRPr="005173CD">
        <w:rPr>
          <w:rFonts w:asciiTheme="majorHAnsi" w:hAnsiTheme="majorHAnsi" w:cstheme="majorHAnsi"/>
          <w:lang w:val="en-GB"/>
        </w:rPr>
        <w:t>The mean absolute relative error is a measure of overall error</w:t>
      </w:r>
      <w:r w:rsidR="00144950" w:rsidRPr="005173CD">
        <w:rPr>
          <w:rFonts w:asciiTheme="majorHAnsi" w:eastAsiaTheme="minorEastAsia" w:hAnsiTheme="majorHAnsi" w:cstheme="majorHAnsi"/>
          <w:lang w:val="en-GB"/>
        </w:rPr>
        <w:t>—</w:t>
      </w:r>
      <w:proofErr w:type="spellStart"/>
      <w:r w:rsidRPr="005173CD">
        <w:rPr>
          <w:rFonts w:asciiTheme="majorHAnsi" w:hAnsiTheme="majorHAnsi" w:cstheme="majorHAnsi"/>
          <w:lang w:val="en-GB"/>
        </w:rPr>
        <w:t>ie</w:t>
      </w:r>
      <w:proofErr w:type="spellEnd"/>
      <w:r w:rsidRPr="005173CD">
        <w:rPr>
          <w:rFonts w:asciiTheme="majorHAnsi" w:hAnsiTheme="majorHAnsi" w:cstheme="majorHAnsi"/>
          <w:lang w:val="en-GB"/>
        </w:rPr>
        <w:t xml:space="preserve">, how much the model estimates differ from true estimates irrespective of direction. It is also measured as a percent difference compared </w:t>
      </w:r>
      <w:r w:rsidR="00144950" w:rsidRPr="005173CD">
        <w:rPr>
          <w:rFonts w:asciiTheme="majorHAnsi" w:hAnsiTheme="majorHAnsi" w:cstheme="majorHAnsi"/>
          <w:lang w:val="en-GB"/>
        </w:rPr>
        <w:t>with</w:t>
      </w:r>
      <w:r w:rsidRPr="005173CD">
        <w:rPr>
          <w:rFonts w:asciiTheme="majorHAnsi" w:hAnsiTheme="majorHAnsi" w:cstheme="majorHAnsi"/>
          <w:lang w:val="en-GB"/>
        </w:rPr>
        <w:t xml:space="preserve"> the gold standard. As expected, mean absolute relative errors tended to improve as size increased for all models and all racial</w:t>
      </w:r>
      <w:r w:rsidR="00144950"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144950" w:rsidRPr="005173CD">
        <w:rPr>
          <w:rFonts w:asciiTheme="majorHAnsi" w:hAnsiTheme="majorHAnsi" w:cstheme="majorHAnsi"/>
          <w:lang w:val="en-GB"/>
        </w:rPr>
        <w:t>population</w:t>
      </w:r>
      <w:r w:rsidRPr="005173CD">
        <w:rPr>
          <w:rFonts w:asciiTheme="majorHAnsi" w:hAnsiTheme="majorHAnsi" w:cstheme="majorHAnsi"/>
          <w:lang w:val="en-GB"/>
        </w:rPr>
        <w:t>s. All three models performed similarly across population sizes, although model 1 performed slightly better for about 65% of the population sizes and racial</w:t>
      </w:r>
      <w:r w:rsidR="00144950"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144950" w:rsidRPr="005173CD">
        <w:rPr>
          <w:rFonts w:asciiTheme="majorHAnsi" w:hAnsiTheme="majorHAnsi" w:cstheme="majorHAnsi"/>
          <w:lang w:val="en-GB"/>
        </w:rPr>
        <w:t>population</w:t>
      </w:r>
      <w:r w:rsidRPr="005173CD">
        <w:rPr>
          <w:rFonts w:asciiTheme="majorHAnsi" w:hAnsiTheme="majorHAnsi" w:cstheme="majorHAnsi"/>
          <w:lang w:val="en-GB"/>
        </w:rPr>
        <w:t>s. Except for the estimates for the White population, model 1 did not perform as well at population sizes 10 and 100.</w:t>
      </w:r>
    </w:p>
    <w:p w14:paraId="5F240560" w14:textId="77777777" w:rsidR="00C55B46" w:rsidRPr="005173CD" w:rsidRDefault="00C55B46" w:rsidP="00C55B46">
      <w:pPr>
        <w:spacing w:after="0" w:line="360" w:lineRule="auto"/>
        <w:rPr>
          <w:rFonts w:asciiTheme="majorHAnsi" w:hAnsiTheme="majorHAnsi" w:cstheme="majorHAnsi"/>
          <w:lang w:val="en-GB"/>
        </w:rPr>
      </w:pPr>
    </w:p>
    <w:p w14:paraId="03EF0A7F" w14:textId="76D7149E" w:rsidR="00C55B46" w:rsidRPr="005173CD" w:rsidRDefault="00C55B46" w:rsidP="00C55B46">
      <w:pPr>
        <w:spacing w:after="0" w:line="360" w:lineRule="auto"/>
        <w:rPr>
          <w:rFonts w:asciiTheme="majorHAnsi" w:hAnsiTheme="majorHAnsi" w:cstheme="majorHAnsi"/>
          <w:lang w:val="en-GB"/>
        </w:rPr>
      </w:pPr>
      <w:r w:rsidRPr="005173CD">
        <w:rPr>
          <w:rFonts w:asciiTheme="majorHAnsi" w:hAnsiTheme="majorHAnsi" w:cstheme="majorHAnsi"/>
          <w:lang w:val="en-GB"/>
        </w:rPr>
        <w:t>Coverage is a measure of the calibration of the uncertainty intervals. Ideally, coverage should be close to 95% because that means that the 95% uncertainty intervals were an appropriate reflection of an estimate’s uncertainty. Coverage was similarly close to 95% in all models: across all racial</w:t>
      </w:r>
      <w:r w:rsidR="00144950"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144950" w:rsidRPr="005173CD">
        <w:rPr>
          <w:rFonts w:asciiTheme="majorHAnsi" w:hAnsiTheme="majorHAnsi" w:cstheme="majorHAnsi"/>
          <w:lang w:val="en-GB"/>
        </w:rPr>
        <w:t>population</w:t>
      </w:r>
      <w:r w:rsidRPr="005173CD">
        <w:rPr>
          <w:rFonts w:asciiTheme="majorHAnsi" w:hAnsiTheme="majorHAnsi" w:cstheme="majorHAnsi"/>
          <w:lang w:val="en-GB"/>
        </w:rPr>
        <w:t>s, model 1 had three coverage values within +/- 1 percentage point of 95, wh</w:t>
      </w:r>
      <w:r w:rsidR="005316A5" w:rsidRPr="005173CD">
        <w:rPr>
          <w:rFonts w:asciiTheme="majorHAnsi" w:hAnsiTheme="majorHAnsi" w:cstheme="majorHAnsi"/>
          <w:lang w:val="en-GB"/>
        </w:rPr>
        <w:t>ereas</w:t>
      </w:r>
      <w:r w:rsidRPr="005173CD">
        <w:rPr>
          <w:rFonts w:asciiTheme="majorHAnsi" w:hAnsiTheme="majorHAnsi" w:cstheme="majorHAnsi"/>
          <w:lang w:val="en-GB"/>
        </w:rPr>
        <w:t xml:space="preserve"> models 2 and 3 had two values within this range. Across models, coverage varied similarly across racial</w:t>
      </w:r>
      <w:r w:rsidR="00144950"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144950" w:rsidRPr="005173CD">
        <w:rPr>
          <w:rFonts w:asciiTheme="majorHAnsi" w:hAnsiTheme="majorHAnsi" w:cstheme="majorHAnsi"/>
          <w:lang w:val="en-GB"/>
        </w:rPr>
        <w:t>populations</w:t>
      </w:r>
      <w:r w:rsidRPr="005173CD">
        <w:rPr>
          <w:rFonts w:asciiTheme="majorHAnsi" w:hAnsiTheme="majorHAnsi" w:cstheme="majorHAnsi"/>
          <w:lang w:val="en-GB"/>
        </w:rPr>
        <w:t xml:space="preserve">, resulting in a similar range of values. Coverage tended to be highest at the smallest population </w:t>
      </w:r>
      <w:proofErr w:type="gramStart"/>
      <w:r w:rsidRPr="005173CD">
        <w:rPr>
          <w:rFonts w:asciiTheme="majorHAnsi" w:hAnsiTheme="majorHAnsi" w:cstheme="majorHAnsi"/>
          <w:lang w:val="en-GB"/>
        </w:rPr>
        <w:t>sizes, and</w:t>
      </w:r>
      <w:proofErr w:type="gramEnd"/>
      <w:r w:rsidRPr="005173CD">
        <w:rPr>
          <w:rFonts w:asciiTheme="majorHAnsi" w:hAnsiTheme="majorHAnsi" w:cstheme="majorHAnsi"/>
          <w:lang w:val="en-GB"/>
        </w:rPr>
        <w:t xml:space="preserve"> then decreased as population size increased for most models and racial</w:t>
      </w:r>
      <w:r w:rsidR="005316A5"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5316A5" w:rsidRPr="005173CD">
        <w:rPr>
          <w:rFonts w:asciiTheme="majorHAnsi" w:hAnsiTheme="majorHAnsi" w:cstheme="majorHAnsi"/>
          <w:lang w:val="en-GB"/>
        </w:rPr>
        <w:t>populations</w:t>
      </w:r>
      <w:r w:rsidRPr="005173CD">
        <w:rPr>
          <w:rFonts w:asciiTheme="majorHAnsi" w:hAnsiTheme="majorHAnsi" w:cstheme="majorHAnsi"/>
          <w:lang w:val="en-GB"/>
        </w:rPr>
        <w:t>. This is likely due to the wider uncertainty intervals at smaller population sizes, making it more likely for the gold standard to be included within the uncertainty interval.</w:t>
      </w:r>
    </w:p>
    <w:p w14:paraId="23EF70CE" w14:textId="7F495BFA" w:rsidR="773A0BCF" w:rsidRPr="005173CD" w:rsidRDefault="773A0BCF" w:rsidP="00C55B46">
      <w:pPr>
        <w:spacing w:after="0" w:line="360" w:lineRule="auto"/>
        <w:rPr>
          <w:rFonts w:asciiTheme="majorHAnsi" w:hAnsiTheme="majorHAnsi" w:cstheme="majorHAnsi"/>
          <w:lang w:val="en-GB"/>
        </w:rPr>
      </w:pPr>
    </w:p>
    <w:p w14:paraId="04194393" w14:textId="654999DE" w:rsidR="00377E42" w:rsidRPr="005173CD" w:rsidRDefault="004D101A" w:rsidP="00983528">
      <w:pPr>
        <w:pStyle w:val="Heading2"/>
        <w:spacing w:before="0" w:line="360" w:lineRule="auto"/>
        <w:contextualSpacing/>
        <w:rPr>
          <w:rFonts w:eastAsiaTheme="minorEastAsia" w:cstheme="majorHAnsi"/>
          <w:lang w:val="en-GB"/>
        </w:rPr>
      </w:pPr>
      <w:bookmarkStart w:id="26" w:name="_Toc1675736992"/>
      <w:bookmarkStart w:id="27" w:name="_Toc175308182"/>
      <w:r w:rsidRPr="005173CD">
        <w:rPr>
          <w:rFonts w:eastAsiaTheme="minorEastAsia" w:cstheme="majorHAnsi"/>
          <w:lang w:val="en-GB"/>
        </w:rPr>
        <w:t>2</w:t>
      </w:r>
      <w:r w:rsidR="009664F9" w:rsidRPr="005173CD">
        <w:rPr>
          <w:rFonts w:eastAsiaTheme="minorEastAsia" w:cstheme="majorHAnsi"/>
          <w:lang w:val="en-GB"/>
        </w:rPr>
        <w:t>.</w:t>
      </w:r>
      <w:r w:rsidR="0021151F" w:rsidRPr="005173CD">
        <w:rPr>
          <w:rFonts w:eastAsiaTheme="minorEastAsia" w:cstheme="majorHAnsi"/>
          <w:lang w:val="en-GB"/>
        </w:rPr>
        <w:t>6</w:t>
      </w:r>
      <w:r w:rsidR="009664F9" w:rsidRPr="005173CD">
        <w:rPr>
          <w:rFonts w:eastAsiaTheme="minorEastAsia" w:cstheme="majorHAnsi"/>
          <w:lang w:val="en-GB"/>
        </w:rPr>
        <w:t xml:space="preserve"> </w:t>
      </w:r>
      <w:bookmarkEnd w:id="26"/>
      <w:r w:rsidR="008320F6" w:rsidRPr="005173CD">
        <w:rPr>
          <w:rFonts w:eastAsiaTheme="minorEastAsia" w:cstheme="majorHAnsi"/>
          <w:lang w:val="en-GB"/>
        </w:rPr>
        <w:t>Derivation of misclassification ratios by county, age, sex, and racial</w:t>
      </w:r>
      <w:r w:rsidR="005316A5" w:rsidRPr="005173CD">
        <w:rPr>
          <w:rFonts w:eastAsiaTheme="minorEastAsia" w:cstheme="majorHAnsi"/>
          <w:lang w:val="en-GB"/>
        </w:rPr>
        <w:t xml:space="preserve"> and </w:t>
      </w:r>
      <w:r w:rsidR="008320F6" w:rsidRPr="005173CD">
        <w:rPr>
          <w:rFonts w:eastAsiaTheme="minorEastAsia" w:cstheme="majorHAnsi"/>
          <w:lang w:val="en-GB"/>
        </w:rPr>
        <w:t xml:space="preserve">ethnic </w:t>
      </w:r>
      <w:r w:rsidR="005316A5" w:rsidRPr="005173CD">
        <w:rPr>
          <w:rFonts w:eastAsiaTheme="minorEastAsia" w:cstheme="majorHAnsi"/>
          <w:lang w:val="en-GB"/>
        </w:rPr>
        <w:t>population</w:t>
      </w:r>
      <w:bookmarkEnd w:id="27"/>
    </w:p>
    <w:p w14:paraId="24EC90F4" w14:textId="77777777" w:rsidR="00952E1A" w:rsidRPr="005173CD" w:rsidRDefault="00952E1A" w:rsidP="00952E1A">
      <w:pPr>
        <w:pStyle w:val="Heading3"/>
        <w:spacing w:before="0" w:line="360" w:lineRule="auto"/>
        <w:contextualSpacing/>
        <w:rPr>
          <w:rFonts w:cstheme="majorHAnsi"/>
          <w:lang w:val="en-GB"/>
        </w:rPr>
      </w:pPr>
      <w:bookmarkStart w:id="28" w:name="_Toc1364886643"/>
      <w:bookmarkStart w:id="29" w:name="_Toc112329081"/>
      <w:bookmarkStart w:id="30" w:name="_Toc175308183"/>
      <w:r w:rsidRPr="005173CD">
        <w:rPr>
          <w:rFonts w:cstheme="majorHAnsi"/>
          <w:lang w:val="en-GB"/>
        </w:rPr>
        <w:t>Extraction</w:t>
      </w:r>
      <w:bookmarkEnd w:id="28"/>
      <w:bookmarkEnd w:id="29"/>
      <w:bookmarkEnd w:id="30"/>
    </w:p>
    <w:p w14:paraId="2281AA13" w14:textId="7F10F340" w:rsidR="00952E1A" w:rsidRPr="005173CD" w:rsidRDefault="00952E1A" w:rsidP="00952E1A">
      <w:pPr>
        <w:spacing w:after="0" w:line="360" w:lineRule="auto"/>
        <w:contextualSpacing/>
        <w:rPr>
          <w:rFonts w:asciiTheme="majorHAnsi" w:hAnsiTheme="majorHAnsi" w:cstheme="majorHAnsi"/>
          <w:lang w:val="en-GB"/>
        </w:rPr>
      </w:pPr>
      <w:r w:rsidRPr="005173CD">
        <w:rPr>
          <w:rFonts w:asciiTheme="majorHAnsi" w:hAnsiTheme="majorHAnsi" w:cstheme="majorHAnsi"/>
          <w:lang w:val="en-GB"/>
        </w:rPr>
        <w:t>Overall misclassification ratios, as well as misclassification ratios by age and sex, census region, and co-ethnic density were extracted from Arias et al.</w:t>
      </w:r>
      <w:r w:rsidRPr="005173CD">
        <w:rPr>
          <w:rFonts w:asciiTheme="majorHAnsi" w:hAnsiTheme="majorHAnsi" w:cstheme="majorHAnsi"/>
          <w:lang w:val="en-GB"/>
        </w:rPr>
        <w:fldChar w:fldCharType="begin"/>
      </w:r>
      <w:r w:rsidR="00CD15EE">
        <w:rPr>
          <w:rFonts w:asciiTheme="majorHAnsi" w:hAnsiTheme="majorHAnsi" w:cstheme="majorHAnsi"/>
          <w:lang w:val="en-GB"/>
        </w:rPr>
        <w:instrText xml:space="preserve"> ADDIN ZOTERO_ITEM CSL_CITATION {"citationID":"Rx9fP31l","properties":{"formattedCitation":"\\super 7\\nosupersub{}","plainCitation":"7","noteIndex":0},"citationItems":[{"id":39199,"uris":["http://zotero.org/groups/2703628/items/TWBKEKIV"],"itemData":{"id":39199,"type":"article-journal","abstract":"Objectives\nThis report presents the findings of an updated study of the validity of race and Hispanic-origin reporting on death certificates in the United States, and its impact on race- and Hispanic origin-specific death rates.\n\nMethods\nThe latest version of the National Longitudinal Mortality Study (NLMS) was used to evaluate the classification of race and Hispanic origin on death certificates for deaths occurring in 1999–2011 to decedents in NLMS. To evaluate change over time, these results were compared with those of a study based on an earlier version of NLMS that evaluated the quality of race and ethnicity classification on death certificates for 1979–1989 and 1990–1998. NLMS consists of a series of annual Current Population Survey files (1973 and 1978–2011) and a sample of the 1980 decennial census linked to death certificates for 1979–2011. Pooled 2009–2011 vital statistics mortality data and 2010 decennial census population data were used to estimate and compare observed and corrected race- and Hispanic origin-specific death rates.\n\nResults\nRace and ethnicity reporting on death certificates continued to be highly accurate for both white and black populations during the 1999–2011 period. Misclassification remained high at 40% for the American Indian or Alaska Native (AIAN) population. It improved, from 5% to 3%, for the Hispanic population, and from 7% to 3% for the Asian or Pacific Islander (API) population. Decedent characteristics such as place of residence and nativity affected the quality of reporting on the death certificate. Effects of misclassification on death rates were large for the AIAN population but not significant for the Hispanic or API populations.","container-title":"Vital and Health Statistics. Series 2, Data Evaluation and Methods Research","ISSN":"2333-0872","issue":"172","journalAbbreviation":"Vital Health Stat 2","language":"eng","note":"PMID: 28436642","page":"1-21","source":"PubMed","title":"The Validity of Race and Hispanic-origin Reporting on Death Certificates in the United States: An Update","title-short":"The Validity of Race and Hispanic-origin Reporting on Death Certificates in the United States","author":[{"family":"Arias","given":"Elizabeth"},{"family":"Heron","given":"Melonie"},{"family":"Hakes","given":"Jahn"}],"issued":{"date-parts":[["2016",8,1]]}}}],"schema":"https://github.com/citation-style-language/schema/raw/master/csl-citation.json"} </w:instrText>
      </w:r>
      <w:r w:rsidRPr="005173CD">
        <w:rPr>
          <w:rFonts w:asciiTheme="majorHAnsi" w:hAnsiTheme="majorHAnsi" w:cstheme="majorHAnsi"/>
          <w:lang w:val="en-GB"/>
        </w:rPr>
        <w:fldChar w:fldCharType="separate"/>
      </w:r>
      <w:r w:rsidR="00667CAA" w:rsidRPr="005173CD">
        <w:rPr>
          <w:rFonts w:asciiTheme="majorHAnsi" w:hAnsiTheme="majorHAnsi" w:cstheme="majorHAnsi"/>
          <w:szCs w:val="24"/>
          <w:vertAlign w:val="superscript"/>
        </w:rPr>
        <w:t>7</w:t>
      </w:r>
      <w:r w:rsidRPr="005173CD">
        <w:rPr>
          <w:rFonts w:asciiTheme="majorHAnsi" w:hAnsiTheme="majorHAnsi" w:cstheme="majorHAnsi"/>
          <w:lang w:val="en-GB"/>
        </w:rPr>
        <w:fldChar w:fldCharType="end"/>
      </w:r>
      <w:r w:rsidRPr="005173CD">
        <w:rPr>
          <w:rFonts w:asciiTheme="majorHAnsi" w:hAnsiTheme="majorHAnsi" w:cstheme="majorHAnsi"/>
          <w:lang w:val="en-GB"/>
        </w:rPr>
        <w:t xml:space="preserve"> for five racial</w:t>
      </w:r>
      <w:r w:rsidR="005316A5"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5316A5" w:rsidRPr="005173CD">
        <w:rPr>
          <w:rFonts w:asciiTheme="majorHAnsi" w:hAnsiTheme="majorHAnsi" w:cstheme="majorHAnsi"/>
          <w:lang w:val="en-GB"/>
        </w:rPr>
        <w:t>population</w:t>
      </w:r>
      <w:r w:rsidRPr="005173CD">
        <w:rPr>
          <w:rFonts w:asciiTheme="majorHAnsi" w:hAnsiTheme="majorHAnsi" w:cstheme="majorHAnsi"/>
          <w:lang w:val="en-GB"/>
        </w:rPr>
        <w:t xml:space="preserve">s: </w:t>
      </w:r>
      <w:r w:rsidR="005316A5" w:rsidRPr="005173CD">
        <w:rPr>
          <w:rFonts w:asciiTheme="majorHAnsi" w:hAnsiTheme="majorHAnsi" w:cstheme="majorHAnsi"/>
          <w:lang w:val="en-GB"/>
        </w:rPr>
        <w:t xml:space="preserve">AIAN, Asian, </w:t>
      </w:r>
      <w:r w:rsidRPr="005173CD">
        <w:rPr>
          <w:rFonts w:asciiTheme="majorHAnsi" w:hAnsiTheme="majorHAnsi" w:cstheme="majorHAnsi"/>
          <w:lang w:val="en-GB"/>
        </w:rPr>
        <w:t>Black, Latino</w:t>
      </w:r>
      <w:r w:rsidR="005316A5" w:rsidRPr="005173CD">
        <w:rPr>
          <w:rFonts w:asciiTheme="majorHAnsi" w:hAnsiTheme="majorHAnsi" w:cstheme="majorHAnsi"/>
          <w:lang w:val="en-GB"/>
        </w:rPr>
        <w:t>, and White</w:t>
      </w:r>
      <w:r w:rsidRPr="005173CD">
        <w:rPr>
          <w:rFonts w:asciiTheme="majorHAnsi" w:hAnsiTheme="majorHAnsi" w:cstheme="majorHAnsi"/>
          <w:lang w:val="en-GB"/>
        </w:rPr>
        <w:t xml:space="preserve">. Specifically, </w:t>
      </w:r>
      <w:r w:rsidR="008C54D8">
        <w:rPr>
          <w:rFonts w:asciiTheme="majorHAnsi" w:hAnsiTheme="majorHAnsi" w:cstheme="majorHAnsi"/>
          <w:lang w:val="en-GB"/>
        </w:rPr>
        <w:t>estimated misclassification ratios and their corresponding standard errors</w:t>
      </w:r>
      <w:r w:rsidRPr="005173CD">
        <w:rPr>
          <w:rFonts w:asciiTheme="majorHAnsi" w:hAnsiTheme="majorHAnsi" w:cstheme="majorHAnsi"/>
          <w:lang w:val="en-GB"/>
        </w:rPr>
        <w:t xml:space="preserve"> were extracted from the following </w:t>
      </w:r>
      <w:r w:rsidR="005316A5" w:rsidRPr="005173CD">
        <w:rPr>
          <w:rFonts w:asciiTheme="majorHAnsi" w:hAnsiTheme="majorHAnsi" w:cstheme="majorHAnsi"/>
          <w:lang w:val="en-GB"/>
        </w:rPr>
        <w:t>numbered tables in Arias et al.</w:t>
      </w:r>
      <w:r w:rsidRPr="005173CD">
        <w:rPr>
          <w:rFonts w:asciiTheme="majorHAnsi" w:hAnsiTheme="majorHAnsi" w:cstheme="majorHAnsi"/>
          <w:lang w:val="en-GB"/>
        </w:rPr>
        <w:t xml:space="preserve">: </w:t>
      </w:r>
    </w:p>
    <w:p w14:paraId="63664EAD" w14:textId="77777777" w:rsidR="00952E1A" w:rsidRPr="005173CD" w:rsidRDefault="00952E1A" w:rsidP="00952E1A">
      <w:pPr>
        <w:numPr>
          <w:ilvl w:val="0"/>
          <w:numId w:val="12"/>
        </w:numPr>
        <w:spacing w:after="0" w:line="360" w:lineRule="auto"/>
        <w:rPr>
          <w:rFonts w:asciiTheme="majorHAnsi" w:hAnsiTheme="majorHAnsi" w:cstheme="majorHAnsi"/>
          <w:lang w:val="en-GB"/>
        </w:rPr>
      </w:pPr>
      <w:r w:rsidRPr="005173CD">
        <w:rPr>
          <w:rFonts w:asciiTheme="majorHAnsi" w:hAnsiTheme="majorHAnsi" w:cstheme="majorHAnsi"/>
          <w:lang w:val="en-GB"/>
        </w:rPr>
        <w:t>Overall misclassification ratios: Table 2, “Total” column for both sexes.</w:t>
      </w:r>
    </w:p>
    <w:p w14:paraId="66E53064" w14:textId="77777777" w:rsidR="00952E1A" w:rsidRPr="005173CD" w:rsidRDefault="00952E1A" w:rsidP="00952E1A">
      <w:pPr>
        <w:numPr>
          <w:ilvl w:val="0"/>
          <w:numId w:val="12"/>
        </w:numPr>
        <w:spacing w:after="0" w:line="360" w:lineRule="auto"/>
        <w:rPr>
          <w:rFonts w:asciiTheme="majorHAnsi" w:hAnsiTheme="majorHAnsi" w:cstheme="majorHAnsi"/>
          <w:lang w:val="en-GB"/>
        </w:rPr>
      </w:pPr>
      <w:r w:rsidRPr="005173CD">
        <w:rPr>
          <w:rFonts w:asciiTheme="majorHAnsi" w:hAnsiTheme="majorHAnsi" w:cstheme="majorHAnsi"/>
          <w:lang w:val="en-GB"/>
        </w:rPr>
        <w:lastRenderedPageBreak/>
        <w:t>Age-sex misclassification ratios: Table 2, age-specific columns for each sex separately.</w:t>
      </w:r>
    </w:p>
    <w:p w14:paraId="017E5B9A" w14:textId="77777777" w:rsidR="00952E1A" w:rsidRPr="005173CD" w:rsidRDefault="00952E1A" w:rsidP="00952E1A">
      <w:pPr>
        <w:numPr>
          <w:ilvl w:val="0"/>
          <w:numId w:val="12"/>
        </w:numPr>
        <w:spacing w:after="0" w:line="360" w:lineRule="auto"/>
        <w:rPr>
          <w:rFonts w:asciiTheme="majorHAnsi" w:hAnsiTheme="majorHAnsi" w:cstheme="majorHAnsi"/>
          <w:lang w:val="en-GB"/>
        </w:rPr>
      </w:pPr>
      <w:r w:rsidRPr="005173CD">
        <w:rPr>
          <w:rFonts w:asciiTheme="majorHAnsi" w:hAnsiTheme="majorHAnsi" w:cstheme="majorHAnsi"/>
          <w:lang w:val="en-GB"/>
        </w:rPr>
        <w:t>Census region misclassification ratios: Table 3, results by “Region”</w:t>
      </w:r>
    </w:p>
    <w:p w14:paraId="678CCC4E" w14:textId="77777777" w:rsidR="00952E1A" w:rsidRPr="005173CD" w:rsidRDefault="00952E1A" w:rsidP="00952E1A">
      <w:pPr>
        <w:numPr>
          <w:ilvl w:val="0"/>
          <w:numId w:val="12"/>
        </w:numPr>
        <w:spacing w:after="0" w:line="360" w:lineRule="auto"/>
        <w:rPr>
          <w:rFonts w:asciiTheme="majorHAnsi" w:hAnsiTheme="majorHAnsi" w:cstheme="majorHAnsi"/>
          <w:lang w:val="en-GB"/>
        </w:rPr>
      </w:pPr>
      <w:r w:rsidRPr="005173CD">
        <w:rPr>
          <w:rFonts w:asciiTheme="majorHAnsi" w:hAnsiTheme="majorHAnsi" w:cstheme="majorHAnsi"/>
          <w:lang w:val="en-GB"/>
        </w:rPr>
        <w:t>Co-ethnic density misclassification ratios: Table 3, results by “</w:t>
      </w:r>
      <w:proofErr w:type="spellStart"/>
      <w:r w:rsidRPr="005173CD">
        <w:rPr>
          <w:rFonts w:asciiTheme="majorHAnsi" w:hAnsiTheme="majorHAnsi" w:cstheme="majorHAnsi"/>
          <w:lang w:val="en-GB"/>
        </w:rPr>
        <w:t>Coethnic</w:t>
      </w:r>
      <w:proofErr w:type="spellEnd"/>
      <w:r w:rsidRPr="005173CD">
        <w:rPr>
          <w:rFonts w:asciiTheme="majorHAnsi" w:hAnsiTheme="majorHAnsi" w:cstheme="majorHAnsi"/>
          <w:lang w:val="en-GB"/>
        </w:rPr>
        <w:t xml:space="preserve"> concentration”; AIAN ratios extracted from the results shown for all AIAN because these were not available specifically for non-Latino AIAN.</w:t>
      </w:r>
    </w:p>
    <w:p w14:paraId="1F86B05E" w14:textId="77777777" w:rsidR="00952E1A" w:rsidRPr="005173CD" w:rsidRDefault="00952E1A" w:rsidP="00952E1A">
      <w:pPr>
        <w:spacing w:after="0" w:line="360" w:lineRule="auto"/>
        <w:contextualSpacing/>
        <w:rPr>
          <w:rFonts w:asciiTheme="majorHAnsi" w:hAnsiTheme="majorHAnsi" w:cstheme="majorHAnsi"/>
          <w:lang w:val="en-GB"/>
        </w:rPr>
      </w:pPr>
    </w:p>
    <w:p w14:paraId="0D28D7E6" w14:textId="33D09A22" w:rsidR="00952E1A" w:rsidRPr="005173CD" w:rsidRDefault="00952E1A" w:rsidP="00952E1A">
      <w:pPr>
        <w:spacing w:after="0" w:line="360" w:lineRule="auto"/>
        <w:contextualSpacing/>
        <w:rPr>
          <w:rFonts w:asciiTheme="majorHAnsi" w:hAnsiTheme="majorHAnsi" w:cstheme="majorHAnsi"/>
          <w:lang w:val="en-GB"/>
        </w:rPr>
      </w:pPr>
      <w:r w:rsidRPr="005173CD">
        <w:rPr>
          <w:rFonts w:asciiTheme="majorHAnsi" w:eastAsiaTheme="minorEastAsia" w:hAnsiTheme="majorHAnsi" w:cstheme="majorHAnsi"/>
          <w:lang w:val="en-GB"/>
        </w:rPr>
        <w:t>T</w:t>
      </w:r>
      <w:r w:rsidRPr="005173CD">
        <w:rPr>
          <w:rFonts w:asciiTheme="majorHAnsi" w:hAnsiTheme="majorHAnsi" w:cstheme="majorHAnsi"/>
          <w:lang w:val="en-GB"/>
        </w:rPr>
        <w:t xml:space="preserve">he co-ethnic density misclassification ratios were assigned to a county </w:t>
      </w:r>
      <w:r w:rsidR="005316A5" w:rsidRPr="005173CD">
        <w:rPr>
          <w:rFonts w:asciiTheme="majorHAnsi" w:hAnsiTheme="majorHAnsi" w:cstheme="majorHAnsi"/>
          <w:lang w:val="en-GB"/>
        </w:rPr>
        <w:t>by</w:t>
      </w:r>
      <w:r w:rsidRPr="005173CD">
        <w:rPr>
          <w:rFonts w:asciiTheme="majorHAnsi" w:hAnsiTheme="majorHAnsi" w:cstheme="majorHAnsi"/>
          <w:lang w:val="en-GB"/>
        </w:rPr>
        <w:t xml:space="preserve"> the same method outlined in Arias et al.</w:t>
      </w:r>
      <w:r w:rsidRPr="005173CD">
        <w:rPr>
          <w:rFonts w:asciiTheme="majorHAnsi" w:hAnsiTheme="majorHAnsi" w:cstheme="majorHAnsi"/>
          <w:lang w:val="en-GB"/>
        </w:rPr>
        <w:fldChar w:fldCharType="begin"/>
      </w:r>
      <w:r w:rsidR="00CD15EE">
        <w:rPr>
          <w:rFonts w:asciiTheme="majorHAnsi" w:hAnsiTheme="majorHAnsi" w:cstheme="majorHAnsi"/>
          <w:lang w:val="en-GB"/>
        </w:rPr>
        <w:instrText xml:space="preserve"> ADDIN ZOTERO_ITEM CSL_CITATION {"citationID":"BvMVjQHL","properties":{"formattedCitation":"\\super 7\\nosupersub{}","plainCitation":"7","noteIndex":0},"citationItems":[{"id":39199,"uris":["http://zotero.org/groups/2703628/items/TWBKEKIV"],"itemData":{"id":39199,"type":"article-journal","abstract":"Objectives\nThis report presents the findings of an updated study of the validity of race and Hispanic-origin reporting on death certificates in the United States, and its impact on race- and Hispanic origin-specific death rates.\n\nMethods\nThe latest version of the National Longitudinal Mortality Study (NLMS) was used to evaluate the classification of race and Hispanic origin on death certificates for deaths occurring in 1999–2011 to decedents in NLMS. To evaluate change over time, these results were compared with those of a study based on an earlier version of NLMS that evaluated the quality of race and ethnicity classification on death certificates for 1979–1989 and 1990–1998. NLMS consists of a series of annual Current Population Survey files (1973 and 1978–2011) and a sample of the 1980 decennial census linked to death certificates for 1979–2011. Pooled 2009–2011 vital statistics mortality data and 2010 decennial census population data were used to estimate and compare observed and corrected race- and Hispanic origin-specific death rates.\n\nResults\nRace and ethnicity reporting on death certificates continued to be highly accurate for both white and black populations during the 1999–2011 period. Misclassification remained high at 40% for the American Indian or Alaska Native (AIAN) population. It improved, from 5% to 3%, for the Hispanic population, and from 7% to 3% for the Asian or Pacific Islander (API) population. Decedent characteristics such as place of residence and nativity affected the quality of reporting on the death certificate. Effects of misclassification on death rates were large for the AIAN population but not significant for the Hispanic or API populations.","container-title":"Vital and Health Statistics. Series 2, Data Evaluation and Methods Research","ISSN":"2333-0872","issue":"172","journalAbbreviation":"Vital Health Stat 2","language":"eng","note":"PMID: 28436642","page":"1-21","source":"PubMed","title":"The Validity of Race and Hispanic-origin Reporting on Death Certificates in the United States: An Update","title-short":"The Validity of Race and Hispanic-origin Reporting on Death Certificates in the United States","author":[{"family":"Arias","given":"Elizabeth"},{"family":"Heron","given":"Melonie"},{"family":"Hakes","given":"Jahn"}],"issued":{"date-parts":[["2016",8,1]]}}}],"schema":"https://github.com/citation-style-language/schema/raw/master/csl-citation.json"} </w:instrText>
      </w:r>
      <w:r w:rsidRPr="005173CD">
        <w:rPr>
          <w:rFonts w:asciiTheme="majorHAnsi" w:hAnsiTheme="majorHAnsi" w:cstheme="majorHAnsi"/>
          <w:lang w:val="en-GB"/>
        </w:rPr>
        <w:fldChar w:fldCharType="separate"/>
      </w:r>
      <w:r w:rsidR="00667CAA" w:rsidRPr="005173CD">
        <w:rPr>
          <w:rFonts w:asciiTheme="majorHAnsi" w:hAnsiTheme="majorHAnsi" w:cstheme="majorHAnsi"/>
          <w:szCs w:val="24"/>
          <w:vertAlign w:val="superscript"/>
        </w:rPr>
        <w:t>7</w:t>
      </w:r>
      <w:r w:rsidRPr="005173CD">
        <w:rPr>
          <w:rFonts w:asciiTheme="majorHAnsi" w:hAnsiTheme="majorHAnsi" w:cstheme="majorHAnsi"/>
          <w:lang w:val="en-GB"/>
        </w:rPr>
        <w:fldChar w:fldCharType="end"/>
      </w:r>
      <w:r w:rsidRPr="005173CD">
        <w:rPr>
          <w:rFonts w:asciiTheme="majorHAnsi" w:hAnsiTheme="majorHAnsi" w:cstheme="majorHAnsi"/>
          <w:lang w:val="en-GB"/>
        </w:rPr>
        <w:t xml:space="preserve"> for the AIAN population, counties in Contract Health Service Delivery Areas (CHSDAs) were considered to have high co-ethnic density; for the Latino population, counties with high co-ethnic density were those within the first 50</w:t>
      </w:r>
      <w:r w:rsidRPr="005173CD">
        <w:rPr>
          <w:rFonts w:asciiTheme="majorHAnsi" w:hAnsiTheme="majorHAnsi" w:cstheme="majorHAnsi"/>
          <w:vertAlign w:val="superscript"/>
          <w:lang w:val="en-GB"/>
        </w:rPr>
        <w:t>th</w:t>
      </w:r>
      <w:r w:rsidRPr="005173CD">
        <w:rPr>
          <w:rFonts w:asciiTheme="majorHAnsi" w:hAnsiTheme="majorHAnsi" w:cstheme="majorHAnsi"/>
          <w:lang w:val="en-GB"/>
        </w:rPr>
        <w:t xml:space="preserve"> percentile of ranked deaths by county between 1999 and 2011. This method assumes that the relative increase or decrease in misclassification for counties with low or high co-ethnic density compared </w:t>
      </w:r>
      <w:r w:rsidR="0031751C" w:rsidRPr="005173CD">
        <w:rPr>
          <w:rFonts w:asciiTheme="majorHAnsi" w:hAnsiTheme="majorHAnsi" w:cstheme="majorHAnsi"/>
          <w:lang w:val="en-GB"/>
        </w:rPr>
        <w:t>with</w:t>
      </w:r>
      <w:r w:rsidRPr="005173CD">
        <w:rPr>
          <w:rFonts w:asciiTheme="majorHAnsi" w:hAnsiTheme="majorHAnsi" w:cstheme="majorHAnsi"/>
          <w:lang w:val="en-GB"/>
        </w:rPr>
        <w:t xml:space="preserve"> the total misclassification ratio for AIAN (including both Latino and non-Latino AIAN) is representative of that for non-Latino AIAN. We are not aware of any studies on this topic, but we make this assumption to include adjustment by co-ethnic density given the evidence that this form of misclassification is especially important with respect to the AIAN population.</w:t>
      </w:r>
      <w:r w:rsidRPr="005173CD">
        <w:rPr>
          <w:rFonts w:asciiTheme="majorHAnsi" w:hAnsiTheme="majorHAnsi" w:cstheme="majorHAnsi"/>
          <w:lang w:val="en-GB"/>
        </w:rPr>
        <w:fldChar w:fldCharType="begin"/>
      </w:r>
      <w:r w:rsidR="00AE6BE4">
        <w:rPr>
          <w:rFonts w:asciiTheme="majorHAnsi" w:hAnsiTheme="majorHAnsi" w:cstheme="majorHAnsi"/>
          <w:lang w:val="en-GB"/>
        </w:rPr>
        <w:instrText xml:space="preserve"> ADDIN ZOTERO_ITEM CSL_CITATION {"citationID":"eKkmxIS9","properties":{"formattedCitation":"\\super 7,24,25\\nosupersub{}","plainCitation":"7,24,25","noteIndex":0},"citationItems":[{"id":39199,"uris":["http://zotero.org/groups/2703628/items/TWBKEKIV"],"itemData":{"id":39199,"type":"article-journal","abstract":"Objectives\nThis report presents the findings of an updated study of the validity of race and Hispanic-origin reporting on death certificates in the United States, and its impact on race- and Hispanic origin-specific death rates.\n\nMethods\nThe latest version of the National Longitudinal Mortality Study (NLMS) was used to evaluate the classification of race and Hispanic origin on death certificates for deaths occurring in 1999–2011 to decedents in NLMS. To evaluate change over time, these results were compared with those of a study based on an earlier version of NLMS that evaluated the quality of race and ethnicity classification on death certificates for 1979–1989 and 1990–1998. NLMS consists of a series of annual Current Population Survey files (1973 and 1978–2011) and a sample of the 1980 decennial census linked to death certificates for 1979–2011. Pooled 2009–2011 vital statistics mortality data and 2010 decennial census population data were used to estimate and compare observed and corrected race- and Hispanic origin-specific death rates.\n\nResults\nRace and ethnicity reporting on death certificates continued to be highly accurate for both white and black populations during the 1999–2011 period. Misclassification remained high at 40% for the American Indian or Alaska Native (AIAN) population. It improved, from 5% to 3%, for the Hispanic population, and from 7% to 3% for the Asian or Pacific Islander (API) population. Decedent characteristics such as place of residence and nativity affected the quality of reporting on the death certificate. Effects of misclassification on death rates were large for the AIAN population but not significant for the Hispanic or API populations.","container-title":"Vital and Health Statistics. Series 2, Data Evaluation and Methods Research","ISSN":"2333-0872","issue":"172","journalAbbreviation":"Vital Health Stat 2","language":"eng","note":"PMID: 28436642","page":"1-21","source":"PubMed","title":"The Validity of Race and Hispanic-origin Reporting on Death Certificates in the United States: An Update","title-short":"The Validity of Race and Hispanic-origin Reporting on Death Certificates in the United States","author":[{"family":"Arias","given":"Elizabeth"},{"family":"Heron","given":"Melonie"},{"family":"Hakes","given":"Jahn"}],"issued":{"date-parts":[["2016",8,1]]}},"label":"page"},{"id":38576,"uris":["http://zotero.org/groups/2703628/items/B37UWRKV"],"itemData":{"id":38576,"type":"article-journal","container-title":"Morbidity and Mortality Weekly Report","ISSN":"01492195","issue":"50","language":"English","page":"1384-1388","source":"go-gale-com.offcampus.lib.washington.edu","title":"Drug, Opioid-Involved, and Heroin-Involved Overdose Deaths Among American Indians and Alaska Natives--Washington, 1999-2015","volume":"67","author":[{"family":"Joshi","given":"Sujata"},{"family":"Weiser","given":"Thomas"},{"family":"Warren-Mears","given":"Victoria"}],"issued":{"date-parts":[["2018",12,21]]}},"label":"page"},{"id":38577,"uris":["http://zotero.org/groups/2703628/items/MZMCZIIM","http://zotero.org/groups/2703628/items/VHCEAH6T"],"itemData":{"id":38577,"type":"article-journal","abstract":"Objectives.American Indians and Alaska Natives (AI/ANs) experience a high burden of mortality and other disparities compared with the general population. Life tables are an important population health indicator; however, federal agencies have not produced life tables for AI/ANs, largely due to racial misclassification on death certificates. Our objective was to correct this misclassification and create life tables for AI/ANs who resided in the Pacific Northwest region of the U.S., making comparisons with the general population.Methods.To correct racial misclassification, we conducted probabilistic record linkages between death certificates from three Northwest states?Idaho, Oregon, and Washington State?issued during 2008?2010, and AI/AN patient registration records. We calculated mortality rates and generated period life tables for AI/ANs and non-Hispanic white (NHW) Americans.Results.Overall life expectancy at birth for Northwest AI/ANs was 72.8 years, which was 6.9 years lower than that of NHW Americans. Male AI/ANs had a lower life expectancy (70.9 years) than female AI/ANs (74.6 years). The disparity in life expectancy between AI/ANs and their NHW counterparts was higher for females (with AI/ANs living 7.3 years fewer than NHW females) than for males (with AI/ANs living 6.7 years fewer than NHW males). The greatest disparity in mortality rates was seen among young adults.Conclusion.Data linkage with a registry of known AI/ANs allowed us to generate accurate life tables that had not previously been available for this population and revealed disparities in both life expectancy at birth and survival across the life span. These results represent an important tool to help AI/AN communities as they monitor their health and promote efforts to eliminate health disparities.","container-title":"Public Health Reports","DOI":"10.1177/003335491513000109","ISSN":"0033-3549","issue":"1","journalAbbreviation":"Public Health Rep","page":"71-80","source":"SAGE Journals","title":"Disparities in Life Expectancy of Pacific Northwest American Indians and Alaska Natives: Analysis of Linkage-Corrected Life Tables","title-short":"Disparities in Life Expectancy of Pacific Northwest American Indians and Alaska Natives","volume":"130","author":[{"family":"Dankovchik","given":"Jenine"},{"family":"Hoopes","given":"Megan J."},{"family":"Warren-Mears","given":"Victoria"},{"family":"Knaster","given":"Elizabeth"}],"issued":{"date-parts":[["2015",1,1]]}},"label":"page"}],"schema":"https://github.com/citation-style-language/schema/raw/master/csl-citation.json"} </w:instrText>
      </w:r>
      <w:r w:rsidRPr="005173CD">
        <w:rPr>
          <w:rFonts w:asciiTheme="majorHAnsi" w:hAnsiTheme="majorHAnsi" w:cstheme="majorHAnsi"/>
          <w:lang w:val="en-GB"/>
        </w:rPr>
        <w:fldChar w:fldCharType="separate"/>
      </w:r>
      <w:r w:rsidR="00AE6BE4" w:rsidRPr="00AE6BE4">
        <w:rPr>
          <w:rFonts w:ascii="Calibri Light" w:hAnsi="Calibri Light" w:cs="Calibri Light"/>
          <w:vertAlign w:val="superscript"/>
        </w:rPr>
        <w:t>7,24,25</w:t>
      </w:r>
      <w:r w:rsidRPr="005173CD">
        <w:rPr>
          <w:rFonts w:asciiTheme="majorHAnsi" w:hAnsiTheme="majorHAnsi" w:cstheme="majorHAnsi"/>
          <w:lang w:val="en-GB"/>
        </w:rPr>
        <w:fldChar w:fldCharType="end"/>
      </w:r>
    </w:p>
    <w:p w14:paraId="72EF4C8C" w14:textId="77777777" w:rsidR="00952E1A" w:rsidRPr="005173CD" w:rsidRDefault="00952E1A" w:rsidP="00952E1A">
      <w:pPr>
        <w:spacing w:after="0" w:line="360" w:lineRule="auto"/>
        <w:contextualSpacing/>
        <w:rPr>
          <w:rFonts w:asciiTheme="majorHAnsi" w:hAnsiTheme="majorHAnsi" w:cstheme="majorHAnsi"/>
          <w:lang w:val="en-GB"/>
        </w:rPr>
      </w:pPr>
    </w:p>
    <w:p w14:paraId="61588753" w14:textId="77777777" w:rsidR="00952E1A" w:rsidRPr="005173CD" w:rsidRDefault="00952E1A" w:rsidP="00952E1A">
      <w:pPr>
        <w:pStyle w:val="Heading3"/>
        <w:spacing w:before="0" w:line="360" w:lineRule="auto"/>
        <w:contextualSpacing/>
        <w:rPr>
          <w:rFonts w:cstheme="majorHAnsi"/>
          <w:lang w:val="en-GB"/>
        </w:rPr>
      </w:pPr>
      <w:bookmarkStart w:id="31" w:name="_Toc689858389"/>
      <w:bookmarkStart w:id="32" w:name="_Toc112329082"/>
      <w:bookmarkStart w:id="33" w:name="_Toc175308184"/>
      <w:r w:rsidRPr="005173CD">
        <w:rPr>
          <w:rFonts w:cstheme="majorHAnsi"/>
          <w:lang w:val="en-GB"/>
        </w:rPr>
        <w:t>Combination</w:t>
      </w:r>
      <w:bookmarkEnd w:id="31"/>
      <w:bookmarkEnd w:id="32"/>
      <w:bookmarkEnd w:id="33"/>
    </w:p>
    <w:p w14:paraId="1C4C6DB8" w14:textId="4E22F950" w:rsidR="00952E1A" w:rsidRPr="005173CD" w:rsidRDefault="00952E1A" w:rsidP="00952E1A">
      <w:pPr>
        <w:spacing w:after="0" w:line="360" w:lineRule="auto"/>
        <w:contextualSpacing/>
        <w:rPr>
          <w:rFonts w:asciiTheme="majorHAnsi" w:hAnsiTheme="majorHAnsi" w:cstheme="majorHAnsi"/>
          <w:lang w:val="en-GB"/>
        </w:rPr>
      </w:pPr>
      <w:r w:rsidRPr="005173CD">
        <w:rPr>
          <w:rFonts w:asciiTheme="majorHAnsi" w:hAnsiTheme="majorHAnsi" w:cstheme="majorHAnsi"/>
          <w:lang w:val="en-GB"/>
        </w:rPr>
        <w:t xml:space="preserve">1000 draws of each misclassification ratio were generated assuming these ratios are log-Normally distributed. We selected a log-Normal distribution as it is restricted to positive numbers, which is appropriate for this ratio; however, we acknowledge that this selection is somewhat arbitrary and is at best an approximation of the true ratio distribution. The draws of misclassification were then combined (without ordering) </w:t>
      </w:r>
      <w:r w:rsidR="0031751C" w:rsidRPr="005173CD">
        <w:rPr>
          <w:rFonts w:asciiTheme="majorHAnsi" w:hAnsiTheme="majorHAnsi" w:cstheme="majorHAnsi"/>
          <w:lang w:val="en-GB"/>
        </w:rPr>
        <w:t>by</w:t>
      </w:r>
      <w:r w:rsidRPr="005173CD">
        <w:rPr>
          <w:rFonts w:asciiTheme="majorHAnsi" w:hAnsiTheme="majorHAnsi" w:cstheme="majorHAnsi"/>
          <w:lang w:val="en-GB"/>
        </w:rPr>
        <w:t xml:space="preserve"> the following approach:</w:t>
      </w:r>
    </w:p>
    <w:p w14:paraId="3B19FB45" w14:textId="77777777" w:rsidR="00952E1A" w:rsidRPr="005173CD" w:rsidRDefault="00952E1A" w:rsidP="00952E1A">
      <w:pPr>
        <w:spacing w:after="0" w:line="360" w:lineRule="auto"/>
        <w:contextualSpacing/>
        <w:rPr>
          <w:rFonts w:asciiTheme="majorHAnsi" w:hAnsiTheme="majorHAnsi" w:cstheme="majorHAnsi"/>
          <w:lang w:val="en-GB"/>
        </w:rPr>
      </w:pPr>
    </w:p>
    <w:p w14:paraId="6EC94E38" w14:textId="77777777" w:rsidR="00952E1A" w:rsidRPr="005173CD" w:rsidRDefault="007A62BF" w:rsidP="00952E1A">
      <w:pPr>
        <w:spacing w:after="0" w:line="360" w:lineRule="auto"/>
        <w:contextualSpacing/>
        <w:rPr>
          <w:rFonts w:asciiTheme="majorHAnsi" w:eastAsiaTheme="minorEastAsia" w:hAnsiTheme="majorHAnsi" w:cstheme="majorHAnsi"/>
          <w:lang w:val="en-GB"/>
        </w:rPr>
      </w:pPr>
      <m:oMathPara>
        <m:oMath>
          <m:sSub>
            <m:sSubPr>
              <m:ctrlPr>
                <w:rPr>
                  <w:rFonts w:ascii="Cambria Math" w:hAnsi="Cambria Math" w:cstheme="majorHAnsi"/>
                  <w:i/>
                  <w:lang w:val="en-GB"/>
                </w:rPr>
              </m:ctrlPr>
            </m:sSubPr>
            <m:e>
              <m:r>
                <w:rPr>
                  <w:rFonts w:ascii="Cambria Math" w:hAnsi="Cambria Math" w:cstheme="majorHAnsi"/>
                  <w:lang w:val="en-GB"/>
                </w:rPr>
                <m:t>ratio</m:t>
              </m:r>
            </m:e>
            <m:sub>
              <m:r>
                <w:rPr>
                  <w:rFonts w:ascii="Cambria Math" w:hAnsi="Cambria Math" w:cstheme="majorHAnsi"/>
                  <w:lang w:val="en-GB"/>
                </w:rPr>
                <m:t>final</m:t>
              </m:r>
            </m:sub>
          </m:sSub>
          <m:r>
            <w:rPr>
              <w:rFonts w:ascii="Cambria Math" w:eastAsiaTheme="minorEastAsia" w:hAnsi="Cambria Math" w:cstheme="majorHAnsi"/>
              <w:lang w:val="en-GB"/>
            </w:rPr>
            <m:t>=</m:t>
          </m:r>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e>
            <m:sub>
              <m:r>
                <w:rPr>
                  <w:rFonts w:ascii="Cambria Math" w:eastAsiaTheme="minorEastAsia" w:hAnsi="Cambria Math" w:cstheme="majorHAnsi"/>
                  <w:lang w:val="en-GB"/>
                </w:rPr>
                <m:t>overall</m:t>
              </m:r>
            </m:sub>
          </m:sSub>
          <m:r>
            <m:rPr>
              <m:sty m:val="p"/>
            </m:rPr>
            <w:rPr>
              <w:rFonts w:ascii="Cambria Math" w:eastAsia="Times New Roman" w:hAnsi="Cambria Math" w:cstheme="majorHAnsi"/>
              <w:lang w:val="en-GB"/>
            </w:rPr>
            <m:t>⋅</m:t>
          </m:r>
          <m:f>
            <m:fPr>
              <m:ctrlPr>
                <w:rPr>
                  <w:rFonts w:ascii="Cambria Math" w:eastAsiaTheme="minorEastAsia" w:hAnsi="Cambria Math" w:cstheme="majorHAnsi"/>
                  <w:i/>
                  <w:lang w:val="en-GB"/>
                </w:rPr>
              </m:ctrlPr>
            </m:fPr>
            <m:num>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ctrlPr>
                    <w:rPr>
                      <w:rFonts w:ascii="Cambria Math" w:eastAsia="Times New Roman" w:hAnsi="Cambria Math" w:cstheme="majorHAnsi"/>
                      <w:lang w:val="en-GB"/>
                    </w:rPr>
                  </m:ctrlPr>
                </m:e>
                <m:sub>
                  <m:r>
                    <w:rPr>
                      <w:rFonts w:ascii="Cambria Math" w:eastAsia="Times New Roman" w:hAnsi="Cambria Math" w:cstheme="majorHAnsi"/>
                      <w:lang w:val="en-GB"/>
                    </w:rPr>
                    <m:t>age,sex</m:t>
                  </m:r>
                </m:sub>
              </m:sSub>
              <m:ctrlPr>
                <w:rPr>
                  <w:rFonts w:ascii="Cambria Math" w:eastAsia="Times New Roman" w:hAnsi="Cambria Math" w:cstheme="majorHAnsi"/>
                  <w:lang w:val="en-GB"/>
                </w:rPr>
              </m:ctrlPr>
            </m:num>
            <m:den>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e>
                <m:sub>
                  <m:r>
                    <w:rPr>
                      <w:rFonts w:ascii="Cambria Math" w:eastAsiaTheme="minorEastAsia" w:hAnsi="Cambria Math" w:cstheme="majorHAnsi"/>
                      <w:lang w:val="en-GB"/>
                    </w:rPr>
                    <m:t>overall</m:t>
                  </m:r>
                </m:sub>
              </m:sSub>
            </m:den>
          </m:f>
          <m:r>
            <m:rPr>
              <m:sty m:val="p"/>
            </m:rPr>
            <w:rPr>
              <w:rFonts w:ascii="Cambria Math" w:eastAsia="Times New Roman" w:hAnsi="Cambria Math" w:cstheme="majorHAnsi"/>
              <w:lang w:val="en-GB"/>
            </w:rPr>
            <m:t>⋅</m:t>
          </m:r>
          <m:f>
            <m:fPr>
              <m:ctrlPr>
                <w:rPr>
                  <w:rFonts w:ascii="Cambria Math" w:eastAsiaTheme="minorEastAsia" w:hAnsi="Cambria Math" w:cstheme="majorHAnsi"/>
                  <w:i/>
                  <w:lang w:val="en-GB"/>
                </w:rPr>
              </m:ctrlPr>
            </m:fPr>
            <m:num>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ctrlPr>
                    <w:rPr>
                      <w:rFonts w:ascii="Cambria Math" w:eastAsia="Times New Roman" w:hAnsi="Cambria Math" w:cstheme="majorHAnsi"/>
                      <w:lang w:val="en-GB"/>
                    </w:rPr>
                  </m:ctrlPr>
                </m:e>
                <m:sub>
                  <m:r>
                    <w:rPr>
                      <w:rFonts w:ascii="Cambria Math" w:eastAsia="Times New Roman" w:hAnsi="Cambria Math" w:cstheme="majorHAnsi"/>
                      <w:lang w:val="en-GB"/>
                    </w:rPr>
                    <m:t>region</m:t>
                  </m:r>
                </m:sub>
              </m:sSub>
              <m:ctrlPr>
                <w:rPr>
                  <w:rFonts w:ascii="Cambria Math" w:eastAsia="Times New Roman" w:hAnsi="Cambria Math" w:cstheme="majorHAnsi"/>
                  <w:lang w:val="en-GB"/>
                </w:rPr>
              </m:ctrlPr>
            </m:num>
            <m:den>
              <m:sSub>
                <m:sSubPr>
                  <m:ctrlPr>
                    <w:rPr>
                      <w:rFonts w:ascii="Cambria Math" w:eastAsia="Times New Roman" w:hAnsi="Cambria Math" w:cstheme="majorHAnsi"/>
                      <w:i/>
                      <w:lang w:val="en-GB"/>
                    </w:rPr>
                  </m:ctrlPr>
                </m:sSubPr>
                <m:e>
                  <m:r>
                    <w:rPr>
                      <w:rFonts w:ascii="Cambria Math" w:eastAsia="Times New Roman" w:hAnsi="Cambria Math" w:cstheme="majorHAnsi"/>
                      <w:lang w:val="en-GB"/>
                    </w:rPr>
                    <m:t>ratio</m:t>
                  </m:r>
                </m:e>
                <m:sub>
                  <m:r>
                    <w:rPr>
                      <w:rFonts w:ascii="Cambria Math" w:eastAsia="Times New Roman" w:hAnsi="Cambria Math" w:cstheme="majorHAnsi"/>
                      <w:lang w:val="en-GB"/>
                    </w:rPr>
                    <m:t>overall</m:t>
                  </m:r>
                </m:sub>
              </m:sSub>
            </m:den>
          </m:f>
          <m:r>
            <m:rPr>
              <m:sty m:val="p"/>
            </m:rPr>
            <w:rPr>
              <w:rFonts w:ascii="Cambria Math" w:eastAsia="Times New Roman" w:hAnsi="Cambria Math" w:cstheme="majorHAnsi"/>
              <w:lang w:val="en-GB"/>
            </w:rPr>
            <m:t>⋅</m:t>
          </m:r>
          <m:f>
            <m:fPr>
              <m:ctrlPr>
                <w:rPr>
                  <w:rFonts w:ascii="Cambria Math" w:eastAsiaTheme="minorEastAsia" w:hAnsi="Cambria Math" w:cstheme="majorHAnsi"/>
                  <w:i/>
                  <w:lang w:val="en-GB"/>
                </w:rPr>
              </m:ctrlPr>
            </m:fPr>
            <m:num>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ctrlPr>
                    <w:rPr>
                      <w:rFonts w:ascii="Cambria Math" w:eastAsia="Times New Roman" w:hAnsi="Cambria Math" w:cstheme="majorHAnsi"/>
                      <w:lang w:val="en-GB"/>
                    </w:rPr>
                  </m:ctrlPr>
                </m:e>
                <m:sub>
                  <m:r>
                    <w:rPr>
                      <w:rFonts w:ascii="Cambria Math" w:eastAsia="Times New Roman" w:hAnsi="Cambria Math" w:cstheme="majorHAnsi"/>
                      <w:lang w:val="en-GB"/>
                    </w:rPr>
                    <m:t>co-ethnic density</m:t>
                  </m:r>
                </m:sub>
              </m:sSub>
              <m:ctrlPr>
                <w:rPr>
                  <w:rFonts w:ascii="Cambria Math" w:eastAsia="Times New Roman" w:hAnsi="Cambria Math" w:cstheme="majorHAnsi"/>
                  <w:lang w:val="en-GB"/>
                </w:rPr>
              </m:ctrlPr>
            </m:num>
            <m:den>
              <m:sSub>
                <m:sSubPr>
                  <m:ctrlPr>
                    <w:rPr>
                      <w:rFonts w:ascii="Cambria Math" w:eastAsia="Times New Roman" w:hAnsi="Cambria Math" w:cstheme="majorHAnsi"/>
                      <w:i/>
                      <w:lang w:val="en-GB"/>
                    </w:rPr>
                  </m:ctrlPr>
                </m:sSubPr>
                <m:e>
                  <m:r>
                    <w:rPr>
                      <w:rFonts w:ascii="Cambria Math" w:eastAsia="Times New Roman" w:hAnsi="Cambria Math" w:cstheme="majorHAnsi"/>
                      <w:lang w:val="en-GB"/>
                    </w:rPr>
                    <m:t>ratio</m:t>
                  </m:r>
                </m:e>
                <m:sub>
                  <m:r>
                    <w:rPr>
                      <w:rFonts w:ascii="Cambria Math" w:eastAsia="Times New Roman" w:hAnsi="Cambria Math" w:cstheme="majorHAnsi"/>
                      <w:lang w:val="en-GB"/>
                    </w:rPr>
                    <m:t>overall</m:t>
                  </m:r>
                </m:sub>
              </m:sSub>
            </m:den>
          </m:f>
        </m:oMath>
      </m:oMathPara>
    </w:p>
    <w:p w14:paraId="3BCAB779"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6AED83FB" w14:textId="48ADFBF2"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For the </w:t>
      </w:r>
      <w:r w:rsidR="0031751C" w:rsidRPr="005173CD">
        <w:rPr>
          <w:rFonts w:asciiTheme="majorHAnsi" w:eastAsiaTheme="minorEastAsia" w:hAnsiTheme="majorHAnsi" w:cstheme="majorHAnsi"/>
          <w:lang w:val="en-GB"/>
        </w:rPr>
        <w:t>Asian,</w:t>
      </w:r>
      <w:r w:rsidRPr="005173CD">
        <w:rPr>
          <w:rFonts w:asciiTheme="majorHAnsi" w:eastAsiaTheme="minorEastAsia" w:hAnsiTheme="majorHAnsi" w:cstheme="majorHAnsi"/>
          <w:lang w:val="en-GB"/>
        </w:rPr>
        <w:t xml:space="preserve"> Black, and </w:t>
      </w:r>
      <w:r w:rsidR="0031751C" w:rsidRPr="005173CD">
        <w:rPr>
          <w:rFonts w:asciiTheme="majorHAnsi" w:eastAsiaTheme="minorEastAsia" w:hAnsiTheme="majorHAnsi" w:cstheme="majorHAnsi"/>
          <w:lang w:val="en-GB"/>
        </w:rPr>
        <w:t>White</w:t>
      </w:r>
      <w:r w:rsidRPr="005173CD">
        <w:rPr>
          <w:rFonts w:asciiTheme="majorHAnsi" w:eastAsiaTheme="minorEastAsia" w:hAnsiTheme="majorHAnsi" w:cstheme="majorHAnsi"/>
          <w:lang w:val="en-GB"/>
        </w:rPr>
        <w:t xml:space="preserve"> populations,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ratio</m:t>
            </m:r>
            <m:ctrlPr>
              <w:rPr>
                <w:rFonts w:ascii="Cambria Math" w:eastAsia="Times New Roman" w:hAnsi="Cambria Math" w:cstheme="majorHAnsi"/>
                <w:lang w:val="en-GB"/>
              </w:rPr>
            </m:ctrlPr>
          </m:e>
          <m:sub>
            <m:r>
              <w:rPr>
                <w:rFonts w:ascii="Cambria Math" w:eastAsia="Times New Roman" w:hAnsi="Cambria Math" w:cstheme="majorHAnsi"/>
                <w:lang w:val="en-GB"/>
              </w:rPr>
              <m:t>co-ethnic density</m:t>
            </m:r>
          </m:sub>
        </m:sSub>
      </m:oMath>
      <w:r w:rsidRPr="005173CD">
        <w:rPr>
          <w:rFonts w:asciiTheme="majorHAnsi" w:eastAsiaTheme="minorEastAsia" w:hAnsiTheme="majorHAnsi" w:cstheme="majorHAnsi"/>
          <w:lang w:val="en-GB"/>
        </w:rPr>
        <w:t xml:space="preserve"> is equal to </w:t>
      </w:r>
      <m:oMath>
        <m:sSub>
          <m:sSubPr>
            <m:ctrlPr>
              <w:rPr>
                <w:rFonts w:ascii="Cambria Math" w:eastAsia="Times New Roman" w:hAnsi="Cambria Math" w:cstheme="majorHAnsi"/>
                <w:i/>
                <w:lang w:val="en-GB"/>
              </w:rPr>
            </m:ctrlPr>
          </m:sSubPr>
          <m:e>
            <m:r>
              <w:rPr>
                <w:rFonts w:ascii="Cambria Math" w:eastAsia="Times New Roman" w:hAnsi="Cambria Math" w:cstheme="majorHAnsi"/>
                <w:lang w:val="en-GB"/>
              </w:rPr>
              <m:t>ratio</m:t>
            </m:r>
          </m:e>
          <m:sub>
            <m:r>
              <w:rPr>
                <w:rFonts w:ascii="Cambria Math" w:eastAsia="Times New Roman" w:hAnsi="Cambria Math" w:cstheme="majorHAnsi"/>
                <w:lang w:val="en-GB"/>
              </w:rPr>
              <m:t>overall</m:t>
            </m:r>
          </m:sub>
        </m:sSub>
      </m:oMath>
      <w:r w:rsidRPr="005173CD">
        <w:rPr>
          <w:rFonts w:asciiTheme="majorHAnsi" w:eastAsiaTheme="minorEastAsia" w:hAnsiTheme="majorHAnsi" w:cstheme="majorHAnsi"/>
          <w:lang w:val="en-GB"/>
        </w:rPr>
        <w:t xml:space="preserve">, so the last term is equal to 1 (ie, no adjustment by co-ethnic density). For the AIAN population, the </w:t>
      </w:r>
      <m:oMath>
        <m:sSub>
          <m:sSubPr>
            <m:ctrlPr>
              <w:rPr>
                <w:rFonts w:ascii="Cambria Math" w:eastAsia="Times New Roman" w:hAnsi="Cambria Math" w:cstheme="majorHAnsi"/>
                <w:i/>
                <w:lang w:val="en-GB"/>
              </w:rPr>
            </m:ctrlPr>
          </m:sSubPr>
          <m:e>
            <m:r>
              <w:rPr>
                <w:rFonts w:ascii="Cambria Math" w:eastAsia="Times New Roman" w:hAnsi="Cambria Math" w:cstheme="majorHAnsi"/>
                <w:lang w:val="en-GB"/>
              </w:rPr>
              <m:t>ratio</m:t>
            </m:r>
          </m:e>
          <m:sub>
            <m:r>
              <w:rPr>
                <w:rFonts w:ascii="Cambria Math" w:eastAsia="Times New Roman" w:hAnsi="Cambria Math" w:cstheme="majorHAnsi"/>
                <w:lang w:val="en-GB"/>
              </w:rPr>
              <m:t>overall</m:t>
            </m:r>
          </m:sub>
        </m:sSub>
      </m:oMath>
      <w:r w:rsidRPr="005173CD">
        <w:rPr>
          <w:rFonts w:asciiTheme="majorHAnsi" w:eastAsiaTheme="minorEastAsia" w:hAnsiTheme="majorHAnsi" w:cstheme="majorHAnsi"/>
          <w:lang w:val="en-GB"/>
        </w:rPr>
        <w:t xml:space="preserve"> in the denominator of the final term was the overall misclassification ratio for both Latino and non-Latino AIAN populations combined, to match the numerator, which was available only for Latino and non-Latino AIAN populations combined; in all other terms, the values for the non-Latino AIAN population alone were used. </w:t>
      </w:r>
    </w:p>
    <w:p w14:paraId="34ED2B05"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09983BF5" w14:textId="54728844" w:rsidR="00952E1A" w:rsidRPr="005173CD" w:rsidRDefault="00952E1A" w:rsidP="00952E1A">
      <w:pPr>
        <w:spacing w:after="0" w:line="360" w:lineRule="auto"/>
        <w:contextualSpacing/>
        <w:rPr>
          <w:rFonts w:asciiTheme="majorHAnsi" w:hAnsiTheme="majorHAnsi" w:cstheme="majorHAnsi"/>
          <w:lang w:val="en-GB"/>
        </w:rPr>
      </w:pPr>
      <w:r w:rsidRPr="005173CD">
        <w:rPr>
          <w:rFonts w:asciiTheme="majorHAnsi" w:eastAsiaTheme="minorEastAsia" w:hAnsiTheme="majorHAnsi" w:cstheme="majorHAnsi"/>
          <w:lang w:val="en-GB"/>
        </w:rPr>
        <w:t>This approach assumes that t</w:t>
      </w:r>
      <w:r w:rsidRPr="005173CD">
        <w:rPr>
          <w:rFonts w:asciiTheme="majorHAnsi" w:hAnsiTheme="majorHAnsi" w:cstheme="majorHAnsi"/>
          <w:lang w:val="en-GB"/>
        </w:rPr>
        <w:t>he degree of misclassification is independent across each dimension. Thus, the degree of misclassification reported for a particular facet (</w:t>
      </w:r>
      <w:proofErr w:type="spellStart"/>
      <w:r w:rsidRPr="005173CD">
        <w:rPr>
          <w:rFonts w:asciiTheme="majorHAnsi" w:hAnsiTheme="majorHAnsi" w:cstheme="majorHAnsi"/>
          <w:lang w:val="en-GB"/>
        </w:rPr>
        <w:t>eg</w:t>
      </w:r>
      <w:proofErr w:type="spellEnd"/>
      <w:r w:rsidRPr="005173CD">
        <w:rPr>
          <w:rFonts w:asciiTheme="majorHAnsi" w:hAnsiTheme="majorHAnsi" w:cstheme="majorHAnsi"/>
          <w:lang w:val="en-GB"/>
        </w:rPr>
        <w:t>, by age</w:t>
      </w:r>
      <w:r w:rsidR="006F5341" w:rsidRPr="005173CD">
        <w:rPr>
          <w:rFonts w:asciiTheme="majorHAnsi" w:hAnsiTheme="majorHAnsi" w:cstheme="majorHAnsi"/>
          <w:lang w:val="en-GB"/>
        </w:rPr>
        <w:t xml:space="preserve"> or </w:t>
      </w:r>
      <w:r w:rsidRPr="005173CD">
        <w:rPr>
          <w:rFonts w:asciiTheme="majorHAnsi" w:hAnsiTheme="majorHAnsi" w:cstheme="majorHAnsi"/>
          <w:lang w:val="en-GB"/>
        </w:rPr>
        <w:t>sex) is the same across all other facets (</w:t>
      </w:r>
      <w:proofErr w:type="spellStart"/>
      <w:r w:rsidRPr="005173CD">
        <w:rPr>
          <w:rFonts w:asciiTheme="majorHAnsi" w:hAnsiTheme="majorHAnsi" w:cstheme="majorHAnsi"/>
          <w:lang w:val="en-GB"/>
        </w:rPr>
        <w:t>eg</w:t>
      </w:r>
      <w:proofErr w:type="spellEnd"/>
      <w:r w:rsidRPr="005173CD">
        <w:rPr>
          <w:rFonts w:asciiTheme="majorHAnsi" w:hAnsiTheme="majorHAnsi" w:cstheme="majorHAnsi"/>
          <w:lang w:val="en-GB"/>
        </w:rPr>
        <w:t>, region and co-ethnic density).</w:t>
      </w:r>
      <w:r w:rsidRPr="005173CD" w:rsidDel="00356231">
        <w:rPr>
          <w:rFonts w:asciiTheme="majorHAnsi" w:hAnsiTheme="majorHAnsi" w:cstheme="majorHAnsi"/>
          <w:lang w:val="en-GB"/>
        </w:rPr>
        <w:t xml:space="preserve"> </w:t>
      </w:r>
      <w:r w:rsidRPr="005173CD">
        <w:rPr>
          <w:rFonts w:asciiTheme="majorHAnsi" w:hAnsiTheme="majorHAnsi" w:cstheme="majorHAnsi"/>
          <w:lang w:val="en-GB"/>
        </w:rPr>
        <w:t>For example, the age</w:t>
      </w:r>
      <w:r w:rsidR="006F5341" w:rsidRPr="005173CD">
        <w:rPr>
          <w:rFonts w:asciiTheme="majorHAnsi" w:hAnsiTheme="majorHAnsi" w:cstheme="majorHAnsi"/>
          <w:lang w:val="en-GB"/>
        </w:rPr>
        <w:t xml:space="preserve"> or </w:t>
      </w:r>
      <w:r w:rsidRPr="005173CD">
        <w:rPr>
          <w:rFonts w:asciiTheme="majorHAnsi" w:hAnsiTheme="majorHAnsi" w:cstheme="majorHAnsi"/>
          <w:lang w:val="en-GB"/>
        </w:rPr>
        <w:t>sex pattern of misclassification for a given racial</w:t>
      </w:r>
      <w:r w:rsidR="006F5341"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6F5341" w:rsidRPr="005173CD">
        <w:rPr>
          <w:rFonts w:asciiTheme="majorHAnsi" w:hAnsiTheme="majorHAnsi" w:cstheme="majorHAnsi"/>
          <w:lang w:val="en-GB"/>
        </w:rPr>
        <w:t>population</w:t>
      </w:r>
      <w:r w:rsidRPr="005173CD">
        <w:rPr>
          <w:rFonts w:asciiTheme="majorHAnsi" w:hAnsiTheme="majorHAnsi" w:cstheme="majorHAnsi"/>
          <w:lang w:val="en-GB"/>
        </w:rPr>
        <w:t xml:space="preserve"> will be the same regardless of region.</w:t>
      </w:r>
    </w:p>
    <w:p w14:paraId="3040D104" w14:textId="77777777" w:rsidR="00952E1A" w:rsidRPr="005173CD" w:rsidRDefault="00952E1A" w:rsidP="00952E1A">
      <w:pPr>
        <w:spacing w:after="0" w:line="360" w:lineRule="auto"/>
        <w:contextualSpacing/>
        <w:rPr>
          <w:rFonts w:asciiTheme="majorHAnsi" w:hAnsiTheme="majorHAnsi" w:cstheme="majorHAnsi"/>
          <w:lang w:val="en-GB"/>
        </w:rPr>
      </w:pPr>
    </w:p>
    <w:p w14:paraId="419F43F8" w14:textId="77777777" w:rsidR="00952E1A" w:rsidRPr="005173CD" w:rsidRDefault="00952E1A" w:rsidP="00952E1A">
      <w:pPr>
        <w:pStyle w:val="Heading3"/>
        <w:spacing w:before="0" w:line="360" w:lineRule="auto"/>
        <w:contextualSpacing/>
        <w:rPr>
          <w:rFonts w:eastAsiaTheme="minorEastAsia" w:cstheme="majorHAnsi"/>
          <w:lang w:val="en-GB"/>
        </w:rPr>
      </w:pPr>
      <w:bookmarkStart w:id="34" w:name="_Toc1263687604"/>
      <w:bookmarkStart w:id="35" w:name="_Toc112329083"/>
      <w:bookmarkStart w:id="36" w:name="_Toc175308185"/>
      <w:r w:rsidRPr="005173CD">
        <w:rPr>
          <w:rFonts w:eastAsiaTheme="minorEastAsia" w:cstheme="majorHAnsi"/>
          <w:lang w:val="en-GB"/>
        </w:rPr>
        <w:t>Mortality rate adjustment</w:t>
      </w:r>
      <w:bookmarkEnd w:id="34"/>
      <w:bookmarkEnd w:id="35"/>
      <w:bookmarkEnd w:id="36"/>
    </w:p>
    <w:p w14:paraId="3CDA7AA4" w14:textId="07CC0F26" w:rsidR="00C34842" w:rsidRPr="005173CD" w:rsidRDefault="00952E1A" w:rsidP="00983528">
      <w:pPr>
        <w:spacing w:after="0" w:line="360" w:lineRule="auto"/>
        <w:contextualSpacing/>
        <w:rPr>
          <w:rFonts w:asciiTheme="majorHAnsi" w:hAnsiTheme="majorHAnsi" w:cstheme="majorHAnsi"/>
          <w:lang w:val="en-GB"/>
        </w:rPr>
      </w:pPr>
      <w:r w:rsidRPr="005173CD">
        <w:rPr>
          <w:rFonts w:asciiTheme="majorHAnsi" w:hAnsiTheme="majorHAnsi" w:cstheme="majorHAnsi"/>
          <w:lang w:val="en-GB"/>
        </w:rPr>
        <w:t>The 1000 draws of misclassification ratios were merged onto the 1000 posterior draws of the mortality rate by age, sex, county (which reflected both region and co-ethnic density), and racial</w:t>
      </w:r>
      <w:r w:rsidR="001B68BF" w:rsidRPr="005173CD">
        <w:rPr>
          <w:rFonts w:asciiTheme="majorHAnsi" w:hAnsiTheme="majorHAnsi" w:cstheme="majorHAnsi"/>
          <w:lang w:val="en-GB"/>
        </w:rPr>
        <w:t xml:space="preserve"> and </w:t>
      </w:r>
      <w:r w:rsidRPr="005173CD">
        <w:rPr>
          <w:rFonts w:asciiTheme="majorHAnsi" w:hAnsiTheme="majorHAnsi" w:cstheme="majorHAnsi"/>
          <w:lang w:val="en-GB"/>
        </w:rPr>
        <w:t xml:space="preserve">ethnic </w:t>
      </w:r>
      <w:r w:rsidR="001B68BF" w:rsidRPr="005173CD">
        <w:rPr>
          <w:rFonts w:asciiTheme="majorHAnsi" w:hAnsiTheme="majorHAnsi" w:cstheme="majorHAnsi"/>
          <w:lang w:val="en-GB"/>
        </w:rPr>
        <w:t>population</w:t>
      </w:r>
      <w:r w:rsidRPr="005173CD">
        <w:rPr>
          <w:rFonts w:asciiTheme="majorHAnsi" w:hAnsiTheme="majorHAnsi" w:cstheme="majorHAnsi"/>
          <w:lang w:val="en-GB"/>
        </w:rPr>
        <w:t xml:space="preserve">. The merge by age was conducted by aligning the age groups in the model </w:t>
      </w:r>
      <w:r w:rsidRPr="005173CD">
        <w:rPr>
          <w:rFonts w:asciiTheme="majorHAnsi" w:eastAsiaTheme="minorEastAsia" w:hAnsiTheme="majorHAnsi" w:cstheme="majorHAnsi"/>
          <w:lang w:val="en-GB"/>
        </w:rPr>
        <w:t>(0, 1–4, 5–9, …, 80–84, and 85+ years old) with the age bin to which each of the modelled ages belongs (</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xml:space="preserve">, age groups 0, 1–4, 5–9, 10–14, 15–19, and 20–24 were merged onto the age bin 0–24). </w:t>
      </w:r>
      <w:r w:rsidRPr="005173CD">
        <w:rPr>
          <w:rFonts w:asciiTheme="majorHAnsi" w:hAnsiTheme="majorHAnsi" w:cstheme="majorHAnsi"/>
          <w:lang w:val="en-GB"/>
        </w:rPr>
        <w:t>These draws were not ordered, thus assuming independence between the mortality rate and the misclassification ratio. Mortality rate draws were adjusted by multiplying by the corresponding misclassification ratio draw.</w:t>
      </w:r>
    </w:p>
    <w:p w14:paraId="2E3B9B1B" w14:textId="77777777" w:rsidR="004D244A" w:rsidRPr="005173CD" w:rsidRDefault="004D244A" w:rsidP="00983528">
      <w:pPr>
        <w:spacing w:after="0" w:line="360" w:lineRule="auto"/>
        <w:contextualSpacing/>
        <w:rPr>
          <w:rFonts w:asciiTheme="majorHAnsi" w:hAnsiTheme="majorHAnsi" w:cstheme="majorHAnsi"/>
          <w:lang w:val="en-GB"/>
        </w:rPr>
      </w:pPr>
    </w:p>
    <w:p w14:paraId="1F82294B" w14:textId="77777777" w:rsidR="00952E1A" w:rsidRPr="005173CD" w:rsidRDefault="00952E1A" w:rsidP="00952E1A">
      <w:pPr>
        <w:pStyle w:val="Heading2"/>
        <w:spacing w:before="0" w:line="360" w:lineRule="auto"/>
        <w:contextualSpacing/>
        <w:rPr>
          <w:rFonts w:eastAsiaTheme="minorEastAsia" w:cstheme="majorHAnsi"/>
          <w:lang w:val="en-GB"/>
        </w:rPr>
      </w:pPr>
      <w:bookmarkStart w:id="37" w:name="_Toc742814271"/>
      <w:bookmarkStart w:id="38" w:name="_Toc112329084"/>
      <w:bookmarkStart w:id="39" w:name="_Toc175308186"/>
      <w:r w:rsidRPr="005173CD">
        <w:rPr>
          <w:rFonts w:eastAsiaTheme="minorEastAsia" w:cstheme="majorHAnsi"/>
          <w:lang w:val="en-GB"/>
        </w:rPr>
        <w:t xml:space="preserve">2.7 </w:t>
      </w:r>
      <w:bookmarkEnd w:id="37"/>
      <w:r w:rsidRPr="005173CD">
        <w:rPr>
          <w:rFonts w:eastAsiaTheme="minorEastAsia" w:cstheme="majorHAnsi"/>
          <w:lang w:val="en-GB"/>
        </w:rPr>
        <w:t>Calibration</w:t>
      </w:r>
      <w:bookmarkEnd w:id="38"/>
      <w:bookmarkEnd w:id="39"/>
    </w:p>
    <w:p w14:paraId="5F76E7EE" w14:textId="5E012423"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After the modelling steps, results were calibrated to ensure consistency across three dimensions: cause hierarchy, racial</w:t>
      </w:r>
      <w:r w:rsidR="006F5341"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6F5341"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and geography. Adjustments by cause were needed for t</w:t>
      </w:r>
      <w:r w:rsidR="006303EB" w:rsidRPr="005173CD">
        <w:rPr>
          <w:rFonts w:asciiTheme="majorHAnsi" w:eastAsiaTheme="minorEastAsia" w:hAnsiTheme="majorHAnsi" w:cstheme="majorHAnsi"/>
          <w:lang w:val="en-GB"/>
        </w:rPr>
        <w:t>wo</w:t>
      </w:r>
      <w:r w:rsidRPr="005173CD">
        <w:rPr>
          <w:rFonts w:asciiTheme="majorHAnsi" w:eastAsiaTheme="minorEastAsia" w:hAnsiTheme="majorHAnsi" w:cstheme="majorHAnsi"/>
          <w:lang w:val="en-GB"/>
        </w:rPr>
        <w:t xml:space="preserve"> reasons. First, SAE models were run independently for all-cause mortality and for </w:t>
      </w:r>
      <w:r w:rsidR="00FC7390">
        <w:rPr>
          <w:rFonts w:asciiTheme="majorHAnsi" w:eastAsiaTheme="minorEastAsia" w:hAnsiTheme="majorHAnsi" w:cstheme="majorHAnsi"/>
          <w:lang w:val="en-GB"/>
        </w:rPr>
        <w:t>maternal mortality</w:t>
      </w:r>
      <w:r w:rsidRPr="005173CD">
        <w:rPr>
          <w:rFonts w:asciiTheme="majorHAnsi" w:eastAsiaTheme="minorEastAsia" w:hAnsiTheme="majorHAnsi" w:cstheme="majorHAnsi"/>
          <w:lang w:val="en-GB"/>
        </w:rPr>
        <w:t xml:space="preserve">. Thus, the cause-specific model outputs do not necessarily nest as they should; that is, </w:t>
      </w:r>
      <w:r w:rsidR="001616EC" w:rsidRPr="005173CD">
        <w:rPr>
          <w:rFonts w:asciiTheme="majorHAnsi" w:eastAsiaTheme="minorEastAsia" w:hAnsiTheme="majorHAnsi" w:cstheme="majorHAnsi"/>
          <w:lang w:val="en-GB"/>
        </w:rPr>
        <w:t xml:space="preserve">if all other </w:t>
      </w:r>
      <w:r w:rsidR="006303EB" w:rsidRPr="005173CD">
        <w:rPr>
          <w:rFonts w:asciiTheme="majorHAnsi" w:eastAsiaTheme="minorEastAsia" w:hAnsiTheme="majorHAnsi" w:cstheme="majorHAnsi"/>
          <w:lang w:val="en-GB"/>
        </w:rPr>
        <w:t>L</w:t>
      </w:r>
      <w:r w:rsidR="001616EC" w:rsidRPr="005173CD">
        <w:rPr>
          <w:rFonts w:asciiTheme="majorHAnsi" w:eastAsiaTheme="minorEastAsia" w:hAnsiTheme="majorHAnsi" w:cstheme="majorHAnsi"/>
          <w:lang w:val="en-GB"/>
        </w:rPr>
        <w:t xml:space="preserve">evel 3 causes of death in the GBD hierarchy were modelled, then adding mortality across all </w:t>
      </w:r>
      <w:r w:rsidR="006303EB" w:rsidRPr="005173CD">
        <w:rPr>
          <w:rFonts w:asciiTheme="majorHAnsi" w:eastAsiaTheme="minorEastAsia" w:hAnsiTheme="majorHAnsi" w:cstheme="majorHAnsi"/>
          <w:lang w:val="en-GB"/>
        </w:rPr>
        <w:t>L</w:t>
      </w:r>
      <w:r w:rsidR="001616EC" w:rsidRPr="005173CD">
        <w:rPr>
          <w:rFonts w:asciiTheme="majorHAnsi" w:eastAsiaTheme="minorEastAsia" w:hAnsiTheme="majorHAnsi" w:cstheme="majorHAnsi"/>
          <w:lang w:val="en-GB"/>
        </w:rPr>
        <w:t>evel 3 causes may not add up to all-cause mortality</w:t>
      </w:r>
      <w:r w:rsidRPr="005173CD">
        <w:rPr>
          <w:rFonts w:asciiTheme="majorHAnsi" w:eastAsiaTheme="minorEastAsia" w:hAnsiTheme="majorHAnsi" w:cstheme="majorHAnsi"/>
          <w:lang w:val="en-GB"/>
        </w:rPr>
        <w:t xml:space="preserve">, although generally it would be close. </w:t>
      </w:r>
    </w:p>
    <w:p w14:paraId="6FAC77F4"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343A7AC8" w14:textId="70F14773"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Second, adjustments were needed to ensure that the county</w:t>
      </w:r>
      <w:r w:rsidR="00195431"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195431"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195431" w:rsidRPr="005173CD">
        <w:rPr>
          <w:rFonts w:asciiTheme="majorHAnsi" w:eastAsiaTheme="minorEastAsia" w:hAnsiTheme="majorHAnsi" w:cstheme="majorHAnsi"/>
          <w:lang w:val="en-GB"/>
        </w:rPr>
        <w:t>population combination</w:t>
      </w:r>
      <w:r w:rsidRPr="005173CD">
        <w:rPr>
          <w:rFonts w:asciiTheme="majorHAnsi" w:eastAsiaTheme="minorEastAsia" w:hAnsiTheme="majorHAnsi" w:cstheme="majorHAnsi"/>
          <w:lang w:val="en-GB"/>
        </w:rPr>
        <w:t xml:space="preserve"> results were consistent with the directly modelled county-level estimates. This was important because the joint effect of modelling by racial</w:t>
      </w:r>
      <w:r w:rsidR="0074101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741013"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and applying the misclassification ratios can lead to results that do not align precisely with the county-level model. Without this calibration step, the misclassification adjustment </w:t>
      </w:r>
      <w:proofErr w:type="gramStart"/>
      <w:r w:rsidRPr="005173CD">
        <w:rPr>
          <w:rFonts w:asciiTheme="majorHAnsi" w:eastAsiaTheme="minorEastAsia" w:hAnsiTheme="majorHAnsi" w:cstheme="majorHAnsi"/>
          <w:lang w:val="en-GB"/>
        </w:rPr>
        <w:t>in particular could</w:t>
      </w:r>
      <w:proofErr w:type="gramEnd"/>
      <w:r w:rsidRPr="005173CD">
        <w:rPr>
          <w:rFonts w:asciiTheme="majorHAnsi" w:eastAsiaTheme="minorEastAsia" w:hAnsiTheme="majorHAnsi" w:cstheme="majorHAnsi"/>
          <w:lang w:val="en-GB"/>
        </w:rPr>
        <w:t xml:space="preserve"> lead to inaccurate results given the assumption of independence between the various misclassification ratios (section 2.6). This is in addition to any differences that county-level estimates will have with county</w:t>
      </w:r>
      <w:r w:rsidR="0074101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racial</w:t>
      </w:r>
      <w:r w:rsidR="00741013"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741013"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estimates that have been population weighted to the county level.</w:t>
      </w:r>
    </w:p>
    <w:p w14:paraId="4C480CA8" w14:textId="77777777" w:rsidR="00ED0A30" w:rsidRPr="005173CD" w:rsidRDefault="00ED0A30" w:rsidP="00952E1A">
      <w:pPr>
        <w:spacing w:after="0" w:line="360" w:lineRule="auto"/>
        <w:contextualSpacing/>
        <w:rPr>
          <w:rFonts w:asciiTheme="majorHAnsi" w:eastAsiaTheme="minorEastAsia" w:hAnsiTheme="majorHAnsi" w:cstheme="majorHAnsi"/>
          <w:lang w:val="en-GB"/>
        </w:rPr>
      </w:pPr>
    </w:p>
    <w:p w14:paraId="428526AB" w14:textId="423F767F"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lastRenderedPageBreak/>
        <w:t>To accomplish these goals, an algorithm known as raking</w:t>
      </w:r>
      <w:r w:rsidR="00741013" w:rsidRPr="005173CD">
        <w:rPr>
          <w:rFonts w:asciiTheme="majorHAnsi" w:eastAsiaTheme="minorEastAsia" w:hAnsiTheme="majorHAnsi" w:cstheme="majorHAnsi"/>
          <w:lang w:val="en-GB"/>
        </w:rPr>
        <w:t xml:space="preserve"> (</w:t>
      </w:r>
      <w:r w:rsidRPr="005173CD">
        <w:rPr>
          <w:rFonts w:asciiTheme="majorHAnsi" w:eastAsiaTheme="minorEastAsia" w:hAnsiTheme="majorHAnsi" w:cstheme="majorHAnsi"/>
          <w:lang w:val="en-GB"/>
        </w:rPr>
        <w:t>also called iterative proportional fitting</w:t>
      </w:r>
      <w:r w:rsidR="00D12451" w:rsidRPr="005173CD">
        <w:rPr>
          <w:rFonts w:asciiTheme="majorHAnsi" w:eastAsiaTheme="minorEastAsia" w:hAnsiTheme="majorHAnsi" w:cstheme="majorHAnsi"/>
          <w:lang w:val="en-GB"/>
        </w:rPr>
        <w:t>)</w:t>
      </w:r>
      <w:r w:rsidRPr="005173CD">
        <w:rPr>
          <w:rFonts w:asciiTheme="majorHAnsi" w:eastAsiaTheme="minorEastAsia" w:hAnsiTheme="majorHAnsi" w:cstheme="majorHAnsi"/>
          <w:lang w:val="en-GB"/>
        </w:rPr>
        <w:t xml:space="preserve"> was utili</w:t>
      </w:r>
      <w:r w:rsidR="00741013"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ed. This process has been described in detail previously.</w:t>
      </w:r>
      <w:r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{"citationID":"UdnUdJqg","properties":{"formattedCitation":"\\super 26\\nosupersub{}","plainCitation":"26","noteIndex":0},"citationItems":[{"id":"wdkIiMrh/7j1nvGMo","uris":["http://zotero.org/users/5216175/items/2QLHVMWA"],"itemData":{"id":2325,"type":"article-journal","abstract":"County-level patterns in mortality rates by cause have not been systematically described but are potentially useful for public health officials, clinicians, and researchers seeking to improve health and reduce geographic disparities.To demonstrate the use of a novel method for county-level estimation and to estimate annual mortality rates by US county for 21 mutually exclusive causes of death from 1980 through 2014.Redistribution methods for garbage codes (implausible or insufficiently specific cause of death codes) and small area estimation methods (statistical methods for estimating rates in small subpopulations) were applied to death registration data from the National Vital Statistics System to estimate annual county-level mortality rates for 21 causes of death. These estimates were raked (scaled along multiple dimensions) to ensure consistency between causes and with existing national-level estimates. Geographic patterns in the age-standardized mortality rates in 2014 and in the change in the age-standardized mortality rates between 1980 and 2014 for the 10 highest-burden causes were determined.County of residence.Cause-specific age-standardized mortality rates.A total of 80 412 524 deaths were recorded from January 1, 1980, through December 31, 2014, in the United States. Of these, 19.4 million deaths were assigned garbage codes. Mortality rates were analyzed for 3110 counties or groups of counties. Large between-county disparities were evident for every cause, with the gap in age-standardized mortality rates between counties in the 90th and 10th percentiles varying from 14.0 deaths per 100 000 population (cirrhosis and chronic liver diseases) to 147.0 deaths per 100 000 population (cardiovascular diseases). Geographic regions with elevated mortality rates differed among causes: for example, cardiovascular disease mortality tended to be highest along the southern half of the Mississippi River, while mortality rates from self-harm and interpersonal violence were elevated in southwestern counties, and mortality rates from chronic respiratory disease were highest in counties in eastern Kentucky and western West Virginia. Counties also varied widely in terms of the change in cause-specific mortality rates between 1980 and 2014. For most causes (eg, neoplasms, neurological disorders, and self-harm and interpersonal violence), both increases and decreases in county-level mortality rates were observed.In this analysis of US cause-specific county-level mortality rates from 1980 through 2014, there were large between-county differences for every cause of death, although geographic patterns varied substantially by cause of death. The approach to county-level analyses with small area models used in this study has the potential to provide novel insights into US disease-specific mortality time trends and their differences across geographic regions.","container-title":"JAMA","DOI":"10.1001/jama.2016.13645","ISSN":"0098-7484","issue":"22","journalAbbreviation":"JAMA","page":"2385-2401","source":"Silverchair","title":"US County-Level Trends in Mortality Rates for Major Causes of Death, 1980-2014","volume":"316","author":[{"family":"Dwyer-Lindgren","given":"Laura"},{"family":"Bertozzi-Villa","given":"Amelia"},{"family":"Stubbs","given":"Rebecca W."},{"family":"Morozoff","given":"Chloe"},{"family":"Kutz","given":"Michael J."},{"family":"Huynh","given":"Chantal"},{"family":"Barber","given":"Ryan M."},{"family":"Shackelford","given":"Katya A."},{"family":"Mackenbach","given":"Johan P."},{"family":"Lenthe","given":"Frank J.","non-dropping-particle":"van"},{"family":"Flaxman","given":"Abraham D."},{"family":"Naghavi","given":"Mohsen"},{"family":"Mokdad","given":"Ali H."},{"family":"Murray","given":"Christopher J. L."}],"issued":{"date-parts":[["2016",12,13]]}}}],"schema":"https://github.com/citation-style-language/schema/raw/master/csl-citation.json"} </w:instrText>
      </w:r>
      <w:r w:rsidRPr="005173CD">
        <w:rPr>
          <w:rFonts w:asciiTheme="majorHAnsi" w:eastAsiaTheme="minorEastAsia" w:hAnsiTheme="majorHAnsi" w:cstheme="majorHAnsi"/>
          <w:lang w:val="en-GB"/>
        </w:rPr>
        <w:fldChar w:fldCharType="separate"/>
      </w:r>
      <w:r w:rsidR="00DB4F51" w:rsidRPr="00DB4F51">
        <w:rPr>
          <w:rFonts w:ascii="Calibri Light" w:hAnsi="Calibri Light" w:cs="Calibri Light"/>
          <w:vertAlign w:val="superscript"/>
        </w:rPr>
        <w:t>26</w:t>
      </w:r>
      <w:r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Given an N-dimensional table whose internal entries denote uncertain values and whose marginal entries denote aggregated, more certain values, raking provides a means of fitting the internal entries to the margins while preserving the internal relationships of the table. This is accomplished simply by proportionately scaling the rows to add up to their marginal totals, then scaling the columns the same way, and repeating until the entries in the table stabili</w:t>
      </w:r>
      <w:r w:rsidR="00D12451"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e (</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xml:space="preserve">, converge). </w:t>
      </w:r>
      <w:r w:rsidR="00A74F09" w:rsidRPr="005173CD">
        <w:rPr>
          <w:rFonts w:asciiTheme="majorHAnsi" w:eastAsiaTheme="minorEastAsia" w:hAnsiTheme="majorHAnsi" w:cstheme="majorHAnsi"/>
          <w:lang w:val="en-GB"/>
        </w:rPr>
        <w:t xml:space="preserve">As such, it is necessary to concurrently model the other causes of death, not just </w:t>
      </w:r>
      <w:r w:rsidR="00FC7390">
        <w:rPr>
          <w:rFonts w:asciiTheme="majorHAnsi" w:eastAsiaTheme="minorEastAsia" w:hAnsiTheme="majorHAnsi" w:cstheme="majorHAnsi"/>
          <w:lang w:val="en-GB"/>
        </w:rPr>
        <w:t>maternal deaths</w:t>
      </w:r>
      <w:r w:rsidR="00A74F09" w:rsidRPr="005173CD">
        <w:rPr>
          <w:rFonts w:asciiTheme="majorHAnsi" w:eastAsiaTheme="minorEastAsia" w:hAnsiTheme="majorHAnsi" w:cstheme="majorHAnsi"/>
          <w:lang w:val="en-GB"/>
        </w:rPr>
        <w:t>. Due to model instability in very small causes of death, we model causes with at least 10 000 deaths in total over the study per</w:t>
      </w:r>
      <w:r w:rsidR="004C29D0" w:rsidRPr="005173CD">
        <w:rPr>
          <w:rFonts w:asciiTheme="majorHAnsi" w:eastAsiaTheme="minorEastAsia" w:hAnsiTheme="majorHAnsi" w:cstheme="majorHAnsi"/>
          <w:lang w:val="en-GB"/>
        </w:rPr>
        <w:t>iod and at least 1</w:t>
      </w:r>
      <w:r w:rsidR="00A74F09" w:rsidRPr="005173CD">
        <w:rPr>
          <w:rFonts w:asciiTheme="majorHAnsi" w:eastAsiaTheme="minorEastAsia" w:hAnsiTheme="majorHAnsi" w:cstheme="majorHAnsi"/>
          <w:lang w:val="en-GB"/>
        </w:rPr>
        <w:t>000 deaths each among males and females separately.</w:t>
      </w:r>
    </w:p>
    <w:p w14:paraId="09294A10"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100AF66C" w14:textId="2177D47E" w:rsidR="00952E1A" w:rsidRPr="005173CD" w:rsidRDefault="19F9DE1B" w:rsidP="64439A67">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Raking has been shown to converge if the sum of the margins are equal and there are no zeros or negative numbers in the margins.</w:t>
      </w:r>
      <w:r w:rsidR="00952E1A" w:rsidRPr="005173CD">
        <w:rPr>
          <w:rFonts w:asciiTheme="majorHAnsi" w:eastAsiaTheme="minorEastAsia" w:hAnsiTheme="majorHAnsi" w:cstheme="majorHAnsi"/>
          <w:lang w:val="en-GB"/>
        </w:rPr>
        <w:fldChar w:fldCharType="begin"/>
      </w:r>
      <w:r w:rsidR="00BA0E90">
        <w:rPr>
          <w:rFonts w:asciiTheme="majorHAnsi" w:eastAsiaTheme="minorEastAsia" w:hAnsiTheme="majorHAnsi" w:cstheme="majorHAnsi"/>
          <w:lang w:val="en-GB"/>
        </w:rPr>
        <w:instrText xml:space="preserve"> ADDIN ZOTERO_ITEM CSL_CITATION {"citationID":"uN0ZMW2k","properties":{"formattedCitation":"\\super 27\\nosupersub{}","plainCitation":"27","noteIndex":0},"citationItems":[{"id":"wdkIiMrh/53Jd5LG9","uris":["http://zotero.org/users/5216175/items/36JNP6J8"],"itemData":{"id":3122,"type":"article-journal","abstract":"Deming and Stephan (1940) first proposed the use of an iterative proportional fitting procedure to estimate cell probabilities in a contingency table subject to certain marginal constraints. In this paper we first relate this procedure to a variety of sources and a variety of statistical problems. We then describe the procedure geometrically for two-way contingency tables using the concepts presented in Fienberg (1968). This geometrical description leads to a rather simple proof of the convergence of the iterative procedure. We conclude the paper with a discussion of extensions to multi-dimensional tables and to tables with some zero entries.","container-title":"The Annals of Mathematical Statistics","DOI":"10.1214/aoms/1177696968","ISSN":"0003-4851, 2168-8990","issue":"3","note":"publisher: Institute of Mathematical Statistics","page":"907-917","source":"Project Euclid","title":"An Iterative Procedure for Estimation in Contingency Tables","volume":"41","author":[{"family":"Fienberg","given":"Stephen E."}],"issued":{"date-parts":[["1970",6]]}}}],"schema":"https://github.com/citation-style-language/schema/raw/master/csl-citation.json"} </w:instrText>
      </w:r>
      <w:r w:rsidR="00952E1A" w:rsidRPr="005173CD">
        <w:rPr>
          <w:rFonts w:asciiTheme="majorHAnsi" w:eastAsiaTheme="minorEastAsia" w:hAnsiTheme="majorHAnsi" w:cstheme="majorHAnsi"/>
          <w:lang w:val="en-GB"/>
        </w:rPr>
        <w:fldChar w:fldCharType="separate"/>
      </w:r>
      <w:r w:rsidR="00B60E69" w:rsidRPr="00B60E69">
        <w:rPr>
          <w:rFonts w:ascii="Calibri Light" w:hAnsi="Calibri Light" w:cs="Calibri Light"/>
          <w:vertAlign w:val="superscript"/>
        </w:rPr>
        <w:t>27</w:t>
      </w:r>
      <w:r w:rsidR="00952E1A" w:rsidRPr="005173CD">
        <w:rPr>
          <w:rFonts w:asciiTheme="majorHAnsi" w:eastAsiaTheme="minorEastAsia" w:hAnsiTheme="majorHAnsi" w:cstheme="majorHAnsi"/>
          <w:lang w:val="en-GB"/>
        </w:rPr>
        <w:fldChar w:fldCharType="end"/>
      </w:r>
      <w:r w:rsidRPr="005173CD">
        <w:rPr>
          <w:rFonts w:asciiTheme="majorHAnsi" w:eastAsiaTheme="minorEastAsia" w:hAnsiTheme="majorHAnsi" w:cstheme="majorHAnsi"/>
          <w:lang w:val="en-GB"/>
        </w:rPr>
        <w:t xml:space="preserve"> Raking works on tables of arbitrary dimensionality and requires only a single iteration for a one-dimensional table. It should be noted that this algorithm was applied to mortality rates rather than death counts, and as such, an extra population-weighting step was required when raking to state estimates.</w:t>
      </w:r>
    </w:p>
    <w:p w14:paraId="0F9C3FF7"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5043B12D" w14:textId="77777777" w:rsidR="00EF6645" w:rsidRPr="005173CD" w:rsidRDefault="00EF6645"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To rake county-level estimates across causes, one-dimensional raking was applied to fit county-level estimates of lower-level causes to higher-level cause estimates at each level of the cause hierarchy. Because we only model causes with more than 10 000 deaths in total and 1000 deaths among males and females over 2000–19, we must account for the non-modelled causes before raking. Thus, we assume that any difference between mortality aggregated across child causes compared to the parent cause should be attributed to unmodelled causes in that branch of the cause hierarchy. Specifically, to make this adjustment by county, year, age, sex, and parent cause, we calculated the mean (</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across draws) mortality rate aggregated across child causes and compared it to the mean mortality rate of the raked parent cause. If this aggregated value was larger than the parent cause value, we assumed that mortality attributed to the unmodelled causes was zero. Otherwise, we divided the aggregated mortality rate by the parent cause mortality rate to get the cause fraction of modelled causes. Finally, we multiplied the parent cause mortality rate (on a per draw basis) by 1 minus this cause fraction before raking the child causes.</w:t>
      </w:r>
    </w:p>
    <w:p w14:paraId="10501DFF" w14:textId="77777777" w:rsidR="00EF6645" w:rsidRPr="005173CD" w:rsidRDefault="00EF6645" w:rsidP="00952E1A">
      <w:pPr>
        <w:spacing w:after="0" w:line="360" w:lineRule="auto"/>
        <w:contextualSpacing/>
        <w:rPr>
          <w:rFonts w:asciiTheme="majorHAnsi" w:hAnsiTheme="majorHAnsi" w:cstheme="majorHAnsi"/>
        </w:rPr>
      </w:pPr>
    </w:p>
    <w:p w14:paraId="7A5396DD" w14:textId="169A3B9C" w:rsidR="00952E1A" w:rsidRPr="005173CD" w:rsidRDefault="00611F43"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lastRenderedPageBreak/>
        <w:t>To rake the county and racial</w:t>
      </w:r>
      <w:r w:rsidR="00611C8C"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 xml:space="preserve">ethnic </w:t>
      </w:r>
      <w:r w:rsidR="00611C8C"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 xml:space="preserve"> estimates to the newly raked county-level estimates, first one-dimensional raking was applied to fit the county and racial and ethnic population all-cause mortality estimates to the raked county-level all-cause mortality estimates. Second, two-dimensional raking (across racial and ethnic population and cause) was applied at each level of the cause hierarchy.</w:t>
      </w:r>
    </w:p>
    <w:p w14:paraId="76E676C8" w14:textId="77777777" w:rsidR="00ED0A30" w:rsidRPr="005173CD" w:rsidRDefault="00ED0A30" w:rsidP="00952E1A">
      <w:pPr>
        <w:spacing w:after="0" w:line="360" w:lineRule="auto"/>
        <w:contextualSpacing/>
        <w:rPr>
          <w:rFonts w:asciiTheme="majorHAnsi" w:eastAsiaTheme="minorEastAsia" w:hAnsiTheme="majorHAnsi" w:cstheme="majorHAnsi"/>
          <w:lang w:val="en-GB"/>
        </w:rPr>
      </w:pPr>
    </w:p>
    <w:p w14:paraId="73CF8D33" w14:textId="77777777" w:rsidR="00952E1A" w:rsidRPr="005173CD" w:rsidRDefault="00952E1A" w:rsidP="00952E1A">
      <w:pPr>
        <w:pStyle w:val="Heading3"/>
        <w:spacing w:before="0" w:line="360" w:lineRule="auto"/>
        <w:contextualSpacing/>
        <w:rPr>
          <w:rFonts w:eastAsiaTheme="minorEastAsia" w:cstheme="majorHAnsi"/>
          <w:lang w:val="en-GB"/>
        </w:rPr>
      </w:pPr>
      <w:bookmarkStart w:id="40" w:name="_Toc99615577"/>
      <w:bookmarkStart w:id="41" w:name="_Toc112329085"/>
      <w:bookmarkStart w:id="42" w:name="_Toc175308187"/>
      <w:r w:rsidRPr="005173CD">
        <w:rPr>
          <w:rFonts w:eastAsiaTheme="minorEastAsia" w:cstheme="majorHAnsi"/>
          <w:lang w:val="en-GB"/>
        </w:rPr>
        <w:t>Impact of misclassification adjustment and calibration</w:t>
      </w:r>
      <w:bookmarkEnd w:id="40"/>
      <w:bookmarkEnd w:id="41"/>
      <w:bookmarkEnd w:id="42"/>
    </w:p>
    <w:p w14:paraId="7C68D389" w14:textId="2169D330"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Both misclassification adjustment and model calibration play important roles in creating more accurate mortality estimates. First, misclassification adjustment accounts for under-</w:t>
      </w:r>
      <w:r w:rsidR="00611C8C" w:rsidRPr="005173CD">
        <w:rPr>
          <w:rFonts w:asciiTheme="majorHAnsi" w:eastAsiaTheme="minorEastAsia" w:hAnsiTheme="majorHAnsi" w:cstheme="majorHAnsi"/>
          <w:lang w:val="en-GB"/>
        </w:rPr>
        <w:t>reporting</w:t>
      </w:r>
      <w:r w:rsidRPr="005173CD">
        <w:rPr>
          <w:rFonts w:asciiTheme="majorHAnsi" w:eastAsiaTheme="minorEastAsia" w:hAnsiTheme="majorHAnsi" w:cstheme="majorHAnsi"/>
          <w:lang w:val="en-GB"/>
        </w:rPr>
        <w:t xml:space="preserve"> or over-reporting of certain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s on death certificates. However, because this adjustment is done independently for each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 it can change the overall level of mortality estimated for a given county. </w:t>
      </w:r>
      <w:r w:rsidR="00027D47" w:rsidRPr="005173CD">
        <w:rPr>
          <w:rFonts w:asciiTheme="majorHAnsi" w:eastAsiaTheme="minorEastAsia" w:hAnsiTheme="majorHAnsi" w:cstheme="majorHAnsi"/>
          <w:lang w:val="en-GB"/>
        </w:rPr>
        <w:t>The primary purpose of o</w:t>
      </w:r>
      <w:r w:rsidRPr="005173CD">
        <w:rPr>
          <w:rFonts w:asciiTheme="majorHAnsi" w:eastAsiaTheme="minorEastAsia" w:hAnsiTheme="majorHAnsi" w:cstheme="majorHAnsi"/>
          <w:lang w:val="en-GB"/>
        </w:rPr>
        <w:t>ur calibration procedure</w:t>
      </w:r>
      <w:r w:rsidR="00027D47" w:rsidRPr="005173CD">
        <w:rPr>
          <w:rFonts w:asciiTheme="majorHAnsi" w:eastAsiaTheme="minorEastAsia" w:hAnsiTheme="majorHAnsi" w:cstheme="majorHAnsi"/>
          <w:lang w:val="en-GB"/>
        </w:rPr>
        <w:t xml:space="preserve"> is</w:t>
      </w:r>
      <w:r w:rsidRPr="005173CD">
        <w:rPr>
          <w:rFonts w:asciiTheme="majorHAnsi" w:eastAsiaTheme="minorEastAsia" w:hAnsiTheme="majorHAnsi" w:cstheme="majorHAnsi"/>
          <w:lang w:val="en-GB"/>
        </w:rPr>
        <w:t xml:space="preserve"> to constrain the adjusted estimates such that the overall level of mortality implied by the </w:t>
      </w:r>
      <w:r w:rsidR="009579DB"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-specific estimates is the same as when estimating at the county level. Because these two processes are linked, we show here the cumulative impact of both adjustment for misclassification and calibration for all-cause mortality.</w:t>
      </w:r>
    </w:p>
    <w:p w14:paraId="5C883244"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6FFD5283" w14:textId="321B081E" w:rsidR="00952E1A" w:rsidRPr="005173CD" w:rsidRDefault="00952E1A" w:rsidP="00952E1A">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The figure in section 4.4 demonstrates the impact of these calculations on </w:t>
      </w:r>
      <w:r w:rsidR="00027D47" w:rsidRPr="005173CD">
        <w:rPr>
          <w:rFonts w:asciiTheme="majorHAnsi" w:eastAsiaTheme="minorEastAsia" w:hAnsiTheme="majorHAnsi" w:cstheme="majorHAnsi"/>
          <w:lang w:val="en-GB"/>
        </w:rPr>
        <w:t xml:space="preserve">all-cause </w:t>
      </w:r>
      <w:r w:rsidRPr="005173CD">
        <w:rPr>
          <w:rFonts w:asciiTheme="majorHAnsi" w:eastAsiaTheme="minorEastAsia" w:hAnsiTheme="majorHAnsi" w:cstheme="majorHAnsi"/>
          <w:lang w:val="en-GB"/>
        </w:rPr>
        <w:t xml:space="preserve">mortality at the national level. The estimate of total mortality is </w:t>
      </w:r>
      <w:r w:rsidR="00027D47" w:rsidRPr="005173CD">
        <w:rPr>
          <w:rFonts w:asciiTheme="majorHAnsi" w:eastAsiaTheme="minorEastAsia" w:hAnsiTheme="majorHAnsi" w:cstheme="majorHAnsi"/>
          <w:lang w:val="en-GB"/>
        </w:rPr>
        <w:t xml:space="preserve">not </w:t>
      </w:r>
      <w:r w:rsidRPr="005173CD">
        <w:rPr>
          <w:rFonts w:asciiTheme="majorHAnsi" w:eastAsiaTheme="minorEastAsia" w:hAnsiTheme="majorHAnsi" w:cstheme="majorHAnsi"/>
          <w:lang w:val="en-GB"/>
        </w:rPr>
        <w:t>impacted by calibration</w:t>
      </w:r>
      <w:r w:rsidR="00E36980" w:rsidRPr="005173CD">
        <w:rPr>
          <w:rFonts w:asciiTheme="majorHAnsi" w:eastAsiaTheme="minorEastAsia" w:hAnsiTheme="majorHAnsi" w:cstheme="majorHAnsi"/>
          <w:lang w:val="en-GB"/>
        </w:rPr>
        <w:t>,</w:t>
      </w:r>
      <w:r w:rsidR="00027D47" w:rsidRPr="005173CD">
        <w:rPr>
          <w:rFonts w:asciiTheme="majorHAnsi" w:eastAsiaTheme="minorEastAsia" w:hAnsiTheme="majorHAnsi" w:cstheme="majorHAnsi"/>
          <w:lang w:val="en-GB"/>
        </w:rPr>
        <w:t xml:space="preserve"> as all other estimates are raked to these mortality rates</w:t>
      </w:r>
      <w:r w:rsidRPr="005173CD">
        <w:rPr>
          <w:rFonts w:asciiTheme="majorHAnsi" w:eastAsiaTheme="minorEastAsia" w:hAnsiTheme="majorHAnsi" w:cstheme="majorHAnsi"/>
          <w:lang w:val="en-GB"/>
        </w:rPr>
        <w:t>. The estimates for each racial</w:t>
      </w:r>
      <w:r w:rsidR="00027D47" w:rsidRPr="005173CD">
        <w:rPr>
          <w:rFonts w:asciiTheme="majorHAnsi" w:eastAsiaTheme="minorEastAsia" w:hAnsiTheme="majorHAnsi" w:cstheme="majorHAnsi"/>
          <w:lang w:val="en-GB"/>
        </w:rPr>
        <w:t xml:space="preserve"> and </w:t>
      </w:r>
      <w:r w:rsidRPr="005173CD">
        <w:rPr>
          <w:rFonts w:asciiTheme="majorHAnsi" w:eastAsiaTheme="minorEastAsia" w:hAnsiTheme="majorHAnsi" w:cstheme="majorHAnsi"/>
          <w:lang w:val="en-GB"/>
        </w:rPr>
        <w:t>ethnic</w:t>
      </w:r>
      <w:r w:rsidR="00027D47" w:rsidRPr="005173CD">
        <w:rPr>
          <w:rFonts w:asciiTheme="majorHAnsi" w:eastAsiaTheme="minorEastAsia" w:hAnsiTheme="majorHAnsi" w:cstheme="majorHAnsi"/>
          <w:lang w:val="en-GB"/>
        </w:rPr>
        <w:t xml:space="preserve"> population</w:t>
      </w:r>
      <w:r w:rsidRPr="005173CD">
        <w:rPr>
          <w:rFonts w:asciiTheme="majorHAnsi" w:eastAsiaTheme="minorEastAsia" w:hAnsiTheme="majorHAnsi" w:cstheme="majorHAnsi"/>
          <w:lang w:val="en-GB"/>
        </w:rPr>
        <w:t xml:space="preserve"> are impacted by both adjustment for misclassification and the calibration procedure. The combined effect is small for the </w:t>
      </w:r>
      <w:r w:rsidR="004E293D" w:rsidRPr="005173CD">
        <w:rPr>
          <w:rFonts w:asciiTheme="majorHAnsi" w:eastAsiaTheme="minorEastAsia" w:hAnsiTheme="majorHAnsi" w:cstheme="majorHAnsi"/>
          <w:lang w:val="en-GB"/>
        </w:rPr>
        <w:t xml:space="preserve">Black and </w:t>
      </w:r>
      <w:r w:rsidRPr="005173CD">
        <w:rPr>
          <w:rFonts w:asciiTheme="majorHAnsi" w:eastAsiaTheme="minorEastAsia" w:hAnsiTheme="majorHAnsi" w:cstheme="majorHAnsi"/>
          <w:lang w:val="en-GB"/>
        </w:rPr>
        <w:t xml:space="preserve">White populations, as expected given the small size of the misclassification adjustments for these two </w:t>
      </w:r>
      <w:r w:rsidR="00E7292A" w:rsidRPr="005173CD">
        <w:rPr>
          <w:rFonts w:asciiTheme="majorHAnsi" w:eastAsiaTheme="minorEastAsia" w:hAnsiTheme="majorHAnsi" w:cstheme="majorHAnsi"/>
          <w:lang w:val="en-GB"/>
        </w:rPr>
        <w:t>population</w:t>
      </w:r>
      <w:r w:rsidRPr="005173CD">
        <w:rPr>
          <w:rFonts w:asciiTheme="majorHAnsi" w:eastAsiaTheme="minorEastAsia" w:hAnsiTheme="majorHAnsi" w:cstheme="majorHAnsi"/>
          <w:lang w:val="en-GB"/>
        </w:rPr>
        <w:t>s. There are moderate increases in mortality for the Asian and Latino populations, as well as increases in the uncertainty of those estimates, reflecting the somewhat larger misclassification adjustments as well as increased uncertainty from these adjustments. These processes have the largest effect on mortality among the AIAN population: there are large increases in mortality once adjusted and calibrated in addition to a large increase in uncertainty.</w:t>
      </w:r>
    </w:p>
    <w:p w14:paraId="64535670" w14:textId="77777777" w:rsidR="00952E1A" w:rsidRPr="005173CD" w:rsidRDefault="00952E1A" w:rsidP="00952E1A">
      <w:pPr>
        <w:spacing w:after="0" w:line="360" w:lineRule="auto"/>
        <w:contextualSpacing/>
        <w:rPr>
          <w:rFonts w:asciiTheme="majorHAnsi" w:eastAsiaTheme="minorEastAsia" w:hAnsiTheme="majorHAnsi" w:cstheme="majorHAnsi"/>
          <w:lang w:val="en-GB"/>
        </w:rPr>
      </w:pPr>
    </w:p>
    <w:p w14:paraId="771B1B23" w14:textId="17F0D913" w:rsidR="009B006F" w:rsidRPr="005173CD" w:rsidRDefault="19F9DE1B" w:rsidP="64439A67">
      <w:pPr>
        <w:spacing w:after="0" w:line="360" w:lineRule="auto"/>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The maps in section 4.5 show the corresponding impact at the county level. Again, for the total population, the</w:t>
      </w:r>
      <w:r w:rsidR="49502F3D" w:rsidRPr="005173CD">
        <w:rPr>
          <w:rFonts w:asciiTheme="majorHAnsi" w:eastAsiaTheme="minorEastAsia" w:hAnsiTheme="majorHAnsi" w:cstheme="majorHAnsi"/>
          <w:lang w:val="en-GB"/>
        </w:rPr>
        <w:t>re are no</w:t>
      </w:r>
      <w:r w:rsidRPr="005173CD">
        <w:rPr>
          <w:rFonts w:asciiTheme="majorHAnsi" w:eastAsiaTheme="minorEastAsia" w:hAnsiTheme="majorHAnsi" w:cstheme="majorHAnsi"/>
          <w:lang w:val="en-GB"/>
        </w:rPr>
        <w:t xml:space="preserve"> changes </w:t>
      </w:r>
      <w:r w:rsidR="49502F3D" w:rsidRPr="005173CD">
        <w:rPr>
          <w:rFonts w:asciiTheme="majorHAnsi" w:eastAsiaTheme="minorEastAsia" w:hAnsiTheme="majorHAnsi" w:cstheme="majorHAnsi"/>
          <w:lang w:val="en-GB"/>
        </w:rPr>
        <w:t>due to</w:t>
      </w:r>
      <w:r w:rsidRPr="005173CD">
        <w:rPr>
          <w:rFonts w:asciiTheme="majorHAnsi" w:eastAsiaTheme="minorEastAsia" w:hAnsiTheme="majorHAnsi" w:cstheme="majorHAnsi"/>
          <w:lang w:val="en-GB"/>
        </w:rPr>
        <w:t xml:space="preserve"> calibration</w:t>
      </w:r>
      <w:r w:rsidR="49502F3D" w:rsidRPr="005173CD">
        <w:rPr>
          <w:rFonts w:asciiTheme="majorHAnsi" w:eastAsiaTheme="minorEastAsia" w:hAnsiTheme="majorHAnsi" w:cstheme="majorHAnsi"/>
          <w:lang w:val="en-GB"/>
        </w:rPr>
        <w:t xml:space="preserve"> or adjustment</w:t>
      </w:r>
      <w:r w:rsidRPr="005173CD">
        <w:rPr>
          <w:rFonts w:asciiTheme="majorHAnsi" w:eastAsiaTheme="minorEastAsia" w:hAnsiTheme="majorHAnsi" w:cstheme="majorHAnsi"/>
          <w:lang w:val="en-GB"/>
        </w:rPr>
        <w:t>. The more substantial changes in mortality are noted at the national level for the</w:t>
      </w:r>
      <w:r w:rsidR="7862A922" w:rsidRPr="005173CD">
        <w:rPr>
          <w:rFonts w:asciiTheme="majorHAnsi" w:eastAsiaTheme="minorEastAsia" w:hAnsiTheme="majorHAnsi" w:cstheme="majorHAnsi"/>
          <w:lang w:val="en-GB"/>
        </w:rPr>
        <w:t xml:space="preserve"> AIAN,</w:t>
      </w:r>
      <w:r w:rsidRPr="005173CD">
        <w:rPr>
          <w:rFonts w:asciiTheme="majorHAnsi" w:eastAsiaTheme="minorEastAsia" w:hAnsiTheme="majorHAnsi" w:cstheme="majorHAnsi"/>
          <w:lang w:val="en-GB"/>
        </w:rPr>
        <w:t xml:space="preserve"> </w:t>
      </w:r>
      <w:r w:rsidR="68E801A5" w:rsidRPr="005173CD">
        <w:rPr>
          <w:rFonts w:asciiTheme="majorHAnsi" w:eastAsiaTheme="minorEastAsia" w:hAnsiTheme="majorHAnsi" w:cstheme="majorHAnsi"/>
          <w:lang w:val="en-GB"/>
        </w:rPr>
        <w:t xml:space="preserve">Asian, and </w:t>
      </w:r>
      <w:r w:rsidRPr="005173CD">
        <w:rPr>
          <w:rFonts w:asciiTheme="majorHAnsi" w:eastAsiaTheme="minorEastAsia" w:hAnsiTheme="majorHAnsi" w:cstheme="majorHAnsi"/>
          <w:lang w:val="en-GB"/>
        </w:rPr>
        <w:t>Latino population</w:t>
      </w:r>
      <w:r w:rsidR="7862A922"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 are again noted here, with changes at the county level generally in the same direction (</w:t>
      </w:r>
      <w:proofErr w:type="spellStart"/>
      <w:r w:rsidRPr="005173CD">
        <w:rPr>
          <w:rFonts w:asciiTheme="majorHAnsi" w:eastAsiaTheme="minorEastAsia" w:hAnsiTheme="majorHAnsi" w:cstheme="majorHAnsi"/>
          <w:lang w:val="en-GB"/>
        </w:rPr>
        <w:t>ie</w:t>
      </w:r>
      <w:proofErr w:type="spellEnd"/>
      <w:r w:rsidRPr="005173CD">
        <w:rPr>
          <w:rFonts w:asciiTheme="majorHAnsi" w:eastAsiaTheme="minorEastAsia" w:hAnsiTheme="majorHAnsi" w:cstheme="majorHAnsi"/>
          <w:lang w:val="en-GB"/>
        </w:rPr>
        <w:t xml:space="preserve">, increases in mortality). Perhaps counterintuitively, there are instances where for a particular county and </w:t>
      </w:r>
      <w:r w:rsidR="28F1E044" w:rsidRPr="005173CD">
        <w:rPr>
          <w:rFonts w:asciiTheme="majorHAnsi" w:eastAsiaTheme="minorEastAsia" w:hAnsiTheme="majorHAnsi" w:cstheme="majorHAnsi"/>
          <w:lang w:val="en-GB"/>
        </w:rPr>
        <w:t>racial and ethnic population</w:t>
      </w:r>
      <w:r w:rsidRPr="005173CD">
        <w:rPr>
          <w:rFonts w:asciiTheme="majorHAnsi" w:eastAsiaTheme="minorEastAsia" w:hAnsiTheme="majorHAnsi" w:cstheme="majorHAnsi"/>
          <w:lang w:val="en-GB"/>
        </w:rPr>
        <w:t xml:space="preserve">, the </w:t>
      </w:r>
      <w:r w:rsidRPr="005173CD">
        <w:rPr>
          <w:rFonts w:asciiTheme="majorHAnsi" w:eastAsiaTheme="minorEastAsia" w:hAnsiTheme="majorHAnsi" w:cstheme="majorHAnsi"/>
          <w:lang w:val="en-GB"/>
        </w:rPr>
        <w:lastRenderedPageBreak/>
        <w:t>change in mortality after misclassification adjustment and calibration is not in the same direction as at the national level. This is caused by the interaction between adjustment and calibration. For example, in Bethel Census Area, Alaska, misclassification adjustment alone caused an increase in mortality, but calibration caused mortality to decrease because</w:t>
      </w:r>
      <w:r w:rsidR="7112CACB" w:rsidRPr="005173CD">
        <w:rPr>
          <w:rFonts w:asciiTheme="majorHAnsi" w:eastAsiaTheme="minorEastAsia" w:hAnsiTheme="majorHAnsi" w:cstheme="majorHAnsi"/>
          <w:lang w:val="en-GB"/>
        </w:rPr>
        <w:t>, in this county,</w:t>
      </w:r>
      <w:r w:rsidRPr="005173CD">
        <w:rPr>
          <w:rFonts w:asciiTheme="majorHAnsi" w:eastAsiaTheme="minorEastAsia" w:hAnsiTheme="majorHAnsi" w:cstheme="majorHAnsi"/>
          <w:lang w:val="en-GB"/>
        </w:rPr>
        <w:t xml:space="preserve"> the unadjusted estimates </w:t>
      </w:r>
      <w:r w:rsidR="7112CACB" w:rsidRPr="005173CD">
        <w:rPr>
          <w:rFonts w:asciiTheme="majorHAnsi" w:eastAsiaTheme="minorEastAsia" w:hAnsiTheme="majorHAnsi" w:cstheme="majorHAnsi"/>
          <w:lang w:val="en-GB"/>
        </w:rPr>
        <w:t xml:space="preserve">aggregated across racial and ethnic populations were higher than </w:t>
      </w:r>
      <w:r w:rsidR="13A7D8FE" w:rsidRPr="005173CD">
        <w:rPr>
          <w:rFonts w:asciiTheme="majorHAnsi" w:eastAsiaTheme="minorEastAsia" w:hAnsiTheme="majorHAnsi" w:cstheme="majorHAnsi"/>
          <w:lang w:val="en-GB"/>
        </w:rPr>
        <w:t xml:space="preserve">the </w:t>
      </w:r>
      <w:r w:rsidR="7112CACB" w:rsidRPr="005173CD">
        <w:rPr>
          <w:rFonts w:asciiTheme="majorHAnsi" w:eastAsiaTheme="minorEastAsia" w:hAnsiTheme="majorHAnsi" w:cstheme="majorHAnsi"/>
          <w:lang w:val="en-GB"/>
        </w:rPr>
        <w:t>estimated mortality rates produced by the county-level model.</w:t>
      </w:r>
      <w:r w:rsidRPr="005173CD">
        <w:rPr>
          <w:rFonts w:asciiTheme="majorHAnsi" w:eastAsiaTheme="minorEastAsia" w:hAnsiTheme="majorHAnsi" w:cstheme="majorHAnsi"/>
          <w:lang w:val="en-GB"/>
        </w:rPr>
        <w:t xml:space="preserve"> Another example is Bennett County, South Dakota, where age-standardi</w:t>
      </w:r>
      <w:r w:rsidR="7112CACB" w:rsidRPr="005173CD">
        <w:rPr>
          <w:rFonts w:asciiTheme="majorHAnsi" w:eastAsiaTheme="minorEastAsia" w:hAnsiTheme="majorHAnsi" w:cstheme="majorHAnsi"/>
          <w:lang w:val="en-GB"/>
        </w:rPr>
        <w:t>s</w:t>
      </w:r>
      <w:r w:rsidRPr="005173CD">
        <w:rPr>
          <w:rFonts w:asciiTheme="majorHAnsi" w:eastAsiaTheme="minorEastAsia" w:hAnsiTheme="majorHAnsi" w:cstheme="majorHAnsi"/>
          <w:lang w:val="en-GB"/>
        </w:rPr>
        <w:t xml:space="preserve">ed mortality for the AIAN population is lower once adjusted and calibrated. In this case, this is not due to the </w:t>
      </w:r>
      <w:r w:rsidR="7112CACB" w:rsidRPr="005173CD">
        <w:rPr>
          <w:rFonts w:asciiTheme="majorHAnsi" w:eastAsiaTheme="minorEastAsia" w:hAnsiTheme="majorHAnsi" w:cstheme="majorHAnsi"/>
          <w:lang w:val="en-GB"/>
        </w:rPr>
        <w:t>unadjusted, aggregated</w:t>
      </w:r>
      <w:r w:rsidRPr="005173CD">
        <w:rPr>
          <w:rFonts w:asciiTheme="majorHAnsi" w:eastAsiaTheme="minorEastAsia" w:hAnsiTheme="majorHAnsi" w:cstheme="majorHAnsi"/>
          <w:lang w:val="en-GB"/>
        </w:rPr>
        <w:t xml:space="preserve"> results</w:t>
      </w:r>
      <w:r w:rsidR="7112CACB" w:rsidRPr="005173CD">
        <w:rPr>
          <w:rFonts w:asciiTheme="majorHAnsi" w:eastAsiaTheme="minorEastAsia" w:hAnsiTheme="majorHAnsi" w:cstheme="majorHAnsi"/>
          <w:lang w:val="en-GB"/>
        </w:rPr>
        <w:t xml:space="preserve"> specific to racial and ethnic population</w:t>
      </w:r>
      <w:r w:rsidRPr="005173CD">
        <w:rPr>
          <w:rFonts w:asciiTheme="majorHAnsi" w:eastAsiaTheme="minorEastAsia" w:hAnsiTheme="majorHAnsi" w:cstheme="majorHAnsi"/>
          <w:lang w:val="en-GB"/>
        </w:rPr>
        <w:t xml:space="preserve"> being higher </w:t>
      </w:r>
      <w:r w:rsidR="1252A742" w:rsidRPr="005173CD">
        <w:rPr>
          <w:rFonts w:asciiTheme="majorHAnsi" w:eastAsiaTheme="minorEastAsia" w:hAnsiTheme="majorHAnsi" w:cstheme="majorHAnsi"/>
          <w:lang w:val="en-GB"/>
        </w:rPr>
        <w:t>than the estimates modelled with the county-level model in this county</w:t>
      </w:r>
      <w:r w:rsidRPr="005173CD">
        <w:rPr>
          <w:rFonts w:asciiTheme="majorHAnsi" w:eastAsiaTheme="minorEastAsia" w:hAnsiTheme="majorHAnsi" w:cstheme="majorHAnsi"/>
          <w:lang w:val="en-GB"/>
        </w:rPr>
        <w:t>. Instead, this is due to misclassification adjustment. This county—along with many of the other</w:t>
      </w:r>
      <w:r w:rsidR="1252A742" w:rsidRPr="005173CD">
        <w:rPr>
          <w:rFonts w:asciiTheme="majorHAnsi" w:eastAsiaTheme="minorEastAsia" w:hAnsiTheme="majorHAnsi" w:cstheme="majorHAnsi"/>
          <w:lang w:val="en-GB"/>
        </w:rPr>
        <w:t xml:space="preserve"> counties with</w:t>
      </w:r>
      <w:r w:rsidRPr="005173CD">
        <w:rPr>
          <w:rFonts w:asciiTheme="majorHAnsi" w:eastAsiaTheme="minorEastAsia" w:hAnsiTheme="majorHAnsi" w:cstheme="majorHAnsi"/>
          <w:lang w:val="en-GB"/>
        </w:rPr>
        <w:t xml:space="preserve"> unmasked </w:t>
      </w:r>
      <w:r w:rsidR="1252A742" w:rsidRPr="005173CD">
        <w:rPr>
          <w:rFonts w:asciiTheme="majorHAnsi" w:eastAsiaTheme="minorEastAsia" w:hAnsiTheme="majorHAnsi" w:cstheme="majorHAnsi"/>
          <w:lang w:val="en-GB"/>
        </w:rPr>
        <w:t>estimates</w:t>
      </w:r>
      <w:r w:rsidRPr="005173CD">
        <w:rPr>
          <w:rFonts w:asciiTheme="majorHAnsi" w:eastAsiaTheme="minorEastAsia" w:hAnsiTheme="majorHAnsi" w:cstheme="majorHAnsi"/>
          <w:lang w:val="en-GB"/>
        </w:rPr>
        <w:t xml:space="preserve"> in South Dakota—is a Contract Health Service Delivery Area (CHSDA</w:t>
      </w:r>
      <w:proofErr w:type="gramStart"/>
      <w:r w:rsidRPr="005173CD">
        <w:rPr>
          <w:rFonts w:asciiTheme="majorHAnsi" w:eastAsiaTheme="minorEastAsia" w:hAnsiTheme="majorHAnsi" w:cstheme="majorHAnsi"/>
          <w:lang w:val="en-GB"/>
        </w:rPr>
        <w:t>), and</w:t>
      </w:r>
      <w:proofErr w:type="gramEnd"/>
      <w:r w:rsidRPr="005173CD">
        <w:rPr>
          <w:rFonts w:asciiTheme="majorHAnsi" w:eastAsiaTheme="minorEastAsia" w:hAnsiTheme="majorHAnsi" w:cstheme="majorHAnsi"/>
          <w:lang w:val="en-GB"/>
        </w:rPr>
        <w:t xml:space="preserve"> therefore has a lower misclassification adjustment. This adjustment is 1.17, </w:t>
      </w:r>
      <w:r w:rsidR="1BDFB369" w:rsidRPr="005173CD">
        <w:rPr>
          <w:rFonts w:asciiTheme="majorHAnsi" w:eastAsiaTheme="minorEastAsia" w:hAnsiTheme="majorHAnsi" w:cstheme="majorHAnsi"/>
          <w:lang w:val="en-GB"/>
        </w:rPr>
        <w:t>and</w:t>
      </w:r>
      <w:r w:rsidRPr="005173CD">
        <w:rPr>
          <w:rFonts w:asciiTheme="majorHAnsi" w:eastAsiaTheme="minorEastAsia" w:hAnsiTheme="majorHAnsi" w:cstheme="majorHAnsi"/>
          <w:lang w:val="en-GB"/>
        </w:rPr>
        <w:t xml:space="preserve"> the denominator is 1.4 (the total AIAN misclassification ratio for both Latino and non-Latino AIAN). Thus, the ratios of ratios </w:t>
      </w:r>
      <w:proofErr w:type="gramStart"/>
      <w:r w:rsidRPr="005173CD">
        <w:rPr>
          <w:rFonts w:asciiTheme="majorHAnsi" w:eastAsiaTheme="minorEastAsia" w:hAnsiTheme="majorHAnsi" w:cstheme="majorHAnsi"/>
          <w:lang w:val="en-GB"/>
        </w:rPr>
        <w:t>is</w:t>
      </w:r>
      <w:proofErr w:type="gramEnd"/>
      <w:r w:rsidRPr="005173CD">
        <w:rPr>
          <w:rFonts w:asciiTheme="majorHAnsi" w:eastAsiaTheme="minorEastAsia" w:hAnsiTheme="majorHAnsi" w:cstheme="majorHAnsi"/>
          <w:lang w:val="en-GB"/>
        </w:rPr>
        <w:t xml:space="preserve"> less than 1. This is combined with the region misclassification ratio, which is 1.12 and has a denominator of 1.33 (the total non-Latino AIAN misclassification ratio). Thus, the contribution from the region misclassification ratio is also less than 1. This means that the combined misclassification ratios are less than 1 for most ages and sexes in this county, thus leading to lower mortality. In contrast, Brown County, South Dakota exhibits </w:t>
      </w:r>
      <w:proofErr w:type="gramStart"/>
      <w:r w:rsidRPr="005173CD">
        <w:rPr>
          <w:rFonts w:asciiTheme="majorHAnsi" w:eastAsiaTheme="minorEastAsia" w:hAnsiTheme="majorHAnsi" w:cstheme="majorHAnsi"/>
          <w:lang w:val="en-GB"/>
        </w:rPr>
        <w:t>increases</w:t>
      </w:r>
      <w:proofErr w:type="gramEnd"/>
      <w:r w:rsidRPr="005173CD">
        <w:rPr>
          <w:rFonts w:asciiTheme="majorHAnsi" w:eastAsiaTheme="minorEastAsia" w:hAnsiTheme="majorHAnsi" w:cstheme="majorHAnsi"/>
          <w:lang w:val="en-GB"/>
        </w:rPr>
        <w:t xml:space="preserve"> in mortality due to raking and calibration. This is because Brown County is not a CHSDA, and thus its associated adjustment is larger than 1.</w:t>
      </w:r>
      <w:r w:rsidR="00952E1A" w:rsidRPr="005173CD">
        <w:rPr>
          <w:rFonts w:asciiTheme="majorHAnsi" w:eastAsiaTheme="minorEastAsia" w:hAnsiTheme="majorHAnsi" w:cstheme="majorHAnsi"/>
          <w:lang w:val="en-GB"/>
        </w:rPr>
        <w:br w:type="page"/>
      </w:r>
    </w:p>
    <w:p w14:paraId="1C70A219" w14:textId="6FF804E3" w:rsidR="00181623" w:rsidRPr="005173CD" w:rsidRDefault="004D101A" w:rsidP="009664F9">
      <w:pPr>
        <w:pStyle w:val="Heading2"/>
        <w:rPr>
          <w:rFonts w:cstheme="majorHAnsi"/>
          <w:lang w:val="en-GB"/>
        </w:rPr>
      </w:pPr>
      <w:bookmarkStart w:id="43" w:name="_Toc445724325"/>
      <w:bookmarkStart w:id="44" w:name="_Toc175308188"/>
      <w:r w:rsidRPr="005173CD">
        <w:rPr>
          <w:rFonts w:cstheme="majorHAnsi"/>
          <w:lang w:val="en-GB"/>
        </w:rPr>
        <w:lastRenderedPageBreak/>
        <w:t>2</w:t>
      </w:r>
      <w:r w:rsidR="009664F9" w:rsidRPr="005173CD">
        <w:rPr>
          <w:rFonts w:cstheme="majorHAnsi"/>
          <w:lang w:val="en-GB"/>
        </w:rPr>
        <w:t>.</w:t>
      </w:r>
      <w:r w:rsidR="00BD0C20">
        <w:rPr>
          <w:rFonts w:cstheme="majorHAnsi"/>
          <w:lang w:val="en-GB"/>
        </w:rPr>
        <w:t>8</w:t>
      </w:r>
      <w:r w:rsidR="009664F9" w:rsidRPr="005173CD">
        <w:rPr>
          <w:rFonts w:cstheme="majorHAnsi"/>
          <w:lang w:val="en-GB"/>
        </w:rPr>
        <w:t xml:space="preserve"> </w:t>
      </w:r>
      <w:r w:rsidR="00181623" w:rsidRPr="005173CD">
        <w:rPr>
          <w:rFonts w:cstheme="majorHAnsi"/>
          <w:lang w:val="en-GB"/>
        </w:rPr>
        <w:t>References</w:t>
      </w:r>
      <w:bookmarkEnd w:id="43"/>
      <w:bookmarkEnd w:id="44"/>
    </w:p>
    <w:p w14:paraId="1D081EEB" w14:textId="1DFC0B29" w:rsidR="00140BD6" w:rsidRPr="005173CD" w:rsidRDefault="00140BD6" w:rsidP="00110AD9">
      <w:pPr>
        <w:pStyle w:val="NoSpacing"/>
        <w:rPr>
          <w:rFonts w:asciiTheme="majorHAnsi" w:hAnsiTheme="majorHAnsi" w:cstheme="majorHAnsi"/>
          <w:lang w:val="en-GB"/>
        </w:rPr>
      </w:pPr>
    </w:p>
    <w:p w14:paraId="42108724" w14:textId="7A92E306" w:rsidR="001D3849" w:rsidRPr="001D3849" w:rsidRDefault="009A5BDD" w:rsidP="00696EFD">
      <w:pPr>
        <w:pStyle w:val="Bibliography"/>
        <w:rPr>
          <w:rFonts w:ascii="Calibri Light" w:hAnsi="Calibri Light" w:cs="Calibri Light"/>
        </w:rPr>
      </w:pPr>
      <w:r w:rsidRPr="005173CD">
        <w:rPr>
          <w:rFonts w:asciiTheme="majorHAnsi" w:eastAsiaTheme="minorEastAsia" w:hAnsiTheme="majorHAnsi" w:cstheme="majorHAnsi"/>
          <w:lang w:val="en-GB"/>
        </w:rPr>
        <w:fldChar w:fldCharType="begin"/>
      </w:r>
      <w:r w:rsidRPr="005173CD">
        <w:rPr>
          <w:rFonts w:asciiTheme="majorHAnsi" w:eastAsiaTheme="minorEastAsia" w:hAnsiTheme="majorHAnsi" w:cstheme="majorHAnsi"/>
          <w:lang w:val="en-GB"/>
        </w:rPr>
        <w:instrText xml:space="preserve"> ADDIN ZOTERO_BIBL {"uncited":[],"omitted":[],"custom":[]} CSL_BIBLIOGRAPHY </w:instrText>
      </w:r>
      <w:r w:rsidRPr="005173CD">
        <w:rPr>
          <w:rFonts w:asciiTheme="majorHAnsi" w:eastAsiaTheme="minorEastAsia" w:hAnsiTheme="majorHAnsi" w:cstheme="majorHAnsi"/>
          <w:lang w:val="en-GB"/>
        </w:rPr>
        <w:fldChar w:fldCharType="separate"/>
      </w:r>
      <w:r w:rsidR="001D3849" w:rsidRPr="001D3849">
        <w:rPr>
          <w:rFonts w:ascii="Calibri Light" w:hAnsi="Calibri Light" w:cs="Calibri Light"/>
        </w:rPr>
        <w:t>1</w:t>
      </w:r>
      <w:r w:rsidR="001D3849" w:rsidRPr="001D3849">
        <w:rPr>
          <w:rFonts w:ascii="Calibri Light" w:hAnsi="Calibri Light" w:cs="Calibri Light"/>
        </w:rPr>
        <w:tab/>
      </w:r>
      <w:r w:rsidR="000E652D" w:rsidRPr="008E1282">
        <w:rPr>
          <w:rFonts w:ascii="Calibri Light" w:hAnsi="Calibri Light" w:cs="Calibri Light"/>
        </w:rPr>
        <w:t xml:space="preserve">Dwyer-Lindgren L, Kendrick P, Kelly YO, </w:t>
      </w:r>
      <w:r w:rsidR="000E652D" w:rsidRPr="008E1282">
        <w:rPr>
          <w:rFonts w:ascii="Calibri Light" w:hAnsi="Calibri Light" w:cs="Calibri Light"/>
          <w:i/>
          <w:iCs/>
        </w:rPr>
        <w:t>et al.</w:t>
      </w:r>
      <w:r w:rsidR="000E652D" w:rsidRPr="008E1282">
        <w:rPr>
          <w:rFonts w:ascii="Calibri Light" w:hAnsi="Calibri Light" w:cs="Calibri Light"/>
        </w:rPr>
        <w:t xml:space="preserve"> Cause-specific mortality by county, race, and ethnicity in the USA, 2000–19: a systematic analysis of health disparities. </w:t>
      </w:r>
      <w:r w:rsidR="000E652D" w:rsidRPr="008E1282">
        <w:rPr>
          <w:rFonts w:ascii="Calibri Light" w:hAnsi="Calibri Light" w:cs="Calibri Light"/>
          <w:i/>
          <w:iCs/>
        </w:rPr>
        <w:t>Lancet</w:t>
      </w:r>
      <w:r w:rsidR="000E652D" w:rsidRPr="008E1282">
        <w:rPr>
          <w:rFonts w:ascii="Calibri Light" w:hAnsi="Calibri Light" w:cs="Calibri Light"/>
        </w:rPr>
        <w:t xml:space="preserve"> 2023; </w:t>
      </w:r>
      <w:r w:rsidR="000E652D" w:rsidRPr="008E1282">
        <w:rPr>
          <w:rFonts w:ascii="Calibri Light" w:hAnsi="Calibri Light" w:cs="Calibri Light"/>
          <w:b/>
          <w:bCs/>
        </w:rPr>
        <w:t>402</w:t>
      </w:r>
      <w:r w:rsidR="000E652D" w:rsidRPr="008E1282">
        <w:rPr>
          <w:rFonts w:ascii="Calibri Light" w:hAnsi="Calibri Light" w:cs="Calibri Light"/>
        </w:rPr>
        <w:t>: 1065–82</w:t>
      </w:r>
      <w:r w:rsidR="001D3849" w:rsidRPr="001D3849">
        <w:rPr>
          <w:rFonts w:ascii="Calibri Light" w:hAnsi="Calibri Light" w:cs="Calibri Light"/>
        </w:rPr>
        <w:t>.</w:t>
      </w:r>
    </w:p>
    <w:p w14:paraId="0F1D5263" w14:textId="1610D442" w:rsidR="001D3849" w:rsidRPr="001D3849" w:rsidRDefault="001D3849" w:rsidP="00696EFD">
      <w:pPr>
        <w:pStyle w:val="Bibliography"/>
        <w:rPr>
          <w:rFonts w:ascii="Calibri Light" w:hAnsi="Calibri Light" w:cs="Calibri Light"/>
        </w:rPr>
      </w:pPr>
      <w:r w:rsidRPr="001D3849">
        <w:rPr>
          <w:rFonts w:ascii="Calibri Light" w:hAnsi="Calibri Light" w:cs="Calibri Light"/>
        </w:rPr>
        <w:t>2</w:t>
      </w:r>
      <w:r w:rsidRPr="001D3849">
        <w:rPr>
          <w:rFonts w:ascii="Calibri Light" w:hAnsi="Calibri Light" w:cs="Calibri Light"/>
        </w:rPr>
        <w:tab/>
      </w:r>
      <w:r w:rsidR="008B28A4" w:rsidRPr="008E1282">
        <w:rPr>
          <w:rFonts w:ascii="Calibri Light" w:hAnsi="Calibri Light" w:cs="Calibri Light"/>
        </w:rPr>
        <w:t xml:space="preserve">Kendrick P, Kelly YO, Baumann MM, </w:t>
      </w:r>
      <w:r w:rsidR="008B28A4" w:rsidRPr="008E1282">
        <w:rPr>
          <w:rFonts w:ascii="Calibri Light" w:hAnsi="Calibri Light" w:cs="Calibri Light"/>
          <w:i/>
          <w:iCs/>
        </w:rPr>
        <w:t>et al.</w:t>
      </w:r>
      <w:r w:rsidR="008B28A4" w:rsidRPr="008E1282">
        <w:rPr>
          <w:rFonts w:ascii="Calibri Light" w:hAnsi="Calibri Light" w:cs="Calibri Light"/>
        </w:rPr>
        <w:t xml:space="preserve"> The burden of stomach cancer mortality by county, race, and ethnicity in the USA, 2000–2019: a systematic analysis of health disparities. </w:t>
      </w:r>
      <w:r w:rsidR="008B28A4" w:rsidRPr="008E1282">
        <w:rPr>
          <w:rFonts w:ascii="Calibri Light" w:hAnsi="Calibri Light" w:cs="Calibri Light"/>
          <w:i/>
          <w:iCs/>
        </w:rPr>
        <w:t>Lancet Reg Health – Am</w:t>
      </w:r>
      <w:r w:rsidR="008B28A4" w:rsidRPr="008E1282">
        <w:rPr>
          <w:rFonts w:ascii="Calibri Light" w:hAnsi="Calibri Light" w:cs="Calibri Light"/>
        </w:rPr>
        <w:t xml:space="preserve"> 2023; </w:t>
      </w:r>
      <w:r w:rsidR="008B28A4" w:rsidRPr="008E1282">
        <w:rPr>
          <w:rFonts w:ascii="Calibri Light" w:hAnsi="Calibri Light" w:cs="Calibri Light"/>
          <w:b/>
          <w:bCs/>
        </w:rPr>
        <w:t>24</w:t>
      </w:r>
      <w:r w:rsidR="008B28A4" w:rsidRPr="008E1282">
        <w:rPr>
          <w:rFonts w:ascii="Calibri Light" w:hAnsi="Calibri Light" w:cs="Calibri Light"/>
        </w:rPr>
        <w:t>. DOI:10.1016/j.lana.2023.100547</w:t>
      </w:r>
      <w:r w:rsidRPr="001D3849">
        <w:rPr>
          <w:rFonts w:ascii="Calibri Light" w:hAnsi="Calibri Light" w:cs="Calibri Light"/>
        </w:rPr>
        <w:t>.</w:t>
      </w:r>
    </w:p>
    <w:p w14:paraId="72EE5F6D" w14:textId="6796D156" w:rsidR="001D3849" w:rsidRPr="001D3849" w:rsidRDefault="001D3849" w:rsidP="00696EFD">
      <w:pPr>
        <w:pStyle w:val="Bibliography"/>
        <w:rPr>
          <w:rFonts w:ascii="Calibri Light" w:hAnsi="Calibri Light" w:cs="Calibri Light"/>
        </w:rPr>
      </w:pPr>
      <w:r w:rsidRPr="001D3849">
        <w:rPr>
          <w:rFonts w:ascii="Calibri Light" w:hAnsi="Calibri Light" w:cs="Calibri Light"/>
        </w:rPr>
        <w:t>3</w:t>
      </w:r>
      <w:r w:rsidRPr="001D3849">
        <w:rPr>
          <w:rFonts w:ascii="Calibri Light" w:hAnsi="Calibri Light" w:cs="Calibri Light"/>
        </w:rPr>
        <w:tab/>
      </w:r>
      <w:r w:rsidR="00250CF8" w:rsidRPr="008E1282">
        <w:rPr>
          <w:rFonts w:ascii="Calibri Light" w:hAnsi="Calibri Light" w:cs="Calibri Light"/>
        </w:rPr>
        <w:t xml:space="preserve">Dwyer-Lindgren L, Kendrick P, Kelly YO, </w:t>
      </w:r>
      <w:r w:rsidR="00250CF8" w:rsidRPr="008E1282">
        <w:rPr>
          <w:rFonts w:ascii="Calibri Light" w:hAnsi="Calibri Light" w:cs="Calibri Light"/>
          <w:i/>
          <w:iCs/>
        </w:rPr>
        <w:t>et al.</w:t>
      </w:r>
      <w:r w:rsidR="00250CF8" w:rsidRPr="008E1282">
        <w:rPr>
          <w:rFonts w:ascii="Calibri Light" w:hAnsi="Calibri Light" w:cs="Calibri Light"/>
        </w:rPr>
        <w:t xml:space="preserve"> Life expectancy by county, race, and ethnicity in the usa, 2000–19: a systematic analysis of health disparities. </w:t>
      </w:r>
      <w:r w:rsidR="00250CF8" w:rsidRPr="008E1282">
        <w:rPr>
          <w:rFonts w:ascii="Calibri Light" w:hAnsi="Calibri Light" w:cs="Calibri Light"/>
          <w:i/>
          <w:iCs/>
        </w:rPr>
        <w:t>Lancet</w:t>
      </w:r>
      <w:r w:rsidR="00250CF8" w:rsidRPr="008E1282">
        <w:rPr>
          <w:rFonts w:ascii="Calibri Light" w:hAnsi="Calibri Light" w:cs="Calibri Light"/>
        </w:rPr>
        <w:t xml:space="preserve"> 2022; </w:t>
      </w:r>
      <w:r w:rsidR="00250CF8" w:rsidRPr="008E1282">
        <w:rPr>
          <w:rFonts w:ascii="Calibri Light" w:hAnsi="Calibri Light" w:cs="Calibri Light"/>
          <w:b/>
          <w:bCs/>
        </w:rPr>
        <w:t>400</w:t>
      </w:r>
      <w:r w:rsidR="00250CF8" w:rsidRPr="008E1282">
        <w:rPr>
          <w:rFonts w:ascii="Calibri Light" w:hAnsi="Calibri Light" w:cs="Calibri Light"/>
        </w:rPr>
        <w:t>: 25–38</w:t>
      </w:r>
      <w:r w:rsidRPr="001D3849">
        <w:rPr>
          <w:rFonts w:ascii="Calibri Light" w:hAnsi="Calibri Light" w:cs="Calibri Light"/>
        </w:rPr>
        <w:t>.</w:t>
      </w:r>
    </w:p>
    <w:p w14:paraId="3DCFD308" w14:textId="373D04DB" w:rsidR="001D3849" w:rsidRPr="001D3849" w:rsidRDefault="001D3849" w:rsidP="00696EFD">
      <w:pPr>
        <w:pStyle w:val="Bibliography"/>
        <w:rPr>
          <w:rFonts w:ascii="Calibri Light" w:hAnsi="Calibri Light" w:cs="Calibri Light"/>
        </w:rPr>
      </w:pPr>
      <w:r w:rsidRPr="001D3849">
        <w:rPr>
          <w:rFonts w:ascii="Calibri Light" w:hAnsi="Calibri Light" w:cs="Calibri Light"/>
        </w:rPr>
        <w:t>4</w:t>
      </w:r>
      <w:r w:rsidRPr="001D3849">
        <w:rPr>
          <w:rFonts w:ascii="Calibri Light" w:hAnsi="Calibri Light" w:cs="Calibri Light"/>
        </w:rPr>
        <w:tab/>
      </w:r>
      <w:r w:rsidR="00502095" w:rsidRPr="00F51728">
        <w:rPr>
          <w:rFonts w:ascii="Calibri Light" w:hAnsi="Calibri Light" w:cs="Calibri Light"/>
        </w:rPr>
        <w:t xml:space="preserve">Office of Management and Budget. Race and ethnic standards for federal statistics and administrative reporting. </w:t>
      </w:r>
      <w:r w:rsidR="00502095" w:rsidRPr="00F51728">
        <w:rPr>
          <w:rFonts w:ascii="Calibri Light" w:hAnsi="Calibri Light" w:cs="Calibri Light"/>
          <w:i/>
          <w:iCs/>
        </w:rPr>
        <w:t>Stat Policy Dir 15</w:t>
      </w:r>
      <w:r w:rsidR="00502095" w:rsidRPr="00F51728">
        <w:rPr>
          <w:rFonts w:ascii="Calibri Light" w:hAnsi="Calibri Light" w:cs="Calibri Light"/>
        </w:rPr>
        <w:t xml:space="preserve"> 1977; published online Washington DC. https://wonder.cdc.gov/wonder/help/populations/bridged-race/directive15.html (accessed Dec 13, 2020</w:t>
      </w:r>
      <w:r w:rsidR="00502095" w:rsidRPr="008E1282">
        <w:rPr>
          <w:rFonts w:ascii="Calibri Light" w:hAnsi="Calibri Light" w:cs="Calibri Light"/>
        </w:rPr>
        <w:t>)</w:t>
      </w:r>
      <w:r w:rsidRPr="001D3849">
        <w:rPr>
          <w:rFonts w:ascii="Calibri Light" w:hAnsi="Calibri Light" w:cs="Calibri Light"/>
        </w:rPr>
        <w:t>.</w:t>
      </w:r>
    </w:p>
    <w:p w14:paraId="68DFAC40" w14:textId="77777777" w:rsidR="001D3849" w:rsidRPr="001D3849" w:rsidRDefault="001D3849" w:rsidP="00696EFD">
      <w:pPr>
        <w:pStyle w:val="Bibliography"/>
        <w:rPr>
          <w:rFonts w:ascii="Calibri Light" w:hAnsi="Calibri Light" w:cs="Calibri Light"/>
        </w:rPr>
      </w:pPr>
      <w:r w:rsidRPr="001D3849">
        <w:rPr>
          <w:rFonts w:ascii="Calibri Light" w:hAnsi="Calibri Light" w:cs="Calibri Light"/>
        </w:rPr>
        <w:t>5</w:t>
      </w:r>
      <w:r w:rsidRPr="001D3849">
        <w:rPr>
          <w:rFonts w:ascii="Calibri Light" w:hAnsi="Calibri Light" w:cs="Calibri Light"/>
        </w:rPr>
        <w:tab/>
        <w:t xml:space="preserve">Office of Management and Budget. Revisions to the Standards for the Classification of Federal Data on Race and Ethnicity. </w:t>
      </w:r>
      <w:r w:rsidRPr="001D3849">
        <w:rPr>
          <w:rFonts w:ascii="Calibri Light" w:hAnsi="Calibri Light" w:cs="Calibri Light"/>
          <w:i/>
          <w:iCs/>
        </w:rPr>
        <w:t>Fed Regist</w:t>
      </w:r>
      <w:r w:rsidRPr="001D3849">
        <w:rPr>
          <w:rFonts w:ascii="Calibri Light" w:hAnsi="Calibri Light" w:cs="Calibri Light"/>
        </w:rPr>
        <w:t xml:space="preserve"> 1997; </w:t>
      </w:r>
      <w:r w:rsidRPr="001D3849">
        <w:rPr>
          <w:rFonts w:ascii="Calibri Light" w:hAnsi="Calibri Light" w:cs="Calibri Light"/>
          <w:b/>
          <w:bCs/>
        </w:rPr>
        <w:t>62</w:t>
      </w:r>
      <w:r w:rsidRPr="001D3849">
        <w:rPr>
          <w:rFonts w:ascii="Calibri Light" w:hAnsi="Calibri Light" w:cs="Calibri Light"/>
        </w:rPr>
        <w:t>: 58782–90.</w:t>
      </w:r>
    </w:p>
    <w:p w14:paraId="67E004FD" w14:textId="483BDB8F" w:rsidR="001D3849" w:rsidRPr="001D3849" w:rsidRDefault="001D3849" w:rsidP="00696EFD">
      <w:pPr>
        <w:pStyle w:val="Bibliography"/>
        <w:rPr>
          <w:rFonts w:ascii="Calibri Light" w:hAnsi="Calibri Light" w:cs="Calibri Light"/>
        </w:rPr>
      </w:pPr>
      <w:r w:rsidRPr="001D3849">
        <w:rPr>
          <w:rFonts w:ascii="Calibri Light" w:hAnsi="Calibri Light" w:cs="Calibri Light"/>
        </w:rPr>
        <w:t>6</w:t>
      </w:r>
      <w:r w:rsidRPr="001D3849">
        <w:rPr>
          <w:rFonts w:ascii="Calibri Light" w:hAnsi="Calibri Light" w:cs="Calibri Light"/>
        </w:rPr>
        <w:tab/>
      </w:r>
      <w:r w:rsidR="001165C7" w:rsidRPr="008E1282">
        <w:rPr>
          <w:rFonts w:ascii="Calibri Light" w:hAnsi="Calibri Light" w:cs="Calibri Light"/>
        </w:rPr>
        <w:t xml:space="preserve">Kochanek KD, Murphy SL, Xu J, Arias E. Deaths: final data for 2017. </w:t>
      </w:r>
      <w:r w:rsidR="001165C7" w:rsidRPr="008E1282">
        <w:rPr>
          <w:rFonts w:ascii="Calibri Light" w:hAnsi="Calibri Light" w:cs="Calibri Light"/>
          <w:i/>
          <w:iCs/>
        </w:rPr>
        <w:t>Natl Vital Stat Rep</w:t>
      </w:r>
      <w:r w:rsidR="001165C7" w:rsidRPr="008E1282">
        <w:rPr>
          <w:rFonts w:ascii="Calibri Light" w:hAnsi="Calibri Light" w:cs="Calibri Light"/>
        </w:rPr>
        <w:t xml:space="preserve"> 2019; </w:t>
      </w:r>
      <w:r w:rsidR="001165C7" w:rsidRPr="008E1282">
        <w:rPr>
          <w:rFonts w:ascii="Calibri Light" w:hAnsi="Calibri Light" w:cs="Calibri Light"/>
          <w:b/>
          <w:bCs/>
        </w:rPr>
        <w:t>68</w:t>
      </w:r>
      <w:r w:rsidR="001165C7" w:rsidRPr="008E1282">
        <w:rPr>
          <w:rFonts w:ascii="Calibri Light" w:hAnsi="Calibri Light" w:cs="Calibri Light"/>
        </w:rPr>
        <w:t>. https://www.cdc.gov/nchs/data/nvsr/nvsr68/nvsr68_09-508.pdf (accessed Dec 23, 2019)</w:t>
      </w:r>
      <w:r w:rsidRPr="001D3849">
        <w:rPr>
          <w:rFonts w:ascii="Calibri Light" w:hAnsi="Calibri Light" w:cs="Calibri Light"/>
        </w:rPr>
        <w:t>.</w:t>
      </w:r>
    </w:p>
    <w:p w14:paraId="182C53C6" w14:textId="3598E90D" w:rsidR="001D3849" w:rsidRPr="001D3849" w:rsidRDefault="001D3849" w:rsidP="00696EFD">
      <w:pPr>
        <w:pStyle w:val="Bibliography"/>
        <w:rPr>
          <w:rFonts w:ascii="Calibri Light" w:hAnsi="Calibri Light" w:cs="Calibri Light"/>
        </w:rPr>
      </w:pPr>
      <w:r w:rsidRPr="001D3849">
        <w:rPr>
          <w:rFonts w:ascii="Calibri Light" w:hAnsi="Calibri Light" w:cs="Calibri Light"/>
        </w:rPr>
        <w:t>7</w:t>
      </w:r>
      <w:r w:rsidRPr="001D3849">
        <w:rPr>
          <w:rFonts w:ascii="Calibri Light" w:hAnsi="Calibri Light" w:cs="Calibri Light"/>
        </w:rPr>
        <w:tab/>
      </w:r>
      <w:r w:rsidR="00B606A2" w:rsidRPr="008E1282">
        <w:rPr>
          <w:rFonts w:ascii="Calibri Light" w:hAnsi="Calibri Light" w:cs="Calibri Light"/>
        </w:rPr>
        <w:t xml:space="preserve">Arias E, Heron M, Hakes J. The </w:t>
      </w:r>
      <w:r w:rsidR="00B606A2">
        <w:rPr>
          <w:rFonts w:ascii="Calibri Light" w:hAnsi="Calibri Light" w:cs="Calibri Light"/>
        </w:rPr>
        <w:t>v</w:t>
      </w:r>
      <w:r w:rsidR="00B606A2" w:rsidRPr="008E1282">
        <w:rPr>
          <w:rFonts w:ascii="Calibri Light" w:hAnsi="Calibri Light" w:cs="Calibri Light"/>
        </w:rPr>
        <w:t xml:space="preserve">alidity of </w:t>
      </w:r>
      <w:r w:rsidR="00B606A2">
        <w:rPr>
          <w:rFonts w:ascii="Calibri Light" w:hAnsi="Calibri Light" w:cs="Calibri Light"/>
        </w:rPr>
        <w:t>r</w:t>
      </w:r>
      <w:r w:rsidR="00B606A2" w:rsidRPr="008E1282">
        <w:rPr>
          <w:rFonts w:ascii="Calibri Light" w:hAnsi="Calibri Light" w:cs="Calibri Light"/>
        </w:rPr>
        <w:t xml:space="preserve">ace and Hispanic-origin </w:t>
      </w:r>
      <w:r w:rsidR="00B606A2">
        <w:rPr>
          <w:rFonts w:ascii="Calibri Light" w:hAnsi="Calibri Light" w:cs="Calibri Light"/>
        </w:rPr>
        <w:t>r</w:t>
      </w:r>
      <w:r w:rsidR="00B606A2" w:rsidRPr="008E1282">
        <w:rPr>
          <w:rFonts w:ascii="Calibri Light" w:hAnsi="Calibri Light" w:cs="Calibri Light"/>
        </w:rPr>
        <w:t xml:space="preserve">eporting on </w:t>
      </w:r>
      <w:r w:rsidR="00B606A2">
        <w:rPr>
          <w:rFonts w:ascii="Calibri Light" w:hAnsi="Calibri Light" w:cs="Calibri Light"/>
        </w:rPr>
        <w:t>d</w:t>
      </w:r>
      <w:r w:rsidR="00B606A2" w:rsidRPr="008E1282">
        <w:rPr>
          <w:rFonts w:ascii="Calibri Light" w:hAnsi="Calibri Light" w:cs="Calibri Light"/>
        </w:rPr>
        <w:t xml:space="preserve">eath </w:t>
      </w:r>
      <w:r w:rsidR="00B606A2">
        <w:rPr>
          <w:rFonts w:ascii="Calibri Light" w:hAnsi="Calibri Light" w:cs="Calibri Light"/>
        </w:rPr>
        <w:t>c</w:t>
      </w:r>
      <w:r w:rsidR="00B606A2" w:rsidRPr="008E1282">
        <w:rPr>
          <w:rFonts w:ascii="Calibri Light" w:hAnsi="Calibri Light" w:cs="Calibri Light"/>
        </w:rPr>
        <w:t xml:space="preserve">ertificates in the United States: </w:t>
      </w:r>
      <w:r w:rsidR="00B606A2">
        <w:rPr>
          <w:rFonts w:ascii="Calibri Light" w:hAnsi="Calibri Light" w:cs="Calibri Light"/>
        </w:rPr>
        <w:t>a</w:t>
      </w:r>
      <w:r w:rsidR="00B606A2" w:rsidRPr="008E1282">
        <w:rPr>
          <w:rFonts w:ascii="Calibri Light" w:hAnsi="Calibri Light" w:cs="Calibri Light"/>
        </w:rPr>
        <w:t xml:space="preserve">n </w:t>
      </w:r>
      <w:r w:rsidR="00B606A2">
        <w:rPr>
          <w:rFonts w:ascii="Calibri Light" w:hAnsi="Calibri Light" w:cs="Calibri Light"/>
        </w:rPr>
        <w:t>u</w:t>
      </w:r>
      <w:r w:rsidR="00B606A2" w:rsidRPr="008E1282">
        <w:rPr>
          <w:rFonts w:ascii="Calibri Light" w:hAnsi="Calibri Light" w:cs="Calibri Light"/>
        </w:rPr>
        <w:t xml:space="preserve">pdate. </w:t>
      </w:r>
      <w:r w:rsidR="00B606A2">
        <w:rPr>
          <w:rFonts w:ascii="Calibri Light" w:hAnsi="Calibri Light" w:cs="Calibri Light"/>
        </w:rPr>
        <w:t xml:space="preserve">August, 2016. </w:t>
      </w:r>
      <w:r w:rsidR="00B606A2" w:rsidRPr="00630446">
        <w:rPr>
          <w:rFonts w:ascii="Calibri Light" w:hAnsi="Calibri Light" w:cs="Calibri Light"/>
        </w:rPr>
        <w:t>https://www.cdc.gov/nchs/data/series/sr_02/ sr02_172.pdf (accessed July 9, 2023)</w:t>
      </w:r>
      <w:r w:rsidRPr="001D3849">
        <w:rPr>
          <w:rFonts w:ascii="Calibri Light" w:hAnsi="Calibri Light" w:cs="Calibri Light"/>
        </w:rPr>
        <w:t>.</w:t>
      </w:r>
    </w:p>
    <w:p w14:paraId="7796A20D" w14:textId="69C9EE47" w:rsidR="001D3849" w:rsidRPr="001D3849" w:rsidRDefault="001D3849" w:rsidP="00696EFD">
      <w:pPr>
        <w:pStyle w:val="Bibliography"/>
        <w:rPr>
          <w:rFonts w:ascii="Calibri Light" w:hAnsi="Calibri Light" w:cs="Calibri Light"/>
        </w:rPr>
      </w:pPr>
      <w:r w:rsidRPr="001D3849">
        <w:rPr>
          <w:rFonts w:ascii="Calibri Light" w:hAnsi="Calibri Light" w:cs="Calibri Light"/>
        </w:rPr>
        <w:t>8</w:t>
      </w:r>
      <w:r w:rsidRPr="001D3849">
        <w:rPr>
          <w:rFonts w:ascii="Calibri Light" w:hAnsi="Calibri Light" w:cs="Calibri Light"/>
        </w:rPr>
        <w:tab/>
      </w:r>
      <w:r w:rsidR="00A753BA" w:rsidRPr="008E1282">
        <w:rPr>
          <w:rFonts w:ascii="Calibri Light" w:hAnsi="Calibri Light" w:cs="Calibri Light"/>
        </w:rPr>
        <w:t xml:space="preserve">Naghavi M, Makela S, Foreman K, O’Brien J, Pourmalek F, Lozano R. Algorithms for enhancing public health utility of national causes-of-death data. </w:t>
      </w:r>
      <w:r w:rsidR="00A753BA" w:rsidRPr="008E1282">
        <w:rPr>
          <w:rFonts w:ascii="Calibri Light" w:hAnsi="Calibri Light" w:cs="Calibri Light"/>
          <w:i/>
          <w:iCs/>
        </w:rPr>
        <w:t>Popul Health Metr</w:t>
      </w:r>
      <w:r w:rsidR="00A753BA" w:rsidRPr="008E1282">
        <w:rPr>
          <w:rFonts w:ascii="Calibri Light" w:hAnsi="Calibri Light" w:cs="Calibri Light"/>
        </w:rPr>
        <w:t xml:space="preserve"> 2010; </w:t>
      </w:r>
      <w:r w:rsidR="00A753BA" w:rsidRPr="008E1282">
        <w:rPr>
          <w:rFonts w:ascii="Calibri Light" w:hAnsi="Calibri Light" w:cs="Calibri Light"/>
          <w:b/>
          <w:bCs/>
        </w:rPr>
        <w:t>8</w:t>
      </w:r>
      <w:r w:rsidR="00A753BA" w:rsidRPr="008E1282">
        <w:rPr>
          <w:rFonts w:ascii="Calibri Light" w:hAnsi="Calibri Light" w:cs="Calibri Light"/>
        </w:rPr>
        <w:t>: 9</w:t>
      </w:r>
      <w:r w:rsidRPr="001D3849">
        <w:rPr>
          <w:rFonts w:ascii="Calibri Light" w:hAnsi="Calibri Light" w:cs="Calibri Light"/>
        </w:rPr>
        <w:t>.</w:t>
      </w:r>
    </w:p>
    <w:p w14:paraId="68D3C5BB" w14:textId="02D40615" w:rsidR="001D3849" w:rsidRPr="001D3849" w:rsidRDefault="001D3849" w:rsidP="00696EFD">
      <w:pPr>
        <w:pStyle w:val="Bibliography"/>
        <w:rPr>
          <w:rFonts w:ascii="Calibri Light" w:hAnsi="Calibri Light" w:cs="Calibri Light"/>
        </w:rPr>
      </w:pPr>
      <w:r w:rsidRPr="001D3849">
        <w:rPr>
          <w:rFonts w:ascii="Calibri Light" w:hAnsi="Calibri Light" w:cs="Calibri Light"/>
        </w:rPr>
        <w:t>9</w:t>
      </w:r>
      <w:r w:rsidRPr="001D3849">
        <w:rPr>
          <w:rFonts w:ascii="Calibri Light" w:hAnsi="Calibri Light" w:cs="Calibri Light"/>
        </w:rPr>
        <w:tab/>
      </w:r>
      <w:r w:rsidR="005D606D" w:rsidRPr="008E1282">
        <w:rPr>
          <w:rFonts w:ascii="Calibri Light" w:hAnsi="Calibri Light" w:cs="Calibri Light"/>
        </w:rPr>
        <w:t xml:space="preserve">Naghavi M, Ong KL, Aali A, </w:t>
      </w:r>
      <w:r w:rsidR="005D606D" w:rsidRPr="008E1282">
        <w:rPr>
          <w:rFonts w:ascii="Calibri Light" w:hAnsi="Calibri Light" w:cs="Calibri Light"/>
          <w:i/>
          <w:iCs/>
        </w:rPr>
        <w:t>et al.</w:t>
      </w:r>
      <w:r w:rsidR="005D606D" w:rsidRPr="008E1282">
        <w:rPr>
          <w:rFonts w:ascii="Calibri Light" w:hAnsi="Calibri Light" w:cs="Calibri Light"/>
        </w:rPr>
        <w:t xml:space="preserve"> Global burden of 288 causes of death and life expectancy decomposition in 204 countries and territories and 811 subnational locations, 1990–2021: a systematic analysis for the Global Burden of Disease Study 2021. </w:t>
      </w:r>
      <w:r w:rsidR="005D606D" w:rsidRPr="008E1282">
        <w:rPr>
          <w:rFonts w:ascii="Calibri Light" w:hAnsi="Calibri Light" w:cs="Calibri Light"/>
          <w:i/>
          <w:iCs/>
        </w:rPr>
        <w:t>Lancet</w:t>
      </w:r>
      <w:r w:rsidR="005D606D" w:rsidRPr="008E1282">
        <w:rPr>
          <w:rFonts w:ascii="Calibri Light" w:hAnsi="Calibri Light" w:cs="Calibri Light"/>
        </w:rPr>
        <w:t xml:space="preserve"> 2024; </w:t>
      </w:r>
      <w:r w:rsidR="005D606D" w:rsidRPr="008E1282">
        <w:rPr>
          <w:rFonts w:ascii="Calibri Light" w:hAnsi="Calibri Light" w:cs="Calibri Light"/>
          <w:b/>
          <w:bCs/>
        </w:rPr>
        <w:t>403</w:t>
      </w:r>
      <w:r w:rsidR="005D606D" w:rsidRPr="008E1282">
        <w:rPr>
          <w:rFonts w:ascii="Calibri Light" w:hAnsi="Calibri Light" w:cs="Calibri Light"/>
        </w:rPr>
        <w:t>: 2100–32</w:t>
      </w:r>
      <w:r w:rsidRPr="001D3849">
        <w:rPr>
          <w:rFonts w:ascii="Calibri Light" w:hAnsi="Calibri Light" w:cs="Calibri Light"/>
        </w:rPr>
        <w:t>.</w:t>
      </w:r>
    </w:p>
    <w:p w14:paraId="1F557E43" w14:textId="1C34567F" w:rsidR="001D3849" w:rsidRPr="001D3849" w:rsidRDefault="001D3849" w:rsidP="00696EFD">
      <w:pPr>
        <w:pStyle w:val="Bibliography"/>
        <w:rPr>
          <w:rFonts w:ascii="Calibri Light" w:hAnsi="Calibri Light" w:cs="Calibri Light"/>
        </w:rPr>
      </w:pPr>
      <w:r w:rsidRPr="001D3849">
        <w:rPr>
          <w:rFonts w:ascii="Calibri Light" w:hAnsi="Calibri Light" w:cs="Calibri Light"/>
        </w:rPr>
        <w:t>10</w:t>
      </w:r>
      <w:r w:rsidRPr="001D3849">
        <w:rPr>
          <w:rFonts w:ascii="Calibri Light" w:hAnsi="Calibri Light" w:cs="Calibri Light"/>
        </w:rPr>
        <w:tab/>
      </w:r>
      <w:r w:rsidR="00613BD8" w:rsidRPr="008E1282">
        <w:rPr>
          <w:rFonts w:ascii="Calibri Light" w:hAnsi="Calibri Light" w:cs="Calibri Light"/>
        </w:rPr>
        <w:t>US Census Bureau. Instructions for applying statistical testing to American Community Survey data. 2019. https://www2.census.gov/programs-surveys/acs/tech_docs/statistical_testing/2019_Instructions_for_Stat_Testing_ACS.pdf (accessed Dec 17, 2020)</w:t>
      </w:r>
      <w:r w:rsidRPr="001D3849">
        <w:rPr>
          <w:rFonts w:ascii="Calibri Light" w:hAnsi="Calibri Light" w:cs="Calibri Light"/>
        </w:rPr>
        <w:t>.</w:t>
      </w:r>
    </w:p>
    <w:p w14:paraId="2DD99653" w14:textId="48F071C3" w:rsidR="001D3849" w:rsidRPr="001D3849" w:rsidRDefault="001D3849" w:rsidP="00696EFD">
      <w:pPr>
        <w:pStyle w:val="Bibliography"/>
        <w:rPr>
          <w:rFonts w:ascii="Calibri Light" w:hAnsi="Calibri Light" w:cs="Calibri Light"/>
        </w:rPr>
      </w:pPr>
      <w:r w:rsidRPr="001D3849">
        <w:rPr>
          <w:rFonts w:ascii="Calibri Light" w:hAnsi="Calibri Light" w:cs="Calibri Light"/>
        </w:rPr>
        <w:t>11</w:t>
      </w:r>
      <w:r w:rsidRPr="001D3849">
        <w:rPr>
          <w:rFonts w:ascii="Calibri Light" w:hAnsi="Calibri Light" w:cs="Calibri Light"/>
        </w:rPr>
        <w:tab/>
      </w:r>
      <w:r w:rsidR="00BF3576" w:rsidRPr="008E1282">
        <w:rPr>
          <w:rFonts w:ascii="Calibri Light" w:hAnsi="Calibri Light" w:cs="Calibri Light"/>
        </w:rPr>
        <w:t>US Census Bureau CHS. Overview - History - U.S. Census Bureau. https://www.census.gov/history/www/through_the_decades/overview/ (accessed July 1, 2022)</w:t>
      </w:r>
      <w:r w:rsidRPr="001D3849">
        <w:rPr>
          <w:rFonts w:ascii="Calibri Light" w:hAnsi="Calibri Light" w:cs="Calibri Light"/>
        </w:rPr>
        <w:t>.</w:t>
      </w:r>
    </w:p>
    <w:p w14:paraId="0F68BAA8" w14:textId="268CBD34" w:rsidR="001D3849" w:rsidRPr="001D3849" w:rsidRDefault="001D3849" w:rsidP="00696EFD">
      <w:pPr>
        <w:pStyle w:val="Bibliography"/>
        <w:rPr>
          <w:rFonts w:ascii="Calibri Light" w:hAnsi="Calibri Light" w:cs="Calibri Light"/>
        </w:rPr>
      </w:pPr>
      <w:r w:rsidRPr="001D3849">
        <w:rPr>
          <w:rFonts w:ascii="Calibri Light" w:hAnsi="Calibri Light" w:cs="Calibri Light"/>
        </w:rPr>
        <w:t>12</w:t>
      </w:r>
      <w:r w:rsidRPr="001D3849">
        <w:rPr>
          <w:rFonts w:ascii="Calibri Light" w:hAnsi="Calibri Light" w:cs="Calibri Light"/>
        </w:rPr>
        <w:tab/>
      </w:r>
      <w:r w:rsidR="00443495" w:rsidRPr="00F51728">
        <w:rPr>
          <w:rFonts w:ascii="Calibri Light" w:hAnsi="Calibri Light" w:cs="Calibri Light"/>
        </w:rPr>
        <w:t>Franco C, Little RJA, Louis TA, Slud EV</w:t>
      </w:r>
      <w:r w:rsidR="00443495">
        <w:rPr>
          <w:rFonts w:ascii="Calibri Light" w:hAnsi="Calibri Light" w:cs="Calibri Light"/>
        </w:rPr>
        <w:t>.</w:t>
      </w:r>
      <w:r w:rsidR="00443495" w:rsidRPr="008E1282">
        <w:rPr>
          <w:rFonts w:ascii="Calibri Light" w:hAnsi="Calibri Light" w:cs="Calibri Light"/>
        </w:rPr>
        <w:t xml:space="preserve"> Comparative </w:t>
      </w:r>
      <w:r w:rsidR="00443495">
        <w:rPr>
          <w:rFonts w:ascii="Calibri Light" w:hAnsi="Calibri Light" w:cs="Calibri Light"/>
        </w:rPr>
        <w:t>s</w:t>
      </w:r>
      <w:r w:rsidR="00443495" w:rsidRPr="008E1282">
        <w:rPr>
          <w:rFonts w:ascii="Calibri Light" w:hAnsi="Calibri Light" w:cs="Calibri Light"/>
        </w:rPr>
        <w:t xml:space="preserve">tudy of </w:t>
      </w:r>
      <w:r w:rsidR="00443495">
        <w:rPr>
          <w:rFonts w:ascii="Calibri Light" w:hAnsi="Calibri Light" w:cs="Calibri Light"/>
        </w:rPr>
        <w:t>c</w:t>
      </w:r>
      <w:r w:rsidR="00443495" w:rsidRPr="008E1282">
        <w:rPr>
          <w:rFonts w:ascii="Calibri Light" w:hAnsi="Calibri Light" w:cs="Calibri Light"/>
        </w:rPr>
        <w:t xml:space="preserve">onfidence </w:t>
      </w:r>
      <w:r w:rsidR="00443495">
        <w:rPr>
          <w:rFonts w:ascii="Calibri Light" w:hAnsi="Calibri Light" w:cs="Calibri Light"/>
        </w:rPr>
        <w:t>i</w:t>
      </w:r>
      <w:r w:rsidR="00443495" w:rsidRPr="008E1282">
        <w:rPr>
          <w:rFonts w:ascii="Calibri Light" w:hAnsi="Calibri Light" w:cs="Calibri Light"/>
        </w:rPr>
        <w:t xml:space="preserve">ntervals for </w:t>
      </w:r>
      <w:r w:rsidR="00443495">
        <w:rPr>
          <w:rFonts w:ascii="Calibri Light" w:hAnsi="Calibri Light" w:cs="Calibri Light"/>
        </w:rPr>
        <w:t>p</w:t>
      </w:r>
      <w:r w:rsidR="00443495" w:rsidRPr="008E1282">
        <w:rPr>
          <w:rFonts w:ascii="Calibri Light" w:hAnsi="Calibri Light" w:cs="Calibri Light"/>
        </w:rPr>
        <w:t xml:space="preserve">roportions in </w:t>
      </w:r>
      <w:r w:rsidR="00443495">
        <w:rPr>
          <w:rFonts w:ascii="Calibri Light" w:hAnsi="Calibri Light" w:cs="Calibri Light"/>
        </w:rPr>
        <w:t>c</w:t>
      </w:r>
      <w:r w:rsidR="00443495" w:rsidRPr="008E1282">
        <w:rPr>
          <w:rFonts w:ascii="Calibri Light" w:hAnsi="Calibri Light" w:cs="Calibri Light"/>
        </w:rPr>
        <w:t xml:space="preserve">omplex </w:t>
      </w:r>
      <w:r w:rsidR="00443495">
        <w:rPr>
          <w:rFonts w:ascii="Calibri Light" w:hAnsi="Calibri Light" w:cs="Calibri Light"/>
        </w:rPr>
        <w:t>s</w:t>
      </w:r>
      <w:r w:rsidR="00443495" w:rsidRPr="008E1282">
        <w:rPr>
          <w:rFonts w:ascii="Calibri Light" w:hAnsi="Calibri Light" w:cs="Calibri Light"/>
        </w:rPr>
        <w:t xml:space="preserve">ample </w:t>
      </w:r>
      <w:r w:rsidR="00443495">
        <w:rPr>
          <w:rFonts w:ascii="Calibri Light" w:hAnsi="Calibri Light" w:cs="Calibri Light"/>
        </w:rPr>
        <w:t>s</w:t>
      </w:r>
      <w:r w:rsidR="00443495" w:rsidRPr="008E1282">
        <w:rPr>
          <w:rFonts w:ascii="Calibri Light" w:hAnsi="Calibri Light" w:cs="Calibri Light"/>
        </w:rPr>
        <w:t>urveys</w:t>
      </w:r>
      <w:r w:rsidR="00443495">
        <w:rPr>
          <w:rFonts w:ascii="Calibri Light" w:hAnsi="Calibri Light" w:cs="Calibri Light"/>
        </w:rPr>
        <w:t>.</w:t>
      </w:r>
      <w:r w:rsidR="00443495" w:rsidRPr="00952D4E">
        <w:rPr>
          <w:rFonts w:ascii="Calibri Light" w:hAnsi="Calibri Light" w:cs="Calibri Light"/>
          <w:i/>
          <w:iCs/>
        </w:rPr>
        <w:t xml:space="preserve"> </w:t>
      </w:r>
      <w:r w:rsidR="00443495" w:rsidRPr="00F51728">
        <w:rPr>
          <w:rFonts w:ascii="Calibri Light" w:hAnsi="Calibri Light" w:cs="Calibri Light"/>
          <w:i/>
          <w:iCs/>
        </w:rPr>
        <w:t>J Surv Stat Methodol</w:t>
      </w:r>
      <w:r w:rsidR="00443495" w:rsidRPr="00F51728">
        <w:rPr>
          <w:rFonts w:ascii="Calibri Light" w:hAnsi="Calibri Light" w:cs="Calibri Light"/>
        </w:rPr>
        <w:t xml:space="preserve"> 2019; </w:t>
      </w:r>
      <w:r w:rsidR="00443495" w:rsidRPr="00F51728">
        <w:rPr>
          <w:rFonts w:ascii="Calibri Light" w:hAnsi="Calibri Light" w:cs="Calibri Light"/>
          <w:b/>
          <w:bCs/>
        </w:rPr>
        <w:t>7</w:t>
      </w:r>
      <w:r w:rsidR="00443495" w:rsidRPr="00F51728">
        <w:rPr>
          <w:rFonts w:ascii="Calibri Light" w:hAnsi="Calibri Light" w:cs="Calibri Light"/>
        </w:rPr>
        <w:t>: 334–64</w:t>
      </w:r>
      <w:r w:rsidRPr="001D3849">
        <w:rPr>
          <w:rFonts w:ascii="Calibri Light" w:hAnsi="Calibri Light" w:cs="Calibri Light"/>
        </w:rPr>
        <w:t>.</w:t>
      </w:r>
    </w:p>
    <w:p w14:paraId="3FCD83F7" w14:textId="67522AC0" w:rsidR="001D3849" w:rsidRPr="001D3849" w:rsidRDefault="001D3849" w:rsidP="00696EFD">
      <w:pPr>
        <w:pStyle w:val="Bibliography"/>
        <w:rPr>
          <w:rFonts w:ascii="Calibri Light" w:hAnsi="Calibri Light" w:cs="Calibri Light"/>
        </w:rPr>
      </w:pPr>
      <w:r w:rsidRPr="001D3849">
        <w:rPr>
          <w:rFonts w:ascii="Calibri Light" w:hAnsi="Calibri Light" w:cs="Calibri Light"/>
        </w:rPr>
        <w:t>13</w:t>
      </w:r>
      <w:r w:rsidRPr="001D3849">
        <w:rPr>
          <w:rFonts w:ascii="Calibri Light" w:hAnsi="Calibri Light" w:cs="Calibri Light"/>
        </w:rPr>
        <w:tab/>
      </w:r>
      <w:r w:rsidR="00C35B7A" w:rsidRPr="00F51728">
        <w:rPr>
          <w:rFonts w:ascii="Calibri Light" w:hAnsi="Calibri Light" w:cs="Calibri Light"/>
        </w:rPr>
        <w:t xml:space="preserve">Warton DI, Hui FKC. </w:t>
      </w:r>
      <w:r w:rsidR="00C35B7A" w:rsidRPr="008E1282">
        <w:rPr>
          <w:rFonts w:ascii="Calibri Light" w:hAnsi="Calibri Light" w:cs="Calibri Light"/>
        </w:rPr>
        <w:t>The arcsine is asinine: the analysis of proportions in ecology</w:t>
      </w:r>
      <w:r w:rsidR="00C35B7A">
        <w:rPr>
          <w:rFonts w:ascii="Calibri Light" w:hAnsi="Calibri Light" w:cs="Calibri Light"/>
        </w:rPr>
        <w:t>.</w:t>
      </w:r>
      <w:r w:rsidR="00C35B7A" w:rsidRPr="005E377C">
        <w:rPr>
          <w:rFonts w:ascii="Calibri Light" w:hAnsi="Calibri Light" w:cs="Calibri Light"/>
          <w:i/>
          <w:iCs/>
        </w:rPr>
        <w:t xml:space="preserve"> </w:t>
      </w:r>
      <w:r w:rsidR="00C35B7A" w:rsidRPr="00F51728">
        <w:rPr>
          <w:rFonts w:ascii="Calibri Light" w:hAnsi="Calibri Light" w:cs="Calibri Light"/>
          <w:i/>
          <w:iCs/>
        </w:rPr>
        <w:t>Ecology</w:t>
      </w:r>
      <w:r w:rsidR="00C35B7A" w:rsidRPr="00F51728">
        <w:rPr>
          <w:rFonts w:ascii="Calibri Light" w:hAnsi="Calibri Light" w:cs="Calibri Light"/>
        </w:rPr>
        <w:t xml:space="preserve"> 2011; </w:t>
      </w:r>
      <w:r w:rsidR="00C35B7A" w:rsidRPr="00F51728">
        <w:rPr>
          <w:rFonts w:ascii="Calibri Light" w:hAnsi="Calibri Light" w:cs="Calibri Light"/>
          <w:b/>
          <w:bCs/>
        </w:rPr>
        <w:t>92</w:t>
      </w:r>
      <w:r w:rsidR="00C35B7A" w:rsidRPr="00F51728">
        <w:rPr>
          <w:rFonts w:ascii="Calibri Light" w:hAnsi="Calibri Light" w:cs="Calibri Light"/>
        </w:rPr>
        <w:t>: 3–10.</w:t>
      </w:r>
      <w:r w:rsidR="00C35B7A">
        <w:rPr>
          <w:rFonts w:ascii="Calibri Light" w:hAnsi="Calibri Light" w:cs="Calibri Light"/>
        </w:rPr>
        <w:t xml:space="preserve"> </w:t>
      </w:r>
      <w:r w:rsidR="00C35B7A" w:rsidRPr="00C703E6">
        <w:rPr>
          <w:rFonts w:ascii="Calibri Light" w:hAnsi="Calibri Light" w:cs="Calibri Light"/>
        </w:rPr>
        <w:t>https://doi.org/10.1890/10-0340</w:t>
      </w:r>
      <w:r w:rsidRPr="001D3849">
        <w:rPr>
          <w:rFonts w:ascii="Calibri Light" w:hAnsi="Calibri Light" w:cs="Calibri Light"/>
        </w:rPr>
        <w:t>.</w:t>
      </w:r>
      <w:r w:rsidR="00C35B7A">
        <w:rPr>
          <w:rFonts w:ascii="Calibri Light" w:hAnsi="Calibri Light" w:cs="Calibri Light"/>
        </w:rPr>
        <w:t>1</w:t>
      </w:r>
    </w:p>
    <w:p w14:paraId="4A4C78C4" w14:textId="66A1E4F5" w:rsidR="001D3849" w:rsidRPr="001D3849" w:rsidRDefault="001D3849" w:rsidP="00696EFD">
      <w:pPr>
        <w:pStyle w:val="Bibliography"/>
        <w:rPr>
          <w:rFonts w:ascii="Calibri Light" w:hAnsi="Calibri Light" w:cs="Calibri Light"/>
        </w:rPr>
      </w:pPr>
      <w:r w:rsidRPr="001D3849">
        <w:rPr>
          <w:rFonts w:ascii="Calibri Light" w:hAnsi="Calibri Light" w:cs="Calibri Light"/>
        </w:rPr>
        <w:lastRenderedPageBreak/>
        <w:t>14</w:t>
      </w:r>
      <w:r w:rsidRPr="001D3849">
        <w:rPr>
          <w:rFonts w:ascii="Calibri Light" w:hAnsi="Calibri Light" w:cs="Calibri Light"/>
        </w:rPr>
        <w:tab/>
      </w:r>
      <w:r w:rsidR="007745AB" w:rsidRPr="008E1282">
        <w:rPr>
          <w:rFonts w:ascii="Calibri Light" w:hAnsi="Calibri Light" w:cs="Calibri Light"/>
        </w:rPr>
        <w:t xml:space="preserve">Rue H, Martino S, Chopin N. Approximate Bayesian inference for latent Gaussian models by using integrated nested Laplace approximations. </w:t>
      </w:r>
      <w:r w:rsidR="007745AB" w:rsidRPr="008E1282">
        <w:rPr>
          <w:rFonts w:ascii="Calibri Light" w:hAnsi="Calibri Light" w:cs="Calibri Light"/>
          <w:i/>
          <w:iCs/>
        </w:rPr>
        <w:t>J R Stat Soc Ser B Stat Methodol</w:t>
      </w:r>
      <w:r w:rsidR="007745AB" w:rsidRPr="008E1282">
        <w:rPr>
          <w:rFonts w:ascii="Calibri Light" w:hAnsi="Calibri Light" w:cs="Calibri Light"/>
        </w:rPr>
        <w:t xml:space="preserve"> 2009; </w:t>
      </w:r>
      <w:r w:rsidR="007745AB" w:rsidRPr="008E1282">
        <w:rPr>
          <w:rFonts w:ascii="Calibri Light" w:hAnsi="Calibri Light" w:cs="Calibri Light"/>
          <w:b/>
          <w:bCs/>
        </w:rPr>
        <w:t>71</w:t>
      </w:r>
      <w:r w:rsidR="007745AB" w:rsidRPr="008E1282">
        <w:rPr>
          <w:rFonts w:ascii="Calibri Light" w:hAnsi="Calibri Light" w:cs="Calibri Light"/>
        </w:rPr>
        <w:t>: 319–92</w:t>
      </w:r>
      <w:r w:rsidRPr="001D3849">
        <w:rPr>
          <w:rFonts w:ascii="Calibri Light" w:hAnsi="Calibri Light" w:cs="Calibri Light"/>
        </w:rPr>
        <w:t>.</w:t>
      </w:r>
    </w:p>
    <w:p w14:paraId="72C1CF77" w14:textId="6F46028A" w:rsidR="001D3849" w:rsidRPr="001D3849" w:rsidRDefault="001D3849" w:rsidP="00696EFD">
      <w:pPr>
        <w:pStyle w:val="Bibliography"/>
        <w:rPr>
          <w:rFonts w:ascii="Calibri Light" w:hAnsi="Calibri Light" w:cs="Calibri Light"/>
        </w:rPr>
      </w:pPr>
      <w:r w:rsidRPr="001D3849">
        <w:rPr>
          <w:rFonts w:ascii="Calibri Light" w:hAnsi="Calibri Light" w:cs="Calibri Light"/>
        </w:rPr>
        <w:t>15</w:t>
      </w:r>
      <w:r w:rsidRPr="001D3849">
        <w:rPr>
          <w:rFonts w:ascii="Calibri Light" w:hAnsi="Calibri Light" w:cs="Calibri Light"/>
        </w:rPr>
        <w:tab/>
      </w:r>
      <w:r w:rsidR="00B804B1" w:rsidRPr="008E1282">
        <w:rPr>
          <w:rFonts w:ascii="Calibri Light" w:hAnsi="Calibri Light" w:cs="Calibri Light"/>
        </w:rPr>
        <w:t>R Core Team. R: A language and environment for statistical computing. 2019. https://www.R-project.org/</w:t>
      </w:r>
      <w:r w:rsidRPr="001D3849">
        <w:rPr>
          <w:rFonts w:ascii="Calibri Light" w:hAnsi="Calibri Light" w:cs="Calibri Light"/>
        </w:rPr>
        <w:t>.</w:t>
      </w:r>
    </w:p>
    <w:p w14:paraId="10410763" w14:textId="37AB34DC" w:rsidR="001D3849" w:rsidRPr="001D3849" w:rsidRDefault="001D3849" w:rsidP="00696EFD">
      <w:pPr>
        <w:pStyle w:val="Bibliography"/>
        <w:rPr>
          <w:rFonts w:ascii="Calibri Light" w:hAnsi="Calibri Light" w:cs="Calibri Light"/>
        </w:rPr>
      </w:pPr>
      <w:r w:rsidRPr="001D3849">
        <w:rPr>
          <w:rFonts w:ascii="Calibri Light" w:hAnsi="Calibri Light" w:cs="Calibri Light"/>
        </w:rPr>
        <w:t>16</w:t>
      </w:r>
      <w:r w:rsidRPr="001D3849">
        <w:rPr>
          <w:rFonts w:ascii="Calibri Light" w:hAnsi="Calibri Light" w:cs="Calibri Light"/>
        </w:rPr>
        <w:tab/>
      </w:r>
      <w:r w:rsidR="00FE764D" w:rsidRPr="008E1282">
        <w:rPr>
          <w:rFonts w:ascii="Calibri Light" w:hAnsi="Calibri Light" w:cs="Calibri Light"/>
        </w:rPr>
        <w:t xml:space="preserve">Fuglstad G-A, Simpson D, Lindgren F, Rue H. Constructing </w:t>
      </w:r>
      <w:r w:rsidR="00FE764D">
        <w:rPr>
          <w:rFonts w:ascii="Calibri Light" w:hAnsi="Calibri Light" w:cs="Calibri Light"/>
        </w:rPr>
        <w:t>p</w:t>
      </w:r>
      <w:r w:rsidR="00FE764D" w:rsidRPr="008E1282">
        <w:rPr>
          <w:rFonts w:ascii="Calibri Light" w:hAnsi="Calibri Light" w:cs="Calibri Light"/>
        </w:rPr>
        <w:t xml:space="preserve">riors that </w:t>
      </w:r>
      <w:r w:rsidR="00FE764D">
        <w:rPr>
          <w:rFonts w:ascii="Calibri Light" w:hAnsi="Calibri Light" w:cs="Calibri Light"/>
        </w:rPr>
        <w:t>p</w:t>
      </w:r>
      <w:r w:rsidR="00FE764D" w:rsidRPr="008E1282">
        <w:rPr>
          <w:rFonts w:ascii="Calibri Light" w:hAnsi="Calibri Light" w:cs="Calibri Light"/>
        </w:rPr>
        <w:t xml:space="preserve">enalize the </w:t>
      </w:r>
      <w:r w:rsidR="00FE764D">
        <w:rPr>
          <w:rFonts w:ascii="Calibri Light" w:hAnsi="Calibri Light" w:cs="Calibri Light"/>
        </w:rPr>
        <w:t>c</w:t>
      </w:r>
      <w:r w:rsidR="00FE764D" w:rsidRPr="008E1282">
        <w:rPr>
          <w:rFonts w:ascii="Calibri Light" w:hAnsi="Calibri Light" w:cs="Calibri Light"/>
        </w:rPr>
        <w:t xml:space="preserve">omplexity of Gaussian </w:t>
      </w:r>
      <w:r w:rsidR="00FE764D">
        <w:rPr>
          <w:rFonts w:ascii="Calibri Light" w:hAnsi="Calibri Light" w:cs="Calibri Light"/>
        </w:rPr>
        <w:t>r</w:t>
      </w:r>
      <w:r w:rsidR="00FE764D" w:rsidRPr="008E1282">
        <w:rPr>
          <w:rFonts w:ascii="Calibri Light" w:hAnsi="Calibri Light" w:cs="Calibri Light"/>
        </w:rPr>
        <w:t xml:space="preserve">andom </w:t>
      </w:r>
      <w:r w:rsidR="00FE764D">
        <w:rPr>
          <w:rFonts w:ascii="Calibri Light" w:hAnsi="Calibri Light" w:cs="Calibri Light"/>
        </w:rPr>
        <w:t>f</w:t>
      </w:r>
      <w:r w:rsidR="00FE764D" w:rsidRPr="008E1282">
        <w:rPr>
          <w:rFonts w:ascii="Calibri Light" w:hAnsi="Calibri Light" w:cs="Calibri Light"/>
        </w:rPr>
        <w:t xml:space="preserve">ields. </w:t>
      </w:r>
      <w:r w:rsidR="00FE764D" w:rsidRPr="00F51728">
        <w:rPr>
          <w:rFonts w:ascii="Calibri Light" w:hAnsi="Calibri Light" w:cs="Calibri Light"/>
          <w:i/>
          <w:iCs/>
        </w:rPr>
        <w:t>J Am Stat Assoc</w:t>
      </w:r>
      <w:r w:rsidR="00FE764D" w:rsidRPr="00F51728">
        <w:rPr>
          <w:rFonts w:ascii="Calibri Light" w:hAnsi="Calibri Light" w:cs="Calibri Light"/>
        </w:rPr>
        <w:t xml:space="preserve"> 2017; </w:t>
      </w:r>
      <w:r w:rsidR="00FE764D" w:rsidRPr="00F51728">
        <w:rPr>
          <w:rFonts w:ascii="Calibri Light" w:hAnsi="Calibri Light" w:cs="Calibri Light"/>
          <w:b/>
          <w:bCs/>
        </w:rPr>
        <w:t>114</w:t>
      </w:r>
      <w:r w:rsidR="00FE764D" w:rsidRPr="00F51728">
        <w:rPr>
          <w:rFonts w:ascii="Calibri Light" w:hAnsi="Calibri Light" w:cs="Calibri Light"/>
        </w:rPr>
        <w:t>: 445–52</w:t>
      </w:r>
      <w:r w:rsidRPr="001D3849">
        <w:rPr>
          <w:rFonts w:ascii="Calibri Light" w:hAnsi="Calibri Light" w:cs="Calibri Light"/>
        </w:rPr>
        <w:t>.</w:t>
      </w:r>
    </w:p>
    <w:p w14:paraId="29C51DE2" w14:textId="58DFDEE1" w:rsidR="001D3849" w:rsidRPr="001D3849" w:rsidRDefault="001D3849" w:rsidP="00696EFD">
      <w:pPr>
        <w:pStyle w:val="Bibliography"/>
        <w:rPr>
          <w:rFonts w:ascii="Calibri Light" w:hAnsi="Calibri Light" w:cs="Calibri Light"/>
        </w:rPr>
      </w:pPr>
      <w:r w:rsidRPr="001D3849">
        <w:rPr>
          <w:rFonts w:ascii="Calibri Light" w:hAnsi="Calibri Light" w:cs="Calibri Light"/>
        </w:rPr>
        <w:t>17</w:t>
      </w:r>
      <w:r w:rsidRPr="001D3849">
        <w:rPr>
          <w:rFonts w:ascii="Calibri Light" w:hAnsi="Calibri Light" w:cs="Calibri Light"/>
        </w:rPr>
        <w:tab/>
      </w:r>
      <w:r w:rsidR="00BB5CAD" w:rsidRPr="00F51728">
        <w:rPr>
          <w:rFonts w:ascii="Calibri Light" w:hAnsi="Calibri Light" w:cs="Calibri Light"/>
        </w:rPr>
        <w:t xml:space="preserve">Leroux BG, Lei X, Breslow N. </w:t>
      </w:r>
      <w:r w:rsidR="00BB5CAD" w:rsidRPr="008E1282">
        <w:rPr>
          <w:rFonts w:ascii="Calibri Light" w:hAnsi="Calibri Light" w:cs="Calibri Light"/>
        </w:rPr>
        <w:t>Estimation of Disease Rates in Small Areas: A new Mixed Model for Spatial Dependence</w:t>
      </w:r>
      <w:r w:rsidR="00BB5CAD">
        <w:rPr>
          <w:rFonts w:ascii="Calibri Light" w:hAnsi="Calibri Light" w:cs="Calibri Light"/>
        </w:rPr>
        <w:t xml:space="preserve">. </w:t>
      </w:r>
      <w:r w:rsidR="00BB5CAD" w:rsidRPr="00F51728">
        <w:rPr>
          <w:rFonts w:ascii="Calibri Light" w:hAnsi="Calibri Light" w:cs="Calibri Light"/>
        </w:rPr>
        <w:t xml:space="preserve">In: Statistical Models in Epidemiology, the Environment, and Clinical Trials. </w:t>
      </w:r>
      <w:r w:rsidR="00BB5CAD" w:rsidRPr="005173CD">
        <w:rPr>
          <w:rFonts w:asciiTheme="majorHAnsi" w:hAnsiTheme="majorHAnsi" w:cstheme="majorHAnsi"/>
        </w:rPr>
        <w:t>The IMA Volumes in Mathematics and its Applications. New York (NY): Springer (US), 2000. https://doi.org/10.1007/978-1-4612-1284-3_</w:t>
      </w:r>
      <w:r w:rsidR="00BB5CAD">
        <w:rPr>
          <w:rFonts w:ascii="Calibri Light" w:hAnsi="Calibri Light" w:cs="Calibri Light"/>
        </w:rPr>
        <w:t>4</w:t>
      </w:r>
    </w:p>
    <w:p w14:paraId="0A18346E" w14:textId="36828109" w:rsidR="001D3849" w:rsidRPr="001D3849" w:rsidRDefault="001D3849" w:rsidP="00696EFD">
      <w:pPr>
        <w:pStyle w:val="Bibliography"/>
        <w:rPr>
          <w:rFonts w:ascii="Calibri Light" w:hAnsi="Calibri Light" w:cs="Calibri Light"/>
        </w:rPr>
      </w:pPr>
      <w:r w:rsidRPr="001D3849">
        <w:rPr>
          <w:rFonts w:ascii="Calibri Light" w:hAnsi="Calibri Light" w:cs="Calibri Light"/>
        </w:rPr>
        <w:t>18</w:t>
      </w:r>
      <w:r w:rsidRPr="001D3849">
        <w:rPr>
          <w:rFonts w:ascii="Calibri Light" w:hAnsi="Calibri Light" w:cs="Calibri Light"/>
        </w:rPr>
        <w:tab/>
      </w:r>
      <w:r w:rsidR="007A294C" w:rsidRPr="00F51728">
        <w:rPr>
          <w:rFonts w:ascii="Calibri Light" w:hAnsi="Calibri Light" w:cs="Calibri Light"/>
        </w:rPr>
        <w:t>Gilks WR, Richardson S, Spiegelhalter DJ</w:t>
      </w:r>
      <w:r w:rsidR="007A294C">
        <w:rPr>
          <w:rFonts w:ascii="Calibri Light" w:hAnsi="Calibri Light" w:cs="Calibri Light"/>
        </w:rPr>
        <w:t>, editors</w:t>
      </w:r>
      <w:r w:rsidR="007A294C" w:rsidRPr="00F51728">
        <w:rPr>
          <w:rFonts w:ascii="Calibri Light" w:hAnsi="Calibri Light" w:cs="Calibri Light"/>
        </w:rPr>
        <w:t xml:space="preserve">. </w:t>
      </w:r>
      <w:r w:rsidR="007A294C" w:rsidRPr="008E1282">
        <w:rPr>
          <w:rFonts w:ascii="Calibri Light" w:hAnsi="Calibri Light" w:cs="Calibri Light"/>
        </w:rPr>
        <w:t>Markov Chain Monte Carlo in Practice. Routledge CRC Press. https://www.routledge.com/Markov-Chain-Monte-Carlo-in-Practice/Gilks-Richardson-Spiegelhalter/p/book/9780412055515 (accessed July 1, 2022)</w:t>
      </w:r>
      <w:r w:rsidRPr="001D3849">
        <w:rPr>
          <w:rFonts w:ascii="Calibri Light" w:hAnsi="Calibri Light" w:cs="Calibri Light"/>
        </w:rPr>
        <w:t>.</w:t>
      </w:r>
    </w:p>
    <w:p w14:paraId="5DA024D2" w14:textId="2AB16A86" w:rsidR="001D3849" w:rsidRPr="001D3849" w:rsidRDefault="001D3849" w:rsidP="00696EFD">
      <w:pPr>
        <w:pStyle w:val="Bibliography"/>
        <w:rPr>
          <w:rFonts w:ascii="Calibri Light" w:hAnsi="Calibri Light" w:cs="Calibri Light"/>
        </w:rPr>
      </w:pPr>
      <w:r w:rsidRPr="001D3849">
        <w:rPr>
          <w:rFonts w:ascii="Calibri Light" w:hAnsi="Calibri Light" w:cs="Calibri Light"/>
        </w:rPr>
        <w:t>19</w:t>
      </w:r>
      <w:r w:rsidRPr="001D3849">
        <w:rPr>
          <w:rFonts w:ascii="Calibri Light" w:hAnsi="Calibri Light" w:cs="Calibri Light"/>
        </w:rPr>
        <w:tab/>
      </w:r>
      <w:r w:rsidR="00FC103F" w:rsidRPr="008E1282">
        <w:rPr>
          <w:rFonts w:ascii="Calibri Light" w:hAnsi="Calibri Light" w:cs="Calibri Light"/>
        </w:rPr>
        <w:t xml:space="preserve">Knorr-Held L. Bayesian modelling of inseparable space-time variation in disease risk. </w:t>
      </w:r>
      <w:r w:rsidR="00FC103F" w:rsidRPr="008E1282">
        <w:rPr>
          <w:rFonts w:ascii="Calibri Light" w:hAnsi="Calibri Light" w:cs="Calibri Light"/>
          <w:i/>
          <w:iCs/>
        </w:rPr>
        <w:t>Stat Med</w:t>
      </w:r>
      <w:r w:rsidR="00FC103F" w:rsidRPr="008E1282">
        <w:rPr>
          <w:rFonts w:ascii="Calibri Light" w:hAnsi="Calibri Light" w:cs="Calibri Light"/>
        </w:rPr>
        <w:t xml:space="preserve"> 2000; </w:t>
      </w:r>
      <w:r w:rsidR="00FC103F" w:rsidRPr="008E1282">
        <w:rPr>
          <w:rFonts w:ascii="Calibri Light" w:hAnsi="Calibri Light" w:cs="Calibri Light"/>
          <w:b/>
          <w:bCs/>
        </w:rPr>
        <w:t>19</w:t>
      </w:r>
      <w:r w:rsidR="00FC103F" w:rsidRPr="008E1282">
        <w:rPr>
          <w:rFonts w:ascii="Calibri Light" w:hAnsi="Calibri Light" w:cs="Calibri Light"/>
        </w:rPr>
        <w:t>: 2555–67</w:t>
      </w:r>
      <w:r w:rsidRPr="001D3849">
        <w:rPr>
          <w:rFonts w:ascii="Calibri Light" w:hAnsi="Calibri Light" w:cs="Calibri Light"/>
        </w:rPr>
        <w:t>.</w:t>
      </w:r>
    </w:p>
    <w:p w14:paraId="63B1635B" w14:textId="484EBAB4" w:rsidR="001D3849" w:rsidRPr="001D3849" w:rsidRDefault="001D3849" w:rsidP="00696EFD">
      <w:pPr>
        <w:pStyle w:val="Bibliography"/>
        <w:rPr>
          <w:rFonts w:ascii="Calibri Light" w:hAnsi="Calibri Light" w:cs="Calibri Light"/>
        </w:rPr>
      </w:pPr>
      <w:r w:rsidRPr="001D3849">
        <w:rPr>
          <w:rFonts w:ascii="Calibri Light" w:hAnsi="Calibri Light" w:cs="Calibri Light"/>
        </w:rPr>
        <w:t>20</w:t>
      </w:r>
      <w:r w:rsidRPr="001D3849">
        <w:rPr>
          <w:rFonts w:ascii="Calibri Light" w:hAnsi="Calibri Light" w:cs="Calibri Light"/>
        </w:rPr>
        <w:tab/>
      </w:r>
      <w:r w:rsidR="00CD06E1" w:rsidRPr="008E1282">
        <w:rPr>
          <w:rFonts w:ascii="Calibri Light" w:hAnsi="Calibri Light" w:cs="Calibri Light"/>
        </w:rPr>
        <w:t xml:space="preserve">Kristensen K, Nielsen A, Berg CW, Skaug H, Bell BM. TMB: </w:t>
      </w:r>
      <w:r w:rsidR="00CD06E1">
        <w:rPr>
          <w:rFonts w:ascii="Calibri Light" w:hAnsi="Calibri Light" w:cs="Calibri Light"/>
        </w:rPr>
        <w:t>a</w:t>
      </w:r>
      <w:r w:rsidR="00CD06E1" w:rsidRPr="008E1282">
        <w:rPr>
          <w:rFonts w:ascii="Calibri Light" w:hAnsi="Calibri Light" w:cs="Calibri Light"/>
        </w:rPr>
        <w:t xml:space="preserve">utomatic </w:t>
      </w:r>
      <w:r w:rsidR="00CD06E1">
        <w:rPr>
          <w:rFonts w:ascii="Calibri Light" w:hAnsi="Calibri Light" w:cs="Calibri Light"/>
        </w:rPr>
        <w:t>d</w:t>
      </w:r>
      <w:r w:rsidR="00CD06E1" w:rsidRPr="008E1282">
        <w:rPr>
          <w:rFonts w:ascii="Calibri Light" w:hAnsi="Calibri Light" w:cs="Calibri Light"/>
        </w:rPr>
        <w:t xml:space="preserve">ifferentiation and Laplace </w:t>
      </w:r>
      <w:r w:rsidR="00CD06E1">
        <w:rPr>
          <w:rFonts w:ascii="Calibri Light" w:hAnsi="Calibri Light" w:cs="Calibri Light"/>
        </w:rPr>
        <w:t>a</w:t>
      </w:r>
      <w:r w:rsidR="00CD06E1" w:rsidRPr="008E1282">
        <w:rPr>
          <w:rFonts w:ascii="Calibri Light" w:hAnsi="Calibri Light" w:cs="Calibri Light"/>
        </w:rPr>
        <w:t xml:space="preserve">pproximation. </w:t>
      </w:r>
      <w:r w:rsidR="00CD06E1" w:rsidRPr="008E1282">
        <w:rPr>
          <w:rFonts w:ascii="Calibri Light" w:hAnsi="Calibri Light" w:cs="Calibri Light"/>
          <w:i/>
          <w:iCs/>
        </w:rPr>
        <w:t>J Stat Softw</w:t>
      </w:r>
      <w:r w:rsidR="00CD06E1" w:rsidRPr="008E1282">
        <w:rPr>
          <w:rFonts w:ascii="Calibri Light" w:hAnsi="Calibri Light" w:cs="Calibri Light"/>
        </w:rPr>
        <w:t xml:space="preserve"> 2016; </w:t>
      </w:r>
      <w:r w:rsidR="00CD06E1" w:rsidRPr="008E1282">
        <w:rPr>
          <w:rFonts w:ascii="Calibri Light" w:hAnsi="Calibri Light" w:cs="Calibri Light"/>
          <w:b/>
          <w:bCs/>
        </w:rPr>
        <w:t>70</w:t>
      </w:r>
      <w:r w:rsidR="00CD06E1" w:rsidRPr="008E1282">
        <w:rPr>
          <w:rFonts w:ascii="Calibri Light" w:hAnsi="Calibri Light" w:cs="Calibri Light"/>
        </w:rPr>
        <w:t>: 1–21</w:t>
      </w:r>
      <w:r w:rsidRPr="001D3849">
        <w:rPr>
          <w:rFonts w:ascii="Calibri Light" w:hAnsi="Calibri Light" w:cs="Calibri Light"/>
        </w:rPr>
        <w:t>.</w:t>
      </w:r>
    </w:p>
    <w:p w14:paraId="273D7672" w14:textId="2CED7638" w:rsidR="001D3849" w:rsidRPr="001D3849" w:rsidRDefault="001D3849" w:rsidP="00696EFD">
      <w:pPr>
        <w:pStyle w:val="Bibliography"/>
        <w:rPr>
          <w:rFonts w:ascii="Calibri Light" w:hAnsi="Calibri Light" w:cs="Calibri Light"/>
        </w:rPr>
      </w:pPr>
      <w:r w:rsidRPr="001D3849">
        <w:rPr>
          <w:rFonts w:ascii="Calibri Light" w:hAnsi="Calibri Light" w:cs="Calibri Light"/>
        </w:rPr>
        <w:t>21</w:t>
      </w:r>
      <w:r w:rsidRPr="001D3849">
        <w:rPr>
          <w:rFonts w:ascii="Calibri Light" w:hAnsi="Calibri Light" w:cs="Calibri Light"/>
        </w:rPr>
        <w:tab/>
      </w:r>
      <w:r w:rsidR="001D121A" w:rsidRPr="008E1282">
        <w:rPr>
          <w:rFonts w:ascii="Calibri Light" w:hAnsi="Calibri Light" w:cs="Calibri Light"/>
        </w:rPr>
        <w:t xml:space="preserve">Osgood-Zimmerman A, Wakefield J. A </w:t>
      </w:r>
      <w:r w:rsidR="001D121A">
        <w:rPr>
          <w:rFonts w:ascii="Calibri Light" w:hAnsi="Calibri Light" w:cs="Calibri Light"/>
        </w:rPr>
        <w:t>s</w:t>
      </w:r>
      <w:r w:rsidR="001D121A" w:rsidRPr="008E1282">
        <w:rPr>
          <w:rFonts w:ascii="Calibri Light" w:hAnsi="Calibri Light" w:cs="Calibri Light"/>
        </w:rPr>
        <w:t xml:space="preserve">tatistical </w:t>
      </w:r>
      <w:r w:rsidR="001D121A">
        <w:rPr>
          <w:rFonts w:ascii="Calibri Light" w:hAnsi="Calibri Light" w:cs="Calibri Light"/>
        </w:rPr>
        <w:t>i</w:t>
      </w:r>
      <w:r w:rsidR="001D121A" w:rsidRPr="008E1282">
        <w:rPr>
          <w:rFonts w:ascii="Calibri Light" w:hAnsi="Calibri Light" w:cs="Calibri Light"/>
        </w:rPr>
        <w:t xml:space="preserve">ntroduction to Template Model Builder: </w:t>
      </w:r>
      <w:r w:rsidR="001D121A">
        <w:rPr>
          <w:rFonts w:ascii="Calibri Light" w:hAnsi="Calibri Light" w:cs="Calibri Light"/>
        </w:rPr>
        <w:t>a</w:t>
      </w:r>
      <w:r w:rsidR="001D121A" w:rsidRPr="008E1282">
        <w:rPr>
          <w:rFonts w:ascii="Calibri Light" w:hAnsi="Calibri Light" w:cs="Calibri Light"/>
        </w:rPr>
        <w:t xml:space="preserve"> </w:t>
      </w:r>
      <w:r w:rsidR="001D121A">
        <w:rPr>
          <w:rFonts w:ascii="Calibri Light" w:hAnsi="Calibri Light" w:cs="Calibri Light"/>
        </w:rPr>
        <w:t>f</w:t>
      </w:r>
      <w:r w:rsidR="001D121A" w:rsidRPr="008E1282">
        <w:rPr>
          <w:rFonts w:ascii="Calibri Light" w:hAnsi="Calibri Light" w:cs="Calibri Light"/>
        </w:rPr>
        <w:t xml:space="preserve">lexible </w:t>
      </w:r>
      <w:r w:rsidR="001D121A">
        <w:rPr>
          <w:rFonts w:ascii="Calibri Light" w:hAnsi="Calibri Light" w:cs="Calibri Light"/>
        </w:rPr>
        <w:t>t</w:t>
      </w:r>
      <w:r w:rsidR="001D121A" w:rsidRPr="008E1282">
        <w:rPr>
          <w:rFonts w:ascii="Calibri Light" w:hAnsi="Calibri Light" w:cs="Calibri Light"/>
        </w:rPr>
        <w:t xml:space="preserve">ool for </w:t>
      </w:r>
      <w:r w:rsidR="001D121A">
        <w:rPr>
          <w:rFonts w:ascii="Calibri Light" w:hAnsi="Calibri Light" w:cs="Calibri Light"/>
        </w:rPr>
        <w:t>s</w:t>
      </w:r>
      <w:r w:rsidR="001D121A" w:rsidRPr="008E1282">
        <w:rPr>
          <w:rFonts w:ascii="Calibri Light" w:hAnsi="Calibri Light" w:cs="Calibri Light"/>
        </w:rPr>
        <w:t xml:space="preserve">patial </w:t>
      </w:r>
      <w:r w:rsidR="001D121A">
        <w:rPr>
          <w:rFonts w:ascii="Calibri Light" w:hAnsi="Calibri Light" w:cs="Calibri Light"/>
        </w:rPr>
        <w:t>m</w:t>
      </w:r>
      <w:r w:rsidR="001D121A" w:rsidRPr="008E1282">
        <w:rPr>
          <w:rFonts w:ascii="Calibri Light" w:hAnsi="Calibri Light" w:cs="Calibri Light"/>
        </w:rPr>
        <w:t>odeling. 2021; published online March 17. DOI:10.48550/arXiv.2103.09929</w:t>
      </w:r>
      <w:r w:rsidRPr="001D3849">
        <w:rPr>
          <w:rFonts w:ascii="Calibri Light" w:hAnsi="Calibri Light" w:cs="Calibri Light"/>
        </w:rPr>
        <w:t>.</w:t>
      </w:r>
    </w:p>
    <w:p w14:paraId="7BF5CBD3" w14:textId="5FCE2A7F" w:rsidR="001D3849" w:rsidRPr="001D3849" w:rsidRDefault="001D3849" w:rsidP="00696EFD">
      <w:pPr>
        <w:pStyle w:val="Bibliography"/>
        <w:rPr>
          <w:rFonts w:ascii="Calibri Light" w:hAnsi="Calibri Light" w:cs="Calibri Light"/>
        </w:rPr>
      </w:pPr>
      <w:r w:rsidRPr="001D3849">
        <w:rPr>
          <w:rFonts w:ascii="Calibri Light" w:hAnsi="Calibri Light" w:cs="Calibri Light"/>
        </w:rPr>
        <w:t>22</w:t>
      </w:r>
      <w:r w:rsidRPr="001D3849">
        <w:rPr>
          <w:rFonts w:ascii="Calibri Light" w:hAnsi="Calibri Light" w:cs="Calibri Light"/>
        </w:rPr>
        <w:tab/>
      </w:r>
      <w:r w:rsidR="00695FE4" w:rsidRPr="005173CD">
        <w:rPr>
          <w:rFonts w:asciiTheme="majorHAnsi" w:hAnsiTheme="majorHAnsi" w:cstheme="majorHAnsi"/>
        </w:rPr>
        <w:t>Gelman A, Carlin JB, Stern HS, Dunson DB, Vehtari A, Rubin DB</w:t>
      </w:r>
      <w:r w:rsidR="00695FE4">
        <w:rPr>
          <w:rFonts w:asciiTheme="majorHAnsi" w:hAnsiTheme="majorHAnsi" w:cstheme="majorHAnsi"/>
        </w:rPr>
        <w:t>.</w:t>
      </w:r>
      <w:r w:rsidR="00695FE4" w:rsidRPr="008E1282">
        <w:rPr>
          <w:rFonts w:ascii="Calibri Light" w:hAnsi="Calibri Light" w:cs="Calibri Light"/>
        </w:rPr>
        <w:t xml:space="preserve"> Bayesian Data Analysis. </w:t>
      </w:r>
      <w:r w:rsidR="00695FE4" w:rsidRPr="00C703E6">
        <w:rPr>
          <w:rFonts w:ascii="Calibri Light" w:hAnsi="Calibri Light" w:cs="Calibri Light"/>
        </w:rPr>
        <w:t>3rd edition</w:t>
      </w:r>
      <w:r w:rsidR="00695FE4">
        <w:rPr>
          <w:rFonts w:ascii="Calibri Light" w:hAnsi="Calibri Light" w:cs="Calibri Light"/>
        </w:rPr>
        <w:t>.</w:t>
      </w:r>
      <w:r w:rsidR="00695FE4" w:rsidRPr="008E1282">
        <w:rPr>
          <w:rFonts w:ascii="Calibri Light" w:hAnsi="Calibri Light" w:cs="Calibri Light"/>
        </w:rPr>
        <w:t xml:space="preserve"> </w:t>
      </w:r>
      <w:r w:rsidR="00695FE4" w:rsidRPr="00C703E6">
        <w:rPr>
          <w:rFonts w:ascii="Calibri Light" w:hAnsi="Calibri Light" w:cs="Calibri Light"/>
        </w:rPr>
        <w:t xml:space="preserve">Taylor &amp; Francis Group (FL): </w:t>
      </w:r>
      <w:r w:rsidR="00695FE4" w:rsidRPr="008E1282">
        <w:rPr>
          <w:rFonts w:ascii="Calibri Light" w:hAnsi="Calibri Light" w:cs="Calibri Light"/>
        </w:rPr>
        <w:t>Routledge CRC Press</w:t>
      </w:r>
      <w:r w:rsidR="00695FE4">
        <w:rPr>
          <w:rFonts w:ascii="Calibri Light" w:hAnsi="Calibri Light" w:cs="Calibri Light"/>
        </w:rPr>
        <w:t>; 2013</w:t>
      </w:r>
      <w:r w:rsidR="00695FE4" w:rsidRPr="008E1282">
        <w:rPr>
          <w:rFonts w:ascii="Calibri Light" w:hAnsi="Calibri Light" w:cs="Calibri Light"/>
        </w:rPr>
        <w:t>. https://www.routledge.com/Bayesian-Data-Analysis/Gelman-Carlin-Stern-Dunson-Vehtari-Rubin/p/book/9781439840955 (accessed July 1, 2022)</w:t>
      </w:r>
      <w:r w:rsidRPr="001D3849">
        <w:rPr>
          <w:rFonts w:ascii="Calibri Light" w:hAnsi="Calibri Light" w:cs="Calibri Light"/>
        </w:rPr>
        <w:t>.</w:t>
      </w:r>
    </w:p>
    <w:p w14:paraId="1F996ABF" w14:textId="2FE10F6E" w:rsidR="001D3849" w:rsidRPr="001D3849" w:rsidRDefault="001D3849" w:rsidP="00696EFD">
      <w:pPr>
        <w:pStyle w:val="Bibliography"/>
        <w:rPr>
          <w:rFonts w:ascii="Calibri Light" w:hAnsi="Calibri Light" w:cs="Calibri Light"/>
        </w:rPr>
      </w:pPr>
      <w:r w:rsidRPr="001D3849">
        <w:rPr>
          <w:rFonts w:ascii="Calibri Light" w:hAnsi="Calibri Light" w:cs="Calibri Light"/>
        </w:rPr>
        <w:t>23</w:t>
      </w:r>
      <w:r w:rsidRPr="001D3849">
        <w:rPr>
          <w:rFonts w:ascii="Calibri Light" w:hAnsi="Calibri Light" w:cs="Calibri Light"/>
        </w:rPr>
        <w:tab/>
      </w:r>
      <w:r w:rsidR="00947FA2" w:rsidRPr="008E1282">
        <w:rPr>
          <w:rFonts w:ascii="Calibri Light" w:hAnsi="Calibri Light" w:cs="Calibri Light"/>
        </w:rPr>
        <w:t xml:space="preserve">Srebotnjak T, Mokdad AH, Murray CJ. A novel framework for validating and applying standardized small area measurement strategies. </w:t>
      </w:r>
      <w:r w:rsidR="00947FA2" w:rsidRPr="008E1282">
        <w:rPr>
          <w:rFonts w:ascii="Calibri Light" w:hAnsi="Calibri Light" w:cs="Calibri Light"/>
          <w:i/>
          <w:iCs/>
        </w:rPr>
        <w:t>Popul Health Metr</w:t>
      </w:r>
      <w:r w:rsidR="00947FA2" w:rsidRPr="008E1282">
        <w:rPr>
          <w:rFonts w:ascii="Calibri Light" w:hAnsi="Calibri Light" w:cs="Calibri Light"/>
        </w:rPr>
        <w:t xml:space="preserve"> 2010; </w:t>
      </w:r>
      <w:r w:rsidR="00947FA2" w:rsidRPr="008E1282">
        <w:rPr>
          <w:rFonts w:ascii="Calibri Light" w:hAnsi="Calibri Light" w:cs="Calibri Light"/>
          <w:b/>
          <w:bCs/>
        </w:rPr>
        <w:t>8</w:t>
      </w:r>
      <w:r w:rsidR="00947FA2" w:rsidRPr="008E1282">
        <w:rPr>
          <w:rFonts w:ascii="Calibri Light" w:hAnsi="Calibri Light" w:cs="Calibri Light"/>
        </w:rPr>
        <w:t>: 26</w:t>
      </w:r>
      <w:r w:rsidRPr="001D3849">
        <w:rPr>
          <w:rFonts w:ascii="Calibri Light" w:hAnsi="Calibri Light" w:cs="Calibri Light"/>
        </w:rPr>
        <w:t>.</w:t>
      </w:r>
    </w:p>
    <w:p w14:paraId="5BA0D60F" w14:textId="6CE06F51" w:rsidR="001D3849" w:rsidRPr="001D3849" w:rsidRDefault="001D3849" w:rsidP="00696EFD">
      <w:pPr>
        <w:pStyle w:val="Bibliography"/>
        <w:rPr>
          <w:rFonts w:ascii="Calibri Light" w:hAnsi="Calibri Light" w:cs="Calibri Light"/>
        </w:rPr>
      </w:pPr>
      <w:r w:rsidRPr="001D3849">
        <w:rPr>
          <w:rFonts w:ascii="Calibri Light" w:hAnsi="Calibri Light" w:cs="Calibri Light"/>
        </w:rPr>
        <w:t>24</w:t>
      </w:r>
      <w:r w:rsidRPr="001D3849">
        <w:rPr>
          <w:rFonts w:ascii="Calibri Light" w:hAnsi="Calibri Light" w:cs="Calibri Light"/>
        </w:rPr>
        <w:tab/>
      </w:r>
      <w:r w:rsidR="0009749D" w:rsidRPr="008E1282">
        <w:rPr>
          <w:rFonts w:ascii="Calibri Light" w:hAnsi="Calibri Light" w:cs="Calibri Light"/>
        </w:rPr>
        <w:t xml:space="preserve">Joshi S, Weiser T, Warren-Mears V. Drug, </w:t>
      </w:r>
      <w:r w:rsidR="0009749D">
        <w:rPr>
          <w:rFonts w:ascii="Calibri Light" w:hAnsi="Calibri Light" w:cs="Calibri Light"/>
        </w:rPr>
        <w:t>o</w:t>
      </w:r>
      <w:r w:rsidR="0009749D" w:rsidRPr="008E1282">
        <w:rPr>
          <w:rFonts w:ascii="Calibri Light" w:hAnsi="Calibri Light" w:cs="Calibri Light"/>
        </w:rPr>
        <w:t>pioid-</w:t>
      </w:r>
      <w:r w:rsidR="0009749D">
        <w:rPr>
          <w:rFonts w:ascii="Calibri Light" w:hAnsi="Calibri Light" w:cs="Calibri Light"/>
        </w:rPr>
        <w:t>i</w:t>
      </w:r>
      <w:r w:rsidR="0009749D" w:rsidRPr="008E1282">
        <w:rPr>
          <w:rFonts w:ascii="Calibri Light" w:hAnsi="Calibri Light" w:cs="Calibri Light"/>
        </w:rPr>
        <w:t xml:space="preserve">nvolved, and </w:t>
      </w:r>
      <w:r w:rsidR="0009749D">
        <w:rPr>
          <w:rFonts w:ascii="Calibri Light" w:hAnsi="Calibri Light" w:cs="Calibri Light"/>
        </w:rPr>
        <w:t>h</w:t>
      </w:r>
      <w:r w:rsidR="0009749D" w:rsidRPr="008E1282">
        <w:rPr>
          <w:rFonts w:ascii="Calibri Light" w:hAnsi="Calibri Light" w:cs="Calibri Light"/>
        </w:rPr>
        <w:t>eroin-</w:t>
      </w:r>
      <w:r w:rsidR="0009749D">
        <w:rPr>
          <w:rFonts w:ascii="Calibri Light" w:hAnsi="Calibri Light" w:cs="Calibri Light"/>
        </w:rPr>
        <w:t>i</w:t>
      </w:r>
      <w:r w:rsidR="0009749D" w:rsidRPr="008E1282">
        <w:rPr>
          <w:rFonts w:ascii="Calibri Light" w:hAnsi="Calibri Light" w:cs="Calibri Light"/>
        </w:rPr>
        <w:t xml:space="preserve">nvolved </w:t>
      </w:r>
      <w:r w:rsidR="0009749D">
        <w:rPr>
          <w:rFonts w:ascii="Calibri Light" w:hAnsi="Calibri Light" w:cs="Calibri Light"/>
        </w:rPr>
        <w:t>o</w:t>
      </w:r>
      <w:r w:rsidR="0009749D" w:rsidRPr="008E1282">
        <w:rPr>
          <w:rFonts w:ascii="Calibri Light" w:hAnsi="Calibri Light" w:cs="Calibri Light"/>
        </w:rPr>
        <w:t xml:space="preserve">verdose </w:t>
      </w:r>
      <w:r w:rsidR="0009749D">
        <w:rPr>
          <w:rFonts w:ascii="Calibri Light" w:hAnsi="Calibri Light" w:cs="Calibri Light"/>
        </w:rPr>
        <w:t>d</w:t>
      </w:r>
      <w:r w:rsidR="0009749D" w:rsidRPr="008E1282">
        <w:rPr>
          <w:rFonts w:ascii="Calibri Light" w:hAnsi="Calibri Light" w:cs="Calibri Light"/>
        </w:rPr>
        <w:t xml:space="preserve">eaths </w:t>
      </w:r>
      <w:r w:rsidR="0009749D">
        <w:rPr>
          <w:rFonts w:ascii="Calibri Light" w:hAnsi="Calibri Light" w:cs="Calibri Light"/>
        </w:rPr>
        <w:t>a</w:t>
      </w:r>
      <w:r w:rsidR="0009749D" w:rsidRPr="008E1282">
        <w:rPr>
          <w:rFonts w:ascii="Calibri Light" w:hAnsi="Calibri Light" w:cs="Calibri Light"/>
        </w:rPr>
        <w:t xml:space="preserve">mong American Indians and Alaska Natives--Washington, 1999–2015. </w:t>
      </w:r>
      <w:r w:rsidR="0009749D" w:rsidRPr="008E1282">
        <w:rPr>
          <w:rFonts w:ascii="Calibri Light" w:hAnsi="Calibri Light" w:cs="Calibri Light"/>
          <w:i/>
          <w:iCs/>
        </w:rPr>
        <w:t>Morb Mortal Wkly Rep</w:t>
      </w:r>
      <w:r w:rsidR="0009749D" w:rsidRPr="008E1282">
        <w:rPr>
          <w:rFonts w:ascii="Calibri Light" w:hAnsi="Calibri Light" w:cs="Calibri Light"/>
        </w:rPr>
        <w:t xml:space="preserve"> 2018; </w:t>
      </w:r>
      <w:r w:rsidR="0009749D" w:rsidRPr="008E1282">
        <w:rPr>
          <w:rFonts w:ascii="Calibri Light" w:hAnsi="Calibri Light" w:cs="Calibri Light"/>
          <w:b/>
          <w:bCs/>
        </w:rPr>
        <w:t>67</w:t>
      </w:r>
      <w:r w:rsidR="0009749D" w:rsidRPr="008E1282">
        <w:rPr>
          <w:rFonts w:ascii="Calibri Light" w:hAnsi="Calibri Light" w:cs="Calibri Light"/>
        </w:rPr>
        <w:t>: 1384–8</w:t>
      </w:r>
      <w:r w:rsidRPr="001D3849">
        <w:rPr>
          <w:rFonts w:ascii="Calibri Light" w:hAnsi="Calibri Light" w:cs="Calibri Light"/>
        </w:rPr>
        <w:t>.</w:t>
      </w:r>
    </w:p>
    <w:p w14:paraId="4440F1E3" w14:textId="221ECD6B" w:rsidR="001D3849" w:rsidRPr="001D3849" w:rsidRDefault="001D3849" w:rsidP="00696EFD">
      <w:pPr>
        <w:pStyle w:val="Bibliography"/>
        <w:rPr>
          <w:rFonts w:ascii="Calibri Light" w:hAnsi="Calibri Light" w:cs="Calibri Light"/>
        </w:rPr>
      </w:pPr>
      <w:r w:rsidRPr="001D3849">
        <w:rPr>
          <w:rFonts w:ascii="Calibri Light" w:hAnsi="Calibri Light" w:cs="Calibri Light"/>
        </w:rPr>
        <w:t>25</w:t>
      </w:r>
      <w:r w:rsidRPr="001D3849">
        <w:rPr>
          <w:rFonts w:ascii="Calibri Light" w:hAnsi="Calibri Light" w:cs="Calibri Light"/>
        </w:rPr>
        <w:tab/>
      </w:r>
      <w:r w:rsidR="009A0EF0" w:rsidRPr="008E1282">
        <w:rPr>
          <w:rFonts w:ascii="Calibri Light" w:hAnsi="Calibri Light" w:cs="Calibri Light"/>
        </w:rPr>
        <w:t xml:space="preserve">Dankovchik J, Hoopes MJ, Warren-Mears V, Knaster E. Disparities in </w:t>
      </w:r>
      <w:r w:rsidR="009A0EF0">
        <w:rPr>
          <w:rFonts w:ascii="Calibri Light" w:hAnsi="Calibri Light" w:cs="Calibri Light"/>
        </w:rPr>
        <w:t>l</w:t>
      </w:r>
      <w:r w:rsidR="009A0EF0" w:rsidRPr="008E1282">
        <w:rPr>
          <w:rFonts w:ascii="Calibri Light" w:hAnsi="Calibri Light" w:cs="Calibri Light"/>
        </w:rPr>
        <w:t xml:space="preserve">ife </w:t>
      </w:r>
      <w:r w:rsidR="009A0EF0">
        <w:rPr>
          <w:rFonts w:ascii="Calibri Light" w:hAnsi="Calibri Light" w:cs="Calibri Light"/>
        </w:rPr>
        <w:t>e</w:t>
      </w:r>
      <w:r w:rsidR="009A0EF0" w:rsidRPr="008E1282">
        <w:rPr>
          <w:rFonts w:ascii="Calibri Light" w:hAnsi="Calibri Light" w:cs="Calibri Light"/>
        </w:rPr>
        <w:t xml:space="preserve">xpectancy of Pacific Northwest American Indians and Alaska Natives: </w:t>
      </w:r>
      <w:r w:rsidR="009A0EF0">
        <w:rPr>
          <w:rFonts w:ascii="Calibri Light" w:hAnsi="Calibri Light" w:cs="Calibri Light"/>
        </w:rPr>
        <w:t>a</w:t>
      </w:r>
      <w:r w:rsidR="009A0EF0" w:rsidRPr="008E1282">
        <w:rPr>
          <w:rFonts w:ascii="Calibri Light" w:hAnsi="Calibri Light" w:cs="Calibri Light"/>
        </w:rPr>
        <w:t xml:space="preserve">nalysis of </w:t>
      </w:r>
      <w:r w:rsidR="009A0EF0">
        <w:rPr>
          <w:rFonts w:ascii="Calibri Light" w:hAnsi="Calibri Light" w:cs="Calibri Light"/>
        </w:rPr>
        <w:t>l</w:t>
      </w:r>
      <w:r w:rsidR="009A0EF0" w:rsidRPr="008E1282">
        <w:rPr>
          <w:rFonts w:ascii="Calibri Light" w:hAnsi="Calibri Light" w:cs="Calibri Light"/>
        </w:rPr>
        <w:t>inkage-</w:t>
      </w:r>
      <w:r w:rsidR="009A0EF0">
        <w:rPr>
          <w:rFonts w:ascii="Calibri Light" w:hAnsi="Calibri Light" w:cs="Calibri Light"/>
        </w:rPr>
        <w:t>c</w:t>
      </w:r>
      <w:r w:rsidR="009A0EF0" w:rsidRPr="008E1282">
        <w:rPr>
          <w:rFonts w:ascii="Calibri Light" w:hAnsi="Calibri Light" w:cs="Calibri Light"/>
        </w:rPr>
        <w:t xml:space="preserve">orrected </w:t>
      </w:r>
      <w:r w:rsidR="009A0EF0">
        <w:rPr>
          <w:rFonts w:ascii="Calibri Light" w:hAnsi="Calibri Light" w:cs="Calibri Light"/>
        </w:rPr>
        <w:t>l</w:t>
      </w:r>
      <w:r w:rsidR="009A0EF0" w:rsidRPr="008E1282">
        <w:rPr>
          <w:rFonts w:ascii="Calibri Light" w:hAnsi="Calibri Light" w:cs="Calibri Light"/>
        </w:rPr>
        <w:t xml:space="preserve">ife </w:t>
      </w:r>
      <w:r w:rsidR="009A0EF0">
        <w:rPr>
          <w:rFonts w:ascii="Calibri Light" w:hAnsi="Calibri Light" w:cs="Calibri Light"/>
        </w:rPr>
        <w:t>t</w:t>
      </w:r>
      <w:r w:rsidR="009A0EF0" w:rsidRPr="008E1282">
        <w:rPr>
          <w:rFonts w:ascii="Calibri Light" w:hAnsi="Calibri Light" w:cs="Calibri Light"/>
        </w:rPr>
        <w:t xml:space="preserve">ables. </w:t>
      </w:r>
      <w:r w:rsidR="009A0EF0" w:rsidRPr="008E1282">
        <w:rPr>
          <w:rFonts w:ascii="Calibri Light" w:hAnsi="Calibri Light" w:cs="Calibri Light"/>
          <w:i/>
          <w:iCs/>
        </w:rPr>
        <w:t>Public Health Rep</w:t>
      </w:r>
      <w:r w:rsidR="009A0EF0" w:rsidRPr="008E1282">
        <w:rPr>
          <w:rFonts w:ascii="Calibri Light" w:hAnsi="Calibri Light" w:cs="Calibri Light"/>
        </w:rPr>
        <w:t xml:space="preserve"> 2015; </w:t>
      </w:r>
      <w:r w:rsidR="009A0EF0" w:rsidRPr="008E1282">
        <w:rPr>
          <w:rFonts w:ascii="Calibri Light" w:hAnsi="Calibri Light" w:cs="Calibri Light"/>
          <w:b/>
          <w:bCs/>
        </w:rPr>
        <w:t>130</w:t>
      </w:r>
      <w:r w:rsidR="009A0EF0" w:rsidRPr="008E1282">
        <w:rPr>
          <w:rFonts w:ascii="Calibri Light" w:hAnsi="Calibri Light" w:cs="Calibri Light"/>
        </w:rPr>
        <w:t>: 71–80</w:t>
      </w:r>
      <w:r w:rsidRPr="001D3849">
        <w:rPr>
          <w:rFonts w:ascii="Calibri Light" w:hAnsi="Calibri Light" w:cs="Calibri Light"/>
        </w:rPr>
        <w:t>.</w:t>
      </w:r>
    </w:p>
    <w:p w14:paraId="0A8C75A6" w14:textId="6B83A2F7" w:rsidR="001D3849" w:rsidRPr="001D3849" w:rsidRDefault="001D3849" w:rsidP="00696EFD">
      <w:pPr>
        <w:pStyle w:val="Bibliography"/>
        <w:rPr>
          <w:rFonts w:ascii="Calibri Light" w:hAnsi="Calibri Light" w:cs="Calibri Light"/>
        </w:rPr>
      </w:pPr>
      <w:r w:rsidRPr="001D3849">
        <w:rPr>
          <w:rFonts w:ascii="Calibri Light" w:hAnsi="Calibri Light" w:cs="Calibri Light"/>
        </w:rPr>
        <w:t>26</w:t>
      </w:r>
      <w:r w:rsidRPr="001D3849">
        <w:rPr>
          <w:rFonts w:ascii="Calibri Light" w:hAnsi="Calibri Light" w:cs="Calibri Light"/>
        </w:rPr>
        <w:tab/>
      </w:r>
      <w:r w:rsidR="00345A22" w:rsidRPr="008E1282">
        <w:rPr>
          <w:rFonts w:ascii="Calibri Light" w:hAnsi="Calibri Light" w:cs="Calibri Light"/>
        </w:rPr>
        <w:t xml:space="preserve">Dwyer-Lindgren L, Bertozzi-Villa A, Stubbs RW, </w:t>
      </w:r>
      <w:r w:rsidR="00345A22" w:rsidRPr="008E1282">
        <w:rPr>
          <w:rFonts w:ascii="Calibri Light" w:hAnsi="Calibri Light" w:cs="Calibri Light"/>
          <w:i/>
          <w:iCs/>
        </w:rPr>
        <w:t>et al.</w:t>
      </w:r>
      <w:r w:rsidR="00345A22" w:rsidRPr="008E1282">
        <w:rPr>
          <w:rFonts w:ascii="Calibri Light" w:hAnsi="Calibri Light" w:cs="Calibri Light"/>
        </w:rPr>
        <w:t xml:space="preserve"> US </w:t>
      </w:r>
      <w:r w:rsidR="00345A22">
        <w:rPr>
          <w:rFonts w:ascii="Calibri Light" w:hAnsi="Calibri Light" w:cs="Calibri Light"/>
        </w:rPr>
        <w:t>c</w:t>
      </w:r>
      <w:r w:rsidR="00345A22" w:rsidRPr="008E1282">
        <w:rPr>
          <w:rFonts w:ascii="Calibri Light" w:hAnsi="Calibri Light" w:cs="Calibri Light"/>
        </w:rPr>
        <w:t>ounty-</w:t>
      </w:r>
      <w:r w:rsidR="00345A22">
        <w:rPr>
          <w:rFonts w:ascii="Calibri Light" w:hAnsi="Calibri Light" w:cs="Calibri Light"/>
        </w:rPr>
        <w:t>l</w:t>
      </w:r>
      <w:r w:rsidR="00345A22" w:rsidRPr="008E1282">
        <w:rPr>
          <w:rFonts w:ascii="Calibri Light" w:hAnsi="Calibri Light" w:cs="Calibri Light"/>
        </w:rPr>
        <w:t xml:space="preserve">evel </w:t>
      </w:r>
      <w:r w:rsidR="00345A22">
        <w:rPr>
          <w:rFonts w:ascii="Calibri Light" w:hAnsi="Calibri Light" w:cs="Calibri Light"/>
        </w:rPr>
        <w:t>t</w:t>
      </w:r>
      <w:r w:rsidR="00345A22" w:rsidRPr="008E1282">
        <w:rPr>
          <w:rFonts w:ascii="Calibri Light" w:hAnsi="Calibri Light" w:cs="Calibri Light"/>
        </w:rPr>
        <w:t xml:space="preserve">rends in </w:t>
      </w:r>
      <w:r w:rsidR="00345A22">
        <w:rPr>
          <w:rFonts w:ascii="Calibri Light" w:hAnsi="Calibri Light" w:cs="Calibri Light"/>
        </w:rPr>
        <w:t>m</w:t>
      </w:r>
      <w:r w:rsidR="00345A22" w:rsidRPr="008E1282">
        <w:rPr>
          <w:rFonts w:ascii="Calibri Light" w:hAnsi="Calibri Light" w:cs="Calibri Light"/>
        </w:rPr>
        <w:t xml:space="preserve">ortality </w:t>
      </w:r>
      <w:r w:rsidR="00345A22">
        <w:rPr>
          <w:rFonts w:ascii="Calibri Light" w:hAnsi="Calibri Light" w:cs="Calibri Light"/>
        </w:rPr>
        <w:t>r</w:t>
      </w:r>
      <w:r w:rsidR="00345A22" w:rsidRPr="008E1282">
        <w:rPr>
          <w:rFonts w:ascii="Calibri Light" w:hAnsi="Calibri Light" w:cs="Calibri Light"/>
        </w:rPr>
        <w:t xml:space="preserve">ates for </w:t>
      </w:r>
      <w:r w:rsidR="00345A22">
        <w:rPr>
          <w:rFonts w:ascii="Calibri Light" w:hAnsi="Calibri Light" w:cs="Calibri Light"/>
        </w:rPr>
        <w:t>m</w:t>
      </w:r>
      <w:r w:rsidR="00345A22" w:rsidRPr="008E1282">
        <w:rPr>
          <w:rFonts w:ascii="Calibri Light" w:hAnsi="Calibri Light" w:cs="Calibri Light"/>
        </w:rPr>
        <w:t xml:space="preserve">ajor </w:t>
      </w:r>
      <w:r w:rsidR="00345A22">
        <w:rPr>
          <w:rFonts w:ascii="Calibri Light" w:hAnsi="Calibri Light" w:cs="Calibri Light"/>
        </w:rPr>
        <w:t>c</w:t>
      </w:r>
      <w:r w:rsidR="00345A22" w:rsidRPr="008E1282">
        <w:rPr>
          <w:rFonts w:ascii="Calibri Light" w:hAnsi="Calibri Light" w:cs="Calibri Light"/>
        </w:rPr>
        <w:t xml:space="preserve">auses of </w:t>
      </w:r>
      <w:r w:rsidR="00345A22">
        <w:rPr>
          <w:rFonts w:ascii="Calibri Light" w:hAnsi="Calibri Light" w:cs="Calibri Light"/>
        </w:rPr>
        <w:t>d</w:t>
      </w:r>
      <w:r w:rsidR="00345A22" w:rsidRPr="008E1282">
        <w:rPr>
          <w:rFonts w:ascii="Calibri Light" w:hAnsi="Calibri Light" w:cs="Calibri Light"/>
        </w:rPr>
        <w:t xml:space="preserve">eath, 1980–2014. </w:t>
      </w:r>
      <w:r w:rsidR="00345A22" w:rsidRPr="008E1282">
        <w:rPr>
          <w:rFonts w:ascii="Calibri Light" w:hAnsi="Calibri Light" w:cs="Calibri Light"/>
          <w:i/>
          <w:iCs/>
        </w:rPr>
        <w:t>JAMA</w:t>
      </w:r>
      <w:r w:rsidR="00345A22" w:rsidRPr="008E1282">
        <w:rPr>
          <w:rFonts w:ascii="Calibri Light" w:hAnsi="Calibri Light" w:cs="Calibri Light"/>
        </w:rPr>
        <w:t xml:space="preserve"> 2016; </w:t>
      </w:r>
      <w:r w:rsidR="00345A22" w:rsidRPr="008E1282">
        <w:rPr>
          <w:rFonts w:ascii="Calibri Light" w:hAnsi="Calibri Light" w:cs="Calibri Light"/>
          <w:b/>
          <w:bCs/>
        </w:rPr>
        <w:t>316</w:t>
      </w:r>
      <w:r w:rsidR="00345A22" w:rsidRPr="008E1282">
        <w:rPr>
          <w:rFonts w:ascii="Calibri Light" w:hAnsi="Calibri Light" w:cs="Calibri Light"/>
        </w:rPr>
        <w:t>: 2385–40</w:t>
      </w:r>
      <w:r w:rsidRPr="001D3849">
        <w:rPr>
          <w:rFonts w:ascii="Calibri Light" w:hAnsi="Calibri Light" w:cs="Calibri Light"/>
        </w:rPr>
        <w:t>1.</w:t>
      </w:r>
    </w:p>
    <w:p w14:paraId="498A0F29" w14:textId="416AC71D" w:rsidR="001D3849" w:rsidRPr="001D3849" w:rsidRDefault="001D3849" w:rsidP="00696EFD">
      <w:pPr>
        <w:pStyle w:val="Bibliography"/>
        <w:rPr>
          <w:rFonts w:ascii="Calibri Light" w:hAnsi="Calibri Light" w:cs="Calibri Light"/>
        </w:rPr>
      </w:pPr>
      <w:r w:rsidRPr="001D3849">
        <w:rPr>
          <w:rFonts w:ascii="Calibri Light" w:hAnsi="Calibri Light" w:cs="Calibri Light"/>
        </w:rPr>
        <w:t>27</w:t>
      </w:r>
      <w:r w:rsidRPr="001D3849">
        <w:rPr>
          <w:rFonts w:ascii="Calibri Light" w:hAnsi="Calibri Light" w:cs="Calibri Light"/>
        </w:rPr>
        <w:tab/>
      </w:r>
      <w:r w:rsidR="00CD7D9C" w:rsidRPr="008E1282">
        <w:rPr>
          <w:rFonts w:ascii="Calibri Light" w:hAnsi="Calibri Light" w:cs="Calibri Light"/>
        </w:rPr>
        <w:t xml:space="preserve">Fienberg SE. An </w:t>
      </w:r>
      <w:r w:rsidR="00CD7D9C">
        <w:rPr>
          <w:rFonts w:ascii="Calibri Light" w:hAnsi="Calibri Light" w:cs="Calibri Light"/>
        </w:rPr>
        <w:t>i</w:t>
      </w:r>
      <w:r w:rsidR="00CD7D9C" w:rsidRPr="008E1282">
        <w:rPr>
          <w:rFonts w:ascii="Calibri Light" w:hAnsi="Calibri Light" w:cs="Calibri Light"/>
        </w:rPr>
        <w:t xml:space="preserve">terative </w:t>
      </w:r>
      <w:r w:rsidR="00CD7D9C">
        <w:rPr>
          <w:rFonts w:ascii="Calibri Light" w:hAnsi="Calibri Light" w:cs="Calibri Light"/>
        </w:rPr>
        <w:t>p</w:t>
      </w:r>
      <w:r w:rsidR="00CD7D9C" w:rsidRPr="008E1282">
        <w:rPr>
          <w:rFonts w:ascii="Calibri Light" w:hAnsi="Calibri Light" w:cs="Calibri Light"/>
        </w:rPr>
        <w:t xml:space="preserve">rocedure for </w:t>
      </w:r>
      <w:r w:rsidR="00CD7D9C">
        <w:rPr>
          <w:rFonts w:ascii="Calibri Light" w:hAnsi="Calibri Light" w:cs="Calibri Light"/>
        </w:rPr>
        <w:t>e</w:t>
      </w:r>
      <w:r w:rsidR="00CD7D9C" w:rsidRPr="008E1282">
        <w:rPr>
          <w:rFonts w:ascii="Calibri Light" w:hAnsi="Calibri Light" w:cs="Calibri Light"/>
        </w:rPr>
        <w:t xml:space="preserve">stimation in </w:t>
      </w:r>
      <w:r w:rsidR="00CD7D9C">
        <w:rPr>
          <w:rFonts w:ascii="Calibri Light" w:hAnsi="Calibri Light" w:cs="Calibri Light"/>
        </w:rPr>
        <w:t>c</w:t>
      </w:r>
      <w:r w:rsidR="00CD7D9C" w:rsidRPr="008E1282">
        <w:rPr>
          <w:rFonts w:ascii="Calibri Light" w:hAnsi="Calibri Light" w:cs="Calibri Light"/>
        </w:rPr>
        <w:t xml:space="preserve">ontingency </w:t>
      </w:r>
      <w:r w:rsidR="00CD7D9C">
        <w:rPr>
          <w:rFonts w:ascii="Calibri Light" w:hAnsi="Calibri Light" w:cs="Calibri Light"/>
        </w:rPr>
        <w:t>t</w:t>
      </w:r>
      <w:r w:rsidR="00CD7D9C" w:rsidRPr="008E1282">
        <w:rPr>
          <w:rFonts w:ascii="Calibri Light" w:hAnsi="Calibri Light" w:cs="Calibri Light"/>
        </w:rPr>
        <w:t xml:space="preserve">ables. </w:t>
      </w:r>
      <w:r w:rsidR="00CD7D9C" w:rsidRPr="008E1282">
        <w:rPr>
          <w:rFonts w:ascii="Calibri Light" w:hAnsi="Calibri Light" w:cs="Calibri Light"/>
          <w:i/>
          <w:iCs/>
        </w:rPr>
        <w:t>Ann Math Stat</w:t>
      </w:r>
      <w:r w:rsidR="00CD7D9C" w:rsidRPr="008E1282">
        <w:rPr>
          <w:rFonts w:ascii="Calibri Light" w:hAnsi="Calibri Light" w:cs="Calibri Light"/>
        </w:rPr>
        <w:t xml:space="preserve"> 1970; </w:t>
      </w:r>
      <w:r w:rsidR="00CD7D9C" w:rsidRPr="008E1282">
        <w:rPr>
          <w:rFonts w:ascii="Calibri Light" w:hAnsi="Calibri Light" w:cs="Calibri Light"/>
          <w:b/>
          <w:bCs/>
        </w:rPr>
        <w:t>41</w:t>
      </w:r>
      <w:r w:rsidR="00CD7D9C" w:rsidRPr="008E1282">
        <w:rPr>
          <w:rFonts w:ascii="Calibri Light" w:hAnsi="Calibri Light" w:cs="Calibri Light"/>
        </w:rPr>
        <w:t>: 907–17</w:t>
      </w:r>
      <w:r w:rsidRPr="001D3849">
        <w:rPr>
          <w:rFonts w:ascii="Calibri Light" w:hAnsi="Calibri Light" w:cs="Calibri Light"/>
        </w:rPr>
        <w:t>.</w:t>
      </w:r>
    </w:p>
    <w:p w14:paraId="0B6E782E" w14:textId="43626631" w:rsidR="001D3849" w:rsidRPr="00B91167" w:rsidRDefault="001D3849" w:rsidP="00FC7390">
      <w:pPr>
        <w:pStyle w:val="Bibliography"/>
        <w:ind w:left="0" w:firstLine="0"/>
        <w:rPr>
          <w:rFonts w:asciiTheme="majorHAnsi" w:hAnsiTheme="majorHAnsi" w:cstheme="majorHAnsi"/>
        </w:rPr>
      </w:pPr>
    </w:p>
    <w:p w14:paraId="78E0F81B" w14:textId="61891771" w:rsidR="009B006F" w:rsidRPr="005173CD" w:rsidRDefault="009A5BDD" w:rsidP="00696EFD">
      <w:pPr>
        <w:pStyle w:val="Heading1"/>
        <w:spacing w:line="240" w:lineRule="auto"/>
        <w:rPr>
          <w:rFonts w:cstheme="majorHAnsi"/>
          <w:lang w:val="en-GB"/>
        </w:rPr>
      </w:pPr>
      <w:r w:rsidRPr="005173CD">
        <w:rPr>
          <w:rFonts w:cstheme="majorHAnsi"/>
          <w:lang w:val="en-GB"/>
        </w:rPr>
        <w:lastRenderedPageBreak/>
        <w:fldChar w:fldCharType="end"/>
      </w:r>
      <w:bookmarkStart w:id="45" w:name="_Toc2029682122"/>
      <w:bookmarkStart w:id="46" w:name="_Toc175308189"/>
      <w:r w:rsidR="009664F9" w:rsidRPr="005173CD">
        <w:rPr>
          <w:rFonts w:cstheme="majorHAnsi"/>
          <w:lang w:val="en-GB"/>
        </w:rPr>
        <w:t xml:space="preserve">3 </w:t>
      </w:r>
      <w:r w:rsidR="009B006F" w:rsidRPr="005173CD">
        <w:rPr>
          <w:rFonts w:cstheme="majorHAnsi"/>
          <w:lang w:val="en-GB"/>
        </w:rPr>
        <w:t xml:space="preserve">Supplemental </w:t>
      </w:r>
      <w:r w:rsidR="00F936FA">
        <w:rPr>
          <w:rFonts w:cstheme="majorHAnsi"/>
          <w:lang w:val="en-GB"/>
        </w:rPr>
        <w:t xml:space="preserve">Methods </w:t>
      </w:r>
      <w:r w:rsidR="009B006F" w:rsidRPr="005173CD">
        <w:rPr>
          <w:rFonts w:cstheme="majorHAnsi"/>
          <w:lang w:val="en-GB"/>
        </w:rPr>
        <w:t>Tables</w:t>
      </w:r>
      <w:bookmarkEnd w:id="45"/>
      <w:bookmarkEnd w:id="46"/>
    </w:p>
    <w:p w14:paraId="38DDFA78" w14:textId="34D7CE32" w:rsidR="009B006F" w:rsidRPr="005173CD" w:rsidRDefault="009664F9" w:rsidP="007A6422">
      <w:pPr>
        <w:pStyle w:val="Heading2"/>
        <w:spacing w:before="0" w:line="240" w:lineRule="auto"/>
        <w:contextualSpacing/>
        <w:rPr>
          <w:rFonts w:eastAsiaTheme="minorEastAsia" w:cstheme="majorHAnsi"/>
          <w:lang w:val="en-GB"/>
        </w:rPr>
      </w:pPr>
      <w:bookmarkStart w:id="47" w:name="_Toc175308190"/>
      <w:bookmarkStart w:id="48" w:name="_Toc761281220"/>
      <w:r w:rsidRPr="005173CD">
        <w:rPr>
          <w:rFonts w:eastAsiaTheme="minorEastAsia" w:cstheme="majorHAnsi"/>
          <w:lang w:val="en-GB"/>
        </w:rPr>
        <w:t>3.1</w:t>
      </w:r>
      <w:r w:rsidR="00B50187" w:rsidRPr="005173CD">
        <w:rPr>
          <w:rFonts w:eastAsiaTheme="minorEastAsia" w:cstheme="majorHAnsi"/>
          <w:lang w:val="en-GB"/>
        </w:rPr>
        <w:t xml:space="preserve"> Counties combined to create h</w:t>
      </w:r>
      <w:r w:rsidR="009B006F" w:rsidRPr="005173CD">
        <w:rPr>
          <w:rFonts w:eastAsiaTheme="minorEastAsia" w:cstheme="majorHAnsi"/>
          <w:lang w:val="en-GB"/>
        </w:rPr>
        <w:t>is</w:t>
      </w:r>
      <w:r w:rsidR="00B50187" w:rsidRPr="005173CD">
        <w:rPr>
          <w:rFonts w:eastAsiaTheme="minorEastAsia" w:cstheme="majorHAnsi"/>
          <w:lang w:val="en-GB"/>
        </w:rPr>
        <w:t>torically stable units of a</w:t>
      </w:r>
      <w:r w:rsidR="009B006F" w:rsidRPr="005173CD">
        <w:rPr>
          <w:rFonts w:eastAsiaTheme="minorEastAsia" w:cstheme="majorHAnsi"/>
          <w:lang w:val="en-GB"/>
        </w:rPr>
        <w:t>nalysis</w:t>
      </w:r>
      <w:bookmarkEnd w:id="47"/>
      <w:r w:rsidR="009B006F" w:rsidRPr="005173CD">
        <w:rPr>
          <w:rFonts w:eastAsiaTheme="minorEastAsia" w:cstheme="majorHAnsi"/>
          <w:lang w:val="en-GB"/>
        </w:rPr>
        <w:t xml:space="preserve"> </w:t>
      </w:r>
      <w:bookmarkEnd w:id="48"/>
    </w:p>
    <w:p w14:paraId="35FAB781" w14:textId="441DE79E" w:rsidR="00A42611" w:rsidRPr="005173CD" w:rsidRDefault="00A42611" w:rsidP="007A6422">
      <w:pPr>
        <w:contextualSpacing/>
        <w:rPr>
          <w:rFonts w:asciiTheme="majorHAnsi" w:hAnsiTheme="majorHAnsi" w:cstheme="majorHAnsi"/>
          <w:lang w:val="en-GB"/>
        </w:rPr>
      </w:pPr>
    </w:p>
    <w:tbl>
      <w:tblPr>
        <w:tblW w:w="9360" w:type="dxa"/>
        <w:tblBorders>
          <w:insideH w:val="single" w:sz="4" w:space="0" w:color="D0CECE" w:themeColor="background2" w:themeShade="E6"/>
        </w:tblBorders>
        <w:tblLayout w:type="fixed"/>
        <w:tblLook w:val="06A0" w:firstRow="1" w:lastRow="0" w:firstColumn="1" w:lastColumn="0" w:noHBand="1" w:noVBand="1"/>
      </w:tblPr>
      <w:tblGrid>
        <w:gridCol w:w="1485"/>
        <w:gridCol w:w="885"/>
        <w:gridCol w:w="6990"/>
      </w:tblGrid>
      <w:tr w:rsidR="00542CEB" w:rsidRPr="005173CD" w14:paraId="2F6CFBBA" w14:textId="77777777" w:rsidTr="007F5028">
        <w:tc>
          <w:tcPr>
            <w:tcW w:w="1485" w:type="dxa"/>
            <w:tcBorders>
              <w:top w:val="single" w:sz="4" w:space="0" w:color="auto"/>
              <w:bottom w:val="single" w:sz="4" w:space="0" w:color="auto"/>
            </w:tcBorders>
          </w:tcPr>
          <w:p w14:paraId="157AF6F9" w14:textId="77777777" w:rsidR="00542CEB" w:rsidRPr="005173CD" w:rsidRDefault="00542CEB" w:rsidP="007F5028">
            <w:pPr>
              <w:contextualSpacing/>
              <w:rPr>
                <w:rFonts w:asciiTheme="majorHAnsi" w:eastAsiaTheme="majorEastAsia" w:hAnsiTheme="majorHAnsi" w:cstheme="majorHAnsi"/>
                <w:b/>
                <w:lang w:val="en-GB"/>
              </w:rPr>
            </w:pPr>
            <w:r w:rsidRPr="005173CD">
              <w:rPr>
                <w:rFonts w:asciiTheme="majorHAnsi" w:eastAsiaTheme="majorEastAsia" w:hAnsiTheme="majorHAnsi" w:cstheme="majorHAnsi"/>
                <w:b/>
                <w:lang w:val="en-GB"/>
              </w:rPr>
              <w:t>State</w:t>
            </w:r>
          </w:p>
        </w:tc>
        <w:tc>
          <w:tcPr>
            <w:tcW w:w="885" w:type="dxa"/>
            <w:tcBorders>
              <w:top w:val="single" w:sz="4" w:space="0" w:color="auto"/>
              <w:bottom w:val="single" w:sz="4" w:space="0" w:color="auto"/>
            </w:tcBorders>
          </w:tcPr>
          <w:p w14:paraId="2961786A" w14:textId="77777777" w:rsidR="00542CEB" w:rsidRPr="005173CD" w:rsidRDefault="00542CEB" w:rsidP="007F5028">
            <w:pPr>
              <w:contextualSpacing/>
              <w:rPr>
                <w:rFonts w:asciiTheme="majorHAnsi" w:eastAsiaTheme="majorEastAsia" w:hAnsiTheme="majorHAnsi" w:cstheme="majorHAnsi"/>
                <w:b/>
                <w:lang w:val="en-GB"/>
              </w:rPr>
            </w:pPr>
            <w:r w:rsidRPr="005173CD">
              <w:rPr>
                <w:rFonts w:asciiTheme="majorHAnsi" w:eastAsiaTheme="majorEastAsia" w:hAnsiTheme="majorHAnsi" w:cstheme="majorHAnsi"/>
                <w:b/>
                <w:lang w:val="en-GB"/>
              </w:rPr>
              <w:t>Group</w:t>
            </w:r>
          </w:p>
        </w:tc>
        <w:tc>
          <w:tcPr>
            <w:tcW w:w="6990" w:type="dxa"/>
            <w:tcBorders>
              <w:top w:val="single" w:sz="4" w:space="0" w:color="auto"/>
              <w:bottom w:val="single" w:sz="4" w:space="0" w:color="auto"/>
            </w:tcBorders>
          </w:tcPr>
          <w:p w14:paraId="1B5538B3" w14:textId="77777777" w:rsidR="00542CEB" w:rsidRPr="005173CD" w:rsidRDefault="00542CEB" w:rsidP="007F5028">
            <w:pPr>
              <w:contextualSpacing/>
              <w:rPr>
                <w:rFonts w:asciiTheme="majorHAnsi" w:hAnsiTheme="majorHAnsi" w:cstheme="majorHAnsi"/>
                <w:b/>
                <w:lang w:val="en-GB"/>
              </w:rPr>
            </w:pPr>
            <w:r w:rsidRPr="005173CD">
              <w:rPr>
                <w:rFonts w:asciiTheme="majorHAnsi" w:hAnsiTheme="majorHAnsi" w:cstheme="majorHAnsi"/>
                <w:b/>
                <w:lang w:val="en-GB"/>
              </w:rPr>
              <w:t>Counties (FIPS)</w:t>
            </w:r>
          </w:p>
        </w:tc>
      </w:tr>
      <w:tr w:rsidR="00542CEB" w:rsidRPr="005173CD" w14:paraId="67640E00" w14:textId="77777777" w:rsidTr="007F5028">
        <w:tc>
          <w:tcPr>
            <w:tcW w:w="1485" w:type="dxa"/>
            <w:vMerge w:val="restart"/>
            <w:tcBorders>
              <w:top w:val="single" w:sz="4" w:space="0" w:color="auto"/>
            </w:tcBorders>
          </w:tcPr>
          <w:p w14:paraId="0301DA1A" w14:textId="77777777" w:rsidR="00542CEB" w:rsidRPr="005173CD" w:rsidRDefault="00542CEB" w:rsidP="007F5028">
            <w:pPr>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Alaska</w:t>
            </w:r>
          </w:p>
        </w:tc>
        <w:tc>
          <w:tcPr>
            <w:tcW w:w="885" w:type="dxa"/>
            <w:tcBorders>
              <w:top w:val="single" w:sz="4" w:space="0" w:color="auto"/>
              <w:bottom w:val="single" w:sz="4" w:space="0" w:color="D0CECE" w:themeColor="background2" w:themeShade="E6"/>
            </w:tcBorders>
          </w:tcPr>
          <w:p w14:paraId="7918CE84" w14:textId="77777777" w:rsidR="00542CEB" w:rsidRPr="005173CD" w:rsidRDefault="00542CEB" w:rsidP="007F5028">
            <w:pPr>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Borders>
              <w:top w:val="single" w:sz="4" w:space="0" w:color="auto"/>
              <w:bottom w:val="single" w:sz="4" w:space="0" w:color="D0CECE" w:themeColor="background2" w:themeShade="E6"/>
            </w:tcBorders>
          </w:tcPr>
          <w:p w14:paraId="47B78B33" w14:textId="77777777" w:rsidR="00542CEB" w:rsidRPr="005173CD" w:rsidRDefault="00542CEB" w:rsidP="007F5028">
            <w:pPr>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Chugach Census Area (2063), Copper River Census Area (2066), Valdez-Cordova Census Area (</w:t>
            </w:r>
            <w:proofErr w:type="gramStart"/>
            <w:r w:rsidRPr="005173CD">
              <w:rPr>
                <w:rFonts w:asciiTheme="majorHAnsi" w:eastAsiaTheme="minorEastAsia" w:hAnsiTheme="majorHAnsi" w:cstheme="majorHAnsi"/>
                <w:sz w:val="21"/>
                <w:szCs w:val="21"/>
                <w:lang w:val="en-GB"/>
              </w:rPr>
              <w:t>2261)*</w:t>
            </w:r>
            <w:proofErr w:type="gramEnd"/>
          </w:p>
        </w:tc>
      </w:tr>
      <w:tr w:rsidR="00542CEB" w:rsidRPr="005173CD" w14:paraId="2E21BE5C" w14:textId="77777777" w:rsidTr="007F5028">
        <w:tc>
          <w:tcPr>
            <w:tcW w:w="1485" w:type="dxa"/>
            <w:vMerge/>
          </w:tcPr>
          <w:p w14:paraId="0479F41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Alaska</w:t>
            </w:r>
          </w:p>
        </w:tc>
        <w:tc>
          <w:tcPr>
            <w:tcW w:w="885" w:type="dxa"/>
            <w:tcBorders>
              <w:top w:val="single" w:sz="4" w:space="0" w:color="D0CECE" w:themeColor="background2" w:themeShade="E6"/>
              <w:bottom w:val="single" w:sz="4" w:space="0" w:color="D0CECE" w:themeColor="background2" w:themeShade="E6"/>
            </w:tcBorders>
          </w:tcPr>
          <w:p w14:paraId="5596B56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2</w:t>
            </w:r>
          </w:p>
        </w:tc>
        <w:tc>
          <w:tcPr>
            <w:tcW w:w="6990" w:type="dxa"/>
            <w:tcBorders>
              <w:top w:val="single" w:sz="4" w:space="0" w:color="D0CECE" w:themeColor="background2" w:themeShade="E6"/>
              <w:bottom w:val="single" w:sz="4" w:space="0" w:color="D0CECE" w:themeColor="background2" w:themeShade="E6"/>
            </w:tcBorders>
          </w:tcPr>
          <w:p w14:paraId="11BA2B74" w14:textId="77777777" w:rsidR="00542CEB" w:rsidRPr="005173CD" w:rsidRDefault="00542CEB" w:rsidP="007F5028">
            <w:pPr>
              <w:contextualSpacing/>
              <w:rPr>
                <w:rFonts w:asciiTheme="majorHAnsi" w:eastAsiaTheme="minorEastAsia" w:hAnsiTheme="majorHAnsi" w:cstheme="majorHAnsi"/>
                <w:sz w:val="21"/>
                <w:szCs w:val="21"/>
                <w:lang w:val="en-GB"/>
              </w:rPr>
            </w:pPr>
            <w:proofErr w:type="spellStart"/>
            <w:r w:rsidRPr="005173CD">
              <w:rPr>
                <w:rFonts w:asciiTheme="majorHAnsi" w:eastAsiaTheme="minorEastAsia" w:hAnsiTheme="majorHAnsi" w:cstheme="majorHAnsi"/>
                <w:sz w:val="21"/>
                <w:szCs w:val="21"/>
                <w:lang w:val="en-GB"/>
              </w:rPr>
              <w:t>Kusilvak</w:t>
            </w:r>
            <w:proofErr w:type="spellEnd"/>
            <w:r w:rsidRPr="005173CD">
              <w:rPr>
                <w:rFonts w:asciiTheme="majorHAnsi" w:eastAsiaTheme="minorEastAsia" w:hAnsiTheme="majorHAnsi" w:cstheme="majorHAnsi"/>
                <w:sz w:val="21"/>
                <w:szCs w:val="21"/>
                <w:lang w:val="en-GB"/>
              </w:rPr>
              <w:t xml:space="preserve"> Census Area (2158), Wade Hampton Census Area (</w:t>
            </w:r>
            <w:proofErr w:type="gramStart"/>
            <w:r w:rsidRPr="005173CD">
              <w:rPr>
                <w:rFonts w:asciiTheme="majorHAnsi" w:eastAsiaTheme="minorEastAsia" w:hAnsiTheme="majorHAnsi" w:cstheme="majorHAnsi"/>
                <w:sz w:val="21"/>
                <w:szCs w:val="21"/>
                <w:lang w:val="en-GB"/>
              </w:rPr>
              <w:t>2270)*</w:t>
            </w:r>
            <w:proofErr w:type="gramEnd"/>
          </w:p>
        </w:tc>
      </w:tr>
      <w:tr w:rsidR="00542CEB" w:rsidRPr="005173CD" w14:paraId="69F1B3A8" w14:textId="77777777" w:rsidTr="007F5028">
        <w:tc>
          <w:tcPr>
            <w:tcW w:w="1485" w:type="dxa"/>
            <w:vMerge/>
          </w:tcPr>
          <w:p w14:paraId="5F909242"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4847C8B7"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3</w:t>
            </w:r>
          </w:p>
        </w:tc>
        <w:tc>
          <w:tcPr>
            <w:tcW w:w="6990" w:type="dxa"/>
            <w:tcBorders>
              <w:top w:val="single" w:sz="4" w:space="0" w:color="D0CECE" w:themeColor="background2" w:themeShade="E6"/>
              <w:bottom w:val="single" w:sz="4" w:space="0" w:color="D0CECE" w:themeColor="background2" w:themeShade="E6"/>
            </w:tcBorders>
          </w:tcPr>
          <w:p w14:paraId="04EBED0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Kobuk Census Area (</w:t>
            </w:r>
            <w:proofErr w:type="gramStart"/>
            <w:r w:rsidRPr="005173CD">
              <w:rPr>
                <w:rFonts w:asciiTheme="majorHAnsi" w:eastAsiaTheme="minorEastAsia" w:hAnsiTheme="majorHAnsi" w:cstheme="majorHAnsi"/>
                <w:sz w:val="21"/>
                <w:szCs w:val="21"/>
                <w:lang w:val="en-GB"/>
              </w:rPr>
              <w:t>2140)*</w:t>
            </w:r>
            <w:proofErr w:type="gramEnd"/>
            <w:r w:rsidRPr="005173CD">
              <w:rPr>
                <w:rFonts w:asciiTheme="majorHAnsi" w:eastAsiaTheme="minorEastAsia" w:hAnsiTheme="majorHAnsi" w:cstheme="majorHAnsi"/>
                <w:sz w:val="21"/>
                <w:szCs w:val="21"/>
                <w:lang w:val="en-GB"/>
              </w:rPr>
              <w:t>, Northwest Arctic Borough (2188)</w:t>
            </w:r>
          </w:p>
        </w:tc>
      </w:tr>
      <w:tr w:rsidR="00542CEB" w:rsidRPr="005173CD" w14:paraId="2DC03D62" w14:textId="77777777" w:rsidTr="007F5028">
        <w:tc>
          <w:tcPr>
            <w:tcW w:w="1485" w:type="dxa"/>
            <w:vMerge/>
          </w:tcPr>
          <w:p w14:paraId="78862D1D"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4E7D9FC1"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4</w:t>
            </w:r>
          </w:p>
        </w:tc>
        <w:tc>
          <w:tcPr>
            <w:tcW w:w="6990" w:type="dxa"/>
            <w:tcBorders>
              <w:top w:val="single" w:sz="4" w:space="0" w:color="D0CECE" w:themeColor="background2" w:themeShade="E6"/>
              <w:bottom w:val="single" w:sz="4" w:space="0" w:color="D0CECE" w:themeColor="background2" w:themeShade="E6"/>
            </w:tcBorders>
          </w:tcPr>
          <w:p w14:paraId="44669072"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Aleutian Islands Census Area (</w:t>
            </w:r>
            <w:proofErr w:type="gramStart"/>
            <w:r w:rsidRPr="005173CD">
              <w:rPr>
                <w:rFonts w:asciiTheme="majorHAnsi" w:eastAsiaTheme="minorEastAsia" w:hAnsiTheme="majorHAnsi" w:cstheme="majorHAnsi"/>
                <w:sz w:val="21"/>
                <w:szCs w:val="21"/>
                <w:lang w:val="en-GB"/>
              </w:rPr>
              <w:t>2010)*</w:t>
            </w:r>
            <w:proofErr w:type="gramEnd"/>
            <w:r w:rsidRPr="005173CD">
              <w:rPr>
                <w:rFonts w:asciiTheme="majorHAnsi" w:eastAsiaTheme="minorEastAsia" w:hAnsiTheme="majorHAnsi" w:cstheme="majorHAnsi"/>
                <w:sz w:val="21"/>
                <w:szCs w:val="21"/>
                <w:lang w:val="en-GB"/>
              </w:rPr>
              <w:t>, Aleutians East Borough (2013), Aleutians West Census Area (2016)</w:t>
            </w:r>
          </w:p>
        </w:tc>
      </w:tr>
      <w:tr w:rsidR="00542CEB" w:rsidRPr="005173CD" w14:paraId="4EA6118A" w14:textId="77777777" w:rsidTr="007F5028">
        <w:tc>
          <w:tcPr>
            <w:tcW w:w="1485" w:type="dxa"/>
            <w:vMerge/>
          </w:tcPr>
          <w:p w14:paraId="42FF9585"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6217DCA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5</w:t>
            </w:r>
          </w:p>
        </w:tc>
        <w:tc>
          <w:tcPr>
            <w:tcW w:w="6990" w:type="dxa"/>
            <w:tcBorders>
              <w:top w:val="single" w:sz="4" w:space="0" w:color="D0CECE" w:themeColor="background2" w:themeShade="E6"/>
              <w:bottom w:val="single" w:sz="4" w:space="0" w:color="D0CECE" w:themeColor="background2" w:themeShade="E6"/>
            </w:tcBorders>
          </w:tcPr>
          <w:p w14:paraId="48786AC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Dillingham Census Area (2070), Lake and Peninsula Borough (2164)</w:t>
            </w:r>
          </w:p>
        </w:tc>
      </w:tr>
      <w:tr w:rsidR="00542CEB" w:rsidRPr="005173CD" w14:paraId="64D7F36E" w14:textId="77777777" w:rsidTr="007F5028">
        <w:tc>
          <w:tcPr>
            <w:tcW w:w="1485" w:type="dxa"/>
            <w:vMerge/>
          </w:tcPr>
          <w:p w14:paraId="53FBB785"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tcBorders>
          </w:tcPr>
          <w:p w14:paraId="7ABC41BB"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6</w:t>
            </w:r>
          </w:p>
        </w:tc>
        <w:tc>
          <w:tcPr>
            <w:tcW w:w="6990" w:type="dxa"/>
            <w:tcBorders>
              <w:top w:val="single" w:sz="4" w:space="0" w:color="D0CECE" w:themeColor="background2" w:themeShade="E6"/>
            </w:tcBorders>
          </w:tcPr>
          <w:p w14:paraId="233289A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Denali Borough (2068), Yukon-Koyukuk Census Area (2290)</w:t>
            </w:r>
          </w:p>
        </w:tc>
      </w:tr>
      <w:tr w:rsidR="00542CEB" w:rsidRPr="005173CD" w14:paraId="46A4AB96" w14:textId="77777777" w:rsidTr="007F5028">
        <w:tc>
          <w:tcPr>
            <w:tcW w:w="1485" w:type="dxa"/>
            <w:vMerge/>
          </w:tcPr>
          <w:p w14:paraId="4BA2B766" w14:textId="77777777" w:rsidR="00542CEB" w:rsidRPr="005173CD" w:rsidRDefault="00542CEB" w:rsidP="007F5028">
            <w:pPr>
              <w:contextualSpacing/>
              <w:rPr>
                <w:rFonts w:asciiTheme="majorHAnsi" w:hAnsiTheme="majorHAnsi" w:cstheme="majorHAnsi"/>
                <w:sz w:val="21"/>
                <w:szCs w:val="21"/>
                <w:lang w:val="en-GB"/>
              </w:rPr>
            </w:pPr>
          </w:p>
        </w:tc>
        <w:tc>
          <w:tcPr>
            <w:tcW w:w="885" w:type="dxa"/>
          </w:tcPr>
          <w:p w14:paraId="3C62A83C"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7</w:t>
            </w:r>
          </w:p>
        </w:tc>
        <w:tc>
          <w:tcPr>
            <w:tcW w:w="6990" w:type="dxa"/>
          </w:tcPr>
          <w:p w14:paraId="2FDCDA05"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Hoonah-Angoon Census Area (2105), Skagway Municipality (2230), Skagway-Yakutat-Angoon Census Area (</w:t>
            </w:r>
            <w:proofErr w:type="gramStart"/>
            <w:r w:rsidRPr="005173CD">
              <w:rPr>
                <w:rFonts w:asciiTheme="majorHAnsi" w:eastAsiaTheme="minorEastAsia" w:hAnsiTheme="majorHAnsi" w:cstheme="majorHAnsi"/>
                <w:sz w:val="21"/>
                <w:szCs w:val="21"/>
                <w:lang w:val="en-GB"/>
              </w:rPr>
              <w:t>2231)*</w:t>
            </w:r>
            <w:proofErr w:type="gramEnd"/>
            <w:r w:rsidRPr="005173CD">
              <w:rPr>
                <w:rFonts w:asciiTheme="majorHAnsi" w:eastAsiaTheme="minorEastAsia" w:hAnsiTheme="majorHAnsi" w:cstheme="majorHAnsi"/>
                <w:sz w:val="21"/>
                <w:szCs w:val="21"/>
                <w:lang w:val="en-GB"/>
              </w:rPr>
              <w:t>, Skagway-Hoonah-Angoon Census Area (</w:t>
            </w:r>
            <w:proofErr w:type="gramStart"/>
            <w:r w:rsidRPr="005173CD">
              <w:rPr>
                <w:rFonts w:asciiTheme="majorHAnsi" w:eastAsiaTheme="minorEastAsia" w:hAnsiTheme="majorHAnsi" w:cstheme="majorHAnsi"/>
                <w:sz w:val="21"/>
                <w:szCs w:val="21"/>
                <w:lang w:val="en-GB"/>
              </w:rPr>
              <w:t>2232)*</w:t>
            </w:r>
            <w:proofErr w:type="gramEnd"/>
            <w:r w:rsidRPr="005173CD">
              <w:rPr>
                <w:rFonts w:asciiTheme="majorHAnsi" w:eastAsiaTheme="minorEastAsia" w:hAnsiTheme="majorHAnsi" w:cstheme="majorHAnsi"/>
                <w:sz w:val="21"/>
                <w:szCs w:val="21"/>
                <w:lang w:val="en-GB"/>
              </w:rPr>
              <w:t>, Yakutat City and Borough (2282)</w:t>
            </w:r>
          </w:p>
        </w:tc>
      </w:tr>
      <w:tr w:rsidR="00542CEB" w:rsidRPr="005173CD" w14:paraId="0EE718ED" w14:textId="77777777" w:rsidTr="007F5028">
        <w:tc>
          <w:tcPr>
            <w:tcW w:w="1485" w:type="dxa"/>
            <w:vMerge/>
          </w:tcPr>
          <w:p w14:paraId="3657750E" w14:textId="77777777" w:rsidR="00542CEB" w:rsidRPr="005173CD" w:rsidRDefault="00542CEB" w:rsidP="007F5028">
            <w:pPr>
              <w:contextualSpacing/>
              <w:rPr>
                <w:rFonts w:asciiTheme="majorHAnsi" w:hAnsiTheme="majorHAnsi" w:cstheme="majorHAnsi"/>
                <w:sz w:val="21"/>
                <w:szCs w:val="21"/>
                <w:lang w:val="en-GB"/>
              </w:rPr>
            </w:pPr>
          </w:p>
        </w:tc>
        <w:tc>
          <w:tcPr>
            <w:tcW w:w="885" w:type="dxa"/>
          </w:tcPr>
          <w:p w14:paraId="5432729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8</w:t>
            </w:r>
          </w:p>
        </w:tc>
        <w:tc>
          <w:tcPr>
            <w:tcW w:w="6990" w:type="dxa"/>
          </w:tcPr>
          <w:p w14:paraId="2E625F19"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Ketchikan Gateway Borough (2130), Petersburg Borough (2195), Prince of Wales-Hyder Census Area (2198), Prince of Wales-Outer Ketchikan Census Area (</w:t>
            </w:r>
            <w:proofErr w:type="gramStart"/>
            <w:r w:rsidRPr="005173CD">
              <w:rPr>
                <w:rFonts w:asciiTheme="majorHAnsi" w:eastAsiaTheme="minorEastAsia" w:hAnsiTheme="majorHAnsi" w:cstheme="majorHAnsi"/>
                <w:sz w:val="21"/>
                <w:szCs w:val="21"/>
                <w:lang w:val="en-GB"/>
              </w:rPr>
              <w:t>2201)*</w:t>
            </w:r>
            <w:proofErr w:type="gramEnd"/>
            <w:r w:rsidRPr="005173CD">
              <w:rPr>
                <w:rFonts w:asciiTheme="majorHAnsi" w:eastAsiaTheme="minorEastAsia" w:hAnsiTheme="majorHAnsi" w:cstheme="majorHAnsi"/>
                <w:sz w:val="21"/>
                <w:szCs w:val="21"/>
                <w:lang w:val="en-GB"/>
              </w:rPr>
              <w:t>, Wrangell City and Borough (2275), Wrangell-Petersburg Census Area (</w:t>
            </w:r>
            <w:proofErr w:type="gramStart"/>
            <w:r w:rsidRPr="005173CD">
              <w:rPr>
                <w:rFonts w:asciiTheme="majorHAnsi" w:eastAsiaTheme="minorEastAsia" w:hAnsiTheme="majorHAnsi" w:cstheme="majorHAnsi"/>
                <w:sz w:val="21"/>
                <w:szCs w:val="21"/>
                <w:lang w:val="en-GB"/>
              </w:rPr>
              <w:t>2280)*</w:t>
            </w:r>
            <w:proofErr w:type="gramEnd"/>
          </w:p>
        </w:tc>
      </w:tr>
      <w:tr w:rsidR="00542CEB" w:rsidRPr="005173CD" w14:paraId="519C679C" w14:textId="77777777" w:rsidTr="007F5028">
        <w:tc>
          <w:tcPr>
            <w:tcW w:w="1485" w:type="dxa"/>
          </w:tcPr>
          <w:p w14:paraId="52B4039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Arizona</w:t>
            </w:r>
          </w:p>
        </w:tc>
        <w:tc>
          <w:tcPr>
            <w:tcW w:w="885" w:type="dxa"/>
          </w:tcPr>
          <w:p w14:paraId="5EFA298B"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3E189F19"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La Paz County (4012), Yuma County (4027)</w:t>
            </w:r>
          </w:p>
        </w:tc>
      </w:tr>
      <w:tr w:rsidR="00542CEB" w:rsidRPr="005173CD" w14:paraId="477D6BCE" w14:textId="77777777" w:rsidTr="007F5028">
        <w:tc>
          <w:tcPr>
            <w:tcW w:w="1485" w:type="dxa"/>
          </w:tcPr>
          <w:p w14:paraId="783FAA3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Colorado</w:t>
            </w:r>
          </w:p>
        </w:tc>
        <w:tc>
          <w:tcPr>
            <w:tcW w:w="885" w:type="dxa"/>
          </w:tcPr>
          <w:p w14:paraId="3D727C1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6C1046E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Adams County (8001), Arapahoe County (8005), Boulder County (8013), Broomfield County (8014), Denver County (8031), Jefferson County (8059), Weld County (8123)</w:t>
            </w:r>
          </w:p>
        </w:tc>
      </w:tr>
      <w:tr w:rsidR="00542CEB" w:rsidRPr="005173CD" w14:paraId="58FDFF36" w14:textId="77777777" w:rsidTr="007F5028">
        <w:tc>
          <w:tcPr>
            <w:tcW w:w="1485" w:type="dxa"/>
          </w:tcPr>
          <w:p w14:paraId="319D8DC9"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Florida</w:t>
            </w:r>
          </w:p>
        </w:tc>
        <w:tc>
          <w:tcPr>
            <w:tcW w:w="885" w:type="dxa"/>
          </w:tcPr>
          <w:p w14:paraId="04552A9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524FC32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Dade County (</w:t>
            </w:r>
            <w:proofErr w:type="gramStart"/>
            <w:r w:rsidRPr="005173CD">
              <w:rPr>
                <w:rFonts w:asciiTheme="majorHAnsi" w:eastAsiaTheme="minorEastAsia" w:hAnsiTheme="majorHAnsi" w:cstheme="majorHAnsi"/>
                <w:sz w:val="21"/>
                <w:szCs w:val="21"/>
                <w:lang w:val="en-GB"/>
              </w:rPr>
              <w:t>12025)*</w:t>
            </w:r>
            <w:proofErr w:type="gramEnd"/>
            <w:r w:rsidRPr="005173CD">
              <w:rPr>
                <w:rFonts w:asciiTheme="majorHAnsi" w:eastAsiaTheme="minorEastAsia" w:hAnsiTheme="majorHAnsi" w:cstheme="majorHAnsi"/>
                <w:sz w:val="21"/>
                <w:szCs w:val="21"/>
                <w:lang w:val="en-GB"/>
              </w:rPr>
              <w:t>, Miami-Dade County (12086)</w:t>
            </w:r>
          </w:p>
        </w:tc>
      </w:tr>
      <w:tr w:rsidR="00542CEB" w:rsidRPr="005173CD" w14:paraId="6516D7BF" w14:textId="77777777" w:rsidTr="007F5028">
        <w:tc>
          <w:tcPr>
            <w:tcW w:w="1485" w:type="dxa"/>
          </w:tcPr>
          <w:p w14:paraId="2334B13B"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Hawaii</w:t>
            </w:r>
          </w:p>
        </w:tc>
        <w:tc>
          <w:tcPr>
            <w:tcW w:w="885" w:type="dxa"/>
          </w:tcPr>
          <w:p w14:paraId="377FEC8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41A153C1"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Kalawao County (15005), Maui County (15009)</w:t>
            </w:r>
          </w:p>
        </w:tc>
      </w:tr>
      <w:tr w:rsidR="00542CEB" w:rsidRPr="005173CD" w14:paraId="0613D87B" w14:textId="77777777" w:rsidTr="007F5028">
        <w:tc>
          <w:tcPr>
            <w:tcW w:w="1485" w:type="dxa"/>
          </w:tcPr>
          <w:p w14:paraId="385FA2E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Maryland</w:t>
            </w:r>
          </w:p>
        </w:tc>
        <w:tc>
          <w:tcPr>
            <w:tcW w:w="885" w:type="dxa"/>
          </w:tcPr>
          <w:p w14:paraId="47F9AD65"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507DD2FB"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Montgomery County (24031), Prince George's County (24033)</w:t>
            </w:r>
          </w:p>
        </w:tc>
      </w:tr>
      <w:tr w:rsidR="00542CEB" w:rsidRPr="005173CD" w14:paraId="5785A117" w14:textId="77777777" w:rsidTr="007F5028">
        <w:tc>
          <w:tcPr>
            <w:tcW w:w="1485" w:type="dxa"/>
          </w:tcPr>
          <w:p w14:paraId="42648C5F"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Montana</w:t>
            </w:r>
          </w:p>
        </w:tc>
        <w:tc>
          <w:tcPr>
            <w:tcW w:w="885" w:type="dxa"/>
          </w:tcPr>
          <w:p w14:paraId="266A005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4B9CC02F"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Park County (30067), Yellowstone National Park (</w:t>
            </w:r>
            <w:proofErr w:type="gramStart"/>
            <w:r w:rsidRPr="005173CD">
              <w:rPr>
                <w:rFonts w:asciiTheme="majorHAnsi" w:eastAsiaTheme="minorEastAsia" w:hAnsiTheme="majorHAnsi" w:cstheme="majorHAnsi"/>
                <w:sz w:val="21"/>
                <w:szCs w:val="21"/>
                <w:lang w:val="en-GB"/>
              </w:rPr>
              <w:t>30113)*</w:t>
            </w:r>
            <w:proofErr w:type="gramEnd"/>
          </w:p>
        </w:tc>
      </w:tr>
      <w:tr w:rsidR="00542CEB" w:rsidRPr="005173CD" w14:paraId="09FF2FEC" w14:textId="77777777" w:rsidTr="007F5028">
        <w:tc>
          <w:tcPr>
            <w:tcW w:w="1485" w:type="dxa"/>
          </w:tcPr>
          <w:p w14:paraId="3C81DD47"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New Mexico</w:t>
            </w:r>
          </w:p>
        </w:tc>
        <w:tc>
          <w:tcPr>
            <w:tcW w:w="885" w:type="dxa"/>
          </w:tcPr>
          <w:p w14:paraId="5D12B22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314A49D5"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Cibola County (35006), Valencia County (35061)</w:t>
            </w:r>
          </w:p>
        </w:tc>
      </w:tr>
      <w:tr w:rsidR="00542CEB" w:rsidRPr="005173CD" w14:paraId="0D1523FA" w14:textId="77777777" w:rsidTr="007F5028">
        <w:tc>
          <w:tcPr>
            <w:tcW w:w="1485" w:type="dxa"/>
            <w:vMerge w:val="restart"/>
          </w:tcPr>
          <w:p w14:paraId="1DDE2569"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South Dakota</w:t>
            </w:r>
          </w:p>
        </w:tc>
        <w:tc>
          <w:tcPr>
            <w:tcW w:w="885" w:type="dxa"/>
          </w:tcPr>
          <w:p w14:paraId="6E4DFB3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Pr>
          <w:p w14:paraId="40AB7786"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Oglala Lakota County (46102), Shannon County (</w:t>
            </w:r>
            <w:proofErr w:type="gramStart"/>
            <w:r w:rsidRPr="005173CD">
              <w:rPr>
                <w:rFonts w:asciiTheme="majorHAnsi" w:eastAsiaTheme="minorEastAsia" w:hAnsiTheme="majorHAnsi" w:cstheme="majorHAnsi"/>
                <w:sz w:val="21"/>
                <w:szCs w:val="21"/>
                <w:lang w:val="en-GB"/>
              </w:rPr>
              <w:t>46113)*</w:t>
            </w:r>
            <w:proofErr w:type="gramEnd"/>
          </w:p>
        </w:tc>
      </w:tr>
      <w:tr w:rsidR="00542CEB" w:rsidRPr="005173CD" w14:paraId="52F455EB" w14:textId="77777777" w:rsidTr="007F5028">
        <w:tc>
          <w:tcPr>
            <w:tcW w:w="1485" w:type="dxa"/>
            <w:vMerge/>
            <w:tcBorders>
              <w:bottom w:val="single" w:sz="4" w:space="0" w:color="D0CECE" w:themeColor="background2" w:themeShade="E6"/>
            </w:tcBorders>
          </w:tcPr>
          <w:p w14:paraId="7F11EE8E"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bottom w:val="single" w:sz="4" w:space="0" w:color="D0CECE" w:themeColor="background2" w:themeShade="E6"/>
            </w:tcBorders>
          </w:tcPr>
          <w:p w14:paraId="6DF9BB6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2</w:t>
            </w:r>
          </w:p>
        </w:tc>
        <w:tc>
          <w:tcPr>
            <w:tcW w:w="6990" w:type="dxa"/>
            <w:tcBorders>
              <w:bottom w:val="single" w:sz="4" w:space="0" w:color="D0CECE" w:themeColor="background2" w:themeShade="E6"/>
            </w:tcBorders>
          </w:tcPr>
          <w:p w14:paraId="2096C445"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Jackson County (46071), Washabaugh County (</w:t>
            </w:r>
            <w:proofErr w:type="gramStart"/>
            <w:r w:rsidRPr="005173CD">
              <w:rPr>
                <w:rFonts w:asciiTheme="majorHAnsi" w:eastAsiaTheme="minorEastAsia" w:hAnsiTheme="majorHAnsi" w:cstheme="majorHAnsi"/>
                <w:sz w:val="21"/>
                <w:szCs w:val="21"/>
                <w:lang w:val="en-GB"/>
              </w:rPr>
              <w:t>46131)*</w:t>
            </w:r>
            <w:proofErr w:type="gramEnd"/>
          </w:p>
        </w:tc>
      </w:tr>
      <w:tr w:rsidR="00542CEB" w:rsidRPr="005173CD" w14:paraId="51CBDD4F" w14:textId="77777777" w:rsidTr="007F5028">
        <w:tc>
          <w:tcPr>
            <w:tcW w:w="1485" w:type="dxa"/>
            <w:vMerge w:val="restart"/>
            <w:tcBorders>
              <w:top w:val="single" w:sz="4" w:space="0" w:color="D0CECE" w:themeColor="background2" w:themeShade="E6"/>
              <w:bottom w:val="single" w:sz="4" w:space="0" w:color="auto"/>
            </w:tcBorders>
          </w:tcPr>
          <w:p w14:paraId="029103D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Virginia</w:t>
            </w:r>
          </w:p>
        </w:tc>
        <w:tc>
          <w:tcPr>
            <w:tcW w:w="885" w:type="dxa"/>
            <w:tcBorders>
              <w:top w:val="single" w:sz="4" w:space="0" w:color="D0CECE" w:themeColor="background2" w:themeShade="E6"/>
              <w:bottom w:val="single" w:sz="4" w:space="0" w:color="D0CECE" w:themeColor="background2" w:themeShade="E6"/>
            </w:tcBorders>
          </w:tcPr>
          <w:p w14:paraId="104C54E7"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w:t>
            </w:r>
          </w:p>
        </w:tc>
        <w:tc>
          <w:tcPr>
            <w:tcW w:w="6990" w:type="dxa"/>
            <w:tcBorders>
              <w:top w:val="single" w:sz="4" w:space="0" w:color="D0CECE" w:themeColor="background2" w:themeShade="E6"/>
              <w:bottom w:val="single" w:sz="4" w:space="0" w:color="D0CECE" w:themeColor="background2" w:themeShade="E6"/>
            </w:tcBorders>
          </w:tcPr>
          <w:p w14:paraId="5B61CB9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Fairfax County (51059), Fairfax City (51600)</w:t>
            </w:r>
          </w:p>
        </w:tc>
      </w:tr>
      <w:tr w:rsidR="00542CEB" w:rsidRPr="005173CD" w14:paraId="65D8B90B" w14:textId="77777777" w:rsidTr="007F5028">
        <w:tc>
          <w:tcPr>
            <w:tcW w:w="1485" w:type="dxa"/>
            <w:vMerge/>
            <w:tcBorders>
              <w:top w:val="single" w:sz="4" w:space="0" w:color="D0CECE" w:themeColor="background2" w:themeShade="E6"/>
              <w:bottom w:val="single" w:sz="4" w:space="0" w:color="auto"/>
            </w:tcBorders>
          </w:tcPr>
          <w:p w14:paraId="14F5F2CC"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3A704072"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2</w:t>
            </w:r>
          </w:p>
        </w:tc>
        <w:tc>
          <w:tcPr>
            <w:tcW w:w="6990" w:type="dxa"/>
            <w:tcBorders>
              <w:top w:val="single" w:sz="4" w:space="0" w:color="D0CECE" w:themeColor="background2" w:themeShade="E6"/>
              <w:bottom w:val="single" w:sz="4" w:space="0" w:color="D0CECE" w:themeColor="background2" w:themeShade="E6"/>
            </w:tcBorders>
          </w:tcPr>
          <w:p w14:paraId="7F652210"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Rockingham County (51165), Harrisonburg City (51660)</w:t>
            </w:r>
          </w:p>
        </w:tc>
      </w:tr>
      <w:tr w:rsidR="00542CEB" w:rsidRPr="005173CD" w14:paraId="7C35110D" w14:textId="77777777" w:rsidTr="007F5028">
        <w:tc>
          <w:tcPr>
            <w:tcW w:w="1485" w:type="dxa"/>
            <w:vMerge/>
            <w:tcBorders>
              <w:top w:val="single" w:sz="4" w:space="0" w:color="D0CECE" w:themeColor="background2" w:themeShade="E6"/>
              <w:bottom w:val="single" w:sz="4" w:space="0" w:color="auto"/>
            </w:tcBorders>
          </w:tcPr>
          <w:p w14:paraId="463FD74D"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1A338BE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3</w:t>
            </w:r>
          </w:p>
        </w:tc>
        <w:tc>
          <w:tcPr>
            <w:tcW w:w="6990" w:type="dxa"/>
            <w:tcBorders>
              <w:top w:val="single" w:sz="4" w:space="0" w:color="D0CECE" w:themeColor="background2" w:themeShade="E6"/>
              <w:bottom w:val="single" w:sz="4" w:space="0" w:color="D0CECE" w:themeColor="background2" w:themeShade="E6"/>
            </w:tcBorders>
          </w:tcPr>
          <w:p w14:paraId="468BCC9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James City County (51095), Williamsburg City (51830)</w:t>
            </w:r>
          </w:p>
        </w:tc>
      </w:tr>
      <w:tr w:rsidR="00542CEB" w:rsidRPr="005173CD" w14:paraId="45692F7B" w14:textId="77777777" w:rsidTr="007F5028">
        <w:tc>
          <w:tcPr>
            <w:tcW w:w="1485" w:type="dxa"/>
            <w:vMerge/>
            <w:tcBorders>
              <w:top w:val="single" w:sz="4" w:space="0" w:color="D0CECE" w:themeColor="background2" w:themeShade="E6"/>
              <w:bottom w:val="single" w:sz="4" w:space="0" w:color="auto"/>
            </w:tcBorders>
          </w:tcPr>
          <w:p w14:paraId="1ADC0926"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0657C02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4</w:t>
            </w:r>
          </w:p>
        </w:tc>
        <w:tc>
          <w:tcPr>
            <w:tcW w:w="6990" w:type="dxa"/>
            <w:tcBorders>
              <w:top w:val="single" w:sz="4" w:space="0" w:color="D0CECE" w:themeColor="background2" w:themeShade="E6"/>
              <w:bottom w:val="single" w:sz="4" w:space="0" w:color="D0CECE" w:themeColor="background2" w:themeShade="E6"/>
            </w:tcBorders>
          </w:tcPr>
          <w:p w14:paraId="6F73B810"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Prince William County (51153), Manassas City (51683), Manassas Park City (51685)</w:t>
            </w:r>
          </w:p>
        </w:tc>
      </w:tr>
      <w:tr w:rsidR="00542CEB" w:rsidRPr="005173CD" w14:paraId="431CA695" w14:textId="77777777" w:rsidTr="007F5028">
        <w:tc>
          <w:tcPr>
            <w:tcW w:w="1485" w:type="dxa"/>
            <w:vMerge/>
            <w:tcBorders>
              <w:top w:val="single" w:sz="4" w:space="0" w:color="D0CECE" w:themeColor="background2" w:themeShade="E6"/>
              <w:bottom w:val="single" w:sz="4" w:space="0" w:color="auto"/>
            </w:tcBorders>
          </w:tcPr>
          <w:p w14:paraId="6F4F4A49"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4FE1D319"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5</w:t>
            </w:r>
          </w:p>
        </w:tc>
        <w:tc>
          <w:tcPr>
            <w:tcW w:w="6990" w:type="dxa"/>
            <w:tcBorders>
              <w:top w:val="single" w:sz="4" w:space="0" w:color="D0CECE" w:themeColor="background2" w:themeShade="E6"/>
              <w:bottom w:val="single" w:sz="4" w:space="0" w:color="D0CECE" w:themeColor="background2" w:themeShade="E6"/>
            </w:tcBorders>
          </w:tcPr>
          <w:p w14:paraId="256C343C"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Rockbridge County (51163), Buena Vista City (51530)</w:t>
            </w:r>
          </w:p>
        </w:tc>
      </w:tr>
      <w:tr w:rsidR="00542CEB" w:rsidRPr="005173CD" w14:paraId="419BAD16" w14:textId="77777777" w:rsidTr="007F5028">
        <w:tc>
          <w:tcPr>
            <w:tcW w:w="1485" w:type="dxa"/>
            <w:vMerge/>
            <w:tcBorders>
              <w:top w:val="single" w:sz="4" w:space="0" w:color="D0CECE" w:themeColor="background2" w:themeShade="E6"/>
              <w:bottom w:val="single" w:sz="4" w:space="0" w:color="auto"/>
            </w:tcBorders>
          </w:tcPr>
          <w:p w14:paraId="3D2F723A"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603DFB9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6</w:t>
            </w:r>
          </w:p>
        </w:tc>
        <w:tc>
          <w:tcPr>
            <w:tcW w:w="6990" w:type="dxa"/>
            <w:tcBorders>
              <w:top w:val="single" w:sz="4" w:space="0" w:color="D0CECE" w:themeColor="background2" w:themeShade="E6"/>
              <w:bottom w:val="single" w:sz="4" w:space="0" w:color="D0CECE" w:themeColor="background2" w:themeShade="E6"/>
            </w:tcBorders>
          </w:tcPr>
          <w:p w14:paraId="44E934CE"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Spotsylvania County (51177), Fredericksburg City (51630)</w:t>
            </w:r>
          </w:p>
        </w:tc>
      </w:tr>
      <w:tr w:rsidR="00542CEB" w:rsidRPr="005173CD" w14:paraId="1C2110C0" w14:textId="77777777" w:rsidTr="007F5028">
        <w:tc>
          <w:tcPr>
            <w:tcW w:w="1485" w:type="dxa"/>
            <w:vMerge/>
            <w:tcBorders>
              <w:top w:val="single" w:sz="4" w:space="0" w:color="D0CECE" w:themeColor="background2" w:themeShade="E6"/>
              <w:bottom w:val="single" w:sz="4" w:space="0" w:color="auto"/>
            </w:tcBorders>
          </w:tcPr>
          <w:p w14:paraId="0C4BEE33"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57FDDFC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7</w:t>
            </w:r>
          </w:p>
        </w:tc>
        <w:tc>
          <w:tcPr>
            <w:tcW w:w="6990" w:type="dxa"/>
            <w:tcBorders>
              <w:top w:val="single" w:sz="4" w:space="0" w:color="D0CECE" w:themeColor="background2" w:themeShade="E6"/>
              <w:bottom w:val="single" w:sz="4" w:space="0" w:color="D0CECE" w:themeColor="background2" w:themeShade="E6"/>
            </w:tcBorders>
          </w:tcPr>
          <w:p w14:paraId="417E0F6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Augusta County (51015), Staunton City (51790), Waynesboro City (51820)</w:t>
            </w:r>
          </w:p>
        </w:tc>
      </w:tr>
      <w:tr w:rsidR="00542CEB" w:rsidRPr="005173CD" w14:paraId="3FB7DAF3" w14:textId="77777777" w:rsidTr="007F5028">
        <w:tc>
          <w:tcPr>
            <w:tcW w:w="1485" w:type="dxa"/>
            <w:vMerge/>
            <w:tcBorders>
              <w:top w:val="single" w:sz="4" w:space="0" w:color="D0CECE" w:themeColor="background2" w:themeShade="E6"/>
              <w:bottom w:val="single" w:sz="4" w:space="0" w:color="auto"/>
            </w:tcBorders>
          </w:tcPr>
          <w:p w14:paraId="3B8C49AD"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0FF346F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8</w:t>
            </w:r>
          </w:p>
        </w:tc>
        <w:tc>
          <w:tcPr>
            <w:tcW w:w="6990" w:type="dxa"/>
            <w:tcBorders>
              <w:top w:val="single" w:sz="4" w:space="0" w:color="D0CECE" w:themeColor="background2" w:themeShade="E6"/>
              <w:bottom w:val="single" w:sz="4" w:space="0" w:color="D0CECE" w:themeColor="background2" w:themeShade="E6"/>
            </w:tcBorders>
          </w:tcPr>
          <w:p w14:paraId="02F658C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Pittsylvania County (51143), Danville City (51590)</w:t>
            </w:r>
          </w:p>
        </w:tc>
      </w:tr>
      <w:tr w:rsidR="00542CEB" w:rsidRPr="005173CD" w14:paraId="6EDA1F22" w14:textId="77777777" w:rsidTr="007F5028">
        <w:tc>
          <w:tcPr>
            <w:tcW w:w="1485" w:type="dxa"/>
            <w:vMerge/>
            <w:tcBorders>
              <w:top w:val="single" w:sz="4" w:space="0" w:color="D0CECE" w:themeColor="background2" w:themeShade="E6"/>
              <w:bottom w:val="single" w:sz="4" w:space="0" w:color="auto"/>
            </w:tcBorders>
          </w:tcPr>
          <w:p w14:paraId="0B577945"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35D4002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9</w:t>
            </w:r>
          </w:p>
        </w:tc>
        <w:tc>
          <w:tcPr>
            <w:tcW w:w="6990" w:type="dxa"/>
            <w:tcBorders>
              <w:top w:val="single" w:sz="4" w:space="0" w:color="D0CECE" w:themeColor="background2" w:themeShade="E6"/>
              <w:bottom w:val="single" w:sz="4" w:space="0" w:color="D0CECE" w:themeColor="background2" w:themeShade="E6"/>
            </w:tcBorders>
          </w:tcPr>
          <w:p w14:paraId="21164823"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Greensville County (51081), Emporia City (51595)</w:t>
            </w:r>
          </w:p>
        </w:tc>
      </w:tr>
      <w:tr w:rsidR="00542CEB" w:rsidRPr="005173CD" w14:paraId="0D04EE0F" w14:textId="77777777" w:rsidTr="007F5028">
        <w:tc>
          <w:tcPr>
            <w:tcW w:w="1485" w:type="dxa"/>
            <w:vMerge/>
            <w:tcBorders>
              <w:top w:val="single" w:sz="4" w:space="0" w:color="D0CECE" w:themeColor="background2" w:themeShade="E6"/>
              <w:bottom w:val="single" w:sz="4" w:space="0" w:color="auto"/>
            </w:tcBorders>
          </w:tcPr>
          <w:p w14:paraId="40E952F0"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521F9721"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10</w:t>
            </w:r>
          </w:p>
        </w:tc>
        <w:tc>
          <w:tcPr>
            <w:tcW w:w="6990" w:type="dxa"/>
            <w:tcBorders>
              <w:top w:val="single" w:sz="4" w:space="0" w:color="D0CECE" w:themeColor="background2" w:themeShade="E6"/>
              <w:bottom w:val="single" w:sz="4" w:space="0" w:color="D0CECE" w:themeColor="background2" w:themeShade="E6"/>
            </w:tcBorders>
          </w:tcPr>
          <w:p w14:paraId="20F5B3F1"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Albemarle County (51003), Charlottesville City (51540)</w:t>
            </w:r>
          </w:p>
        </w:tc>
      </w:tr>
      <w:tr w:rsidR="00542CEB" w:rsidRPr="005173CD" w14:paraId="7D4AD3E5" w14:textId="77777777" w:rsidTr="007F5028">
        <w:tc>
          <w:tcPr>
            <w:tcW w:w="1485" w:type="dxa"/>
            <w:vMerge/>
            <w:tcBorders>
              <w:top w:val="single" w:sz="4" w:space="0" w:color="D0CECE" w:themeColor="background2" w:themeShade="E6"/>
              <w:bottom w:val="single" w:sz="4" w:space="0" w:color="auto"/>
            </w:tcBorders>
          </w:tcPr>
          <w:p w14:paraId="112D7032"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1735F13A"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11</w:t>
            </w:r>
          </w:p>
        </w:tc>
        <w:tc>
          <w:tcPr>
            <w:tcW w:w="6990" w:type="dxa"/>
            <w:tcBorders>
              <w:top w:val="single" w:sz="4" w:space="0" w:color="D0CECE" w:themeColor="background2" w:themeShade="E6"/>
              <w:bottom w:val="single" w:sz="4" w:space="0" w:color="D0CECE" w:themeColor="background2" w:themeShade="E6"/>
            </w:tcBorders>
          </w:tcPr>
          <w:p w14:paraId="0B74075B"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Bedford County (51019), Bedford City (</w:t>
            </w:r>
            <w:proofErr w:type="gramStart"/>
            <w:r w:rsidRPr="005173CD">
              <w:rPr>
                <w:rFonts w:asciiTheme="majorHAnsi" w:eastAsiaTheme="minorEastAsia" w:hAnsiTheme="majorHAnsi" w:cstheme="majorHAnsi"/>
                <w:sz w:val="21"/>
                <w:szCs w:val="21"/>
                <w:lang w:val="en-GB"/>
              </w:rPr>
              <w:t>51515)*</w:t>
            </w:r>
            <w:proofErr w:type="gramEnd"/>
          </w:p>
        </w:tc>
      </w:tr>
      <w:tr w:rsidR="00542CEB" w:rsidRPr="005173CD" w14:paraId="227B7164" w14:textId="77777777" w:rsidTr="007F5028">
        <w:tc>
          <w:tcPr>
            <w:tcW w:w="1485" w:type="dxa"/>
            <w:vMerge/>
            <w:tcBorders>
              <w:top w:val="single" w:sz="4" w:space="0" w:color="D0CECE" w:themeColor="background2" w:themeShade="E6"/>
              <w:bottom w:val="single" w:sz="4" w:space="0" w:color="auto"/>
            </w:tcBorders>
          </w:tcPr>
          <w:p w14:paraId="3AAFEDFB"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0A497E5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12</w:t>
            </w:r>
          </w:p>
        </w:tc>
        <w:tc>
          <w:tcPr>
            <w:tcW w:w="6990" w:type="dxa"/>
            <w:tcBorders>
              <w:top w:val="single" w:sz="4" w:space="0" w:color="D0CECE" w:themeColor="background2" w:themeShade="E6"/>
              <w:bottom w:val="single" w:sz="4" w:space="0" w:color="D0CECE" w:themeColor="background2" w:themeShade="E6"/>
            </w:tcBorders>
          </w:tcPr>
          <w:p w14:paraId="4080A65F"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Halifax County (51083), South Boston City (</w:t>
            </w:r>
            <w:proofErr w:type="gramStart"/>
            <w:r w:rsidRPr="005173CD">
              <w:rPr>
                <w:rFonts w:asciiTheme="majorHAnsi" w:eastAsiaTheme="minorEastAsia" w:hAnsiTheme="majorHAnsi" w:cstheme="majorHAnsi"/>
                <w:sz w:val="21"/>
                <w:szCs w:val="21"/>
                <w:lang w:val="en-GB"/>
              </w:rPr>
              <w:t>51780)*</w:t>
            </w:r>
            <w:proofErr w:type="gramEnd"/>
          </w:p>
        </w:tc>
      </w:tr>
      <w:tr w:rsidR="00542CEB" w:rsidRPr="005173CD" w14:paraId="1606B441" w14:textId="77777777" w:rsidTr="007F5028">
        <w:tc>
          <w:tcPr>
            <w:tcW w:w="1485" w:type="dxa"/>
            <w:vMerge/>
            <w:tcBorders>
              <w:top w:val="single" w:sz="4" w:space="0" w:color="D0CECE" w:themeColor="background2" w:themeShade="E6"/>
              <w:bottom w:val="single" w:sz="4" w:space="0" w:color="auto"/>
            </w:tcBorders>
          </w:tcPr>
          <w:p w14:paraId="74B9CBDD"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16CEC284"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13</w:t>
            </w:r>
          </w:p>
        </w:tc>
        <w:tc>
          <w:tcPr>
            <w:tcW w:w="6990" w:type="dxa"/>
            <w:tcBorders>
              <w:top w:val="single" w:sz="4" w:space="0" w:color="D0CECE" w:themeColor="background2" w:themeShade="E6"/>
              <w:bottom w:val="single" w:sz="4" w:space="0" w:color="D0CECE" w:themeColor="background2" w:themeShade="E6"/>
            </w:tcBorders>
          </w:tcPr>
          <w:p w14:paraId="150904B8"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Southampton County (51175), Franklin City (51620)</w:t>
            </w:r>
          </w:p>
        </w:tc>
      </w:tr>
      <w:tr w:rsidR="00542CEB" w:rsidRPr="005173CD" w14:paraId="5B2544C1" w14:textId="77777777" w:rsidTr="007F5028">
        <w:tc>
          <w:tcPr>
            <w:tcW w:w="1485" w:type="dxa"/>
            <w:vMerge/>
            <w:tcBorders>
              <w:top w:val="single" w:sz="4" w:space="0" w:color="D0CECE" w:themeColor="background2" w:themeShade="E6"/>
              <w:bottom w:val="single" w:sz="4" w:space="0" w:color="auto"/>
            </w:tcBorders>
          </w:tcPr>
          <w:p w14:paraId="1A3DD7F0"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D0CECE" w:themeColor="background2" w:themeShade="E6"/>
            </w:tcBorders>
          </w:tcPr>
          <w:p w14:paraId="5191E01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14</w:t>
            </w:r>
          </w:p>
        </w:tc>
        <w:tc>
          <w:tcPr>
            <w:tcW w:w="6990" w:type="dxa"/>
            <w:tcBorders>
              <w:top w:val="single" w:sz="4" w:space="0" w:color="D0CECE" w:themeColor="background2" w:themeShade="E6"/>
              <w:bottom w:val="single" w:sz="4" w:space="0" w:color="D0CECE" w:themeColor="background2" w:themeShade="E6"/>
            </w:tcBorders>
          </w:tcPr>
          <w:p w14:paraId="644F8EC7"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Alleghany County (51005), Clifton Forge City (</w:t>
            </w:r>
            <w:proofErr w:type="gramStart"/>
            <w:r w:rsidRPr="005173CD">
              <w:rPr>
                <w:rFonts w:asciiTheme="majorHAnsi" w:eastAsiaTheme="minorEastAsia" w:hAnsiTheme="majorHAnsi" w:cstheme="majorHAnsi"/>
                <w:sz w:val="21"/>
                <w:szCs w:val="21"/>
                <w:lang w:val="en-GB"/>
              </w:rPr>
              <w:t>51560)*</w:t>
            </w:r>
            <w:proofErr w:type="gramEnd"/>
          </w:p>
        </w:tc>
      </w:tr>
      <w:tr w:rsidR="00542CEB" w:rsidRPr="005173CD" w14:paraId="74986C71" w14:textId="77777777" w:rsidTr="007F5028">
        <w:tc>
          <w:tcPr>
            <w:tcW w:w="1485" w:type="dxa"/>
            <w:vMerge/>
            <w:tcBorders>
              <w:top w:val="single" w:sz="4" w:space="0" w:color="D0CECE" w:themeColor="background2" w:themeShade="E6"/>
              <w:bottom w:val="single" w:sz="4" w:space="0" w:color="auto"/>
            </w:tcBorders>
          </w:tcPr>
          <w:p w14:paraId="3FCB7F7F" w14:textId="77777777" w:rsidR="00542CEB" w:rsidRPr="005173CD" w:rsidRDefault="00542CEB" w:rsidP="007F5028">
            <w:pPr>
              <w:contextualSpacing/>
              <w:rPr>
                <w:rFonts w:asciiTheme="majorHAnsi" w:hAnsiTheme="majorHAnsi" w:cstheme="majorHAnsi"/>
                <w:sz w:val="21"/>
                <w:szCs w:val="21"/>
                <w:lang w:val="en-GB"/>
              </w:rPr>
            </w:pPr>
          </w:p>
        </w:tc>
        <w:tc>
          <w:tcPr>
            <w:tcW w:w="885" w:type="dxa"/>
            <w:tcBorders>
              <w:top w:val="single" w:sz="4" w:space="0" w:color="D0CECE" w:themeColor="background2" w:themeShade="E6"/>
              <w:bottom w:val="single" w:sz="4" w:space="0" w:color="auto"/>
            </w:tcBorders>
          </w:tcPr>
          <w:p w14:paraId="7CE70DBD"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15</w:t>
            </w:r>
          </w:p>
        </w:tc>
        <w:tc>
          <w:tcPr>
            <w:tcW w:w="6990" w:type="dxa"/>
            <w:tcBorders>
              <w:top w:val="single" w:sz="4" w:space="0" w:color="D0CECE" w:themeColor="background2" w:themeShade="E6"/>
              <w:bottom w:val="single" w:sz="4" w:space="0" w:color="auto"/>
            </w:tcBorders>
          </w:tcPr>
          <w:p w14:paraId="47070D5C" w14:textId="77777777" w:rsidR="00542CEB" w:rsidRPr="005173CD" w:rsidRDefault="00542CEB" w:rsidP="007F5028">
            <w:pPr>
              <w:contextualSpacing/>
              <w:rPr>
                <w:rFonts w:asciiTheme="majorHAnsi" w:eastAsiaTheme="minorEastAsia" w:hAnsiTheme="majorHAnsi" w:cstheme="majorHAnsi"/>
                <w:sz w:val="21"/>
                <w:szCs w:val="21"/>
                <w:lang w:val="en-GB"/>
              </w:rPr>
            </w:pPr>
            <w:r w:rsidRPr="005173CD">
              <w:rPr>
                <w:rFonts w:asciiTheme="majorHAnsi" w:eastAsiaTheme="minorEastAsia" w:hAnsiTheme="majorHAnsi" w:cstheme="majorHAnsi"/>
                <w:sz w:val="21"/>
                <w:szCs w:val="21"/>
                <w:lang w:val="en-GB"/>
              </w:rPr>
              <w:t>York County (51199), Newport News City (51700)</w:t>
            </w:r>
          </w:p>
        </w:tc>
      </w:tr>
    </w:tbl>
    <w:p w14:paraId="09279F6F" w14:textId="0243CED2" w:rsidR="00DB34B4" w:rsidRPr="004C277A" w:rsidRDefault="780D83BC" w:rsidP="007A6422">
      <w:pPr>
        <w:spacing w:after="0" w:line="240" w:lineRule="auto"/>
        <w:contextualSpacing/>
        <w:rPr>
          <w:rFonts w:asciiTheme="majorHAnsi" w:hAnsiTheme="majorHAnsi" w:cstheme="majorHAnsi"/>
          <w:lang w:val="en-GB"/>
        </w:rPr>
      </w:pPr>
      <w:r w:rsidRPr="004C277A">
        <w:rPr>
          <w:rFonts w:asciiTheme="majorHAnsi" w:hAnsiTheme="majorHAnsi" w:cstheme="majorHAnsi"/>
          <w:lang w:val="en-GB"/>
        </w:rPr>
        <w:t>*County no longer exists due to boundary or name change.</w:t>
      </w:r>
    </w:p>
    <w:p w14:paraId="5E105AF8" w14:textId="77777777" w:rsidR="00DB34B4" w:rsidRPr="004C277A" w:rsidRDefault="00DB34B4">
      <w:pPr>
        <w:rPr>
          <w:rFonts w:asciiTheme="majorHAnsi" w:hAnsiTheme="majorHAnsi" w:cstheme="majorHAnsi"/>
          <w:lang w:val="en-GB"/>
        </w:rPr>
      </w:pPr>
      <w:r w:rsidRPr="004C277A">
        <w:rPr>
          <w:rFonts w:asciiTheme="majorHAnsi" w:hAnsiTheme="majorHAnsi" w:cstheme="majorHAnsi"/>
          <w:lang w:val="en-GB"/>
        </w:rPr>
        <w:br w:type="page"/>
      </w:r>
    </w:p>
    <w:p w14:paraId="096B094A" w14:textId="72C98085" w:rsidR="00DB34B4" w:rsidRPr="005173CD" w:rsidRDefault="009664F9" w:rsidP="00DB34B4">
      <w:pPr>
        <w:pStyle w:val="Heading2"/>
        <w:spacing w:before="0" w:line="240" w:lineRule="auto"/>
        <w:contextualSpacing/>
        <w:rPr>
          <w:rFonts w:eastAsiaTheme="minorEastAsia" w:cstheme="majorHAnsi"/>
          <w:lang w:val="en-GB"/>
        </w:rPr>
      </w:pPr>
      <w:bookmarkStart w:id="49" w:name="_Toc1399657563"/>
      <w:bookmarkStart w:id="50" w:name="_Toc175308191"/>
      <w:r w:rsidRPr="005173CD">
        <w:rPr>
          <w:rFonts w:eastAsiaTheme="minorEastAsia" w:cstheme="majorHAnsi"/>
          <w:lang w:val="en-GB"/>
        </w:rPr>
        <w:lastRenderedPageBreak/>
        <w:t>3.2</w:t>
      </w:r>
      <w:r w:rsidR="009B006F" w:rsidRPr="005173CD">
        <w:rPr>
          <w:rFonts w:eastAsiaTheme="minorEastAsia" w:cstheme="majorHAnsi"/>
          <w:lang w:val="en-GB"/>
        </w:rPr>
        <w:t xml:space="preserve"> </w:t>
      </w:r>
      <w:r w:rsidR="00E830EE" w:rsidRPr="005173CD">
        <w:rPr>
          <w:rFonts w:eastAsiaTheme="minorEastAsia" w:cstheme="majorHAnsi"/>
          <w:lang w:val="en-GB"/>
        </w:rPr>
        <w:t>Deaths</w:t>
      </w:r>
      <w:r w:rsidR="009B006F" w:rsidRPr="005173CD">
        <w:rPr>
          <w:rFonts w:eastAsiaTheme="minorEastAsia" w:cstheme="majorHAnsi"/>
          <w:lang w:val="en-GB"/>
        </w:rPr>
        <w:t xml:space="preserve"> and </w:t>
      </w:r>
      <w:r w:rsidR="00B50187" w:rsidRPr="005173CD">
        <w:rPr>
          <w:rFonts w:eastAsiaTheme="minorEastAsia" w:cstheme="majorHAnsi"/>
          <w:lang w:val="en-GB"/>
        </w:rPr>
        <w:t>p</w:t>
      </w:r>
      <w:r w:rsidR="00E830EE" w:rsidRPr="005173CD">
        <w:rPr>
          <w:rFonts w:eastAsiaTheme="minorEastAsia" w:cstheme="majorHAnsi"/>
          <w:lang w:val="en-GB"/>
        </w:rPr>
        <w:t>opulation</w:t>
      </w:r>
      <w:r w:rsidR="00B50187" w:rsidRPr="005173CD">
        <w:rPr>
          <w:rFonts w:eastAsiaTheme="minorEastAsia" w:cstheme="majorHAnsi"/>
          <w:lang w:val="en-GB"/>
        </w:rPr>
        <w:t xml:space="preserve"> d</w:t>
      </w:r>
      <w:r w:rsidR="00EB5C03" w:rsidRPr="005173CD">
        <w:rPr>
          <w:rFonts w:eastAsiaTheme="minorEastAsia" w:cstheme="majorHAnsi"/>
          <w:lang w:val="en-GB"/>
        </w:rPr>
        <w:t xml:space="preserve">ata </w:t>
      </w:r>
      <w:r w:rsidR="00B50187" w:rsidRPr="005173CD">
        <w:rPr>
          <w:rFonts w:eastAsiaTheme="minorEastAsia" w:cstheme="majorHAnsi"/>
          <w:lang w:val="en-GB"/>
        </w:rPr>
        <w:t>s</w:t>
      </w:r>
      <w:r w:rsidR="00E830EE" w:rsidRPr="005173CD">
        <w:rPr>
          <w:rFonts w:eastAsiaTheme="minorEastAsia" w:cstheme="majorHAnsi"/>
          <w:lang w:val="en-GB"/>
        </w:rPr>
        <w:t>ources</w:t>
      </w:r>
      <w:bookmarkEnd w:id="49"/>
      <w:bookmarkEnd w:id="50"/>
    </w:p>
    <w:p w14:paraId="6A5019FF" w14:textId="77777777" w:rsidR="00DB34B4" w:rsidRPr="004C277A" w:rsidRDefault="00DB34B4" w:rsidP="00DB34B4">
      <w:pPr>
        <w:contextualSpacing/>
        <w:rPr>
          <w:rFonts w:asciiTheme="majorHAnsi" w:hAnsiTheme="majorHAnsi" w:cstheme="majorHAnsi"/>
          <w:lang w:val="en-GB"/>
        </w:rPr>
      </w:pPr>
      <w:r w:rsidRPr="004C277A">
        <w:rPr>
          <w:rFonts w:asciiTheme="majorHAnsi" w:hAnsiTheme="majorHAnsi" w:cstheme="majorHAnsi"/>
          <w:lang w:val="en-GB"/>
        </w:rPr>
        <w:t xml:space="preserve"> </w:t>
      </w:r>
    </w:p>
    <w:tbl>
      <w:tblPr>
        <w:tblW w:w="9540" w:type="dxa"/>
        <w:tblBorders>
          <w:insideH w:val="single" w:sz="4" w:space="0" w:color="D0CECE" w:themeColor="background2" w:themeShade="E6"/>
        </w:tblBorders>
        <w:tblLayout w:type="fixed"/>
        <w:tblLook w:val="06A0" w:firstRow="1" w:lastRow="0" w:firstColumn="1" w:lastColumn="0" w:noHBand="1" w:noVBand="1"/>
      </w:tblPr>
      <w:tblGrid>
        <w:gridCol w:w="2160"/>
        <w:gridCol w:w="7380"/>
      </w:tblGrid>
      <w:tr w:rsidR="00C11F70" w:rsidRPr="005173CD" w14:paraId="1EA9D7E9" w14:textId="77777777" w:rsidTr="007F5028">
        <w:trPr>
          <w:cantSplit/>
          <w:tblHeader/>
        </w:trPr>
        <w:tc>
          <w:tcPr>
            <w:tcW w:w="2160" w:type="dxa"/>
            <w:tcBorders>
              <w:top w:val="single" w:sz="4" w:space="0" w:color="auto"/>
              <w:bottom w:val="single" w:sz="4" w:space="0" w:color="auto"/>
            </w:tcBorders>
          </w:tcPr>
          <w:p w14:paraId="0C202383" w14:textId="77777777" w:rsidR="00C11F70" w:rsidRPr="005173CD" w:rsidRDefault="00C11F70" w:rsidP="007F5028">
            <w:pPr>
              <w:contextualSpacing/>
              <w:rPr>
                <w:rFonts w:asciiTheme="majorHAnsi" w:eastAsiaTheme="majorEastAsia" w:hAnsiTheme="majorHAnsi" w:cstheme="majorHAnsi"/>
                <w:b/>
                <w:bCs/>
                <w:lang w:val="en-GB"/>
              </w:rPr>
            </w:pPr>
            <w:r w:rsidRPr="005173CD">
              <w:rPr>
                <w:rFonts w:asciiTheme="majorHAnsi" w:eastAsiaTheme="majorEastAsia" w:hAnsiTheme="majorHAnsi" w:cstheme="majorHAnsi"/>
                <w:b/>
                <w:bCs/>
                <w:lang w:val="en-GB"/>
              </w:rPr>
              <w:t>Data type</w:t>
            </w:r>
          </w:p>
        </w:tc>
        <w:tc>
          <w:tcPr>
            <w:tcW w:w="7380" w:type="dxa"/>
            <w:tcBorders>
              <w:top w:val="single" w:sz="4" w:space="0" w:color="auto"/>
              <w:bottom w:val="single" w:sz="4" w:space="0" w:color="auto"/>
            </w:tcBorders>
          </w:tcPr>
          <w:p w14:paraId="47FF0D30" w14:textId="77777777" w:rsidR="00C11F70" w:rsidRPr="005173CD" w:rsidRDefault="00C11F70" w:rsidP="007F5028">
            <w:pPr>
              <w:contextualSpacing/>
              <w:rPr>
                <w:rFonts w:asciiTheme="majorHAnsi" w:eastAsiaTheme="majorEastAsia" w:hAnsiTheme="majorHAnsi" w:cstheme="majorHAnsi"/>
                <w:b/>
                <w:bCs/>
                <w:lang w:val="en-GB"/>
              </w:rPr>
            </w:pPr>
            <w:r w:rsidRPr="005173CD">
              <w:rPr>
                <w:rFonts w:asciiTheme="majorHAnsi" w:eastAsiaTheme="majorEastAsia" w:hAnsiTheme="majorHAnsi" w:cstheme="majorHAnsi"/>
                <w:b/>
                <w:bCs/>
                <w:lang w:val="en-GB"/>
              </w:rPr>
              <w:t>Data source and citation</w:t>
            </w:r>
          </w:p>
        </w:tc>
      </w:tr>
      <w:tr w:rsidR="00C11F70" w:rsidRPr="005173CD" w14:paraId="0B749E31" w14:textId="77777777" w:rsidTr="007F5028">
        <w:trPr>
          <w:cantSplit/>
        </w:trPr>
        <w:tc>
          <w:tcPr>
            <w:tcW w:w="2160" w:type="dxa"/>
          </w:tcPr>
          <w:p w14:paraId="74CCC794" w14:textId="77777777" w:rsidR="00C11F70" w:rsidRPr="005173CD" w:rsidRDefault="00C11F70"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Deaths</w:t>
            </w:r>
          </w:p>
        </w:tc>
        <w:tc>
          <w:tcPr>
            <w:tcW w:w="7380" w:type="dxa"/>
          </w:tcPr>
          <w:p w14:paraId="6F1172F9" w14:textId="77777777" w:rsidR="00C11F70" w:rsidRPr="005173CD" w:rsidRDefault="00C11F70"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National Vital Statistics System: Mortality Multiple Cause – All Counties Files, 2000-2019. Hyattsville, MD: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2021. </w:t>
            </w:r>
            <w:hyperlink r:id="rId14" w:history="1">
              <w:r w:rsidRPr="005173CD">
                <w:rPr>
                  <w:rStyle w:val="BalloonTextChar"/>
                  <w:rFonts w:asciiTheme="majorHAnsi" w:eastAsiaTheme="minorEastAsia" w:hAnsiTheme="majorHAnsi" w:cstheme="majorHAnsi"/>
                  <w:sz w:val="22"/>
                  <w:szCs w:val="22"/>
                  <w:lang w:val="en-GB"/>
                </w:rPr>
                <w:t>https://www.cdc.gov/nchs/nvss/nvss-restricted-data.htm</w:t>
              </w:r>
            </w:hyperlink>
            <w:r w:rsidRPr="005173CD">
              <w:rPr>
                <w:rFonts w:asciiTheme="majorHAnsi" w:eastAsiaTheme="minorEastAsia" w:hAnsiTheme="majorHAnsi" w:cstheme="majorHAnsi"/>
                <w:lang w:val="en-GB"/>
              </w:rPr>
              <w:t xml:space="preserve"> </w:t>
            </w:r>
          </w:p>
        </w:tc>
      </w:tr>
      <w:tr w:rsidR="00C11F70" w:rsidRPr="005173CD" w14:paraId="08346663" w14:textId="77777777" w:rsidTr="007F5028">
        <w:trPr>
          <w:cantSplit/>
        </w:trPr>
        <w:tc>
          <w:tcPr>
            <w:tcW w:w="2160" w:type="dxa"/>
            <w:tcBorders>
              <w:bottom w:val="single" w:sz="4" w:space="0" w:color="D0CECE" w:themeColor="background2" w:themeShade="E6"/>
            </w:tcBorders>
          </w:tcPr>
          <w:p w14:paraId="13E5684A" w14:textId="77777777" w:rsidR="00C11F70" w:rsidRPr="005173CD" w:rsidRDefault="00C11F70"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Population</w:t>
            </w:r>
          </w:p>
        </w:tc>
        <w:tc>
          <w:tcPr>
            <w:tcW w:w="7380" w:type="dxa"/>
            <w:tcBorders>
              <w:bottom w:val="single" w:sz="4" w:space="0" w:color="D0CECE" w:themeColor="background2" w:themeShade="E6"/>
            </w:tcBorders>
          </w:tcPr>
          <w:p w14:paraId="62DE91FB" w14:textId="77777777" w:rsidR="00C11F70" w:rsidRPr="005173CD" w:rsidRDefault="00C11F70"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US Census Bureau. United States Bridged-Race Intercensal Population Estimates 2000-2009. Hyattsville, United States: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2012. </w:t>
            </w:r>
            <w:hyperlink r:id="rId15" w:history="1">
              <w:r w:rsidRPr="005173CD">
                <w:rPr>
                  <w:rStyle w:val="BalloonTextChar"/>
                  <w:rFonts w:asciiTheme="majorHAnsi" w:eastAsiaTheme="minorEastAsia" w:hAnsiTheme="majorHAnsi" w:cstheme="majorHAnsi"/>
                  <w:sz w:val="22"/>
                  <w:szCs w:val="22"/>
                  <w:lang w:val="en-GB"/>
                </w:rPr>
                <w:t>https://www.cdc.gov/nchs/nvss/bridged_race.htm</w:t>
              </w:r>
            </w:hyperlink>
            <w:r w:rsidRPr="005173CD">
              <w:rPr>
                <w:rFonts w:asciiTheme="majorHAnsi" w:eastAsiaTheme="minorEastAsia" w:hAnsiTheme="majorHAnsi" w:cstheme="majorHAnsi"/>
                <w:lang w:val="en-GB"/>
              </w:rPr>
              <w:t>. Accessed October 30, 2012.</w:t>
            </w:r>
          </w:p>
          <w:p w14:paraId="0F9345BE" w14:textId="77777777" w:rsidR="00C11F70" w:rsidRPr="005173CD" w:rsidRDefault="00C11F70" w:rsidP="007F5028">
            <w:pPr>
              <w:contextualSpacing/>
              <w:rPr>
                <w:rFonts w:asciiTheme="majorHAnsi" w:eastAsiaTheme="minorEastAsia" w:hAnsiTheme="majorHAnsi" w:cstheme="majorHAnsi"/>
                <w:lang w:val="en-GB"/>
              </w:rPr>
            </w:pPr>
          </w:p>
          <w:p w14:paraId="1FE751A8" w14:textId="329F708F" w:rsidR="00C11F70" w:rsidRPr="005173CD" w:rsidRDefault="00C11F70"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US Census Bureau. United States Vintage 2020 Bridged-Race Postcensal Population Estimates 2010-2020. Hyattsville, United States: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2020. https://www.cdc.gov/nchs/nvss/bridged_race.htm. Accessed February 17, 2022.</w:t>
            </w:r>
          </w:p>
        </w:tc>
      </w:tr>
    </w:tbl>
    <w:p w14:paraId="4A6A4829" w14:textId="2F006D34" w:rsidR="004461F8" w:rsidRDefault="004461F8" w:rsidP="007A6422">
      <w:pPr>
        <w:spacing w:after="0" w:line="240" w:lineRule="auto"/>
        <w:contextualSpacing/>
        <w:rPr>
          <w:rFonts w:asciiTheme="majorHAnsi" w:hAnsiTheme="majorHAnsi" w:cstheme="majorHAnsi"/>
          <w:lang w:val="en-GB"/>
        </w:rPr>
      </w:pPr>
    </w:p>
    <w:p w14:paraId="3E6A1E8F" w14:textId="77777777" w:rsidR="004461F8" w:rsidRDefault="004461F8">
      <w:pPr>
        <w:rPr>
          <w:rFonts w:asciiTheme="majorHAnsi" w:hAnsiTheme="majorHAnsi" w:cstheme="majorHAnsi"/>
          <w:lang w:val="en-GB"/>
        </w:rPr>
      </w:pPr>
      <w:r>
        <w:rPr>
          <w:rFonts w:asciiTheme="majorHAnsi" w:hAnsiTheme="majorHAnsi" w:cstheme="majorHAnsi"/>
          <w:lang w:val="en-GB"/>
        </w:rPr>
        <w:br w:type="page"/>
      </w:r>
    </w:p>
    <w:p w14:paraId="3011F285" w14:textId="3C98F2B9" w:rsidR="004461F8" w:rsidRPr="005173CD" w:rsidRDefault="004461F8" w:rsidP="004461F8">
      <w:pPr>
        <w:pStyle w:val="Heading2"/>
        <w:spacing w:before="0" w:line="240" w:lineRule="auto"/>
        <w:contextualSpacing/>
        <w:rPr>
          <w:rFonts w:eastAsiaTheme="minorEastAsia" w:cstheme="majorHAnsi"/>
          <w:lang w:val="en-GB"/>
        </w:rPr>
      </w:pPr>
      <w:bookmarkStart w:id="51" w:name="_Toc175308192"/>
      <w:r w:rsidRPr="005173CD">
        <w:rPr>
          <w:rFonts w:eastAsiaTheme="minorEastAsia" w:cstheme="majorHAnsi"/>
          <w:lang w:val="en-GB"/>
        </w:rPr>
        <w:lastRenderedPageBreak/>
        <w:t xml:space="preserve">3.3 </w:t>
      </w:r>
      <w:r w:rsidR="00B50187" w:rsidRPr="005173CD">
        <w:rPr>
          <w:rFonts w:eastAsiaTheme="minorEastAsia" w:cstheme="majorHAnsi"/>
          <w:lang w:val="en-GB"/>
        </w:rPr>
        <w:t>GBD cause list and associated ICD</w:t>
      </w:r>
      <w:r w:rsidR="006B625C" w:rsidRPr="005173CD">
        <w:rPr>
          <w:rFonts w:eastAsiaTheme="minorEastAsia" w:cstheme="majorHAnsi"/>
          <w:lang w:val="en-GB"/>
        </w:rPr>
        <w:t>-</w:t>
      </w:r>
      <w:r w:rsidR="00B50187" w:rsidRPr="005173CD">
        <w:rPr>
          <w:rFonts w:eastAsiaTheme="minorEastAsia" w:cstheme="majorHAnsi"/>
          <w:lang w:val="en-GB"/>
        </w:rPr>
        <w:t>10 c</w:t>
      </w:r>
      <w:r w:rsidRPr="005173CD">
        <w:rPr>
          <w:rFonts w:eastAsiaTheme="minorEastAsia" w:cstheme="majorHAnsi"/>
          <w:lang w:val="en-GB"/>
        </w:rPr>
        <w:t>odes</w:t>
      </w:r>
      <w:bookmarkEnd w:id="51"/>
    </w:p>
    <w:p w14:paraId="63789580" w14:textId="77777777" w:rsidR="00E25DA5" w:rsidRDefault="00E25DA5" w:rsidP="00E25DA5">
      <w:pPr>
        <w:contextualSpacing/>
        <w:rPr>
          <w:rFonts w:asciiTheme="majorHAnsi" w:hAnsiTheme="majorHAnsi" w:cstheme="majorHAnsi"/>
          <w:lang w:val="en-GB"/>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2250"/>
        <w:gridCol w:w="5745"/>
      </w:tblGrid>
      <w:tr w:rsidR="00F819F0" w:rsidRPr="00E33965" w14:paraId="728A26FD" w14:textId="77777777">
        <w:trPr>
          <w:trHeight w:val="285"/>
        </w:trPr>
        <w:tc>
          <w:tcPr>
            <w:tcW w:w="1350" w:type="dxa"/>
            <w:tcBorders>
              <w:top w:val="single" w:sz="6" w:space="0" w:color="auto"/>
              <w:left w:val="nil"/>
              <w:bottom w:val="single" w:sz="6" w:space="0" w:color="auto"/>
              <w:right w:val="nil"/>
            </w:tcBorders>
            <w:shd w:val="clear" w:color="auto" w:fill="auto"/>
            <w:hideMark/>
          </w:tcPr>
          <w:p w14:paraId="4FC823C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eastAsia="Times New Roman" w:hAnsiTheme="majorHAnsi" w:cstheme="majorHAnsi"/>
                <w:b/>
                <w:bCs/>
                <w:lang w:val="en-GB"/>
              </w:rPr>
              <w:t>Cause Level</w:t>
            </w:r>
            <w:r w:rsidRPr="00E33965">
              <w:rPr>
                <w:rFonts w:asciiTheme="majorHAnsi" w:eastAsia="Times New Roman" w:hAnsiTheme="majorHAnsi" w:cstheme="majorHAnsi"/>
              </w:rPr>
              <w:t> </w:t>
            </w:r>
          </w:p>
        </w:tc>
        <w:tc>
          <w:tcPr>
            <w:tcW w:w="2250" w:type="dxa"/>
            <w:tcBorders>
              <w:top w:val="single" w:sz="6" w:space="0" w:color="auto"/>
              <w:left w:val="nil"/>
              <w:bottom w:val="single" w:sz="6" w:space="0" w:color="auto"/>
              <w:right w:val="nil"/>
            </w:tcBorders>
            <w:shd w:val="clear" w:color="auto" w:fill="auto"/>
            <w:hideMark/>
          </w:tcPr>
          <w:p w14:paraId="4C1147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eastAsia="Times New Roman" w:hAnsiTheme="majorHAnsi" w:cstheme="majorHAnsi"/>
                <w:b/>
                <w:bCs/>
                <w:lang w:val="en-GB"/>
              </w:rPr>
              <w:t>Cause</w:t>
            </w:r>
            <w:r w:rsidRPr="00E33965">
              <w:rPr>
                <w:rFonts w:asciiTheme="majorHAnsi" w:eastAsia="Times New Roman" w:hAnsiTheme="majorHAnsi" w:cstheme="majorHAnsi"/>
              </w:rPr>
              <w:t> </w:t>
            </w:r>
          </w:p>
        </w:tc>
        <w:tc>
          <w:tcPr>
            <w:tcW w:w="5745" w:type="dxa"/>
            <w:tcBorders>
              <w:top w:val="single" w:sz="6" w:space="0" w:color="auto"/>
              <w:left w:val="nil"/>
              <w:bottom w:val="single" w:sz="6" w:space="0" w:color="auto"/>
              <w:right w:val="nil"/>
            </w:tcBorders>
            <w:shd w:val="clear" w:color="auto" w:fill="auto"/>
            <w:hideMark/>
          </w:tcPr>
          <w:p w14:paraId="4DF6077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eastAsia="Times New Roman" w:hAnsiTheme="majorHAnsi" w:cstheme="majorHAnsi"/>
                <w:b/>
                <w:bCs/>
                <w:lang w:val="en-GB"/>
              </w:rPr>
              <w:t>ICD-10 Codes</w:t>
            </w:r>
            <w:r w:rsidRPr="00E33965">
              <w:rPr>
                <w:rFonts w:asciiTheme="majorHAnsi" w:eastAsia="Times New Roman" w:hAnsiTheme="majorHAnsi" w:cstheme="majorHAnsi"/>
              </w:rPr>
              <w:t> </w:t>
            </w:r>
          </w:p>
        </w:tc>
      </w:tr>
      <w:tr w:rsidR="00F819F0" w:rsidRPr="007569F5" w14:paraId="329E1A29" w14:textId="77777777">
        <w:trPr>
          <w:trHeight w:val="285"/>
        </w:trPr>
        <w:tc>
          <w:tcPr>
            <w:tcW w:w="1350" w:type="dxa"/>
            <w:tcBorders>
              <w:top w:val="single" w:sz="6" w:space="0" w:color="auto"/>
              <w:left w:val="nil"/>
              <w:bottom w:val="single" w:sz="6" w:space="0" w:color="D0CECE"/>
              <w:right w:val="nil"/>
            </w:tcBorders>
            <w:shd w:val="clear" w:color="auto" w:fill="auto"/>
            <w:vAlign w:val="bottom"/>
          </w:tcPr>
          <w:p w14:paraId="3906BD4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1</w:t>
            </w:r>
          </w:p>
        </w:tc>
        <w:tc>
          <w:tcPr>
            <w:tcW w:w="2250" w:type="dxa"/>
            <w:tcBorders>
              <w:top w:val="single" w:sz="6" w:space="0" w:color="auto"/>
              <w:left w:val="nil"/>
              <w:bottom w:val="single" w:sz="6" w:space="0" w:color="D0CECE"/>
              <w:right w:val="nil"/>
            </w:tcBorders>
            <w:shd w:val="clear" w:color="auto" w:fill="auto"/>
            <w:vAlign w:val="bottom"/>
          </w:tcPr>
          <w:p w14:paraId="529859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Communicable, maternal, neonatal, and nutritional diseases</w:t>
            </w:r>
          </w:p>
        </w:tc>
        <w:tc>
          <w:tcPr>
            <w:tcW w:w="5745" w:type="dxa"/>
            <w:tcBorders>
              <w:top w:val="single" w:sz="6" w:space="0" w:color="auto"/>
              <w:left w:val="nil"/>
              <w:bottom w:val="single" w:sz="6" w:space="0" w:color="D0CECE"/>
              <w:right w:val="nil"/>
            </w:tcBorders>
            <w:shd w:val="clear" w:color="auto" w:fill="auto"/>
            <w:vAlign w:val="bottom"/>
          </w:tcPr>
          <w:p w14:paraId="39A60F1A"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A00–A00.9, A01*, A01.0–A14, A15–A28.9, A31*–A31.0*, A31.8*–A31.9*, A32–A39.9, A42*–A44.9*, A48*, A48.1–A48.2, A48.4–A48.5, A48.8*–A49*, A49.3*–A49.9*, A50–A58, A60–A60.9, A63–A63.8, A64*–A64.0*, A65–A65.0, A68–A70, A74, A74.8–A75.9, A77–A96.9, A98–A98.8, A99*–A99.0*, B00–B06.9, B10–B10.8, B15–B16.2, B17.0, B17.2, B19.1, B20–B27.9, B29.4, B33–B33.1, B33.3–B33.8, B34.2, B37*–B37.2*, B37.5*–B46.9*, B47–B48.8, B49*–B49.9*, B50–B53.8, B54*–B55*, B55.0, B55.1*–B55.9*, B56–B57.5, B58*–B59.9*, B60–B60.8, B63, B64*, B65–B67.9, B69–B72.0, B74.3–B75, B77–B77.9, B82*–B82.9*, B83–B83.8, B83.9*, B89*, B90–B91, B94.1, B95–B95.5, B97.2, B97.4–B97.6, C58–C58.0, D50.1–D50.8, D51–D52.0, D52.8–D53.9, D70.3, D89.3, E00–E02, E40–E46.9, E51–E61.9, E63–E64.0, E64.2–E64.9, F02.1, F02.4, F07.1, G00*, G00.0–G00.8, G00.9*–G02.8*, G03–G03.8, G03.9*, G04–G05.8, G09*–G09.9*, G14–G14.6, G21.3, H70–H70.9, I00, I02, I02.9, I98.0–I98.1, J00–J02.8, J02.9*, J03–J03.8, J03.9*, J04–J04.2, J04.3*, J05–J05.1, J06*, J06.0–J06.8, J06.9*–J08*, J09–J15.8, J15.9*, J16–J16.9, J17*–J19.6*, J20–J21.9, J22*–J29*, J36–J36.0, J91.0, K52.1–K52.3, K67.0–K67.8, K75.3, K76.3, K77.0, K93.0–K93.1, M03.1, M12.1, M49.0–M49.1, M73.0–M73.1, M89.6, N70*–N71.9*, N73*–N74.0*, N74.1, N74.2*–N74.8*, N96, N98–N98.9, O00–O07.9, O08*–O08.9*, O09–O16.9, O17*–O19*, O20–O26.9, O27*, O28–O36.9, O37*–O39*, O40–O48.1, O49*–O59*, O60–O77.9, O78*–O79*, O80–O92.7, O93*–O95.9*, O96–O98.6, O98.8–P04.2, P04.5–P05.9, P07–P15.9, P19–P22.9, P23*, P23.0–P23.4, P23.5*–P23.9*, P24–P29.9, P35–P37.2, P37.3*–P37.4*, P37.5–P39.9, P50–P61.9, P70–P70.1, P70.3–P72.9, P74–P78.9, P80–P81.9, P83–P84, P90–P92.9, P94–P94.9, P96, P96.3–P96.4, P96.8, R19.7, U04–U04.9, U06–U07.2, U82–U89, Z16–Z16.3</w:t>
            </w:r>
          </w:p>
        </w:tc>
      </w:tr>
      <w:tr w:rsidR="00F819F0" w:rsidRPr="00E33965" w14:paraId="090AB65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65E55D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1C0FBC6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HIV/AIDS and sexually transmitted infections</w:t>
            </w:r>
          </w:p>
        </w:tc>
        <w:tc>
          <w:tcPr>
            <w:tcW w:w="5745" w:type="dxa"/>
            <w:tcBorders>
              <w:top w:val="single" w:sz="6" w:space="0" w:color="D0CECE"/>
              <w:left w:val="nil"/>
              <w:bottom w:val="single" w:sz="6" w:space="0" w:color="D0CECE"/>
              <w:right w:val="nil"/>
            </w:tcBorders>
            <w:shd w:val="clear" w:color="auto" w:fill="auto"/>
            <w:vAlign w:val="bottom"/>
          </w:tcPr>
          <w:p w14:paraId="22BB5DD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A50–A58, A60–A60.9, A63–A63.8, A64*–A64.0*, B20–B24.9, B45*–B45.9*, B63, F02.4, I98.0, K67.0–K67.2, M03.1, M73.0–M73.1, N70*–N71.9*, N73*–N74.0*, N74.2*–N74.8*</w:t>
            </w:r>
          </w:p>
        </w:tc>
      </w:tr>
      <w:tr w:rsidR="00F819F0" w:rsidRPr="00E33965" w14:paraId="33E4345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B02609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540DFD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HIV/AIDS</w:t>
            </w:r>
          </w:p>
        </w:tc>
        <w:tc>
          <w:tcPr>
            <w:tcW w:w="5745" w:type="dxa"/>
            <w:tcBorders>
              <w:top w:val="single" w:sz="6" w:space="0" w:color="D0CECE"/>
              <w:left w:val="nil"/>
              <w:bottom w:val="single" w:sz="6" w:space="0" w:color="D0CECE"/>
              <w:right w:val="nil"/>
            </w:tcBorders>
            <w:shd w:val="clear" w:color="auto" w:fill="auto"/>
            <w:vAlign w:val="bottom"/>
          </w:tcPr>
          <w:p w14:paraId="44D82A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B20–B24.9, B45*–B45.9*, F02.4</w:t>
            </w:r>
          </w:p>
        </w:tc>
      </w:tr>
      <w:tr w:rsidR="00F819F0" w:rsidRPr="00E33965" w14:paraId="6A50561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4B8C96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012EE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HIV/AIDS – Drug-susceptible Tuberculosis</w:t>
            </w:r>
          </w:p>
        </w:tc>
        <w:tc>
          <w:tcPr>
            <w:tcW w:w="5745" w:type="dxa"/>
            <w:tcBorders>
              <w:top w:val="single" w:sz="6" w:space="0" w:color="D0CECE"/>
              <w:left w:val="nil"/>
              <w:bottom w:val="single" w:sz="6" w:space="0" w:color="D0CECE"/>
              <w:right w:val="nil"/>
            </w:tcBorders>
            <w:shd w:val="clear" w:color="auto" w:fill="auto"/>
            <w:vAlign w:val="bottom"/>
          </w:tcPr>
          <w:p w14:paraId="015D108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B20.0</w:t>
            </w:r>
          </w:p>
        </w:tc>
      </w:tr>
      <w:tr w:rsidR="00F819F0" w:rsidRPr="00E33965" w14:paraId="5551910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703E05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AC328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HIV/AIDS resulting in other diseases</w:t>
            </w:r>
          </w:p>
        </w:tc>
        <w:tc>
          <w:tcPr>
            <w:tcW w:w="5745" w:type="dxa"/>
            <w:tcBorders>
              <w:top w:val="single" w:sz="6" w:space="0" w:color="D0CECE"/>
              <w:left w:val="nil"/>
              <w:bottom w:val="single" w:sz="6" w:space="0" w:color="D0CECE"/>
              <w:right w:val="nil"/>
            </w:tcBorders>
            <w:shd w:val="clear" w:color="auto" w:fill="auto"/>
            <w:vAlign w:val="bottom"/>
          </w:tcPr>
          <w:p w14:paraId="0BF872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B20, B20.1–B24.9, F02.4</w:t>
            </w:r>
          </w:p>
        </w:tc>
      </w:tr>
      <w:tr w:rsidR="00F819F0" w:rsidRPr="00E33965" w14:paraId="7FB196B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35A8E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69CE32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Sexually transmitted infections excluding HIV</w:t>
            </w:r>
          </w:p>
        </w:tc>
        <w:tc>
          <w:tcPr>
            <w:tcW w:w="5745" w:type="dxa"/>
            <w:tcBorders>
              <w:top w:val="single" w:sz="6" w:space="0" w:color="D0CECE"/>
              <w:left w:val="nil"/>
              <w:bottom w:val="single" w:sz="6" w:space="0" w:color="D0CECE"/>
              <w:right w:val="nil"/>
            </w:tcBorders>
            <w:shd w:val="clear" w:color="auto" w:fill="auto"/>
            <w:vAlign w:val="bottom"/>
          </w:tcPr>
          <w:p w14:paraId="2BC3557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A50–A58, A60–A60.9, A63–A63.8, A64*–A64.0*, B63, I98.0, K67.0–K67.2, M03.1, M73.0–M73.1, N70*–N71.9*, N73*–N74.0*, N74.2*–N74.8*</w:t>
            </w:r>
          </w:p>
        </w:tc>
      </w:tr>
      <w:tr w:rsidR="00F819F0" w:rsidRPr="00E33965" w14:paraId="25F0332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AEF829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172610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Syphilis</w:t>
            </w:r>
          </w:p>
        </w:tc>
        <w:tc>
          <w:tcPr>
            <w:tcW w:w="5745" w:type="dxa"/>
            <w:tcBorders>
              <w:top w:val="single" w:sz="6" w:space="0" w:color="D0CECE"/>
              <w:left w:val="nil"/>
              <w:bottom w:val="single" w:sz="6" w:space="0" w:color="D0CECE"/>
              <w:right w:val="nil"/>
            </w:tcBorders>
            <w:shd w:val="clear" w:color="auto" w:fill="auto"/>
            <w:vAlign w:val="bottom"/>
          </w:tcPr>
          <w:p w14:paraId="0C0138E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A50–A53.9, I98.0, K67.2, M03.1, M73.1</w:t>
            </w:r>
          </w:p>
        </w:tc>
      </w:tr>
      <w:tr w:rsidR="00F819F0" w:rsidRPr="00E33965" w14:paraId="69A6B0E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AE7657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A2B66B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Chlamydial infection</w:t>
            </w:r>
          </w:p>
        </w:tc>
        <w:tc>
          <w:tcPr>
            <w:tcW w:w="5745" w:type="dxa"/>
            <w:tcBorders>
              <w:top w:val="single" w:sz="6" w:space="0" w:color="D0CECE"/>
              <w:left w:val="nil"/>
              <w:bottom w:val="single" w:sz="6" w:space="0" w:color="D0CECE"/>
              <w:right w:val="nil"/>
            </w:tcBorders>
            <w:shd w:val="clear" w:color="auto" w:fill="auto"/>
            <w:vAlign w:val="bottom"/>
          </w:tcPr>
          <w:p w14:paraId="1E1012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A55–A56.8, K67.0</w:t>
            </w:r>
          </w:p>
        </w:tc>
      </w:tr>
      <w:tr w:rsidR="00F819F0" w:rsidRPr="00E33965" w14:paraId="4BCF07F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ADC892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4</w:t>
            </w:r>
          </w:p>
        </w:tc>
        <w:tc>
          <w:tcPr>
            <w:tcW w:w="2250" w:type="dxa"/>
            <w:tcBorders>
              <w:top w:val="single" w:sz="6" w:space="0" w:color="D0CECE"/>
              <w:left w:val="nil"/>
              <w:bottom w:val="single" w:sz="6" w:space="0" w:color="D0CECE"/>
              <w:right w:val="nil"/>
            </w:tcBorders>
            <w:shd w:val="clear" w:color="auto" w:fill="auto"/>
            <w:vAlign w:val="bottom"/>
          </w:tcPr>
          <w:p w14:paraId="39862F6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spellStart"/>
            <w:r w:rsidRPr="00E33965">
              <w:rPr>
                <w:rFonts w:asciiTheme="majorHAnsi" w:hAnsiTheme="majorHAnsi" w:cstheme="majorHAnsi"/>
                <w:color w:val="000000"/>
              </w:rPr>
              <w:t>Gonorrhoea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6BD4550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A54–A54.9, K67.1, M73.0</w:t>
            </w:r>
          </w:p>
        </w:tc>
      </w:tr>
      <w:tr w:rsidR="00F819F0" w:rsidRPr="00E33965" w14:paraId="587F03F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0719CD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19BE07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sexually transmitted infections</w:t>
            </w:r>
          </w:p>
        </w:tc>
        <w:tc>
          <w:tcPr>
            <w:tcW w:w="5745" w:type="dxa"/>
            <w:tcBorders>
              <w:top w:val="single" w:sz="6" w:space="0" w:color="D0CECE"/>
              <w:left w:val="nil"/>
              <w:bottom w:val="single" w:sz="6" w:space="0" w:color="D0CECE"/>
              <w:right w:val="nil"/>
            </w:tcBorders>
            <w:shd w:val="clear" w:color="auto" w:fill="auto"/>
            <w:vAlign w:val="bottom"/>
          </w:tcPr>
          <w:p w14:paraId="53FE293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A57–A58, A63–A63.8, B63</w:t>
            </w:r>
          </w:p>
        </w:tc>
      </w:tr>
      <w:tr w:rsidR="00F819F0" w:rsidRPr="00E33965" w14:paraId="0EDC3AB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BC8AE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7CEB351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Respiratory infections and tuberculosis</w:t>
            </w:r>
          </w:p>
        </w:tc>
        <w:tc>
          <w:tcPr>
            <w:tcW w:w="5745" w:type="dxa"/>
            <w:tcBorders>
              <w:top w:val="single" w:sz="6" w:space="0" w:color="D0CECE"/>
              <w:left w:val="nil"/>
              <w:bottom w:val="single" w:sz="6" w:space="0" w:color="D0CECE"/>
              <w:right w:val="nil"/>
            </w:tcBorders>
            <w:shd w:val="clear" w:color="auto" w:fill="auto"/>
            <w:vAlign w:val="bottom"/>
          </w:tcPr>
          <w:p w14:paraId="6660139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A10–A14, A15–A19.9, A48.1, A70, B34.2, B90–B90.9, B97.2, B97.4–B97.6, H70–H70.9, J00–J02.8, J02.9*, J03–J03.8, J03.9*, J04–J04.2, J04.3*, J05–J05.1, J06*, J06.0–J06.8, J06.9*–J08*, J09–J15.8, J15.9*, J16–J16.9, J17*–J19.6*, J20–J21.9, J22*–J29*, J36–J36.0, J91.0, K67.3, K93.0, M49.0, N74.1, P23*, P23.0–P23.4, P23.5*–P23.9*, P37.0, U04–U04.9, U07–U07.2, U84.3</w:t>
            </w:r>
          </w:p>
        </w:tc>
      </w:tr>
      <w:tr w:rsidR="00F819F0" w:rsidRPr="007569F5" w14:paraId="3619372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1C5FE9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3C4947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Tuberculosis</w:t>
            </w:r>
          </w:p>
        </w:tc>
        <w:tc>
          <w:tcPr>
            <w:tcW w:w="5745" w:type="dxa"/>
            <w:tcBorders>
              <w:top w:val="single" w:sz="6" w:space="0" w:color="D0CECE"/>
              <w:left w:val="nil"/>
              <w:bottom w:val="single" w:sz="6" w:space="0" w:color="D0CECE"/>
              <w:right w:val="nil"/>
            </w:tcBorders>
            <w:shd w:val="clear" w:color="auto" w:fill="auto"/>
            <w:vAlign w:val="bottom"/>
          </w:tcPr>
          <w:p w14:paraId="77814AA3"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A10–A14, A15–A19.9, B90–B90.9, K67.3, K93.0, M49.0, N74.1, P37.0, U84.3</w:t>
            </w:r>
          </w:p>
        </w:tc>
      </w:tr>
      <w:tr w:rsidR="00F819F0" w:rsidRPr="00E33965" w14:paraId="448DFD1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06537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60FC22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Drug-susceptible tuberculosis</w:t>
            </w:r>
          </w:p>
        </w:tc>
        <w:tc>
          <w:tcPr>
            <w:tcW w:w="5745" w:type="dxa"/>
            <w:tcBorders>
              <w:top w:val="single" w:sz="6" w:space="0" w:color="D0CECE"/>
              <w:left w:val="nil"/>
              <w:bottom w:val="single" w:sz="6" w:space="0" w:color="D0CECE"/>
              <w:right w:val="nil"/>
            </w:tcBorders>
            <w:shd w:val="clear" w:color="auto" w:fill="auto"/>
            <w:vAlign w:val="bottom"/>
          </w:tcPr>
          <w:p w14:paraId="659948E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A10–A14, A15–A19.9, B90–B90.9, K67.3, K93.0, M49.0, N74.1, P37.0</w:t>
            </w:r>
          </w:p>
        </w:tc>
      </w:tr>
      <w:tr w:rsidR="00F819F0" w:rsidRPr="00E33965" w14:paraId="4E495BF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6331F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25C359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Multidrug-resistant tuberculosis without extensive drug resistance</w:t>
            </w:r>
          </w:p>
        </w:tc>
        <w:tc>
          <w:tcPr>
            <w:tcW w:w="5745" w:type="dxa"/>
            <w:tcBorders>
              <w:top w:val="single" w:sz="6" w:space="0" w:color="D0CECE"/>
              <w:left w:val="nil"/>
              <w:bottom w:val="single" w:sz="6" w:space="0" w:color="D0CECE"/>
              <w:right w:val="nil"/>
            </w:tcBorders>
            <w:shd w:val="clear" w:color="auto" w:fill="auto"/>
            <w:vAlign w:val="bottom"/>
          </w:tcPr>
          <w:p w14:paraId="667FC22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U84.3</w:t>
            </w:r>
          </w:p>
        </w:tc>
      </w:tr>
      <w:tr w:rsidR="00F819F0" w:rsidRPr="007569F5" w14:paraId="4F2FE21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F5AED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E5EB2D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Lower respiratory infections</w:t>
            </w:r>
          </w:p>
        </w:tc>
        <w:tc>
          <w:tcPr>
            <w:tcW w:w="5745" w:type="dxa"/>
            <w:tcBorders>
              <w:top w:val="single" w:sz="6" w:space="0" w:color="D0CECE"/>
              <w:left w:val="nil"/>
              <w:bottom w:val="single" w:sz="6" w:space="0" w:color="D0CECE"/>
              <w:right w:val="nil"/>
            </w:tcBorders>
            <w:shd w:val="clear" w:color="auto" w:fill="auto"/>
            <w:vAlign w:val="bottom"/>
          </w:tcPr>
          <w:p w14:paraId="6200AE69"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A48.1, A70, B34.2, B97.2, B97.4–B97.6, J09–J15.8, J15.9*, J16–J16.9, J17*–J19.6*, J20–J21.9, J22*–J22.9*, J91.0, P23*, P23.0–P23.4, P23.5*–P23.9*, U04–U04.9</w:t>
            </w:r>
          </w:p>
        </w:tc>
      </w:tr>
      <w:tr w:rsidR="00F819F0" w:rsidRPr="00E33965" w14:paraId="4244695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B014E1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C1CC77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Upper respiratory infections</w:t>
            </w:r>
          </w:p>
        </w:tc>
        <w:tc>
          <w:tcPr>
            <w:tcW w:w="5745" w:type="dxa"/>
            <w:tcBorders>
              <w:top w:val="single" w:sz="6" w:space="0" w:color="D0CECE"/>
              <w:left w:val="nil"/>
              <w:bottom w:val="single" w:sz="6" w:space="0" w:color="D0CECE"/>
              <w:right w:val="nil"/>
            </w:tcBorders>
            <w:shd w:val="clear" w:color="auto" w:fill="auto"/>
            <w:vAlign w:val="bottom"/>
          </w:tcPr>
          <w:p w14:paraId="771D83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J00–J02.8, J03–J03.8, J04–J04.2, J05–J05.1, J06.0–J06.8, J36–J36.0</w:t>
            </w:r>
          </w:p>
        </w:tc>
      </w:tr>
      <w:tr w:rsidR="00F819F0" w:rsidRPr="00E33965" w14:paraId="1ACCA3D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58AD6A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A596B2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Otitis media</w:t>
            </w:r>
          </w:p>
        </w:tc>
        <w:tc>
          <w:tcPr>
            <w:tcW w:w="5745" w:type="dxa"/>
            <w:tcBorders>
              <w:top w:val="single" w:sz="6" w:space="0" w:color="D0CECE"/>
              <w:left w:val="nil"/>
              <w:bottom w:val="single" w:sz="6" w:space="0" w:color="D0CECE"/>
              <w:right w:val="nil"/>
            </w:tcBorders>
            <w:shd w:val="clear" w:color="auto" w:fill="auto"/>
            <w:vAlign w:val="bottom"/>
          </w:tcPr>
          <w:p w14:paraId="6371AB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H70–H70.9</w:t>
            </w:r>
          </w:p>
        </w:tc>
      </w:tr>
      <w:tr w:rsidR="00F819F0" w:rsidRPr="00E33965" w14:paraId="5A60F92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7B6493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724BD1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COVID-19</w:t>
            </w:r>
          </w:p>
        </w:tc>
        <w:tc>
          <w:tcPr>
            <w:tcW w:w="5745" w:type="dxa"/>
            <w:tcBorders>
              <w:top w:val="single" w:sz="6" w:space="0" w:color="D0CECE"/>
              <w:left w:val="nil"/>
              <w:bottom w:val="single" w:sz="6" w:space="0" w:color="D0CECE"/>
              <w:right w:val="nil"/>
            </w:tcBorders>
            <w:shd w:val="clear" w:color="auto" w:fill="auto"/>
            <w:vAlign w:val="bottom"/>
          </w:tcPr>
          <w:p w14:paraId="0776247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U07–U07.2</w:t>
            </w:r>
          </w:p>
        </w:tc>
      </w:tr>
      <w:tr w:rsidR="00F819F0" w:rsidRPr="00E33965" w14:paraId="13A58B0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54297B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76C440A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Enteric infections</w:t>
            </w:r>
          </w:p>
        </w:tc>
        <w:tc>
          <w:tcPr>
            <w:tcW w:w="5745" w:type="dxa"/>
            <w:tcBorders>
              <w:top w:val="single" w:sz="6" w:space="0" w:color="D0CECE"/>
              <w:left w:val="nil"/>
              <w:bottom w:val="single" w:sz="6" w:space="0" w:color="D0CECE"/>
              <w:right w:val="nil"/>
            </w:tcBorders>
            <w:shd w:val="clear" w:color="auto" w:fill="auto"/>
            <w:vAlign w:val="bottom"/>
          </w:tcPr>
          <w:p w14:paraId="61F1C87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A00–A00.9, A01*, A01.0–A09.9, A80–A80.9, K52.1–K52.3, R19.7</w:t>
            </w:r>
          </w:p>
        </w:tc>
      </w:tr>
      <w:tr w:rsidR="00F819F0" w:rsidRPr="00E33965" w14:paraId="4E0950F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0D34B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50B3EA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Diarrheal diseases</w:t>
            </w:r>
          </w:p>
        </w:tc>
        <w:tc>
          <w:tcPr>
            <w:tcW w:w="5745" w:type="dxa"/>
            <w:tcBorders>
              <w:top w:val="single" w:sz="6" w:space="0" w:color="D0CECE"/>
              <w:left w:val="nil"/>
              <w:bottom w:val="single" w:sz="6" w:space="0" w:color="D0CECE"/>
              <w:right w:val="nil"/>
            </w:tcBorders>
            <w:shd w:val="clear" w:color="auto" w:fill="auto"/>
            <w:vAlign w:val="bottom"/>
          </w:tcPr>
          <w:p w14:paraId="2B6EA05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A00–A00.9, A02–A02.0, A02.8–A07, A07.2–A07.4, A08–A09.9, K52.1–K52.3, R19.7</w:t>
            </w:r>
          </w:p>
        </w:tc>
      </w:tr>
      <w:tr w:rsidR="00F819F0" w:rsidRPr="00E33965" w14:paraId="08900BD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673F22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91D23D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Typhoid and paratyphoid</w:t>
            </w:r>
          </w:p>
        </w:tc>
        <w:tc>
          <w:tcPr>
            <w:tcW w:w="5745" w:type="dxa"/>
            <w:tcBorders>
              <w:top w:val="single" w:sz="6" w:space="0" w:color="D0CECE"/>
              <w:left w:val="nil"/>
              <w:bottom w:val="single" w:sz="6" w:space="0" w:color="D0CECE"/>
              <w:right w:val="nil"/>
            </w:tcBorders>
            <w:shd w:val="clear" w:color="auto" w:fill="auto"/>
            <w:vAlign w:val="bottom"/>
          </w:tcPr>
          <w:p w14:paraId="2DF419D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A01.0–A01.4</w:t>
            </w:r>
          </w:p>
        </w:tc>
      </w:tr>
      <w:tr w:rsidR="00F819F0" w:rsidRPr="00E33965" w14:paraId="457EECB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922526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4C00E7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Typhoid fever</w:t>
            </w:r>
          </w:p>
        </w:tc>
        <w:tc>
          <w:tcPr>
            <w:tcW w:w="5745" w:type="dxa"/>
            <w:tcBorders>
              <w:top w:val="single" w:sz="6" w:space="0" w:color="D0CECE"/>
              <w:left w:val="nil"/>
              <w:bottom w:val="single" w:sz="6" w:space="0" w:color="D0CECE"/>
              <w:right w:val="nil"/>
            </w:tcBorders>
            <w:shd w:val="clear" w:color="auto" w:fill="auto"/>
            <w:vAlign w:val="bottom"/>
          </w:tcPr>
          <w:p w14:paraId="66F7A4E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A01.0</w:t>
            </w:r>
          </w:p>
        </w:tc>
      </w:tr>
      <w:tr w:rsidR="00F819F0" w:rsidRPr="00E33965" w14:paraId="56547FC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14B1EE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9EDBDF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Paratyphoid fever</w:t>
            </w:r>
          </w:p>
        </w:tc>
        <w:tc>
          <w:tcPr>
            <w:tcW w:w="5745" w:type="dxa"/>
            <w:tcBorders>
              <w:top w:val="single" w:sz="6" w:space="0" w:color="D0CECE"/>
              <w:left w:val="nil"/>
              <w:bottom w:val="single" w:sz="6" w:space="0" w:color="D0CECE"/>
              <w:right w:val="nil"/>
            </w:tcBorders>
            <w:shd w:val="clear" w:color="auto" w:fill="auto"/>
            <w:vAlign w:val="bottom"/>
          </w:tcPr>
          <w:p w14:paraId="209D871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A01.1–A01.4</w:t>
            </w:r>
          </w:p>
        </w:tc>
      </w:tr>
      <w:tr w:rsidR="00F819F0" w:rsidRPr="00E33965" w14:paraId="420CAD8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2B7E4B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3CF1DD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Invasive non-typhoidal Salmonella (</w:t>
            </w:r>
            <w:proofErr w:type="spellStart"/>
            <w:r w:rsidRPr="00E33965">
              <w:rPr>
                <w:rFonts w:asciiTheme="majorHAnsi" w:hAnsiTheme="majorHAnsi" w:cstheme="majorHAnsi"/>
                <w:color w:val="000000"/>
              </w:rPr>
              <w:t>iNTS</w:t>
            </w:r>
            <w:proofErr w:type="spellEnd"/>
            <w:r w:rsidRPr="00E33965">
              <w:rPr>
                <w:rFonts w:asciiTheme="majorHAnsi" w:hAnsiTheme="majorHAnsi" w:cstheme="majorHAnsi"/>
                <w:color w:val="000000"/>
              </w:rPr>
              <w:t>)</w:t>
            </w:r>
          </w:p>
        </w:tc>
        <w:tc>
          <w:tcPr>
            <w:tcW w:w="5745" w:type="dxa"/>
            <w:tcBorders>
              <w:top w:val="single" w:sz="6" w:space="0" w:color="D0CECE"/>
              <w:left w:val="nil"/>
              <w:bottom w:val="single" w:sz="6" w:space="0" w:color="D0CECE"/>
              <w:right w:val="nil"/>
            </w:tcBorders>
            <w:shd w:val="clear" w:color="auto" w:fill="auto"/>
            <w:vAlign w:val="bottom"/>
          </w:tcPr>
          <w:p w14:paraId="1BB9CD7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A02.1–A02.2</w:t>
            </w:r>
          </w:p>
        </w:tc>
      </w:tr>
      <w:tr w:rsidR="00F819F0" w:rsidRPr="00E33965" w14:paraId="48A0575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B6985E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A41FC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intestinal infectious diseases</w:t>
            </w:r>
          </w:p>
        </w:tc>
        <w:tc>
          <w:tcPr>
            <w:tcW w:w="5745" w:type="dxa"/>
            <w:tcBorders>
              <w:top w:val="single" w:sz="6" w:space="0" w:color="D0CECE"/>
              <w:left w:val="nil"/>
              <w:bottom w:val="single" w:sz="6" w:space="0" w:color="D0CECE"/>
              <w:right w:val="nil"/>
            </w:tcBorders>
            <w:shd w:val="clear" w:color="auto" w:fill="auto"/>
            <w:vAlign w:val="bottom"/>
          </w:tcPr>
          <w:p w14:paraId="70780D3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A07.0–A07.1, A07.8–A07.9, A80–A80.9</w:t>
            </w:r>
          </w:p>
        </w:tc>
      </w:tr>
      <w:tr w:rsidR="00F819F0" w:rsidRPr="00E33965" w14:paraId="6B7103F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A4291F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76E6C5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Neglected tropical diseases and malaria</w:t>
            </w:r>
          </w:p>
        </w:tc>
        <w:tc>
          <w:tcPr>
            <w:tcW w:w="5745" w:type="dxa"/>
            <w:tcBorders>
              <w:top w:val="single" w:sz="6" w:space="0" w:color="D0CECE"/>
              <w:left w:val="nil"/>
              <w:bottom w:val="single" w:sz="6" w:space="0" w:color="D0CECE"/>
              <w:right w:val="nil"/>
            </w:tcBorders>
            <w:shd w:val="clear" w:color="auto" w:fill="auto"/>
            <w:vAlign w:val="bottom"/>
          </w:tcPr>
          <w:p w14:paraId="0E298F7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A68–A68.9, A69.2–A69.9, A75–A75.9, A77–A79.9, A82–A82.9, A90–A96.9, A98–A98.8, B33.0–B33.1, B50–B53.8, B54*–B54.0*, B55.0, B56–B57.5, B60–B60.8, B65–B67.9, B69–B72.0, B74.3–B75, B77–B77.9, B82*–B82.9*, B83–B83.8, B83.9*, K93.1, P37.1, P37.3*–P37.4*, U06–U06.9</w:t>
            </w:r>
          </w:p>
        </w:tc>
      </w:tr>
      <w:tr w:rsidR="00F819F0" w:rsidRPr="00E33965" w14:paraId="69DFC0F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9B22F1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3C551B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Malaria</w:t>
            </w:r>
          </w:p>
        </w:tc>
        <w:tc>
          <w:tcPr>
            <w:tcW w:w="5745" w:type="dxa"/>
            <w:tcBorders>
              <w:top w:val="single" w:sz="6" w:space="0" w:color="D0CECE"/>
              <w:left w:val="nil"/>
              <w:bottom w:val="single" w:sz="6" w:space="0" w:color="D0CECE"/>
              <w:right w:val="nil"/>
            </w:tcBorders>
            <w:shd w:val="clear" w:color="auto" w:fill="auto"/>
            <w:vAlign w:val="bottom"/>
          </w:tcPr>
          <w:p w14:paraId="73DC6A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B50–B53.8, B54*–B54.0*, P37.3*–P37.4*</w:t>
            </w:r>
          </w:p>
        </w:tc>
      </w:tr>
      <w:tr w:rsidR="00F819F0" w:rsidRPr="00E33965" w14:paraId="2A62D75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7FA82E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07C69C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Chagas disease</w:t>
            </w:r>
          </w:p>
        </w:tc>
        <w:tc>
          <w:tcPr>
            <w:tcW w:w="5745" w:type="dxa"/>
            <w:tcBorders>
              <w:top w:val="single" w:sz="6" w:space="0" w:color="D0CECE"/>
              <w:left w:val="nil"/>
              <w:bottom w:val="single" w:sz="6" w:space="0" w:color="D0CECE"/>
              <w:right w:val="nil"/>
            </w:tcBorders>
            <w:shd w:val="clear" w:color="auto" w:fill="auto"/>
            <w:vAlign w:val="bottom"/>
          </w:tcPr>
          <w:p w14:paraId="6FF1CD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B57–B57.5, K93.1</w:t>
            </w:r>
          </w:p>
        </w:tc>
      </w:tr>
      <w:tr w:rsidR="00F819F0" w:rsidRPr="00E33965" w14:paraId="6B3FD76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CEC117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7674C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Leishmaniasis</w:t>
            </w:r>
          </w:p>
        </w:tc>
        <w:tc>
          <w:tcPr>
            <w:tcW w:w="5745" w:type="dxa"/>
            <w:tcBorders>
              <w:top w:val="single" w:sz="6" w:space="0" w:color="D0CECE"/>
              <w:left w:val="nil"/>
              <w:bottom w:val="single" w:sz="6" w:space="0" w:color="D0CECE"/>
              <w:right w:val="nil"/>
            </w:tcBorders>
            <w:shd w:val="clear" w:color="auto" w:fill="auto"/>
            <w:vAlign w:val="bottom"/>
          </w:tcPr>
          <w:p w14:paraId="50E48E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B55.0</w:t>
            </w:r>
          </w:p>
        </w:tc>
      </w:tr>
      <w:tr w:rsidR="00F819F0" w:rsidRPr="00E33965" w14:paraId="348C786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B37775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9EB08D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Visceral leishmaniasis</w:t>
            </w:r>
          </w:p>
        </w:tc>
        <w:tc>
          <w:tcPr>
            <w:tcW w:w="5745" w:type="dxa"/>
            <w:tcBorders>
              <w:top w:val="single" w:sz="6" w:space="0" w:color="D0CECE"/>
              <w:left w:val="nil"/>
              <w:bottom w:val="single" w:sz="6" w:space="0" w:color="D0CECE"/>
              <w:right w:val="nil"/>
            </w:tcBorders>
            <w:shd w:val="clear" w:color="auto" w:fill="auto"/>
            <w:vAlign w:val="bottom"/>
          </w:tcPr>
          <w:p w14:paraId="78BE388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B55.0</w:t>
            </w:r>
          </w:p>
        </w:tc>
      </w:tr>
      <w:tr w:rsidR="00F819F0" w:rsidRPr="00E33965" w14:paraId="4E7ED4C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BF2DE2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F4171D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African trypanosomiasis</w:t>
            </w:r>
          </w:p>
        </w:tc>
        <w:tc>
          <w:tcPr>
            <w:tcW w:w="5745" w:type="dxa"/>
            <w:tcBorders>
              <w:top w:val="single" w:sz="6" w:space="0" w:color="D0CECE"/>
              <w:left w:val="nil"/>
              <w:bottom w:val="single" w:sz="6" w:space="0" w:color="D0CECE"/>
              <w:right w:val="nil"/>
            </w:tcBorders>
            <w:shd w:val="clear" w:color="auto" w:fill="auto"/>
            <w:vAlign w:val="bottom"/>
          </w:tcPr>
          <w:p w14:paraId="0CB9C9C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B56–B56.9</w:t>
            </w:r>
          </w:p>
        </w:tc>
      </w:tr>
      <w:tr w:rsidR="00F819F0" w:rsidRPr="00E33965" w14:paraId="675AECF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2B6797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D5E9E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Schistosomiasis</w:t>
            </w:r>
          </w:p>
        </w:tc>
        <w:tc>
          <w:tcPr>
            <w:tcW w:w="5745" w:type="dxa"/>
            <w:tcBorders>
              <w:top w:val="single" w:sz="6" w:space="0" w:color="D0CECE"/>
              <w:left w:val="nil"/>
              <w:bottom w:val="single" w:sz="6" w:space="0" w:color="D0CECE"/>
              <w:right w:val="nil"/>
            </w:tcBorders>
            <w:shd w:val="clear" w:color="auto" w:fill="auto"/>
            <w:vAlign w:val="bottom"/>
          </w:tcPr>
          <w:p w14:paraId="11F461D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B65–B65.9</w:t>
            </w:r>
          </w:p>
        </w:tc>
      </w:tr>
      <w:tr w:rsidR="00F819F0" w:rsidRPr="00E33965" w14:paraId="7920657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641BAD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2A98E4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Cysticercosis</w:t>
            </w:r>
          </w:p>
        </w:tc>
        <w:tc>
          <w:tcPr>
            <w:tcW w:w="5745" w:type="dxa"/>
            <w:tcBorders>
              <w:top w:val="single" w:sz="6" w:space="0" w:color="D0CECE"/>
              <w:left w:val="nil"/>
              <w:bottom w:val="single" w:sz="6" w:space="0" w:color="D0CECE"/>
              <w:right w:val="nil"/>
            </w:tcBorders>
            <w:shd w:val="clear" w:color="auto" w:fill="auto"/>
            <w:vAlign w:val="bottom"/>
          </w:tcPr>
          <w:p w14:paraId="7DC491F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B69–B69.9</w:t>
            </w:r>
          </w:p>
        </w:tc>
      </w:tr>
      <w:tr w:rsidR="00F819F0" w:rsidRPr="00E33965" w14:paraId="042F081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AE1F4B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797663B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Cystic echinococcosis</w:t>
            </w:r>
          </w:p>
        </w:tc>
        <w:tc>
          <w:tcPr>
            <w:tcW w:w="5745" w:type="dxa"/>
            <w:tcBorders>
              <w:top w:val="single" w:sz="6" w:space="0" w:color="D0CECE"/>
              <w:left w:val="nil"/>
              <w:bottom w:val="single" w:sz="6" w:space="0" w:color="D0CECE"/>
              <w:right w:val="nil"/>
            </w:tcBorders>
            <w:shd w:val="clear" w:color="auto" w:fill="auto"/>
            <w:vAlign w:val="bottom"/>
          </w:tcPr>
          <w:p w14:paraId="4DDBCC0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B67–B67.4, B67.8–B67.9</w:t>
            </w:r>
          </w:p>
        </w:tc>
      </w:tr>
      <w:tr w:rsidR="00F819F0" w:rsidRPr="00E33965" w14:paraId="19AA9EC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B55B17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185358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Dengue</w:t>
            </w:r>
          </w:p>
        </w:tc>
        <w:tc>
          <w:tcPr>
            <w:tcW w:w="5745" w:type="dxa"/>
            <w:tcBorders>
              <w:top w:val="single" w:sz="6" w:space="0" w:color="D0CECE"/>
              <w:left w:val="nil"/>
              <w:bottom w:val="single" w:sz="6" w:space="0" w:color="D0CECE"/>
              <w:right w:val="nil"/>
            </w:tcBorders>
            <w:shd w:val="clear" w:color="auto" w:fill="auto"/>
            <w:vAlign w:val="bottom"/>
          </w:tcPr>
          <w:p w14:paraId="2E62A6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A90–A91.9</w:t>
            </w:r>
          </w:p>
        </w:tc>
      </w:tr>
      <w:tr w:rsidR="00F819F0" w:rsidRPr="00E33965" w14:paraId="27442CB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198FE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56CEF8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Yellow fever</w:t>
            </w:r>
          </w:p>
        </w:tc>
        <w:tc>
          <w:tcPr>
            <w:tcW w:w="5745" w:type="dxa"/>
            <w:tcBorders>
              <w:top w:val="single" w:sz="6" w:space="0" w:color="D0CECE"/>
              <w:left w:val="nil"/>
              <w:bottom w:val="single" w:sz="6" w:space="0" w:color="D0CECE"/>
              <w:right w:val="nil"/>
            </w:tcBorders>
            <w:shd w:val="clear" w:color="auto" w:fill="auto"/>
            <w:vAlign w:val="bottom"/>
          </w:tcPr>
          <w:p w14:paraId="5F2EF39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A95–A95.9</w:t>
            </w:r>
          </w:p>
        </w:tc>
      </w:tr>
      <w:tr w:rsidR="00F819F0" w:rsidRPr="00E33965" w14:paraId="2A0849D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D7362A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E9CB78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Rabies</w:t>
            </w:r>
          </w:p>
        </w:tc>
        <w:tc>
          <w:tcPr>
            <w:tcW w:w="5745" w:type="dxa"/>
            <w:tcBorders>
              <w:top w:val="single" w:sz="6" w:space="0" w:color="D0CECE"/>
              <w:left w:val="nil"/>
              <w:bottom w:val="single" w:sz="6" w:space="0" w:color="D0CECE"/>
              <w:right w:val="nil"/>
            </w:tcBorders>
            <w:shd w:val="clear" w:color="auto" w:fill="auto"/>
            <w:vAlign w:val="bottom"/>
          </w:tcPr>
          <w:p w14:paraId="6D3875B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A82–A82.9</w:t>
            </w:r>
          </w:p>
        </w:tc>
      </w:tr>
      <w:tr w:rsidR="00F819F0" w:rsidRPr="00E33965" w14:paraId="5E8FDF9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B049F1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B57BF6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Intestinal nematode infections</w:t>
            </w:r>
          </w:p>
        </w:tc>
        <w:tc>
          <w:tcPr>
            <w:tcW w:w="5745" w:type="dxa"/>
            <w:tcBorders>
              <w:top w:val="single" w:sz="6" w:space="0" w:color="D0CECE"/>
              <w:left w:val="nil"/>
              <w:bottom w:val="single" w:sz="6" w:space="0" w:color="D0CECE"/>
              <w:right w:val="nil"/>
            </w:tcBorders>
            <w:shd w:val="clear" w:color="auto" w:fill="auto"/>
            <w:vAlign w:val="bottom"/>
          </w:tcPr>
          <w:p w14:paraId="10566C9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B77–B77.9</w:t>
            </w:r>
          </w:p>
        </w:tc>
      </w:tr>
      <w:tr w:rsidR="00F819F0" w:rsidRPr="00E33965" w14:paraId="176BBFB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080EFA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D75DC8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Ascariasis</w:t>
            </w:r>
          </w:p>
        </w:tc>
        <w:tc>
          <w:tcPr>
            <w:tcW w:w="5745" w:type="dxa"/>
            <w:tcBorders>
              <w:top w:val="single" w:sz="6" w:space="0" w:color="D0CECE"/>
              <w:left w:val="nil"/>
              <w:bottom w:val="single" w:sz="6" w:space="0" w:color="D0CECE"/>
              <w:right w:val="nil"/>
            </w:tcBorders>
            <w:shd w:val="clear" w:color="auto" w:fill="auto"/>
            <w:vAlign w:val="bottom"/>
          </w:tcPr>
          <w:p w14:paraId="2D9A66F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B77–B77.9</w:t>
            </w:r>
          </w:p>
        </w:tc>
      </w:tr>
      <w:tr w:rsidR="00F819F0" w:rsidRPr="00E33965" w14:paraId="5FE18C2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BA657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76EEE1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Ebola virus disease</w:t>
            </w:r>
          </w:p>
        </w:tc>
        <w:tc>
          <w:tcPr>
            <w:tcW w:w="5745" w:type="dxa"/>
            <w:tcBorders>
              <w:top w:val="single" w:sz="6" w:space="0" w:color="D0CECE"/>
              <w:left w:val="nil"/>
              <w:bottom w:val="single" w:sz="6" w:space="0" w:color="D0CECE"/>
              <w:right w:val="nil"/>
            </w:tcBorders>
            <w:shd w:val="clear" w:color="auto" w:fill="auto"/>
            <w:vAlign w:val="bottom"/>
          </w:tcPr>
          <w:p w14:paraId="55B019F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A98.4</w:t>
            </w:r>
          </w:p>
        </w:tc>
      </w:tr>
      <w:tr w:rsidR="00F819F0" w:rsidRPr="00E33965" w14:paraId="47D2983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ACB539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552BF5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Zika virus disease</w:t>
            </w:r>
          </w:p>
        </w:tc>
        <w:tc>
          <w:tcPr>
            <w:tcW w:w="5745" w:type="dxa"/>
            <w:tcBorders>
              <w:top w:val="single" w:sz="6" w:space="0" w:color="D0CECE"/>
              <w:left w:val="nil"/>
              <w:bottom w:val="single" w:sz="6" w:space="0" w:color="D0CECE"/>
              <w:right w:val="nil"/>
            </w:tcBorders>
            <w:shd w:val="clear" w:color="auto" w:fill="auto"/>
            <w:vAlign w:val="bottom"/>
          </w:tcPr>
          <w:p w14:paraId="2284483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U06–U06.9</w:t>
            </w:r>
          </w:p>
        </w:tc>
      </w:tr>
      <w:tr w:rsidR="00F819F0" w:rsidRPr="00E33965" w14:paraId="6A3EF2B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525EE4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B32655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neglected tropical diseases</w:t>
            </w:r>
          </w:p>
        </w:tc>
        <w:tc>
          <w:tcPr>
            <w:tcW w:w="5745" w:type="dxa"/>
            <w:tcBorders>
              <w:top w:val="single" w:sz="6" w:space="0" w:color="D0CECE"/>
              <w:left w:val="nil"/>
              <w:bottom w:val="single" w:sz="6" w:space="0" w:color="D0CECE"/>
              <w:right w:val="nil"/>
            </w:tcBorders>
            <w:shd w:val="clear" w:color="auto" w:fill="auto"/>
            <w:vAlign w:val="bottom"/>
          </w:tcPr>
          <w:p w14:paraId="6766B51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A68–A68.9, A69.2–A69.9, A75–A75.9, A77–A79.9, A92–A94.0, A96–A96.9, A98–A98.3, A98.5–A98.8, B33.0–B33.1, B60–B60.8, B67.5–B67.7, B70–B71.9, B74.3–B75, B83–B83.8, P37.1</w:t>
            </w:r>
          </w:p>
        </w:tc>
      </w:tr>
      <w:tr w:rsidR="00F819F0" w:rsidRPr="00E33965" w14:paraId="11FD0DC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BF19CB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4F15CA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infectious diseases</w:t>
            </w:r>
          </w:p>
        </w:tc>
        <w:tc>
          <w:tcPr>
            <w:tcW w:w="5745" w:type="dxa"/>
            <w:tcBorders>
              <w:top w:val="single" w:sz="6" w:space="0" w:color="D0CECE"/>
              <w:left w:val="nil"/>
              <w:bottom w:val="single" w:sz="6" w:space="0" w:color="D0CECE"/>
              <w:right w:val="nil"/>
            </w:tcBorders>
            <w:shd w:val="clear" w:color="auto" w:fill="auto"/>
            <w:vAlign w:val="bottom"/>
          </w:tcPr>
          <w:p w14:paraId="11FC2AA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A20–A28.9, A32–A39.9, A48.2, A48.4–A48.5, A65–A65.0, A69–A69.1, A74, A74.8–A74.9, A81–A81.9, A83–A89.9, B00–B06.9, B10–B10.8, B15–B16.2, B17.0, B17.2, B19.1, B25–B27.9, B29.4, B33, B33.3–B33.8, B47–B48.8, B91, B94.1, B95–B95.5, D70.3, D89.3, F02.1, F07.1, G00*, G00.0–G00.8, G00.9*–G02.8*, G03–G03.8, G03.9*, G04–G05.8, G09*–G09.9*, G14–G14.6, G21.3, I00, I02, I02.9, I98.1, K67.8, K75.3, K76.3, K77.0, M49.1, M89.6, P35–P35.9, P37, P37.2, P37.5–P37.9, U82–U84, U85–U89, Z16–Z16.3</w:t>
            </w:r>
          </w:p>
        </w:tc>
      </w:tr>
      <w:tr w:rsidR="00F819F0" w:rsidRPr="00E33965" w14:paraId="3E16BF9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4056A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EDC0B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Meningitis</w:t>
            </w:r>
          </w:p>
        </w:tc>
        <w:tc>
          <w:tcPr>
            <w:tcW w:w="5745" w:type="dxa"/>
            <w:tcBorders>
              <w:top w:val="single" w:sz="6" w:space="0" w:color="D0CECE"/>
              <w:left w:val="nil"/>
              <w:bottom w:val="single" w:sz="6" w:space="0" w:color="D0CECE"/>
              <w:right w:val="nil"/>
            </w:tcBorders>
            <w:shd w:val="clear" w:color="auto" w:fill="auto"/>
            <w:vAlign w:val="bottom"/>
          </w:tcPr>
          <w:p w14:paraId="6AA7AFF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A39–A39.9, A87–A87.9, G00*, G00.0–G00.8, G00.9*–G02.8*, G03–G03.8, G03.9*</w:t>
            </w:r>
          </w:p>
        </w:tc>
      </w:tr>
      <w:tr w:rsidR="00F819F0" w:rsidRPr="00E33965" w14:paraId="3408824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9C1FA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1AB1C2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Encephalitis</w:t>
            </w:r>
          </w:p>
        </w:tc>
        <w:tc>
          <w:tcPr>
            <w:tcW w:w="5745" w:type="dxa"/>
            <w:tcBorders>
              <w:top w:val="single" w:sz="6" w:space="0" w:color="D0CECE"/>
              <w:left w:val="nil"/>
              <w:bottom w:val="single" w:sz="6" w:space="0" w:color="D0CECE"/>
              <w:right w:val="nil"/>
            </w:tcBorders>
            <w:shd w:val="clear" w:color="auto" w:fill="auto"/>
            <w:vAlign w:val="bottom"/>
          </w:tcPr>
          <w:p w14:paraId="4C64045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A83–A86.4, B94.1, F07.1, G04–G05.8, G21.3</w:t>
            </w:r>
          </w:p>
        </w:tc>
      </w:tr>
      <w:tr w:rsidR="00F819F0" w:rsidRPr="00E33965" w14:paraId="275C9C5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579FE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41EF35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Diphtheria</w:t>
            </w:r>
          </w:p>
        </w:tc>
        <w:tc>
          <w:tcPr>
            <w:tcW w:w="5745" w:type="dxa"/>
            <w:tcBorders>
              <w:top w:val="single" w:sz="6" w:space="0" w:color="D0CECE"/>
              <w:left w:val="nil"/>
              <w:bottom w:val="single" w:sz="6" w:space="0" w:color="D0CECE"/>
              <w:right w:val="nil"/>
            </w:tcBorders>
            <w:shd w:val="clear" w:color="auto" w:fill="auto"/>
            <w:vAlign w:val="bottom"/>
          </w:tcPr>
          <w:p w14:paraId="626A697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A36–A36.9</w:t>
            </w:r>
          </w:p>
        </w:tc>
      </w:tr>
      <w:tr w:rsidR="00F819F0" w:rsidRPr="00E33965" w14:paraId="143EC4D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6E5E8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D129A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Pertussis</w:t>
            </w:r>
          </w:p>
        </w:tc>
        <w:tc>
          <w:tcPr>
            <w:tcW w:w="5745" w:type="dxa"/>
            <w:tcBorders>
              <w:top w:val="single" w:sz="6" w:space="0" w:color="D0CECE"/>
              <w:left w:val="nil"/>
              <w:bottom w:val="single" w:sz="6" w:space="0" w:color="D0CECE"/>
              <w:right w:val="nil"/>
            </w:tcBorders>
            <w:shd w:val="clear" w:color="auto" w:fill="auto"/>
            <w:vAlign w:val="bottom"/>
          </w:tcPr>
          <w:p w14:paraId="2DB8591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A37–A37.9</w:t>
            </w:r>
          </w:p>
        </w:tc>
      </w:tr>
      <w:tr w:rsidR="00F819F0" w:rsidRPr="00E33965" w14:paraId="1CA17A2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7130F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13DEB1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Tetanus</w:t>
            </w:r>
          </w:p>
        </w:tc>
        <w:tc>
          <w:tcPr>
            <w:tcW w:w="5745" w:type="dxa"/>
            <w:tcBorders>
              <w:top w:val="single" w:sz="6" w:space="0" w:color="D0CECE"/>
              <w:left w:val="nil"/>
              <w:bottom w:val="single" w:sz="6" w:space="0" w:color="D0CECE"/>
              <w:right w:val="nil"/>
            </w:tcBorders>
            <w:shd w:val="clear" w:color="auto" w:fill="auto"/>
            <w:vAlign w:val="bottom"/>
          </w:tcPr>
          <w:p w14:paraId="7F70921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A33–A35.0</w:t>
            </w:r>
          </w:p>
        </w:tc>
      </w:tr>
      <w:tr w:rsidR="00F819F0" w:rsidRPr="00E33965" w14:paraId="69DFACA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9D84FD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A7B8F8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Measles</w:t>
            </w:r>
          </w:p>
        </w:tc>
        <w:tc>
          <w:tcPr>
            <w:tcW w:w="5745" w:type="dxa"/>
            <w:tcBorders>
              <w:top w:val="single" w:sz="6" w:space="0" w:color="D0CECE"/>
              <w:left w:val="nil"/>
              <w:bottom w:val="single" w:sz="6" w:space="0" w:color="D0CECE"/>
              <w:right w:val="nil"/>
            </w:tcBorders>
            <w:shd w:val="clear" w:color="auto" w:fill="auto"/>
            <w:vAlign w:val="bottom"/>
          </w:tcPr>
          <w:p w14:paraId="713DC5F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B05–B05.9</w:t>
            </w:r>
          </w:p>
        </w:tc>
      </w:tr>
      <w:tr w:rsidR="00F819F0" w:rsidRPr="00E33965" w14:paraId="2996632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4EF777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1C78A5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Varicella and herpes zoster</w:t>
            </w:r>
          </w:p>
        </w:tc>
        <w:tc>
          <w:tcPr>
            <w:tcW w:w="5745" w:type="dxa"/>
            <w:tcBorders>
              <w:top w:val="single" w:sz="6" w:space="0" w:color="D0CECE"/>
              <w:left w:val="nil"/>
              <w:bottom w:val="single" w:sz="6" w:space="0" w:color="D0CECE"/>
              <w:right w:val="nil"/>
            </w:tcBorders>
            <w:shd w:val="clear" w:color="auto" w:fill="auto"/>
            <w:vAlign w:val="bottom"/>
          </w:tcPr>
          <w:p w14:paraId="4F13119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B01–B02.9, P35.8</w:t>
            </w:r>
          </w:p>
        </w:tc>
      </w:tr>
      <w:tr w:rsidR="00F819F0" w:rsidRPr="00E33965" w14:paraId="002A0E6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965FFA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90E27A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Acute hepatitis</w:t>
            </w:r>
          </w:p>
        </w:tc>
        <w:tc>
          <w:tcPr>
            <w:tcW w:w="5745" w:type="dxa"/>
            <w:tcBorders>
              <w:top w:val="single" w:sz="6" w:space="0" w:color="D0CECE"/>
              <w:left w:val="nil"/>
              <w:bottom w:val="single" w:sz="6" w:space="0" w:color="D0CECE"/>
              <w:right w:val="nil"/>
            </w:tcBorders>
            <w:shd w:val="clear" w:color="auto" w:fill="auto"/>
            <w:vAlign w:val="bottom"/>
          </w:tcPr>
          <w:p w14:paraId="1F14E88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B15–B16.2, B17.0, B17.2, B19.1, P35.3</w:t>
            </w:r>
          </w:p>
        </w:tc>
      </w:tr>
      <w:tr w:rsidR="00F819F0" w:rsidRPr="00E33965" w14:paraId="7C48F98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876C96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0193B4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Acute hepatitis A</w:t>
            </w:r>
          </w:p>
        </w:tc>
        <w:tc>
          <w:tcPr>
            <w:tcW w:w="5745" w:type="dxa"/>
            <w:tcBorders>
              <w:top w:val="single" w:sz="6" w:space="0" w:color="D0CECE"/>
              <w:left w:val="nil"/>
              <w:bottom w:val="single" w:sz="6" w:space="0" w:color="D0CECE"/>
              <w:right w:val="nil"/>
            </w:tcBorders>
            <w:shd w:val="clear" w:color="auto" w:fill="auto"/>
            <w:vAlign w:val="bottom"/>
          </w:tcPr>
          <w:p w14:paraId="5304DAC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B15–B15.9</w:t>
            </w:r>
          </w:p>
        </w:tc>
      </w:tr>
      <w:tr w:rsidR="00F819F0" w:rsidRPr="00E33965" w14:paraId="45A1FD8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6997A9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9010F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Acute hepatitis B</w:t>
            </w:r>
          </w:p>
        </w:tc>
        <w:tc>
          <w:tcPr>
            <w:tcW w:w="5745" w:type="dxa"/>
            <w:tcBorders>
              <w:top w:val="single" w:sz="6" w:space="0" w:color="D0CECE"/>
              <w:left w:val="nil"/>
              <w:bottom w:val="single" w:sz="6" w:space="0" w:color="D0CECE"/>
              <w:right w:val="nil"/>
            </w:tcBorders>
            <w:shd w:val="clear" w:color="auto" w:fill="auto"/>
            <w:vAlign w:val="bottom"/>
          </w:tcPr>
          <w:p w14:paraId="58B2277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B16–B16.2, B17.0, B19.1, P35.3</w:t>
            </w:r>
          </w:p>
        </w:tc>
      </w:tr>
      <w:tr w:rsidR="00F819F0" w:rsidRPr="00E33965" w14:paraId="63AF0EB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2887F2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98219A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Acute hepatitis E</w:t>
            </w:r>
          </w:p>
        </w:tc>
        <w:tc>
          <w:tcPr>
            <w:tcW w:w="5745" w:type="dxa"/>
            <w:tcBorders>
              <w:top w:val="single" w:sz="6" w:space="0" w:color="D0CECE"/>
              <w:left w:val="nil"/>
              <w:bottom w:val="single" w:sz="6" w:space="0" w:color="D0CECE"/>
              <w:right w:val="nil"/>
            </w:tcBorders>
            <w:shd w:val="clear" w:color="auto" w:fill="auto"/>
            <w:vAlign w:val="bottom"/>
          </w:tcPr>
          <w:p w14:paraId="0F2042C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B17.2</w:t>
            </w:r>
          </w:p>
        </w:tc>
      </w:tr>
      <w:tr w:rsidR="00F819F0" w:rsidRPr="00E33965" w14:paraId="71180D9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DD503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FF386E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unspecified infectious diseases</w:t>
            </w:r>
          </w:p>
        </w:tc>
        <w:tc>
          <w:tcPr>
            <w:tcW w:w="5745" w:type="dxa"/>
            <w:tcBorders>
              <w:top w:val="single" w:sz="6" w:space="0" w:color="D0CECE"/>
              <w:left w:val="nil"/>
              <w:bottom w:val="single" w:sz="6" w:space="0" w:color="D0CECE"/>
              <w:right w:val="nil"/>
            </w:tcBorders>
            <w:shd w:val="clear" w:color="auto" w:fill="auto"/>
            <w:vAlign w:val="bottom"/>
          </w:tcPr>
          <w:p w14:paraId="3C8C65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A20–A28.9, A32–A32.9, A38–A38.9, A48.2, A48.4–A48.5, A65–A65.0, A69–A69.1, A74, A74.8–A74.9, A81–A81.9, A88–A89.9, B00–B00.9, B03–B04, B06–B06.9, B10–B10.8, B25–B27.9, B29.4, B33, B33.3–B33.8, B47–B48.8, B91, B95–B95.5, D70.3, D89.3, F02.1, G14–G14.6, I00, I02, I02.9, I98.1, K67.8, K75.3, K76.3, K77.0, M49.1, M89.6, P35–P35.2, P35.9, P37, P37.2, P37.5–P37.9, U82–U84, U85–U89, Z16–Z16.3</w:t>
            </w:r>
          </w:p>
        </w:tc>
      </w:tr>
      <w:tr w:rsidR="00F819F0" w:rsidRPr="007569F5" w14:paraId="1201E15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2CD93D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63AEB9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and neonatal disorders</w:t>
            </w:r>
          </w:p>
        </w:tc>
        <w:tc>
          <w:tcPr>
            <w:tcW w:w="5745" w:type="dxa"/>
            <w:tcBorders>
              <w:top w:val="single" w:sz="6" w:space="0" w:color="D0CECE"/>
              <w:left w:val="nil"/>
              <w:bottom w:val="single" w:sz="6" w:space="0" w:color="D0CECE"/>
              <w:right w:val="nil"/>
            </w:tcBorders>
            <w:shd w:val="clear" w:color="auto" w:fill="auto"/>
            <w:vAlign w:val="bottom"/>
          </w:tcPr>
          <w:p w14:paraId="41090497"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C58–C58.0, N96, N98–N98.9, O00–O07.9, O08*–O08.9*, O09–O16.9, O17*–O19*, O20–O26.9, O27*, O28–O36.9, O37*–O39*, O40–O48.1, O49*–O59*, O60–O77.9, O78*–O79*, O80–O92.7, O93*–O95.9*, O96–O98.6, O98.8–P04.2, P04.5–P05.9, P07–</w:t>
            </w:r>
            <w:r w:rsidRPr="007569F5">
              <w:rPr>
                <w:rFonts w:asciiTheme="majorHAnsi" w:hAnsiTheme="majorHAnsi" w:cstheme="majorHAnsi"/>
                <w:color w:val="000000"/>
                <w:lang w:val="es-419"/>
              </w:rPr>
              <w:lastRenderedPageBreak/>
              <w:t>P15.9, P19–P22.9, P24–P29.9, P36–P36.9, P38–P39.9, P50–P61.9, P70–P70.1, P70.3–P72.9, P74–P78.9, P80–P81.9, P83–P84, P90–P92.9, P94–P94.9, P96, P96.3–P96.4, P96.8</w:t>
            </w:r>
          </w:p>
        </w:tc>
      </w:tr>
      <w:tr w:rsidR="00F819F0" w:rsidRPr="007569F5" w14:paraId="5E5EEC3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D2F4B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4A6AC01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disorders</w:t>
            </w:r>
          </w:p>
        </w:tc>
        <w:tc>
          <w:tcPr>
            <w:tcW w:w="5745" w:type="dxa"/>
            <w:tcBorders>
              <w:top w:val="single" w:sz="6" w:space="0" w:color="D0CECE"/>
              <w:left w:val="nil"/>
              <w:bottom w:val="single" w:sz="6" w:space="0" w:color="D0CECE"/>
              <w:right w:val="nil"/>
            </w:tcBorders>
            <w:shd w:val="clear" w:color="auto" w:fill="auto"/>
            <w:vAlign w:val="bottom"/>
          </w:tcPr>
          <w:p w14:paraId="7C58310E"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C58–C58.0, N96, N98–N98.9, O00–O07.9, O08*–O08.9*, O09–O16.9, O17*–O19*, O20–O26.9, O27*, O28–O36.9, O37*–O39*, O40–O48.1, O49*–O59*, O60–O77.9, O78*–O79*, O80–O92.7, O93*–O95.9*, O96–O98.6, O98.8–O99.9</w:t>
            </w:r>
          </w:p>
        </w:tc>
      </w:tr>
      <w:tr w:rsidR="00F819F0" w:rsidRPr="007569F5" w14:paraId="4AF6ED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A988C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9526C1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Maternal </w:t>
            </w:r>
            <w:proofErr w:type="spellStart"/>
            <w:r w:rsidRPr="00E33965">
              <w:rPr>
                <w:rFonts w:asciiTheme="majorHAnsi" w:hAnsiTheme="majorHAnsi" w:cstheme="majorHAnsi"/>
                <w:color w:val="000000"/>
              </w:rPr>
              <w:t>haemorrhage</w:t>
            </w:r>
            <w:proofErr w:type="spellEnd"/>
          </w:p>
        </w:tc>
        <w:tc>
          <w:tcPr>
            <w:tcW w:w="5745" w:type="dxa"/>
            <w:tcBorders>
              <w:top w:val="single" w:sz="6" w:space="0" w:color="D0CECE"/>
              <w:left w:val="nil"/>
              <w:bottom w:val="single" w:sz="6" w:space="0" w:color="D0CECE"/>
              <w:right w:val="nil"/>
            </w:tcBorders>
            <w:shd w:val="clear" w:color="auto" w:fill="auto"/>
            <w:vAlign w:val="bottom"/>
          </w:tcPr>
          <w:p w14:paraId="7A091EFE"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O20–O20.9, O43.2, O44–O46.9, O62–O62.9, O67–O67.9, O70, O72–O72.3</w:t>
            </w:r>
          </w:p>
        </w:tc>
      </w:tr>
      <w:tr w:rsidR="00F819F0" w:rsidRPr="00E33965" w14:paraId="11F732C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DFEA7C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D77D7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sepsis and other maternal infections</w:t>
            </w:r>
          </w:p>
        </w:tc>
        <w:tc>
          <w:tcPr>
            <w:tcW w:w="5745" w:type="dxa"/>
            <w:tcBorders>
              <w:top w:val="single" w:sz="6" w:space="0" w:color="D0CECE"/>
              <w:left w:val="nil"/>
              <w:bottom w:val="single" w:sz="6" w:space="0" w:color="D0CECE"/>
              <w:right w:val="nil"/>
            </w:tcBorders>
            <w:shd w:val="clear" w:color="auto" w:fill="auto"/>
            <w:vAlign w:val="bottom"/>
          </w:tcPr>
          <w:p w14:paraId="6998476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O23–O23.9, O85–O86.8, O91–O91.2</w:t>
            </w:r>
          </w:p>
        </w:tc>
      </w:tr>
      <w:tr w:rsidR="00F819F0" w:rsidRPr="00E33965" w14:paraId="0CBFF94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3649EC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62C8DB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hypertensive disorders</w:t>
            </w:r>
          </w:p>
        </w:tc>
        <w:tc>
          <w:tcPr>
            <w:tcW w:w="5745" w:type="dxa"/>
            <w:tcBorders>
              <w:top w:val="single" w:sz="6" w:space="0" w:color="D0CECE"/>
              <w:left w:val="nil"/>
              <w:bottom w:val="single" w:sz="6" w:space="0" w:color="D0CECE"/>
              <w:right w:val="nil"/>
            </w:tcBorders>
            <w:shd w:val="clear" w:color="auto" w:fill="auto"/>
            <w:vAlign w:val="bottom"/>
          </w:tcPr>
          <w:p w14:paraId="06447EC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O10–O16.9</w:t>
            </w:r>
          </w:p>
        </w:tc>
      </w:tr>
      <w:tr w:rsidR="00F819F0" w:rsidRPr="00E33965" w14:paraId="39302C5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BCAC4A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CE611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obstructed labor and uterine rupture</w:t>
            </w:r>
          </w:p>
        </w:tc>
        <w:tc>
          <w:tcPr>
            <w:tcW w:w="5745" w:type="dxa"/>
            <w:tcBorders>
              <w:top w:val="single" w:sz="6" w:space="0" w:color="D0CECE"/>
              <w:left w:val="nil"/>
              <w:bottom w:val="single" w:sz="6" w:space="0" w:color="D0CECE"/>
              <w:right w:val="nil"/>
            </w:tcBorders>
            <w:shd w:val="clear" w:color="auto" w:fill="auto"/>
            <w:vAlign w:val="bottom"/>
          </w:tcPr>
          <w:p w14:paraId="514AAF3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O32–O33.9, O64–O66.9, O71–O71.9</w:t>
            </w:r>
          </w:p>
        </w:tc>
      </w:tr>
      <w:tr w:rsidR="00F819F0" w:rsidRPr="00E33965" w14:paraId="247E2B4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821E64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78B7E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Maternal abortion and miscarriage</w:t>
            </w:r>
          </w:p>
        </w:tc>
        <w:tc>
          <w:tcPr>
            <w:tcW w:w="5745" w:type="dxa"/>
            <w:tcBorders>
              <w:top w:val="single" w:sz="6" w:space="0" w:color="D0CECE"/>
              <w:left w:val="nil"/>
              <w:bottom w:val="single" w:sz="6" w:space="0" w:color="D0CECE"/>
              <w:right w:val="nil"/>
            </w:tcBorders>
            <w:shd w:val="clear" w:color="auto" w:fill="auto"/>
            <w:vAlign w:val="bottom"/>
          </w:tcPr>
          <w:p w14:paraId="5D79CB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N96, O01–O07.9</w:t>
            </w:r>
          </w:p>
        </w:tc>
      </w:tr>
      <w:tr w:rsidR="00F819F0" w:rsidRPr="00E33965" w14:paraId="223E27C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74F275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2A5520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Ectopic pregnancy</w:t>
            </w:r>
          </w:p>
        </w:tc>
        <w:tc>
          <w:tcPr>
            <w:tcW w:w="5745" w:type="dxa"/>
            <w:tcBorders>
              <w:top w:val="single" w:sz="6" w:space="0" w:color="D0CECE"/>
              <w:left w:val="nil"/>
              <w:bottom w:val="single" w:sz="6" w:space="0" w:color="D0CECE"/>
              <w:right w:val="nil"/>
            </w:tcBorders>
            <w:shd w:val="clear" w:color="auto" w:fill="auto"/>
            <w:vAlign w:val="bottom"/>
          </w:tcPr>
          <w:p w14:paraId="2B48C87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O00–O00.9</w:t>
            </w:r>
          </w:p>
        </w:tc>
      </w:tr>
      <w:tr w:rsidR="00F819F0" w:rsidRPr="00E33965" w14:paraId="5E051CB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5882A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3DBCE9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Indirect maternal deaths</w:t>
            </w:r>
          </w:p>
        </w:tc>
        <w:tc>
          <w:tcPr>
            <w:tcW w:w="5745" w:type="dxa"/>
            <w:tcBorders>
              <w:top w:val="single" w:sz="6" w:space="0" w:color="D0CECE"/>
              <w:left w:val="nil"/>
              <w:bottom w:val="single" w:sz="6" w:space="0" w:color="D0CECE"/>
              <w:right w:val="nil"/>
            </w:tcBorders>
            <w:shd w:val="clear" w:color="auto" w:fill="auto"/>
            <w:vAlign w:val="bottom"/>
          </w:tcPr>
          <w:p w14:paraId="7291CA2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O24–O25.3, O98–O98.6, O98.8–O99.9</w:t>
            </w:r>
          </w:p>
        </w:tc>
      </w:tr>
      <w:tr w:rsidR="00F819F0" w:rsidRPr="00E33965" w14:paraId="22F4595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52AD37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6FF97A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Late maternal deaths</w:t>
            </w:r>
          </w:p>
        </w:tc>
        <w:tc>
          <w:tcPr>
            <w:tcW w:w="5745" w:type="dxa"/>
            <w:tcBorders>
              <w:top w:val="single" w:sz="6" w:space="0" w:color="D0CECE"/>
              <w:left w:val="nil"/>
              <w:bottom w:val="single" w:sz="6" w:space="0" w:color="D0CECE"/>
              <w:right w:val="nil"/>
            </w:tcBorders>
            <w:shd w:val="clear" w:color="auto" w:fill="auto"/>
            <w:vAlign w:val="bottom"/>
          </w:tcPr>
          <w:p w14:paraId="2668F10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O96–O97.9</w:t>
            </w:r>
          </w:p>
        </w:tc>
      </w:tr>
      <w:tr w:rsidR="00F819F0" w:rsidRPr="007569F5" w14:paraId="5FF7D72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3141B6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56AF14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direct maternal disorders</w:t>
            </w:r>
          </w:p>
        </w:tc>
        <w:tc>
          <w:tcPr>
            <w:tcW w:w="5745" w:type="dxa"/>
            <w:tcBorders>
              <w:top w:val="single" w:sz="6" w:space="0" w:color="D0CECE"/>
              <w:left w:val="nil"/>
              <w:bottom w:val="single" w:sz="6" w:space="0" w:color="D0CECE"/>
              <w:right w:val="nil"/>
            </w:tcBorders>
            <w:shd w:val="clear" w:color="auto" w:fill="auto"/>
            <w:vAlign w:val="bottom"/>
          </w:tcPr>
          <w:p w14:paraId="72B68ACD"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C58–C58.0, N98–N98.9, O09–O09.9, O21–O22.9, O26–O26.9, O28–O31.8, O34–O36.9, O40–O43.1, O43.8–O43.9, O47–O48.1, O60–O61.9, O63–O63.9, O68–O69.9, O70.0–O70.9, O73–O77.9, O80–O84.9, O87–O90.9, O92–O92.7</w:t>
            </w:r>
          </w:p>
        </w:tc>
      </w:tr>
      <w:tr w:rsidR="00F819F0" w:rsidRPr="00E33965" w14:paraId="5F41E6A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205D69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50686D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Neonatal disorders</w:t>
            </w:r>
          </w:p>
        </w:tc>
        <w:tc>
          <w:tcPr>
            <w:tcW w:w="5745" w:type="dxa"/>
            <w:tcBorders>
              <w:top w:val="single" w:sz="6" w:space="0" w:color="D0CECE"/>
              <w:left w:val="nil"/>
              <w:bottom w:val="single" w:sz="6" w:space="0" w:color="D0CECE"/>
              <w:right w:val="nil"/>
            </w:tcBorders>
            <w:shd w:val="clear" w:color="auto" w:fill="auto"/>
            <w:vAlign w:val="bottom"/>
          </w:tcPr>
          <w:p w14:paraId="166FEF7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P00–P04.2, P04.5–P05.9, P07–P15.9, P19–P22.9, P24–P29.9, P36–P36.9, P38–P39.9, P50–P61.9, P70–P70.1, P70.3–P72.9, P74–P78.9, P80–P81.9, P83–P84, P90–P92.9, P94–P94.9, P96, P96.3–P96.4, P96.8</w:t>
            </w:r>
          </w:p>
        </w:tc>
      </w:tr>
      <w:tr w:rsidR="00F819F0" w:rsidRPr="00E33965" w14:paraId="7027C9F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E3B0A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A0C15C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Neonatal preterm birth</w:t>
            </w:r>
          </w:p>
        </w:tc>
        <w:tc>
          <w:tcPr>
            <w:tcW w:w="5745" w:type="dxa"/>
            <w:tcBorders>
              <w:top w:val="single" w:sz="6" w:space="0" w:color="D0CECE"/>
              <w:left w:val="nil"/>
              <w:bottom w:val="single" w:sz="6" w:space="0" w:color="D0CECE"/>
              <w:right w:val="nil"/>
            </w:tcBorders>
            <w:shd w:val="clear" w:color="auto" w:fill="auto"/>
            <w:vAlign w:val="bottom"/>
          </w:tcPr>
          <w:p w14:paraId="7CAC11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P01.0–P01.1, P05–P05.9, P07–P07.3, P22–P22.9, P25–P28.9, P52–P52.9, P61.2, P77–P77.9, P78.0–P78.9</w:t>
            </w:r>
          </w:p>
        </w:tc>
      </w:tr>
      <w:tr w:rsidR="00F819F0" w:rsidRPr="00E33965" w14:paraId="3787564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17BF5C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B8FAB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Neonatal encephalopathy due to birth asphyxia and trauma</w:t>
            </w:r>
          </w:p>
        </w:tc>
        <w:tc>
          <w:tcPr>
            <w:tcW w:w="5745" w:type="dxa"/>
            <w:tcBorders>
              <w:top w:val="single" w:sz="6" w:space="0" w:color="D0CECE"/>
              <w:left w:val="nil"/>
              <w:bottom w:val="single" w:sz="6" w:space="0" w:color="D0CECE"/>
              <w:right w:val="nil"/>
            </w:tcBorders>
            <w:shd w:val="clear" w:color="auto" w:fill="auto"/>
            <w:vAlign w:val="bottom"/>
          </w:tcPr>
          <w:p w14:paraId="61B9FF6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P01.7, P02–P03.9, P10–P15.9, P20–P21.9, P24–P24.9, P90–P91.9</w:t>
            </w:r>
          </w:p>
        </w:tc>
      </w:tr>
      <w:tr w:rsidR="00F819F0" w:rsidRPr="00E33965" w14:paraId="29C67E0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E04B48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58FAD9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Neonatal sepsis and other neonatal infections</w:t>
            </w:r>
          </w:p>
        </w:tc>
        <w:tc>
          <w:tcPr>
            <w:tcW w:w="5745" w:type="dxa"/>
            <w:tcBorders>
              <w:top w:val="single" w:sz="6" w:space="0" w:color="D0CECE"/>
              <w:left w:val="nil"/>
              <w:bottom w:val="single" w:sz="6" w:space="0" w:color="D0CECE"/>
              <w:right w:val="nil"/>
            </w:tcBorders>
            <w:shd w:val="clear" w:color="auto" w:fill="auto"/>
            <w:vAlign w:val="bottom"/>
          </w:tcPr>
          <w:p w14:paraId="240332F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P36–P36.9, P38–P39.9</w:t>
            </w:r>
          </w:p>
        </w:tc>
      </w:tr>
      <w:tr w:rsidR="00F819F0" w:rsidRPr="00E33965" w14:paraId="3194A16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EDCAB2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29ED9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Hemolytic disease and other neonatal jaundice</w:t>
            </w:r>
          </w:p>
        </w:tc>
        <w:tc>
          <w:tcPr>
            <w:tcW w:w="5745" w:type="dxa"/>
            <w:tcBorders>
              <w:top w:val="single" w:sz="6" w:space="0" w:color="D0CECE"/>
              <w:left w:val="nil"/>
              <w:bottom w:val="single" w:sz="6" w:space="0" w:color="D0CECE"/>
              <w:right w:val="nil"/>
            </w:tcBorders>
            <w:shd w:val="clear" w:color="auto" w:fill="auto"/>
            <w:vAlign w:val="bottom"/>
          </w:tcPr>
          <w:p w14:paraId="13013D2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P55–P59.9</w:t>
            </w:r>
          </w:p>
        </w:tc>
      </w:tr>
      <w:tr w:rsidR="00F819F0" w:rsidRPr="00E33965" w14:paraId="381BA26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E0156F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47149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neonatal disorders</w:t>
            </w:r>
          </w:p>
        </w:tc>
        <w:tc>
          <w:tcPr>
            <w:tcW w:w="5745" w:type="dxa"/>
            <w:tcBorders>
              <w:top w:val="single" w:sz="6" w:space="0" w:color="D0CECE"/>
              <w:left w:val="nil"/>
              <w:bottom w:val="single" w:sz="6" w:space="0" w:color="D0CECE"/>
              <w:right w:val="nil"/>
            </w:tcBorders>
            <w:shd w:val="clear" w:color="auto" w:fill="auto"/>
            <w:vAlign w:val="bottom"/>
          </w:tcPr>
          <w:p w14:paraId="092DAB9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P00–P01, P01.2–P01.6, P01.8–P01.9, P04–P04.2, P04.5–P04.9, P08–P09, P19–P19.9, P29–P29.9, P50–P51.9, P53–P54.9, P60–P61.1, P61.3–P61.9, P70–P70.1, P70.3–P72.9, P74–P76.9, P78, P80–P81.9, P83–P84, P92–P92.9, P94–P94.9, P96, P96.3–P96.4, P96.8</w:t>
            </w:r>
          </w:p>
        </w:tc>
      </w:tr>
      <w:tr w:rsidR="00F819F0" w:rsidRPr="007569F5" w14:paraId="3F6C295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7333E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23E2A47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Nutritional deficiencies</w:t>
            </w:r>
          </w:p>
        </w:tc>
        <w:tc>
          <w:tcPr>
            <w:tcW w:w="5745" w:type="dxa"/>
            <w:tcBorders>
              <w:top w:val="single" w:sz="6" w:space="0" w:color="D0CECE"/>
              <w:left w:val="nil"/>
              <w:bottom w:val="single" w:sz="6" w:space="0" w:color="D0CECE"/>
              <w:right w:val="nil"/>
            </w:tcBorders>
            <w:shd w:val="clear" w:color="auto" w:fill="auto"/>
            <w:vAlign w:val="bottom"/>
          </w:tcPr>
          <w:p w14:paraId="48CB6EF3"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D50.1–D50.8, D51–D52.0, D52.8–D53.9, E00–E02, E40–E46.9, E51–E61.9, E63–E64.0, E64.2–E64.9, M12.1</w:t>
            </w:r>
          </w:p>
        </w:tc>
      </w:tr>
      <w:tr w:rsidR="00F819F0" w:rsidRPr="00E33965" w14:paraId="4915608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37A7F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7D7BAC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Protein-energy malnutrition</w:t>
            </w:r>
          </w:p>
        </w:tc>
        <w:tc>
          <w:tcPr>
            <w:tcW w:w="5745" w:type="dxa"/>
            <w:tcBorders>
              <w:top w:val="single" w:sz="6" w:space="0" w:color="D0CECE"/>
              <w:left w:val="nil"/>
              <w:bottom w:val="single" w:sz="6" w:space="0" w:color="D0CECE"/>
              <w:right w:val="nil"/>
            </w:tcBorders>
            <w:shd w:val="clear" w:color="auto" w:fill="auto"/>
            <w:vAlign w:val="bottom"/>
          </w:tcPr>
          <w:p w14:paraId="0CA5A0C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E40–E46.9, E64.0</w:t>
            </w:r>
          </w:p>
        </w:tc>
      </w:tr>
      <w:tr w:rsidR="00F819F0" w:rsidRPr="007569F5" w14:paraId="27498E9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4253FB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40AF29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nutritional deficiencies</w:t>
            </w:r>
          </w:p>
        </w:tc>
        <w:tc>
          <w:tcPr>
            <w:tcW w:w="5745" w:type="dxa"/>
            <w:tcBorders>
              <w:top w:val="single" w:sz="6" w:space="0" w:color="D0CECE"/>
              <w:left w:val="nil"/>
              <w:bottom w:val="single" w:sz="6" w:space="0" w:color="D0CECE"/>
              <w:right w:val="nil"/>
            </w:tcBorders>
            <w:shd w:val="clear" w:color="auto" w:fill="auto"/>
            <w:vAlign w:val="bottom"/>
          </w:tcPr>
          <w:p w14:paraId="2308E518"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D51–D52.0, D52.8–D53.9, E00–E02, E51–E61.9, E63–E64, E64.2–E64.9, M12.1</w:t>
            </w:r>
          </w:p>
        </w:tc>
      </w:tr>
      <w:tr w:rsidR="00F819F0" w:rsidRPr="00E33965" w14:paraId="35B5D02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BEF9AD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1</w:t>
            </w:r>
          </w:p>
        </w:tc>
        <w:tc>
          <w:tcPr>
            <w:tcW w:w="2250" w:type="dxa"/>
            <w:tcBorders>
              <w:top w:val="single" w:sz="6" w:space="0" w:color="D0CECE"/>
              <w:left w:val="nil"/>
              <w:bottom w:val="single" w:sz="6" w:space="0" w:color="D0CECE"/>
              <w:right w:val="nil"/>
            </w:tcBorders>
            <w:shd w:val="clear" w:color="auto" w:fill="auto"/>
            <w:vAlign w:val="bottom"/>
          </w:tcPr>
          <w:p w14:paraId="4213B9C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Non-communicable diseases</w:t>
            </w:r>
          </w:p>
        </w:tc>
        <w:tc>
          <w:tcPr>
            <w:tcW w:w="5745" w:type="dxa"/>
            <w:tcBorders>
              <w:top w:val="single" w:sz="6" w:space="0" w:color="D0CECE"/>
              <w:left w:val="nil"/>
              <w:bottom w:val="single" w:sz="6" w:space="0" w:color="D0CECE"/>
              <w:right w:val="nil"/>
            </w:tcBorders>
            <w:shd w:val="clear" w:color="auto" w:fill="auto"/>
            <w:vAlign w:val="bottom"/>
          </w:tcPr>
          <w:p w14:paraId="09CA6C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A46–A46.0, A66–A67.9, B18–B18.9, B33.2, B86, C00–C13.9, C14*–C14.9*, C15–C22.8, C22.9*, C23–C25.9, C26*–C29*, C30–C34.9, C35*–C36*, C37–C38.8, C39*–C39.9*, C40–C41.9, C42*, C43–C45.9, C47–C54.9, C55*–C55.9*, C56–C57.8, C57.9*, C59*–C6*, C60–C63.8, C63.9*, C64–C67.9, C68*, C68.0–C68.8, C68.9*–C69*, C69.0–C69.8, C69.9*, C70–C73.9, C74*–C74.9*, C75–C75.8, C75.9*–C80.9*, C81–C82.9, C83*, C83.0–C83.8, C83.9*, C84–C85.0, C85.1*, C85.2–C85.8, C85.9*, C86–C86.6, C87*, C88–C91.0, C91.1*, C91.2–C91.3, C91.4*–C91.5*, C91.6, C91.7*–C91.9*, C92–C92.6, C92.7*–C92.9*, C93–C93.1, C93.2*, C93.3, C93.5*–C93.7*, C93.8, C93.9*, C94–C94.5, C94.6*, C94.7–C96.9, C97*–D00.0*, D00.1–D00.2, D01*, D01.0–D01.3, D01.4*–D02*, D02.0–D02.3, D02.4*–D02.9*, D03–D06.9, D07*, D07.0–D07.2, D07.3*, D07.4–D07.5, D07.6*–D09*, D09.0, D09.1*, D09.2–D09.3, D09.7*, D09.8, D09.9*–D10*, D10.0–D10.7, D10.9*, D11–D12.9, D13*, D13.0–D13.7, D13.9*–D14*, D14.0–D14.3, D14.4*, D15–D16.9, D17*–D21.9*, D22–D27.9, D28*, D28.0–D28.7, D28.9*–D29*, D29.0–D29.8, D29.9*–D30*, D30.0–D30.8, D30.9*, D31–D36, D36.0*, D36.1–D36.7, D36.9*–D37.0*, D37.1–D37.5, D37.6*–D38*, D38.0–D38.5, D38.6*–D39.0*, D39.1–D39.2, D39.7*, D39.8, D39.9*–D40*, D40.0–D40.8, D40.9*–D41*, D41.0–D41.8, D41.9*, D42–D43.9, D44*, D44.0–D44.8, D44.9*, D45–D47.9, D48*, D48.0–D48.6, D48.7*–D49.1*, D49.2–D49.4, D49.5*, D49.6, D49.7*–D49.9*, D54*, D55–D58.9, D59.1, D59.3, D59.5, D60–D61.9, D63.0*, D63.1, D64.0, D66–D67, D68.0–D69.4, D69.6–D69.8, D70–D70.0, D70.4–D75.8, D76–D77, D86–D86.9, D89–D89.2, E03–E03.1, E03.3–E06.3, E06.5–E07.1, E08*–E08.9*, E10–E11.9, E12*–E14.9*, E16.1–E16.9, E20–E23.0, E23.2–E24.1, E24.3–E27.2, E27.4–E34, E34.0*, E34.1–E34.8, E65–E66.0, E66.2–E68, E70–E85.2, E87.7*, E88–E88.2, E88.4–E88.9, F00–F02.0, F02.2–F02.3, F02.8–F03.9, F10–F16.9, F17*–F17.9*, F18–F18.9, F19*–F19.9*, F24, F50.0–F50.5, G10–G13.8, G20–G20.9, G23–G24, G24.1–G25.0, G25.2–G25.3, G25.5, G25.8–G26.0, G30–G31.9, G35–G37.9, G40–G41.9, G45–G46.8, G47.3, G61–G61.9, G62.1, G70–G72, G72.1–G73.7, G90–G90.9, G95–G95.9, H05.0–H05.1, I01–I01.9, I02.0, I05–I09.9, I10*–I10.9*, I11–I13.9, I15*–I15.9*, I20–I25.9, I27.0–I27.2, I28–I28.9, I30–I31.1, I31.8–I37.8, I37.9*, I38–I41.9, I42*–I42.0*, I42.1–I42.8, I42.9*, I43–I43.9, I44*–I45.9*, I47–I48.9, I49*–I49.9*, I51*, I51.0–I51.4, I51.5*, I51.7*–I51.9*, I60–I63.9, I64*–I64.9*, I65–I66.9, I67*, I67.0–I67.3, I67.4*, I67.5–I67.7, I67.8*–I68*, I68.0–I68.2, I68.8*–I69*, I69.0–I69.3, I69.4*–I70.1*, I70.2–I70.8, I70.9*, I71–I73.9, I77–I89.9, I98, I98.2, J30–J35.9, J37–J39.9, J41–J46.9, J60–J63.8, J64*–J64.9*, </w:t>
            </w:r>
            <w:r w:rsidRPr="00E33965">
              <w:rPr>
                <w:rFonts w:asciiTheme="majorHAnsi" w:hAnsiTheme="majorHAnsi" w:cstheme="majorHAnsi"/>
                <w:color w:val="000000"/>
              </w:rPr>
              <w:lastRenderedPageBreak/>
              <w:t>J66–J68.9, J70, J70.8–J70.9, J82, J84–J84.9, J91, J91.8–J92.9, K20–K20.9, K21*–K21.9*, K22–K22.6, K22.7*, K22.8–K29.9, K31–K31.8, K35–K38.9, K40–K42.9, K44–K46.9, K50–K52, K52.8–K52.9, K55–K62.6, K62.8–K62.9, K63*–K63.4*, K63.5, K63.8*–K63.9*, K64–K64.9, K66.8, K67, K68, K70–K70.3, K70.4*–K70.9*, K71.7, K73–K75, K75.1–K75.2, K75.4–K76.2, K76.4–K77, K77.8, K80–K83.9, K85–K86.9, K90–K90.9, K92.8, K93.8, L00–L05.9, L06*–L07*, L08–L08.9, L09*, L10–L14.0, L15*–L19*, L31*–L39*, L51–L51.9, L69*, L77*–L79*, L88–L89.9, L93–L93.2, L97–L98.4, M00–M03.0, M03.2–M03.6, M05–M09.8, M30–M36.8, M40–M43.1, M65–M65.0, M71.0–M71.1, M72.5–M72.6, M80–M82.8, M86.3–M86.4, M87–M87.0, M88–M89.0, M89.5, M89.7–M89.9, N00–N08.8, N10–N12.9, N13.6, N15–N16.8, N18–N18.9, N20–N23.0, N25–N28.1, N29–N30.3, N30.8–N32.0, N32.3–N32.4, N34–N34.3, N36–N36.9, N39–N39.2, N41–N41.9, N44–N44.0, N45–N45.9, N49–N49.9, N60–N60.9, N72–N72.0, N75–N77.8, N80–N81.9, N83–N83.9, N84.0–N84.1, N84.2*–N84.8*, N87–N87.9, P04.3–P04.4, P70.2, P96.0–P96.1, Q00–Q07.9, Q08*–Q10.3*, Q10.4–Q18.9, Q19*, Q20–Q28.9, Q29*, Q30–Q36, Q36.0*–Q36.9*, Q37–Q45.9, Q46*–Q49*, Q50–Q87.8, Q88*, Q89–Q89.8, Q89.9*, Q90–Q93.9, Q94*, Q95–Q99.8, Q99.9*, R03*–R03.0*, R04.0*, R73*–R73.9*, R78.0–R78.5, R95–R95.9, X40*–X44.9*, X45–X45.9, X46*–X46.9*, X49*–X49.9*, X65–X65.9, Y15–Y15.9</w:t>
            </w:r>
          </w:p>
        </w:tc>
      </w:tr>
      <w:tr w:rsidR="00F819F0" w:rsidRPr="007569F5" w14:paraId="4D76F1F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AFE369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2</w:t>
            </w:r>
          </w:p>
        </w:tc>
        <w:tc>
          <w:tcPr>
            <w:tcW w:w="2250" w:type="dxa"/>
            <w:tcBorders>
              <w:top w:val="single" w:sz="6" w:space="0" w:color="D0CECE"/>
              <w:left w:val="nil"/>
              <w:bottom w:val="single" w:sz="6" w:space="0" w:color="D0CECE"/>
              <w:right w:val="nil"/>
            </w:tcBorders>
            <w:shd w:val="clear" w:color="auto" w:fill="auto"/>
            <w:vAlign w:val="bottom"/>
          </w:tcPr>
          <w:p w14:paraId="258105F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Neoplasms</w:t>
            </w:r>
          </w:p>
        </w:tc>
        <w:tc>
          <w:tcPr>
            <w:tcW w:w="5745" w:type="dxa"/>
            <w:tcBorders>
              <w:top w:val="single" w:sz="6" w:space="0" w:color="D0CECE"/>
              <w:left w:val="nil"/>
              <w:bottom w:val="single" w:sz="6" w:space="0" w:color="D0CECE"/>
              <w:right w:val="nil"/>
            </w:tcBorders>
            <w:shd w:val="clear" w:color="auto" w:fill="auto"/>
            <w:vAlign w:val="bottom"/>
          </w:tcPr>
          <w:p w14:paraId="61CE96AA"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rPr>
              <w:t>C00–C13.9, C14*–C14.9*, C15–C22.8, C22.9*, C23–C25.9, C26*–C29*, C30–C34.9, C35*–C36*, C37–C38.8, C39*–C39.9*, C40–C41.9, C42*, C43–C45.9, C47–C54.9, C55*–C55.9*, C56–C57.8, C57.9*, C59*–C6*, C60–C63.8, C63.9*, C64–C67.9, C68*, C68.0–C68.8, C68.9*–C69*, C69.0–C69.8, C69.9*, C70–C73.9, C74*–C74.9*, C75–C75.8, C75.9*–C80.9*, C81–C82.9, C83*, C83.0–C83.8, C83.9*, C84–C85.0, C85.1*, C85.2–C85.8, C85.9*, C86–C86.6, C87*, C88–C91.0, C91.1*, C91.2–C91.3, C91.4*–C91.5*, C91.6, C91.7*–C91.9*, C92–C92.6, C92.7*–C92.9*, C93–C93.1, C93.2*, C93.3, C93.5*–C93.7*, C93.8, C93.9*, C94–C94.5, C94.6*, C9</w:t>
            </w:r>
            <w:r w:rsidRPr="007569F5">
              <w:rPr>
                <w:rFonts w:asciiTheme="majorHAnsi" w:hAnsiTheme="majorHAnsi" w:cstheme="majorHAnsi"/>
                <w:color w:val="000000"/>
                <w:lang w:val="es-419"/>
              </w:rPr>
              <w:t xml:space="preserve">4.7–C96.9, C97*–D00.0*, D00.1–D00.2, D01*, D01.0–D01.3, D01.4*–D02*, D02.0–D02.3, D02.4*–D02.9*, D03–D06.9, D07*, D07.0–D07.2, D07.3*, D07.4–D07.5, D07.6*–D09*, D09.0, D09.1*, D09.2–D09.3, D09.7*, D09.8, D09.9*–D10*, D10.0–D10.7, D10.9*, D11–D12.9, D13*, D13.0–D13.7, D13.9*–D14*, D14.0–D14.3, D14.4*, D15–D16.9, D17*–D21.9*, D22–D24.9, D26.0–D27.9, D28*, D28.0–D28.1, D28.7, D28.9*–D29*, D29.0–D29.8, D29.9*–D30*, D30.0–D30.8, D30.9*, D31–D36, D36.0*, D36.1–D36.7, D36.9*–D37.0*, D37.1–D37.5, D37.6*–D38*, D38.0–D38.5, D38.6*–D39.0*, D39.1–D39.2, D39.7*, D39.8, D39.9*–D40*, D40.0–D40.8, D40.9*–D41*, D41.0–D41.8, D41.9*, D42–D43.9, D44*, D44.0–D44.8, D44.9*, D45–D47.9, D48*, D48.0–D48.6, D48.7*–D49.1*, D49.2–D49.4, D49.5*, </w:t>
            </w:r>
            <w:r w:rsidRPr="007569F5">
              <w:rPr>
                <w:rFonts w:asciiTheme="majorHAnsi" w:hAnsiTheme="majorHAnsi" w:cstheme="majorHAnsi"/>
                <w:color w:val="000000"/>
                <w:lang w:val="es-419"/>
              </w:rPr>
              <w:lastRenderedPageBreak/>
              <w:t>D49.6, D49.7*–D49.9*, D54*, D63.0*, E34.0*, K62.0–K62.1, K63.5, N60–N60.9, N84.0–N84.1, N84.2*–N84.8*, N87–N87.9</w:t>
            </w:r>
          </w:p>
        </w:tc>
      </w:tr>
      <w:tr w:rsidR="00F819F0" w:rsidRPr="00E33965" w14:paraId="33B56B0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72D74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55D6C3C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Lip and oral cavity cancer</w:t>
            </w:r>
          </w:p>
        </w:tc>
        <w:tc>
          <w:tcPr>
            <w:tcW w:w="5745" w:type="dxa"/>
            <w:tcBorders>
              <w:top w:val="single" w:sz="6" w:space="0" w:color="D0CECE"/>
              <w:left w:val="nil"/>
              <w:bottom w:val="single" w:sz="6" w:space="0" w:color="D0CECE"/>
              <w:right w:val="nil"/>
            </w:tcBorders>
            <w:shd w:val="clear" w:color="auto" w:fill="auto"/>
            <w:vAlign w:val="bottom"/>
          </w:tcPr>
          <w:p w14:paraId="2B21332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C00–C08.9, D10.0–D10.5, D11–D11.9</w:t>
            </w:r>
          </w:p>
        </w:tc>
      </w:tr>
      <w:tr w:rsidR="00F819F0" w:rsidRPr="00E33965" w14:paraId="6892764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1D743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A3B12E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Nasopharynx cancer</w:t>
            </w:r>
          </w:p>
        </w:tc>
        <w:tc>
          <w:tcPr>
            <w:tcW w:w="5745" w:type="dxa"/>
            <w:tcBorders>
              <w:top w:val="single" w:sz="6" w:space="0" w:color="D0CECE"/>
              <w:left w:val="nil"/>
              <w:bottom w:val="single" w:sz="6" w:space="0" w:color="D0CECE"/>
              <w:right w:val="nil"/>
            </w:tcBorders>
            <w:shd w:val="clear" w:color="auto" w:fill="auto"/>
            <w:vAlign w:val="bottom"/>
          </w:tcPr>
          <w:p w14:paraId="575164B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C11–C11.9, D10.6</w:t>
            </w:r>
          </w:p>
        </w:tc>
      </w:tr>
      <w:tr w:rsidR="00F819F0" w:rsidRPr="00E33965" w14:paraId="3C304D0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5D191C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3D1B03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pharynx cancer</w:t>
            </w:r>
          </w:p>
        </w:tc>
        <w:tc>
          <w:tcPr>
            <w:tcW w:w="5745" w:type="dxa"/>
            <w:tcBorders>
              <w:top w:val="single" w:sz="6" w:space="0" w:color="D0CECE"/>
              <w:left w:val="nil"/>
              <w:bottom w:val="single" w:sz="6" w:space="0" w:color="D0CECE"/>
              <w:right w:val="nil"/>
            </w:tcBorders>
            <w:shd w:val="clear" w:color="auto" w:fill="auto"/>
            <w:vAlign w:val="bottom"/>
          </w:tcPr>
          <w:p w14:paraId="7E63228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C09–C10.9, C12–C13.9, D10.7</w:t>
            </w:r>
          </w:p>
        </w:tc>
      </w:tr>
      <w:tr w:rsidR="00F819F0" w:rsidRPr="00E33965" w14:paraId="0D0BD0A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407604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A065F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spellStart"/>
            <w:r w:rsidRPr="00E33965">
              <w:rPr>
                <w:rFonts w:asciiTheme="majorHAnsi" w:hAnsiTheme="majorHAnsi" w:cstheme="majorHAnsi"/>
                <w:color w:val="000000"/>
              </w:rPr>
              <w:t>Oesophageal</w:t>
            </w:r>
            <w:proofErr w:type="spellEnd"/>
            <w:r w:rsidRPr="00E33965">
              <w:rPr>
                <w:rFonts w:asciiTheme="majorHAnsi" w:hAnsiTheme="majorHAnsi" w:cstheme="majorHAnsi"/>
                <w:color w:val="000000"/>
              </w:rPr>
              <w:t xml:space="preserve"> cancer</w:t>
            </w:r>
          </w:p>
        </w:tc>
        <w:tc>
          <w:tcPr>
            <w:tcW w:w="5745" w:type="dxa"/>
            <w:tcBorders>
              <w:top w:val="single" w:sz="6" w:space="0" w:color="D0CECE"/>
              <w:left w:val="nil"/>
              <w:bottom w:val="single" w:sz="6" w:space="0" w:color="D0CECE"/>
              <w:right w:val="nil"/>
            </w:tcBorders>
            <w:shd w:val="clear" w:color="auto" w:fill="auto"/>
            <w:vAlign w:val="bottom"/>
          </w:tcPr>
          <w:p w14:paraId="718EC4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C15–C15.9, D00.1, D13.0</w:t>
            </w:r>
          </w:p>
        </w:tc>
      </w:tr>
      <w:tr w:rsidR="00F819F0" w:rsidRPr="00E33965" w14:paraId="57AB20D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94F49E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1D2796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Stomach cancer</w:t>
            </w:r>
          </w:p>
        </w:tc>
        <w:tc>
          <w:tcPr>
            <w:tcW w:w="5745" w:type="dxa"/>
            <w:tcBorders>
              <w:top w:val="single" w:sz="6" w:space="0" w:color="D0CECE"/>
              <w:left w:val="nil"/>
              <w:bottom w:val="single" w:sz="6" w:space="0" w:color="D0CECE"/>
              <w:right w:val="nil"/>
            </w:tcBorders>
            <w:shd w:val="clear" w:color="auto" w:fill="auto"/>
            <w:vAlign w:val="bottom"/>
          </w:tcPr>
          <w:p w14:paraId="528872D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C16–C16.9, D00.2, D13.1, D37.1</w:t>
            </w:r>
          </w:p>
        </w:tc>
      </w:tr>
      <w:tr w:rsidR="00F819F0" w:rsidRPr="00E33965" w14:paraId="6E7D886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B1887F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723F1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Colon and rectum cancer</w:t>
            </w:r>
          </w:p>
        </w:tc>
        <w:tc>
          <w:tcPr>
            <w:tcW w:w="5745" w:type="dxa"/>
            <w:tcBorders>
              <w:top w:val="single" w:sz="6" w:space="0" w:color="D0CECE"/>
              <w:left w:val="nil"/>
              <w:bottom w:val="single" w:sz="6" w:space="0" w:color="D0CECE"/>
              <w:right w:val="nil"/>
            </w:tcBorders>
            <w:shd w:val="clear" w:color="auto" w:fill="auto"/>
            <w:vAlign w:val="bottom"/>
          </w:tcPr>
          <w:p w14:paraId="18EA459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C18–C21.9, D01.0–D01.3, D12–D12.9, D37.3–D37.5</w:t>
            </w:r>
          </w:p>
        </w:tc>
      </w:tr>
      <w:tr w:rsidR="00F819F0" w:rsidRPr="00E33965" w14:paraId="32F30A8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0E7A91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24FD6E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Liver cancer</w:t>
            </w:r>
          </w:p>
        </w:tc>
        <w:tc>
          <w:tcPr>
            <w:tcW w:w="5745" w:type="dxa"/>
            <w:tcBorders>
              <w:top w:val="single" w:sz="6" w:space="0" w:color="D0CECE"/>
              <w:left w:val="nil"/>
              <w:bottom w:val="single" w:sz="6" w:space="0" w:color="D0CECE"/>
              <w:right w:val="nil"/>
            </w:tcBorders>
            <w:shd w:val="clear" w:color="auto" w:fill="auto"/>
            <w:vAlign w:val="bottom"/>
          </w:tcPr>
          <w:p w14:paraId="3BF4A1E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C22–C22.8, D13.4</w:t>
            </w:r>
          </w:p>
        </w:tc>
      </w:tr>
      <w:tr w:rsidR="00F819F0" w:rsidRPr="00E33965" w14:paraId="1A33539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0E7DC6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9FFECF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Hepatoblastoma</w:t>
            </w:r>
          </w:p>
        </w:tc>
        <w:tc>
          <w:tcPr>
            <w:tcW w:w="5745" w:type="dxa"/>
            <w:tcBorders>
              <w:top w:val="single" w:sz="6" w:space="0" w:color="D0CECE"/>
              <w:left w:val="nil"/>
              <w:bottom w:val="single" w:sz="6" w:space="0" w:color="D0CECE"/>
              <w:right w:val="nil"/>
            </w:tcBorders>
            <w:shd w:val="clear" w:color="auto" w:fill="auto"/>
            <w:vAlign w:val="bottom"/>
          </w:tcPr>
          <w:p w14:paraId="7A3339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C22.2</w:t>
            </w:r>
          </w:p>
        </w:tc>
      </w:tr>
      <w:tr w:rsidR="00F819F0" w:rsidRPr="00E33965" w14:paraId="6A5BA69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E1B072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DEE0C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Gallbladder and biliary tract cancer</w:t>
            </w:r>
          </w:p>
        </w:tc>
        <w:tc>
          <w:tcPr>
            <w:tcW w:w="5745" w:type="dxa"/>
            <w:tcBorders>
              <w:top w:val="single" w:sz="6" w:space="0" w:color="D0CECE"/>
              <w:left w:val="nil"/>
              <w:bottom w:val="single" w:sz="6" w:space="0" w:color="D0CECE"/>
              <w:right w:val="nil"/>
            </w:tcBorders>
            <w:shd w:val="clear" w:color="auto" w:fill="auto"/>
            <w:vAlign w:val="bottom"/>
          </w:tcPr>
          <w:p w14:paraId="2057FB9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C23–C24.9, D13.5</w:t>
            </w:r>
          </w:p>
        </w:tc>
      </w:tr>
      <w:tr w:rsidR="00F819F0" w:rsidRPr="00E33965" w14:paraId="05EDF8F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91408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09C3E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Pancreatic cancer</w:t>
            </w:r>
          </w:p>
        </w:tc>
        <w:tc>
          <w:tcPr>
            <w:tcW w:w="5745" w:type="dxa"/>
            <w:tcBorders>
              <w:top w:val="single" w:sz="6" w:space="0" w:color="D0CECE"/>
              <w:left w:val="nil"/>
              <w:bottom w:val="single" w:sz="6" w:space="0" w:color="D0CECE"/>
              <w:right w:val="nil"/>
            </w:tcBorders>
            <w:shd w:val="clear" w:color="auto" w:fill="auto"/>
            <w:vAlign w:val="bottom"/>
          </w:tcPr>
          <w:p w14:paraId="3507C3C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C25–C25.9, D13.6–D13.7</w:t>
            </w:r>
          </w:p>
        </w:tc>
      </w:tr>
      <w:tr w:rsidR="00F819F0" w:rsidRPr="00E33965" w14:paraId="5580B70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574EF8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214DE3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Larynx cancer</w:t>
            </w:r>
          </w:p>
        </w:tc>
        <w:tc>
          <w:tcPr>
            <w:tcW w:w="5745" w:type="dxa"/>
            <w:tcBorders>
              <w:top w:val="single" w:sz="6" w:space="0" w:color="D0CECE"/>
              <w:left w:val="nil"/>
              <w:bottom w:val="single" w:sz="6" w:space="0" w:color="D0CECE"/>
              <w:right w:val="nil"/>
            </w:tcBorders>
            <w:shd w:val="clear" w:color="auto" w:fill="auto"/>
            <w:vAlign w:val="bottom"/>
          </w:tcPr>
          <w:p w14:paraId="359CA55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C32–C32.9, D02.0, D14.1, D38.0</w:t>
            </w:r>
          </w:p>
        </w:tc>
      </w:tr>
      <w:tr w:rsidR="00F819F0" w:rsidRPr="00E33965" w14:paraId="1F5AA99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5FA640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1DB59C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Tracheal, bronchus, and lung cancer</w:t>
            </w:r>
          </w:p>
        </w:tc>
        <w:tc>
          <w:tcPr>
            <w:tcW w:w="5745" w:type="dxa"/>
            <w:tcBorders>
              <w:top w:val="single" w:sz="6" w:space="0" w:color="D0CECE"/>
              <w:left w:val="nil"/>
              <w:bottom w:val="single" w:sz="6" w:space="0" w:color="D0CECE"/>
              <w:right w:val="nil"/>
            </w:tcBorders>
            <w:shd w:val="clear" w:color="auto" w:fill="auto"/>
            <w:vAlign w:val="bottom"/>
          </w:tcPr>
          <w:p w14:paraId="470ED6F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C33–C34.9, D02.1–D02.3, D14.2–D14.3, D38.1</w:t>
            </w:r>
          </w:p>
        </w:tc>
      </w:tr>
      <w:tr w:rsidR="00F819F0" w:rsidRPr="00E33965" w14:paraId="01AEECB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429AF9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E433A7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Malignant skin melanoma</w:t>
            </w:r>
          </w:p>
        </w:tc>
        <w:tc>
          <w:tcPr>
            <w:tcW w:w="5745" w:type="dxa"/>
            <w:tcBorders>
              <w:top w:val="single" w:sz="6" w:space="0" w:color="D0CECE"/>
              <w:left w:val="nil"/>
              <w:bottom w:val="single" w:sz="6" w:space="0" w:color="D0CECE"/>
              <w:right w:val="nil"/>
            </w:tcBorders>
            <w:shd w:val="clear" w:color="auto" w:fill="auto"/>
            <w:vAlign w:val="bottom"/>
          </w:tcPr>
          <w:p w14:paraId="7426704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C43–C43.9, D03–D03.9, D22–D23.9, D48.5</w:t>
            </w:r>
          </w:p>
        </w:tc>
      </w:tr>
      <w:tr w:rsidR="00F819F0" w:rsidRPr="00E33965" w14:paraId="5603CD6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EBB67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68AA02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Non-melanoma skin cancer</w:t>
            </w:r>
          </w:p>
        </w:tc>
        <w:tc>
          <w:tcPr>
            <w:tcW w:w="5745" w:type="dxa"/>
            <w:tcBorders>
              <w:top w:val="single" w:sz="6" w:space="0" w:color="D0CECE"/>
              <w:left w:val="nil"/>
              <w:bottom w:val="single" w:sz="6" w:space="0" w:color="D0CECE"/>
              <w:right w:val="nil"/>
            </w:tcBorders>
            <w:shd w:val="clear" w:color="auto" w:fill="auto"/>
            <w:vAlign w:val="bottom"/>
          </w:tcPr>
          <w:p w14:paraId="6F2E15B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C44–C44.9, D04–D04.9, D49.2</w:t>
            </w:r>
          </w:p>
        </w:tc>
      </w:tr>
      <w:tr w:rsidR="00F819F0" w:rsidRPr="00E33965" w14:paraId="3CBF612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AEB73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5B277F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Non-melanoma skin cancer (squamous-cell carcinoma)</w:t>
            </w:r>
          </w:p>
        </w:tc>
        <w:tc>
          <w:tcPr>
            <w:tcW w:w="5745" w:type="dxa"/>
            <w:tcBorders>
              <w:top w:val="single" w:sz="6" w:space="0" w:color="D0CECE"/>
              <w:left w:val="nil"/>
              <w:bottom w:val="single" w:sz="6" w:space="0" w:color="D0CECE"/>
              <w:right w:val="nil"/>
            </w:tcBorders>
            <w:shd w:val="clear" w:color="auto" w:fill="auto"/>
            <w:vAlign w:val="bottom"/>
          </w:tcPr>
          <w:p w14:paraId="0AB0D3F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C44–C44.9, D04–D04.9, D49.2</w:t>
            </w:r>
          </w:p>
        </w:tc>
      </w:tr>
      <w:tr w:rsidR="00F819F0" w:rsidRPr="00E33965" w14:paraId="08AF85D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4FFBDA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21BCCB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Soft tissue and other extraosseous sarcomas</w:t>
            </w:r>
          </w:p>
        </w:tc>
        <w:tc>
          <w:tcPr>
            <w:tcW w:w="5745" w:type="dxa"/>
            <w:tcBorders>
              <w:top w:val="single" w:sz="6" w:space="0" w:color="D0CECE"/>
              <w:left w:val="nil"/>
              <w:bottom w:val="single" w:sz="6" w:space="0" w:color="D0CECE"/>
              <w:right w:val="nil"/>
            </w:tcBorders>
            <w:shd w:val="clear" w:color="auto" w:fill="auto"/>
            <w:vAlign w:val="bottom"/>
          </w:tcPr>
          <w:p w14:paraId="6F897DE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C49–C49.9</w:t>
            </w:r>
          </w:p>
        </w:tc>
      </w:tr>
      <w:tr w:rsidR="00F819F0" w:rsidRPr="00E33965" w14:paraId="431500F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0AF812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7FB418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Malignant neoplasm of bone and articular cartilage</w:t>
            </w:r>
          </w:p>
        </w:tc>
        <w:tc>
          <w:tcPr>
            <w:tcW w:w="5745" w:type="dxa"/>
            <w:tcBorders>
              <w:top w:val="single" w:sz="6" w:space="0" w:color="D0CECE"/>
              <w:left w:val="nil"/>
              <w:bottom w:val="single" w:sz="6" w:space="0" w:color="D0CECE"/>
              <w:right w:val="nil"/>
            </w:tcBorders>
            <w:shd w:val="clear" w:color="auto" w:fill="auto"/>
            <w:vAlign w:val="bottom"/>
          </w:tcPr>
          <w:p w14:paraId="7D0EFD3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C40–C41.9</w:t>
            </w:r>
          </w:p>
        </w:tc>
      </w:tr>
      <w:tr w:rsidR="00F819F0" w:rsidRPr="00E33965" w14:paraId="1B9C771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7D309C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62AEF6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Breast cancer</w:t>
            </w:r>
          </w:p>
        </w:tc>
        <w:tc>
          <w:tcPr>
            <w:tcW w:w="5745" w:type="dxa"/>
            <w:tcBorders>
              <w:top w:val="single" w:sz="6" w:space="0" w:color="D0CECE"/>
              <w:left w:val="nil"/>
              <w:bottom w:val="single" w:sz="6" w:space="0" w:color="D0CECE"/>
              <w:right w:val="nil"/>
            </w:tcBorders>
            <w:shd w:val="clear" w:color="auto" w:fill="auto"/>
            <w:vAlign w:val="bottom"/>
          </w:tcPr>
          <w:p w14:paraId="082F5A0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C50–C50.9, D05–D05.9, D24–D24.9, D48.6, D49.3</w:t>
            </w:r>
          </w:p>
        </w:tc>
      </w:tr>
      <w:tr w:rsidR="00F819F0" w:rsidRPr="00E33965" w14:paraId="09BCF10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C914C9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D347FF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Cervical cancer</w:t>
            </w:r>
          </w:p>
        </w:tc>
        <w:tc>
          <w:tcPr>
            <w:tcW w:w="5745" w:type="dxa"/>
            <w:tcBorders>
              <w:top w:val="single" w:sz="6" w:space="0" w:color="D0CECE"/>
              <w:left w:val="nil"/>
              <w:bottom w:val="single" w:sz="6" w:space="0" w:color="D0CECE"/>
              <w:right w:val="nil"/>
            </w:tcBorders>
            <w:shd w:val="clear" w:color="auto" w:fill="auto"/>
            <w:vAlign w:val="bottom"/>
          </w:tcPr>
          <w:p w14:paraId="721E26A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C53–C53.9, D06–D06.9, D26.0</w:t>
            </w:r>
          </w:p>
        </w:tc>
      </w:tr>
      <w:tr w:rsidR="00F819F0" w:rsidRPr="00E33965" w14:paraId="324F190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076EA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D00353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Uterine cancer</w:t>
            </w:r>
          </w:p>
        </w:tc>
        <w:tc>
          <w:tcPr>
            <w:tcW w:w="5745" w:type="dxa"/>
            <w:tcBorders>
              <w:top w:val="single" w:sz="6" w:space="0" w:color="D0CECE"/>
              <w:left w:val="nil"/>
              <w:bottom w:val="single" w:sz="6" w:space="0" w:color="D0CECE"/>
              <w:right w:val="nil"/>
            </w:tcBorders>
            <w:shd w:val="clear" w:color="auto" w:fill="auto"/>
            <w:vAlign w:val="bottom"/>
          </w:tcPr>
          <w:p w14:paraId="6C05B71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C54–C54.9, D07.0–D07.2, D26.1–D26.9</w:t>
            </w:r>
          </w:p>
        </w:tc>
      </w:tr>
      <w:tr w:rsidR="00F819F0" w:rsidRPr="00E33965" w14:paraId="6B2A675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F80B3B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77AF22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Ovarian cancer</w:t>
            </w:r>
          </w:p>
        </w:tc>
        <w:tc>
          <w:tcPr>
            <w:tcW w:w="5745" w:type="dxa"/>
            <w:tcBorders>
              <w:top w:val="single" w:sz="6" w:space="0" w:color="D0CECE"/>
              <w:left w:val="nil"/>
              <w:bottom w:val="single" w:sz="6" w:space="0" w:color="D0CECE"/>
              <w:right w:val="nil"/>
            </w:tcBorders>
            <w:shd w:val="clear" w:color="auto" w:fill="auto"/>
            <w:vAlign w:val="bottom"/>
          </w:tcPr>
          <w:p w14:paraId="32A7D1D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C56–C56.9, D27–D27.9, D39.1</w:t>
            </w:r>
          </w:p>
        </w:tc>
      </w:tr>
      <w:tr w:rsidR="00F819F0" w:rsidRPr="00E33965" w14:paraId="09EB235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4CA876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8BA94A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Prostate cancer</w:t>
            </w:r>
          </w:p>
        </w:tc>
        <w:tc>
          <w:tcPr>
            <w:tcW w:w="5745" w:type="dxa"/>
            <w:tcBorders>
              <w:top w:val="single" w:sz="6" w:space="0" w:color="D0CECE"/>
              <w:left w:val="nil"/>
              <w:bottom w:val="single" w:sz="6" w:space="0" w:color="D0CECE"/>
              <w:right w:val="nil"/>
            </w:tcBorders>
            <w:shd w:val="clear" w:color="auto" w:fill="auto"/>
            <w:vAlign w:val="bottom"/>
          </w:tcPr>
          <w:p w14:paraId="28E590A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C61–C61.9, D07.5, D29.1, D40.0</w:t>
            </w:r>
          </w:p>
        </w:tc>
      </w:tr>
      <w:tr w:rsidR="00F819F0" w:rsidRPr="00E33965" w14:paraId="4C8725E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CB6D3A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CE2D03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Testicular cancer</w:t>
            </w:r>
          </w:p>
        </w:tc>
        <w:tc>
          <w:tcPr>
            <w:tcW w:w="5745" w:type="dxa"/>
            <w:tcBorders>
              <w:top w:val="single" w:sz="6" w:space="0" w:color="D0CECE"/>
              <w:left w:val="nil"/>
              <w:bottom w:val="single" w:sz="6" w:space="0" w:color="D0CECE"/>
              <w:right w:val="nil"/>
            </w:tcBorders>
            <w:shd w:val="clear" w:color="auto" w:fill="auto"/>
            <w:vAlign w:val="bottom"/>
          </w:tcPr>
          <w:p w14:paraId="14599A7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C62–C62.9, D29.2–D29.8, D40.1–D40.8</w:t>
            </w:r>
          </w:p>
        </w:tc>
      </w:tr>
      <w:tr w:rsidR="00F819F0" w:rsidRPr="00E33965" w14:paraId="7738D9A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7C555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87A49C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Kidney cancer</w:t>
            </w:r>
          </w:p>
        </w:tc>
        <w:tc>
          <w:tcPr>
            <w:tcW w:w="5745" w:type="dxa"/>
            <w:tcBorders>
              <w:top w:val="single" w:sz="6" w:space="0" w:color="D0CECE"/>
              <w:left w:val="nil"/>
              <w:bottom w:val="single" w:sz="6" w:space="0" w:color="D0CECE"/>
              <w:right w:val="nil"/>
            </w:tcBorders>
            <w:shd w:val="clear" w:color="auto" w:fill="auto"/>
            <w:vAlign w:val="bottom"/>
          </w:tcPr>
          <w:p w14:paraId="366C63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C64–C65.9, D30.0–D30.1, D41.0–D41.1</w:t>
            </w:r>
          </w:p>
        </w:tc>
      </w:tr>
      <w:tr w:rsidR="00F819F0" w:rsidRPr="00E33965" w14:paraId="6E99320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B020A5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854B5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Bladder cancer</w:t>
            </w:r>
          </w:p>
        </w:tc>
        <w:tc>
          <w:tcPr>
            <w:tcW w:w="5745" w:type="dxa"/>
            <w:tcBorders>
              <w:top w:val="single" w:sz="6" w:space="0" w:color="D0CECE"/>
              <w:left w:val="nil"/>
              <w:bottom w:val="single" w:sz="6" w:space="0" w:color="D0CECE"/>
              <w:right w:val="nil"/>
            </w:tcBorders>
            <w:shd w:val="clear" w:color="auto" w:fill="auto"/>
            <w:vAlign w:val="bottom"/>
          </w:tcPr>
          <w:p w14:paraId="64BE2B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C67–C67.9, D09.0, D30.3, D41.4–D41.8, D49.4</w:t>
            </w:r>
          </w:p>
        </w:tc>
      </w:tr>
      <w:tr w:rsidR="00F819F0" w:rsidRPr="00E33965" w14:paraId="6F34A58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6225CF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F56335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Brain and central nervous system cancer</w:t>
            </w:r>
          </w:p>
        </w:tc>
        <w:tc>
          <w:tcPr>
            <w:tcW w:w="5745" w:type="dxa"/>
            <w:tcBorders>
              <w:top w:val="single" w:sz="6" w:space="0" w:color="D0CECE"/>
              <w:left w:val="nil"/>
              <w:bottom w:val="single" w:sz="6" w:space="0" w:color="D0CECE"/>
              <w:right w:val="nil"/>
            </w:tcBorders>
            <w:shd w:val="clear" w:color="auto" w:fill="auto"/>
            <w:vAlign w:val="bottom"/>
          </w:tcPr>
          <w:p w14:paraId="58FCA43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C70–C72.9, C75.1–C75.3</w:t>
            </w:r>
          </w:p>
        </w:tc>
      </w:tr>
      <w:tr w:rsidR="00F819F0" w:rsidRPr="00E33965" w14:paraId="5E7C3BE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1BEF3D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59CC01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Eye cancer</w:t>
            </w:r>
          </w:p>
        </w:tc>
        <w:tc>
          <w:tcPr>
            <w:tcW w:w="5745" w:type="dxa"/>
            <w:tcBorders>
              <w:top w:val="single" w:sz="6" w:space="0" w:color="D0CECE"/>
              <w:left w:val="nil"/>
              <w:bottom w:val="single" w:sz="6" w:space="0" w:color="D0CECE"/>
              <w:right w:val="nil"/>
            </w:tcBorders>
            <w:shd w:val="clear" w:color="auto" w:fill="auto"/>
            <w:vAlign w:val="bottom"/>
          </w:tcPr>
          <w:p w14:paraId="0982156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C69*, C69.0–C69.8, C69.9*</w:t>
            </w:r>
          </w:p>
        </w:tc>
      </w:tr>
      <w:tr w:rsidR="00F819F0" w:rsidRPr="00E33965" w14:paraId="70D41CC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F13EA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A1F118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Retinoblastoma</w:t>
            </w:r>
          </w:p>
        </w:tc>
        <w:tc>
          <w:tcPr>
            <w:tcW w:w="5745" w:type="dxa"/>
            <w:tcBorders>
              <w:top w:val="single" w:sz="6" w:space="0" w:color="D0CECE"/>
              <w:left w:val="nil"/>
              <w:bottom w:val="single" w:sz="6" w:space="0" w:color="D0CECE"/>
              <w:right w:val="nil"/>
            </w:tcBorders>
            <w:shd w:val="clear" w:color="auto" w:fill="auto"/>
            <w:vAlign w:val="bottom"/>
          </w:tcPr>
          <w:p w14:paraId="34EFDBE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C69.2</w:t>
            </w:r>
          </w:p>
        </w:tc>
      </w:tr>
      <w:tr w:rsidR="00F819F0" w:rsidRPr="00E33965" w14:paraId="121D37B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4612C2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EE6B10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eye cancers</w:t>
            </w:r>
          </w:p>
        </w:tc>
        <w:tc>
          <w:tcPr>
            <w:tcW w:w="5745" w:type="dxa"/>
            <w:tcBorders>
              <w:top w:val="single" w:sz="6" w:space="0" w:color="D0CECE"/>
              <w:left w:val="nil"/>
              <w:bottom w:val="single" w:sz="6" w:space="0" w:color="D0CECE"/>
              <w:right w:val="nil"/>
            </w:tcBorders>
            <w:shd w:val="clear" w:color="auto" w:fill="auto"/>
            <w:vAlign w:val="bottom"/>
          </w:tcPr>
          <w:p w14:paraId="2323090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C69.0–C69.1, C69.3–C69.8</w:t>
            </w:r>
          </w:p>
        </w:tc>
      </w:tr>
      <w:tr w:rsidR="00F819F0" w:rsidRPr="00E33965" w14:paraId="287A4BB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5EF44D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730D2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Neuroblastoma and other peripheral nervous cell </w:t>
            </w:r>
            <w:proofErr w:type="spellStart"/>
            <w:r w:rsidRPr="00E33965">
              <w:rPr>
                <w:rFonts w:asciiTheme="majorHAnsi" w:hAnsiTheme="majorHAnsi" w:cstheme="majorHAnsi"/>
                <w:color w:val="000000"/>
              </w:rPr>
              <w:t>tumours</w:t>
            </w:r>
            <w:proofErr w:type="spellEnd"/>
          </w:p>
        </w:tc>
        <w:tc>
          <w:tcPr>
            <w:tcW w:w="5745" w:type="dxa"/>
            <w:tcBorders>
              <w:top w:val="single" w:sz="6" w:space="0" w:color="D0CECE"/>
              <w:left w:val="nil"/>
              <w:bottom w:val="single" w:sz="6" w:space="0" w:color="D0CECE"/>
              <w:right w:val="nil"/>
            </w:tcBorders>
            <w:shd w:val="clear" w:color="auto" w:fill="auto"/>
            <w:vAlign w:val="bottom"/>
          </w:tcPr>
          <w:p w14:paraId="3703D11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C47–C47.9</w:t>
            </w:r>
          </w:p>
        </w:tc>
      </w:tr>
      <w:tr w:rsidR="00F819F0" w:rsidRPr="00E33965" w14:paraId="3E9C766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6B82AF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255EE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Thyroid cancer</w:t>
            </w:r>
          </w:p>
        </w:tc>
        <w:tc>
          <w:tcPr>
            <w:tcW w:w="5745" w:type="dxa"/>
            <w:tcBorders>
              <w:top w:val="single" w:sz="6" w:space="0" w:color="D0CECE"/>
              <w:left w:val="nil"/>
              <w:bottom w:val="single" w:sz="6" w:space="0" w:color="D0CECE"/>
              <w:right w:val="nil"/>
            </w:tcBorders>
            <w:shd w:val="clear" w:color="auto" w:fill="auto"/>
            <w:vAlign w:val="bottom"/>
          </w:tcPr>
          <w:p w14:paraId="05AC509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C73–C73.9, D09.3, D09.8, D34–D34.9, D44.0</w:t>
            </w:r>
          </w:p>
        </w:tc>
      </w:tr>
      <w:tr w:rsidR="00F819F0" w:rsidRPr="00E33965" w14:paraId="14EB2B0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376A36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4966C44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Mesothelioma</w:t>
            </w:r>
          </w:p>
        </w:tc>
        <w:tc>
          <w:tcPr>
            <w:tcW w:w="5745" w:type="dxa"/>
            <w:tcBorders>
              <w:top w:val="single" w:sz="6" w:space="0" w:color="D0CECE"/>
              <w:left w:val="nil"/>
              <w:bottom w:val="single" w:sz="6" w:space="0" w:color="D0CECE"/>
              <w:right w:val="nil"/>
            </w:tcBorders>
            <w:shd w:val="clear" w:color="auto" w:fill="auto"/>
            <w:vAlign w:val="bottom"/>
          </w:tcPr>
          <w:p w14:paraId="06841A2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C45–C45.9</w:t>
            </w:r>
          </w:p>
        </w:tc>
      </w:tr>
      <w:tr w:rsidR="00F819F0" w:rsidRPr="00E33965" w14:paraId="5F0EEB2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CDE402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54FC9C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Hodgkin lymphoma</w:t>
            </w:r>
          </w:p>
        </w:tc>
        <w:tc>
          <w:tcPr>
            <w:tcW w:w="5745" w:type="dxa"/>
            <w:tcBorders>
              <w:top w:val="single" w:sz="6" w:space="0" w:color="D0CECE"/>
              <w:left w:val="nil"/>
              <w:bottom w:val="single" w:sz="6" w:space="0" w:color="D0CECE"/>
              <w:right w:val="nil"/>
            </w:tcBorders>
            <w:shd w:val="clear" w:color="auto" w:fill="auto"/>
            <w:vAlign w:val="bottom"/>
          </w:tcPr>
          <w:p w14:paraId="30FC6DD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C81–C81.9</w:t>
            </w:r>
          </w:p>
        </w:tc>
      </w:tr>
      <w:tr w:rsidR="00F819F0" w:rsidRPr="00E33965" w14:paraId="59C6377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A6048C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AD3EB2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Non-Hodgkin lymphoma</w:t>
            </w:r>
          </w:p>
        </w:tc>
        <w:tc>
          <w:tcPr>
            <w:tcW w:w="5745" w:type="dxa"/>
            <w:tcBorders>
              <w:top w:val="single" w:sz="6" w:space="0" w:color="D0CECE"/>
              <w:left w:val="nil"/>
              <w:bottom w:val="single" w:sz="6" w:space="0" w:color="D0CECE"/>
              <w:right w:val="nil"/>
            </w:tcBorders>
            <w:shd w:val="clear" w:color="auto" w:fill="auto"/>
            <w:vAlign w:val="bottom"/>
          </w:tcPr>
          <w:p w14:paraId="6EF2201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C82–C82.9, C83*, C83.0–C83.8, C83.9*, C84–C85.0, C85.1*, C85.2–C85.8, C85.9*, C86–C86.6, C96–C96.9</w:t>
            </w:r>
          </w:p>
        </w:tc>
      </w:tr>
      <w:tr w:rsidR="00F819F0" w:rsidRPr="00E33965" w14:paraId="619FBF5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44BE9D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F579E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Burkitt lymphoma</w:t>
            </w:r>
          </w:p>
        </w:tc>
        <w:tc>
          <w:tcPr>
            <w:tcW w:w="5745" w:type="dxa"/>
            <w:tcBorders>
              <w:top w:val="single" w:sz="6" w:space="0" w:color="D0CECE"/>
              <w:left w:val="nil"/>
              <w:bottom w:val="single" w:sz="6" w:space="0" w:color="D0CECE"/>
              <w:right w:val="nil"/>
            </w:tcBorders>
            <w:shd w:val="clear" w:color="auto" w:fill="auto"/>
            <w:vAlign w:val="bottom"/>
          </w:tcPr>
          <w:p w14:paraId="2F5EC45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C83.7</w:t>
            </w:r>
          </w:p>
        </w:tc>
      </w:tr>
      <w:tr w:rsidR="00F819F0" w:rsidRPr="00E33965" w14:paraId="32E2A2C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87D004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E80145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gramStart"/>
            <w:r w:rsidRPr="00E33965">
              <w:rPr>
                <w:rFonts w:asciiTheme="majorHAnsi" w:hAnsiTheme="majorHAnsi" w:cstheme="majorHAnsi"/>
                <w:color w:val="000000"/>
              </w:rPr>
              <w:t>Other</w:t>
            </w:r>
            <w:proofErr w:type="gramEnd"/>
            <w:r w:rsidRPr="00E33965">
              <w:rPr>
                <w:rFonts w:asciiTheme="majorHAnsi" w:hAnsiTheme="majorHAnsi" w:cstheme="majorHAnsi"/>
                <w:color w:val="000000"/>
              </w:rPr>
              <w:t xml:space="preserve"> non-Hodgkin lymphoma</w:t>
            </w:r>
          </w:p>
        </w:tc>
        <w:tc>
          <w:tcPr>
            <w:tcW w:w="5745" w:type="dxa"/>
            <w:tcBorders>
              <w:top w:val="single" w:sz="6" w:space="0" w:color="D0CECE"/>
              <w:left w:val="nil"/>
              <w:bottom w:val="single" w:sz="6" w:space="0" w:color="D0CECE"/>
              <w:right w:val="nil"/>
            </w:tcBorders>
            <w:shd w:val="clear" w:color="auto" w:fill="auto"/>
            <w:vAlign w:val="bottom"/>
          </w:tcPr>
          <w:p w14:paraId="1299D7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C82–C82.9, C83.0–C83.6, C83.8, C84–C85.0, C85.2–C85.8, C86–C86.6, C96–C96.9</w:t>
            </w:r>
          </w:p>
        </w:tc>
      </w:tr>
      <w:tr w:rsidR="00F819F0" w:rsidRPr="00E33965" w14:paraId="4F5B2B6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B8AF2C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C8F766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Multiple myeloma</w:t>
            </w:r>
          </w:p>
        </w:tc>
        <w:tc>
          <w:tcPr>
            <w:tcW w:w="5745" w:type="dxa"/>
            <w:tcBorders>
              <w:top w:val="single" w:sz="6" w:space="0" w:color="D0CECE"/>
              <w:left w:val="nil"/>
              <w:bottom w:val="single" w:sz="6" w:space="0" w:color="D0CECE"/>
              <w:right w:val="nil"/>
            </w:tcBorders>
            <w:shd w:val="clear" w:color="auto" w:fill="auto"/>
            <w:vAlign w:val="bottom"/>
          </w:tcPr>
          <w:p w14:paraId="06BE58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C88–C90.9</w:t>
            </w:r>
          </w:p>
        </w:tc>
      </w:tr>
      <w:tr w:rsidR="00F819F0" w:rsidRPr="00E33965" w14:paraId="1057E06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79DAF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768058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spellStart"/>
            <w:r w:rsidRPr="00E33965">
              <w:rPr>
                <w:rFonts w:asciiTheme="majorHAnsi" w:hAnsiTheme="majorHAnsi" w:cstheme="majorHAnsi"/>
                <w:color w:val="000000"/>
              </w:rPr>
              <w:t>Leukaemia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6CA851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C91–C91.0, C91.1*, C91.2–C91.3, C91.4*–C91.5*, C91.6, C91.7*–C91.9*, C92–C92.6, C92.7*–C92.9*, C93–C93.1, C93.2*, C93.3, C93.5*–C93.7*, C93.8, C93.9*, C94–C94.5, C94.6*, C94.7–C95.9</w:t>
            </w:r>
          </w:p>
        </w:tc>
      </w:tr>
      <w:tr w:rsidR="00F819F0" w:rsidRPr="00E33965" w14:paraId="54BF77C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6486D5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396821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Acute lymphoid </w:t>
            </w:r>
            <w:proofErr w:type="spellStart"/>
            <w:r w:rsidRPr="00E33965">
              <w:rPr>
                <w:rFonts w:asciiTheme="majorHAnsi" w:hAnsiTheme="majorHAnsi" w:cstheme="majorHAnsi"/>
                <w:color w:val="000000"/>
              </w:rPr>
              <w:t>leukaemia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700A432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C91.0, C91.2–C91.3, C91.6</w:t>
            </w:r>
          </w:p>
        </w:tc>
      </w:tr>
      <w:tr w:rsidR="00F819F0" w:rsidRPr="00E33965" w14:paraId="461232E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061E4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68153B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Acute myeloid </w:t>
            </w:r>
            <w:proofErr w:type="spellStart"/>
            <w:r w:rsidRPr="00E33965">
              <w:rPr>
                <w:rFonts w:asciiTheme="majorHAnsi" w:hAnsiTheme="majorHAnsi" w:cstheme="majorHAnsi"/>
                <w:color w:val="000000"/>
              </w:rPr>
              <w:t>leukaemia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3A756E3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C92.0, C92.3–C92.6, C93.0, C94.0, C94.2, C94.4–C94.5</w:t>
            </w:r>
          </w:p>
        </w:tc>
      </w:tr>
      <w:tr w:rsidR="00F819F0" w:rsidRPr="00E33965" w14:paraId="3CE184C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337E2F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20A30A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Chronic myeloid </w:t>
            </w:r>
            <w:proofErr w:type="spellStart"/>
            <w:r w:rsidRPr="00E33965">
              <w:rPr>
                <w:rFonts w:asciiTheme="majorHAnsi" w:hAnsiTheme="majorHAnsi" w:cstheme="majorHAnsi"/>
                <w:color w:val="000000"/>
              </w:rPr>
              <w:t>leukaemia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6BF8A51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C92.1–C92.2</w:t>
            </w:r>
          </w:p>
        </w:tc>
      </w:tr>
      <w:tr w:rsidR="00F819F0" w:rsidRPr="00E33965" w14:paraId="19499BD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2B0574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2104DF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Other </w:t>
            </w:r>
            <w:proofErr w:type="spellStart"/>
            <w:r w:rsidRPr="00E33965">
              <w:rPr>
                <w:rFonts w:asciiTheme="majorHAnsi" w:hAnsiTheme="majorHAnsi" w:cstheme="majorHAnsi"/>
                <w:color w:val="000000"/>
              </w:rPr>
              <w:t>leukaemia</w:t>
            </w:r>
            <w:proofErr w:type="spellEnd"/>
          </w:p>
        </w:tc>
        <w:tc>
          <w:tcPr>
            <w:tcW w:w="5745" w:type="dxa"/>
            <w:tcBorders>
              <w:top w:val="single" w:sz="6" w:space="0" w:color="D0CECE"/>
              <w:left w:val="nil"/>
              <w:bottom w:val="single" w:sz="6" w:space="0" w:color="D0CECE"/>
              <w:right w:val="nil"/>
            </w:tcBorders>
            <w:shd w:val="clear" w:color="auto" w:fill="auto"/>
            <w:vAlign w:val="bottom"/>
          </w:tcPr>
          <w:p w14:paraId="368B4E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C93.1, C93.3, C93.8, C94.1, C94.3, C94.7–C94.8</w:t>
            </w:r>
          </w:p>
        </w:tc>
      </w:tr>
      <w:tr w:rsidR="00F819F0" w:rsidRPr="00E33965" w14:paraId="5169AE5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7EBD2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CEEEB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malignant neoplasms</w:t>
            </w:r>
          </w:p>
        </w:tc>
        <w:tc>
          <w:tcPr>
            <w:tcW w:w="5745" w:type="dxa"/>
            <w:tcBorders>
              <w:top w:val="single" w:sz="6" w:space="0" w:color="D0CECE"/>
              <w:left w:val="nil"/>
              <w:bottom w:val="single" w:sz="6" w:space="0" w:color="D0CECE"/>
              <w:right w:val="nil"/>
            </w:tcBorders>
            <w:shd w:val="clear" w:color="auto" w:fill="auto"/>
            <w:vAlign w:val="bottom"/>
          </w:tcPr>
          <w:p w14:paraId="24D9C51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C17–C17.9, C30–C31.9, C37–C38.8, C48–C48.9, C4A, C51–C52.9, C57–C57.8, C60–C60.9, C63–C63.8, C66–C66.9, C68.0–C68.8, C75–C75.0, C75.4–C75.8, D07.4, D09.2, D13.2–D13.3, D14.0, D15–D16.9, D28.0–D28.1, D28.7, D29.0, D30.2, D30.4–D30.8, D31–D31.9, D35–D35.2, D35.5–D36, D36.1–D36.7, D37.2, D38.2–D38.5, D39.2, D39.8, D41.2–D41.3, D44.1–D44.8, D48.0–D48.4</w:t>
            </w:r>
          </w:p>
        </w:tc>
      </w:tr>
      <w:tr w:rsidR="00F819F0" w:rsidRPr="00E33965" w14:paraId="5F49890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E51E39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694391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neoplasms</w:t>
            </w:r>
          </w:p>
        </w:tc>
        <w:tc>
          <w:tcPr>
            <w:tcW w:w="5745" w:type="dxa"/>
            <w:tcBorders>
              <w:top w:val="single" w:sz="6" w:space="0" w:color="D0CECE"/>
              <w:left w:val="nil"/>
              <w:bottom w:val="single" w:sz="6" w:space="0" w:color="D0CECE"/>
              <w:right w:val="nil"/>
            </w:tcBorders>
            <w:shd w:val="clear" w:color="auto" w:fill="auto"/>
            <w:vAlign w:val="bottom"/>
          </w:tcPr>
          <w:p w14:paraId="7F5E49F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D32–D33.9, D35.3–D35.4, D42–D43.9, D45–D47.9, D49.6, K62.0–K62.1, K63.5, N60–N60.9, N84.0–N84.1, N87–N87.9</w:t>
            </w:r>
          </w:p>
        </w:tc>
      </w:tr>
      <w:tr w:rsidR="00F819F0" w:rsidRPr="00E33965" w14:paraId="19CC164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31B10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05631A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Myelodysplastic, myeloproliferative, and other hematopoietic neoplasms</w:t>
            </w:r>
          </w:p>
        </w:tc>
        <w:tc>
          <w:tcPr>
            <w:tcW w:w="5745" w:type="dxa"/>
            <w:tcBorders>
              <w:top w:val="single" w:sz="6" w:space="0" w:color="D0CECE"/>
              <w:left w:val="nil"/>
              <w:bottom w:val="single" w:sz="6" w:space="0" w:color="D0CECE"/>
              <w:right w:val="nil"/>
            </w:tcBorders>
            <w:shd w:val="clear" w:color="auto" w:fill="auto"/>
            <w:vAlign w:val="bottom"/>
          </w:tcPr>
          <w:p w14:paraId="65BCDF3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D45–D47.9</w:t>
            </w:r>
          </w:p>
        </w:tc>
      </w:tr>
      <w:tr w:rsidR="00F819F0" w:rsidRPr="00E33965" w14:paraId="2DAD60A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57E63D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CC96A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benign and in situ neoplasms</w:t>
            </w:r>
          </w:p>
        </w:tc>
        <w:tc>
          <w:tcPr>
            <w:tcW w:w="5745" w:type="dxa"/>
            <w:tcBorders>
              <w:top w:val="single" w:sz="6" w:space="0" w:color="D0CECE"/>
              <w:left w:val="nil"/>
              <w:bottom w:val="single" w:sz="6" w:space="0" w:color="D0CECE"/>
              <w:right w:val="nil"/>
            </w:tcBorders>
            <w:shd w:val="clear" w:color="auto" w:fill="auto"/>
            <w:vAlign w:val="bottom"/>
          </w:tcPr>
          <w:p w14:paraId="7604B5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N60–N60.9</w:t>
            </w:r>
          </w:p>
        </w:tc>
      </w:tr>
      <w:tr w:rsidR="00F819F0" w:rsidRPr="00E33965" w14:paraId="5786710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F61104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79BA3D1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Cardiovascular diseases</w:t>
            </w:r>
          </w:p>
        </w:tc>
        <w:tc>
          <w:tcPr>
            <w:tcW w:w="5745" w:type="dxa"/>
            <w:tcBorders>
              <w:top w:val="single" w:sz="6" w:space="0" w:color="D0CECE"/>
              <w:left w:val="nil"/>
              <w:bottom w:val="single" w:sz="6" w:space="0" w:color="D0CECE"/>
              <w:right w:val="nil"/>
            </w:tcBorders>
            <w:shd w:val="clear" w:color="auto" w:fill="auto"/>
            <w:vAlign w:val="bottom"/>
          </w:tcPr>
          <w:p w14:paraId="78C5CE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B33.2, G45–G46.8, I01–I01.9, I02.0, I05–I09.9, I11–I11.9, I20–I25.9, I27.0, I27.2, I28–I28.9, I30–I31.1, I31.8–I37.8, I37.9*, I38–I41.9, I42*–I42.0*, I42.1–I42.8, I42.9*, I43–I43.9, I47–I48.9, I51*, I51.0–I51.4, I51.5*, I51.7*–I51.9*, I60–I63.9, I64*–I64.9*, I65–I66.9, I67*, I67.0–I67.3, I67.5–I67.6, I67.8*–I68*, I68.0–I68.2, I68.8*–I69*, I69.0–I69.3, I69.4*–I69.9*, I70.2–I70.8, I71–I73.9, I77–I83.9, I86–I89.0, I89.9, I98, K75.1</w:t>
            </w:r>
          </w:p>
        </w:tc>
      </w:tr>
      <w:tr w:rsidR="00F819F0" w:rsidRPr="00E33965" w14:paraId="3512085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BABC6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7F1DB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Rheumatic heart disease</w:t>
            </w:r>
          </w:p>
        </w:tc>
        <w:tc>
          <w:tcPr>
            <w:tcW w:w="5745" w:type="dxa"/>
            <w:tcBorders>
              <w:top w:val="single" w:sz="6" w:space="0" w:color="D0CECE"/>
              <w:left w:val="nil"/>
              <w:bottom w:val="single" w:sz="6" w:space="0" w:color="D0CECE"/>
              <w:right w:val="nil"/>
            </w:tcBorders>
            <w:shd w:val="clear" w:color="auto" w:fill="auto"/>
            <w:vAlign w:val="bottom"/>
          </w:tcPr>
          <w:p w14:paraId="4481727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I01–I01.9, I02.0, I05–I09.9</w:t>
            </w:r>
          </w:p>
        </w:tc>
      </w:tr>
      <w:tr w:rsidR="00F819F0" w:rsidRPr="00E33965" w14:paraId="5BBE3D9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FD5DC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A7042E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Ischemic heart disease</w:t>
            </w:r>
          </w:p>
        </w:tc>
        <w:tc>
          <w:tcPr>
            <w:tcW w:w="5745" w:type="dxa"/>
            <w:tcBorders>
              <w:top w:val="single" w:sz="6" w:space="0" w:color="D0CECE"/>
              <w:left w:val="nil"/>
              <w:bottom w:val="single" w:sz="6" w:space="0" w:color="D0CECE"/>
              <w:right w:val="nil"/>
            </w:tcBorders>
            <w:shd w:val="clear" w:color="auto" w:fill="auto"/>
            <w:vAlign w:val="bottom"/>
          </w:tcPr>
          <w:p w14:paraId="5FC320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I20–I25.9</w:t>
            </w:r>
          </w:p>
        </w:tc>
      </w:tr>
      <w:tr w:rsidR="00F819F0" w:rsidRPr="00E33965" w14:paraId="7EE2E93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C4DE2E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307C82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Stroke</w:t>
            </w:r>
          </w:p>
        </w:tc>
        <w:tc>
          <w:tcPr>
            <w:tcW w:w="5745" w:type="dxa"/>
            <w:tcBorders>
              <w:top w:val="single" w:sz="6" w:space="0" w:color="D0CECE"/>
              <w:left w:val="nil"/>
              <w:bottom w:val="single" w:sz="6" w:space="0" w:color="D0CECE"/>
              <w:right w:val="nil"/>
            </w:tcBorders>
            <w:shd w:val="clear" w:color="auto" w:fill="auto"/>
            <w:vAlign w:val="bottom"/>
          </w:tcPr>
          <w:p w14:paraId="1C97995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G45–G46.8, I60–I63.9, I64*–I64.9*, I65–I66.9, I67*, I67.0–I67.3, I67.5–I67.6, I67.8*–I68*, I68.1–I68.2, I68.8*–I69*, I69.0–I69.3, I69.4*–I69.9*</w:t>
            </w:r>
          </w:p>
        </w:tc>
      </w:tr>
      <w:tr w:rsidR="00F819F0" w:rsidRPr="00E33965" w14:paraId="32C70E0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2199C7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B93CDE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Ischemic stroke</w:t>
            </w:r>
          </w:p>
        </w:tc>
        <w:tc>
          <w:tcPr>
            <w:tcW w:w="5745" w:type="dxa"/>
            <w:tcBorders>
              <w:top w:val="single" w:sz="6" w:space="0" w:color="D0CECE"/>
              <w:left w:val="nil"/>
              <w:bottom w:val="single" w:sz="6" w:space="0" w:color="D0CECE"/>
              <w:right w:val="nil"/>
            </w:tcBorders>
            <w:shd w:val="clear" w:color="auto" w:fill="auto"/>
            <w:vAlign w:val="bottom"/>
          </w:tcPr>
          <w:p w14:paraId="404F06D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G45–G46.8, I63–I63.9, I65–I66.9, I67.2–I67.3, I67.5–I67.6, I69.3</w:t>
            </w:r>
          </w:p>
        </w:tc>
      </w:tr>
      <w:tr w:rsidR="00F819F0" w:rsidRPr="00E33965" w14:paraId="32F26A0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970D4F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4</w:t>
            </w:r>
          </w:p>
        </w:tc>
        <w:tc>
          <w:tcPr>
            <w:tcW w:w="2250" w:type="dxa"/>
            <w:tcBorders>
              <w:top w:val="single" w:sz="6" w:space="0" w:color="D0CECE"/>
              <w:left w:val="nil"/>
              <w:bottom w:val="single" w:sz="6" w:space="0" w:color="D0CECE"/>
              <w:right w:val="nil"/>
            </w:tcBorders>
            <w:shd w:val="clear" w:color="auto" w:fill="auto"/>
            <w:vAlign w:val="bottom"/>
          </w:tcPr>
          <w:p w14:paraId="18A5EB3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Intracerebral </w:t>
            </w:r>
            <w:proofErr w:type="spellStart"/>
            <w:r w:rsidRPr="00E33965">
              <w:rPr>
                <w:rFonts w:asciiTheme="majorHAnsi" w:hAnsiTheme="majorHAnsi" w:cstheme="majorHAnsi"/>
                <w:color w:val="000000"/>
              </w:rPr>
              <w:t>haemorrhage</w:t>
            </w:r>
            <w:proofErr w:type="spellEnd"/>
          </w:p>
        </w:tc>
        <w:tc>
          <w:tcPr>
            <w:tcW w:w="5745" w:type="dxa"/>
            <w:tcBorders>
              <w:top w:val="single" w:sz="6" w:space="0" w:color="D0CECE"/>
              <w:left w:val="nil"/>
              <w:bottom w:val="single" w:sz="6" w:space="0" w:color="D0CECE"/>
              <w:right w:val="nil"/>
            </w:tcBorders>
            <w:shd w:val="clear" w:color="auto" w:fill="auto"/>
            <w:vAlign w:val="bottom"/>
          </w:tcPr>
          <w:p w14:paraId="303D18F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I61–I62, I62.1–I62.9, I68.1–I68.2, I69.1–I69.2</w:t>
            </w:r>
          </w:p>
        </w:tc>
      </w:tr>
      <w:tr w:rsidR="00F819F0" w:rsidRPr="00E33965" w14:paraId="61BBB3C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8D998C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EC60FA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Subarachnoid </w:t>
            </w:r>
            <w:proofErr w:type="spellStart"/>
            <w:r w:rsidRPr="00E33965">
              <w:rPr>
                <w:rFonts w:asciiTheme="majorHAnsi" w:hAnsiTheme="majorHAnsi" w:cstheme="majorHAnsi"/>
                <w:color w:val="000000"/>
              </w:rPr>
              <w:t>haemorrhage</w:t>
            </w:r>
            <w:proofErr w:type="spellEnd"/>
          </w:p>
        </w:tc>
        <w:tc>
          <w:tcPr>
            <w:tcW w:w="5745" w:type="dxa"/>
            <w:tcBorders>
              <w:top w:val="single" w:sz="6" w:space="0" w:color="D0CECE"/>
              <w:left w:val="nil"/>
              <w:bottom w:val="single" w:sz="6" w:space="0" w:color="D0CECE"/>
              <w:right w:val="nil"/>
            </w:tcBorders>
            <w:shd w:val="clear" w:color="auto" w:fill="auto"/>
            <w:vAlign w:val="bottom"/>
          </w:tcPr>
          <w:p w14:paraId="3F52ACC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I60–I60.9, I62.0, I67.0–I67.1, I69.0</w:t>
            </w:r>
          </w:p>
        </w:tc>
      </w:tr>
      <w:tr w:rsidR="00F819F0" w:rsidRPr="00E33965" w14:paraId="3FA8C82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8ED80F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A792DC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Hypertensive heart disease</w:t>
            </w:r>
          </w:p>
        </w:tc>
        <w:tc>
          <w:tcPr>
            <w:tcW w:w="5745" w:type="dxa"/>
            <w:tcBorders>
              <w:top w:val="single" w:sz="6" w:space="0" w:color="D0CECE"/>
              <w:left w:val="nil"/>
              <w:bottom w:val="single" w:sz="6" w:space="0" w:color="D0CECE"/>
              <w:right w:val="nil"/>
            </w:tcBorders>
            <w:shd w:val="clear" w:color="auto" w:fill="auto"/>
            <w:vAlign w:val="bottom"/>
          </w:tcPr>
          <w:p w14:paraId="25DD8E4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I11–I11.9</w:t>
            </w:r>
          </w:p>
        </w:tc>
      </w:tr>
      <w:tr w:rsidR="00F819F0" w:rsidRPr="00E33965" w14:paraId="0D3D2BF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912A7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BC303A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Non-rheumatic valvular heart disease</w:t>
            </w:r>
          </w:p>
        </w:tc>
        <w:tc>
          <w:tcPr>
            <w:tcW w:w="5745" w:type="dxa"/>
            <w:tcBorders>
              <w:top w:val="single" w:sz="6" w:space="0" w:color="D0CECE"/>
              <w:left w:val="nil"/>
              <w:bottom w:val="single" w:sz="6" w:space="0" w:color="D0CECE"/>
              <w:right w:val="nil"/>
            </w:tcBorders>
            <w:shd w:val="clear" w:color="auto" w:fill="auto"/>
            <w:vAlign w:val="bottom"/>
          </w:tcPr>
          <w:p w14:paraId="3370E6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I34–I37.8, I37.9*</w:t>
            </w:r>
          </w:p>
        </w:tc>
      </w:tr>
      <w:tr w:rsidR="00F819F0" w:rsidRPr="00E33965" w14:paraId="0173F38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ECB937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2E5310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Non-rheumatic calcific aortic valve disease</w:t>
            </w:r>
          </w:p>
        </w:tc>
        <w:tc>
          <w:tcPr>
            <w:tcW w:w="5745" w:type="dxa"/>
            <w:tcBorders>
              <w:top w:val="single" w:sz="6" w:space="0" w:color="D0CECE"/>
              <w:left w:val="nil"/>
              <w:bottom w:val="single" w:sz="6" w:space="0" w:color="D0CECE"/>
              <w:right w:val="nil"/>
            </w:tcBorders>
            <w:shd w:val="clear" w:color="auto" w:fill="auto"/>
            <w:vAlign w:val="bottom"/>
          </w:tcPr>
          <w:p w14:paraId="0D9753B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I35–I35.9</w:t>
            </w:r>
          </w:p>
        </w:tc>
      </w:tr>
      <w:tr w:rsidR="00F819F0" w:rsidRPr="00E33965" w14:paraId="24C716B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851ECD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9F7BE6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Non-rheumatic degenerative mitral valve disease</w:t>
            </w:r>
          </w:p>
        </w:tc>
        <w:tc>
          <w:tcPr>
            <w:tcW w:w="5745" w:type="dxa"/>
            <w:tcBorders>
              <w:top w:val="single" w:sz="6" w:space="0" w:color="D0CECE"/>
              <w:left w:val="nil"/>
              <w:bottom w:val="single" w:sz="6" w:space="0" w:color="D0CECE"/>
              <w:right w:val="nil"/>
            </w:tcBorders>
            <w:shd w:val="clear" w:color="auto" w:fill="auto"/>
            <w:vAlign w:val="bottom"/>
          </w:tcPr>
          <w:p w14:paraId="105194D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I34–I34.9</w:t>
            </w:r>
          </w:p>
        </w:tc>
      </w:tr>
      <w:tr w:rsidR="00F819F0" w:rsidRPr="00E33965" w14:paraId="626B619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4BFC0A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B4D98E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non-rheumatic valve diseases</w:t>
            </w:r>
          </w:p>
        </w:tc>
        <w:tc>
          <w:tcPr>
            <w:tcW w:w="5745" w:type="dxa"/>
            <w:tcBorders>
              <w:top w:val="single" w:sz="6" w:space="0" w:color="D0CECE"/>
              <w:left w:val="nil"/>
              <w:bottom w:val="single" w:sz="6" w:space="0" w:color="D0CECE"/>
              <w:right w:val="nil"/>
            </w:tcBorders>
            <w:shd w:val="clear" w:color="auto" w:fill="auto"/>
            <w:vAlign w:val="bottom"/>
          </w:tcPr>
          <w:p w14:paraId="7AEFF3D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I36–I37.8</w:t>
            </w:r>
          </w:p>
        </w:tc>
      </w:tr>
      <w:tr w:rsidR="00F819F0" w:rsidRPr="00E33965" w14:paraId="009805C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C8BC4E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90CE29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Cardiomyopathy and myocarditis</w:t>
            </w:r>
          </w:p>
        </w:tc>
        <w:tc>
          <w:tcPr>
            <w:tcW w:w="5745" w:type="dxa"/>
            <w:tcBorders>
              <w:top w:val="single" w:sz="6" w:space="0" w:color="D0CECE"/>
              <w:left w:val="nil"/>
              <w:bottom w:val="single" w:sz="6" w:space="0" w:color="D0CECE"/>
              <w:right w:val="nil"/>
            </w:tcBorders>
            <w:shd w:val="clear" w:color="auto" w:fill="auto"/>
            <w:vAlign w:val="bottom"/>
          </w:tcPr>
          <w:p w14:paraId="6E5CFE6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B33.2, I40–I41.9, I42*–I42.0*, I42.1–I42.8, I42.9*, I43–I43.9, I51.4, I51.5*</w:t>
            </w:r>
          </w:p>
        </w:tc>
      </w:tr>
      <w:tr w:rsidR="00F819F0" w:rsidRPr="00E33965" w14:paraId="3694DBB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321F5F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8E5BC5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Myocarditis</w:t>
            </w:r>
          </w:p>
        </w:tc>
        <w:tc>
          <w:tcPr>
            <w:tcW w:w="5745" w:type="dxa"/>
            <w:tcBorders>
              <w:top w:val="single" w:sz="6" w:space="0" w:color="D0CECE"/>
              <w:left w:val="nil"/>
              <w:bottom w:val="single" w:sz="6" w:space="0" w:color="D0CECE"/>
              <w:right w:val="nil"/>
            </w:tcBorders>
            <w:shd w:val="clear" w:color="auto" w:fill="auto"/>
            <w:vAlign w:val="bottom"/>
          </w:tcPr>
          <w:p w14:paraId="1076BF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B33.2, I40–I41.9, I51.4</w:t>
            </w:r>
          </w:p>
        </w:tc>
      </w:tr>
      <w:tr w:rsidR="00F819F0" w:rsidRPr="00E33965" w14:paraId="76095AC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7BCC11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F4739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Alcoholic cardiomyopathy</w:t>
            </w:r>
          </w:p>
        </w:tc>
        <w:tc>
          <w:tcPr>
            <w:tcW w:w="5745" w:type="dxa"/>
            <w:tcBorders>
              <w:top w:val="single" w:sz="6" w:space="0" w:color="D0CECE"/>
              <w:left w:val="nil"/>
              <w:bottom w:val="single" w:sz="6" w:space="0" w:color="D0CECE"/>
              <w:right w:val="nil"/>
            </w:tcBorders>
            <w:shd w:val="clear" w:color="auto" w:fill="auto"/>
            <w:vAlign w:val="bottom"/>
          </w:tcPr>
          <w:p w14:paraId="1A6D81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I42.6</w:t>
            </w:r>
          </w:p>
        </w:tc>
      </w:tr>
      <w:tr w:rsidR="00F819F0" w:rsidRPr="00E33965" w14:paraId="3761FE2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FEB62E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43DE1C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gramStart"/>
            <w:r w:rsidRPr="00E33965">
              <w:rPr>
                <w:rFonts w:asciiTheme="majorHAnsi" w:hAnsiTheme="majorHAnsi" w:cstheme="majorHAnsi"/>
                <w:color w:val="000000"/>
              </w:rPr>
              <w:t>Other</w:t>
            </w:r>
            <w:proofErr w:type="gramEnd"/>
            <w:r w:rsidRPr="00E33965">
              <w:rPr>
                <w:rFonts w:asciiTheme="majorHAnsi" w:hAnsiTheme="majorHAnsi" w:cstheme="majorHAnsi"/>
                <w:color w:val="000000"/>
              </w:rPr>
              <w:t xml:space="preserve"> cardiomyopathy</w:t>
            </w:r>
          </w:p>
        </w:tc>
        <w:tc>
          <w:tcPr>
            <w:tcW w:w="5745" w:type="dxa"/>
            <w:tcBorders>
              <w:top w:val="single" w:sz="6" w:space="0" w:color="D0CECE"/>
              <w:left w:val="nil"/>
              <w:bottom w:val="single" w:sz="6" w:space="0" w:color="D0CECE"/>
              <w:right w:val="nil"/>
            </w:tcBorders>
            <w:shd w:val="clear" w:color="auto" w:fill="auto"/>
            <w:vAlign w:val="bottom"/>
          </w:tcPr>
          <w:p w14:paraId="350C63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I42.1–I42.5, I42.7–I42.8, I43–I43.9</w:t>
            </w:r>
          </w:p>
        </w:tc>
      </w:tr>
      <w:tr w:rsidR="00F819F0" w:rsidRPr="00E33965" w14:paraId="023A015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560A29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74B6F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Pulmonary Arterial Hypertension</w:t>
            </w:r>
          </w:p>
        </w:tc>
        <w:tc>
          <w:tcPr>
            <w:tcW w:w="5745" w:type="dxa"/>
            <w:tcBorders>
              <w:top w:val="single" w:sz="6" w:space="0" w:color="D0CECE"/>
              <w:left w:val="nil"/>
              <w:bottom w:val="single" w:sz="6" w:space="0" w:color="D0CECE"/>
              <w:right w:val="nil"/>
            </w:tcBorders>
            <w:shd w:val="clear" w:color="auto" w:fill="auto"/>
            <w:vAlign w:val="bottom"/>
          </w:tcPr>
          <w:p w14:paraId="1411997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I27.0</w:t>
            </w:r>
          </w:p>
        </w:tc>
      </w:tr>
      <w:tr w:rsidR="00F819F0" w:rsidRPr="00E33965" w14:paraId="213751C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65231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A4320D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Atrial fibrillation and flutter</w:t>
            </w:r>
          </w:p>
        </w:tc>
        <w:tc>
          <w:tcPr>
            <w:tcW w:w="5745" w:type="dxa"/>
            <w:tcBorders>
              <w:top w:val="single" w:sz="6" w:space="0" w:color="D0CECE"/>
              <w:left w:val="nil"/>
              <w:bottom w:val="single" w:sz="6" w:space="0" w:color="D0CECE"/>
              <w:right w:val="nil"/>
            </w:tcBorders>
            <w:shd w:val="clear" w:color="auto" w:fill="auto"/>
            <w:vAlign w:val="bottom"/>
          </w:tcPr>
          <w:p w14:paraId="1C4F172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I48–I48.9</w:t>
            </w:r>
          </w:p>
        </w:tc>
      </w:tr>
      <w:tr w:rsidR="00F819F0" w:rsidRPr="00E33965" w14:paraId="6CCE37D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249EA8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8B6C5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Aortic aneurysm</w:t>
            </w:r>
          </w:p>
        </w:tc>
        <w:tc>
          <w:tcPr>
            <w:tcW w:w="5745" w:type="dxa"/>
            <w:tcBorders>
              <w:top w:val="single" w:sz="6" w:space="0" w:color="D0CECE"/>
              <w:left w:val="nil"/>
              <w:bottom w:val="single" w:sz="6" w:space="0" w:color="D0CECE"/>
              <w:right w:val="nil"/>
            </w:tcBorders>
            <w:shd w:val="clear" w:color="auto" w:fill="auto"/>
            <w:vAlign w:val="bottom"/>
          </w:tcPr>
          <w:p w14:paraId="26C84A1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I71–I71.9</w:t>
            </w:r>
          </w:p>
        </w:tc>
      </w:tr>
      <w:tr w:rsidR="00F819F0" w:rsidRPr="00E33965" w14:paraId="1B0DD20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E40AF0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288B3C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Lower extremity peripheral arterial disease</w:t>
            </w:r>
          </w:p>
        </w:tc>
        <w:tc>
          <w:tcPr>
            <w:tcW w:w="5745" w:type="dxa"/>
            <w:tcBorders>
              <w:top w:val="single" w:sz="6" w:space="0" w:color="D0CECE"/>
              <w:left w:val="nil"/>
              <w:bottom w:val="single" w:sz="6" w:space="0" w:color="D0CECE"/>
              <w:right w:val="nil"/>
            </w:tcBorders>
            <w:shd w:val="clear" w:color="auto" w:fill="auto"/>
            <w:vAlign w:val="bottom"/>
          </w:tcPr>
          <w:p w14:paraId="6165D7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I70.2–I70.8, I73–I73.9</w:t>
            </w:r>
          </w:p>
        </w:tc>
      </w:tr>
      <w:tr w:rsidR="00F819F0" w:rsidRPr="00E33965" w14:paraId="55B7EAC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C3FBD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44EDE0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Endocarditis</w:t>
            </w:r>
          </w:p>
        </w:tc>
        <w:tc>
          <w:tcPr>
            <w:tcW w:w="5745" w:type="dxa"/>
            <w:tcBorders>
              <w:top w:val="single" w:sz="6" w:space="0" w:color="D0CECE"/>
              <w:left w:val="nil"/>
              <w:bottom w:val="single" w:sz="6" w:space="0" w:color="D0CECE"/>
              <w:right w:val="nil"/>
            </w:tcBorders>
            <w:shd w:val="clear" w:color="auto" w:fill="auto"/>
            <w:vAlign w:val="bottom"/>
          </w:tcPr>
          <w:p w14:paraId="50A7F03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I33–I33.9, I38–I39.9</w:t>
            </w:r>
          </w:p>
        </w:tc>
      </w:tr>
      <w:tr w:rsidR="00F819F0" w:rsidRPr="00E33965" w14:paraId="3CA13AB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BB71B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AADA2F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cardiovascular and circulatory diseases</w:t>
            </w:r>
          </w:p>
        </w:tc>
        <w:tc>
          <w:tcPr>
            <w:tcW w:w="5745" w:type="dxa"/>
            <w:tcBorders>
              <w:top w:val="single" w:sz="6" w:space="0" w:color="D0CECE"/>
              <w:left w:val="nil"/>
              <w:bottom w:val="single" w:sz="6" w:space="0" w:color="D0CECE"/>
              <w:right w:val="nil"/>
            </w:tcBorders>
            <w:shd w:val="clear" w:color="auto" w:fill="auto"/>
            <w:vAlign w:val="bottom"/>
          </w:tcPr>
          <w:p w14:paraId="42511BB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I27.2, I28–I28.9, I30–I31.1, I31.8–I32.8, I47–I47.9, I51.0–I51.3, I68.0, I72–I72.9, I77–I83.9, I86–I89.0, I89.9, I98, K75.1</w:t>
            </w:r>
          </w:p>
        </w:tc>
      </w:tr>
      <w:tr w:rsidR="00F819F0" w:rsidRPr="00E33965" w14:paraId="5E2E81C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0561BE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527A3BB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respiratory diseases</w:t>
            </w:r>
          </w:p>
        </w:tc>
        <w:tc>
          <w:tcPr>
            <w:tcW w:w="5745" w:type="dxa"/>
            <w:tcBorders>
              <w:top w:val="single" w:sz="6" w:space="0" w:color="D0CECE"/>
              <w:left w:val="nil"/>
              <w:bottom w:val="single" w:sz="6" w:space="0" w:color="D0CECE"/>
              <w:right w:val="nil"/>
            </w:tcBorders>
            <w:shd w:val="clear" w:color="auto" w:fill="auto"/>
            <w:vAlign w:val="bottom"/>
          </w:tcPr>
          <w:p w14:paraId="36510B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D86–D86.2, D86.9, G47.3, J30–J35.9, J37–J39.9, J41–J46.9, J60–J63.8, J64*–J64.9*, J66–J68.9, J70, J70.8–J70.9, J82, J84–J84.9, J91, J91.8–J92.9</w:t>
            </w:r>
          </w:p>
        </w:tc>
      </w:tr>
      <w:tr w:rsidR="00F819F0" w:rsidRPr="00E33965" w14:paraId="4DEC4A1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93554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DED4A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obstructive pulmonary disease</w:t>
            </w:r>
          </w:p>
        </w:tc>
        <w:tc>
          <w:tcPr>
            <w:tcW w:w="5745" w:type="dxa"/>
            <w:tcBorders>
              <w:top w:val="single" w:sz="6" w:space="0" w:color="D0CECE"/>
              <w:left w:val="nil"/>
              <w:bottom w:val="single" w:sz="6" w:space="0" w:color="D0CECE"/>
              <w:right w:val="nil"/>
            </w:tcBorders>
            <w:shd w:val="clear" w:color="auto" w:fill="auto"/>
            <w:vAlign w:val="bottom"/>
          </w:tcPr>
          <w:p w14:paraId="23494BC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J41–J44.9</w:t>
            </w:r>
          </w:p>
        </w:tc>
      </w:tr>
      <w:tr w:rsidR="00F819F0" w:rsidRPr="00E33965" w14:paraId="126B077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CE3FEF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1B85D8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Pneumoconiosis</w:t>
            </w:r>
          </w:p>
        </w:tc>
        <w:tc>
          <w:tcPr>
            <w:tcW w:w="5745" w:type="dxa"/>
            <w:tcBorders>
              <w:top w:val="single" w:sz="6" w:space="0" w:color="D0CECE"/>
              <w:left w:val="nil"/>
              <w:bottom w:val="single" w:sz="6" w:space="0" w:color="D0CECE"/>
              <w:right w:val="nil"/>
            </w:tcBorders>
            <w:shd w:val="clear" w:color="auto" w:fill="auto"/>
            <w:vAlign w:val="bottom"/>
          </w:tcPr>
          <w:p w14:paraId="28E91F8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J60–J63.8, J64*–J64.9*, J92.0</w:t>
            </w:r>
          </w:p>
        </w:tc>
      </w:tr>
      <w:tr w:rsidR="00F819F0" w:rsidRPr="00E33965" w14:paraId="2F6C494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F0AF58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27A92A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Silicosis</w:t>
            </w:r>
          </w:p>
        </w:tc>
        <w:tc>
          <w:tcPr>
            <w:tcW w:w="5745" w:type="dxa"/>
            <w:tcBorders>
              <w:top w:val="single" w:sz="6" w:space="0" w:color="D0CECE"/>
              <w:left w:val="nil"/>
              <w:bottom w:val="single" w:sz="6" w:space="0" w:color="D0CECE"/>
              <w:right w:val="nil"/>
            </w:tcBorders>
            <w:shd w:val="clear" w:color="auto" w:fill="auto"/>
            <w:vAlign w:val="bottom"/>
          </w:tcPr>
          <w:p w14:paraId="4358597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J62–J62.9</w:t>
            </w:r>
          </w:p>
        </w:tc>
      </w:tr>
      <w:tr w:rsidR="00F819F0" w:rsidRPr="00E33965" w14:paraId="63E68C7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843DA9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E26D79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Asbestosis</w:t>
            </w:r>
          </w:p>
        </w:tc>
        <w:tc>
          <w:tcPr>
            <w:tcW w:w="5745" w:type="dxa"/>
            <w:tcBorders>
              <w:top w:val="single" w:sz="6" w:space="0" w:color="D0CECE"/>
              <w:left w:val="nil"/>
              <w:bottom w:val="single" w:sz="6" w:space="0" w:color="D0CECE"/>
              <w:right w:val="nil"/>
            </w:tcBorders>
            <w:shd w:val="clear" w:color="auto" w:fill="auto"/>
            <w:vAlign w:val="bottom"/>
          </w:tcPr>
          <w:p w14:paraId="0329567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J61–J61.0, J92.0</w:t>
            </w:r>
          </w:p>
        </w:tc>
      </w:tr>
      <w:tr w:rsidR="00F819F0" w:rsidRPr="00E33965" w14:paraId="5312AA3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EA863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D0DE3F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Coal workers pneumoconiosis</w:t>
            </w:r>
          </w:p>
        </w:tc>
        <w:tc>
          <w:tcPr>
            <w:tcW w:w="5745" w:type="dxa"/>
            <w:tcBorders>
              <w:top w:val="single" w:sz="6" w:space="0" w:color="D0CECE"/>
              <w:left w:val="nil"/>
              <w:bottom w:val="single" w:sz="6" w:space="0" w:color="D0CECE"/>
              <w:right w:val="nil"/>
            </w:tcBorders>
            <w:shd w:val="clear" w:color="auto" w:fill="auto"/>
            <w:vAlign w:val="bottom"/>
          </w:tcPr>
          <w:p w14:paraId="58EE8FE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J60–J60.0</w:t>
            </w:r>
          </w:p>
        </w:tc>
      </w:tr>
      <w:tr w:rsidR="00F819F0" w:rsidRPr="00E33965" w14:paraId="21B06AC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E17F28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7BF8E3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pneumoconiosis</w:t>
            </w:r>
          </w:p>
        </w:tc>
        <w:tc>
          <w:tcPr>
            <w:tcW w:w="5745" w:type="dxa"/>
            <w:tcBorders>
              <w:top w:val="single" w:sz="6" w:space="0" w:color="D0CECE"/>
              <w:left w:val="nil"/>
              <w:bottom w:val="single" w:sz="6" w:space="0" w:color="D0CECE"/>
              <w:right w:val="nil"/>
            </w:tcBorders>
            <w:shd w:val="clear" w:color="auto" w:fill="auto"/>
            <w:vAlign w:val="bottom"/>
          </w:tcPr>
          <w:p w14:paraId="1ABEB8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J63–J63.8</w:t>
            </w:r>
          </w:p>
        </w:tc>
      </w:tr>
      <w:tr w:rsidR="00F819F0" w:rsidRPr="00E33965" w14:paraId="162BA42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7FC950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FEF08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Asthma</w:t>
            </w:r>
          </w:p>
        </w:tc>
        <w:tc>
          <w:tcPr>
            <w:tcW w:w="5745" w:type="dxa"/>
            <w:tcBorders>
              <w:top w:val="single" w:sz="6" w:space="0" w:color="D0CECE"/>
              <w:left w:val="nil"/>
              <w:bottom w:val="single" w:sz="6" w:space="0" w:color="D0CECE"/>
              <w:right w:val="nil"/>
            </w:tcBorders>
            <w:shd w:val="clear" w:color="auto" w:fill="auto"/>
            <w:vAlign w:val="bottom"/>
          </w:tcPr>
          <w:p w14:paraId="101BD0F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J45–J46.9</w:t>
            </w:r>
          </w:p>
        </w:tc>
      </w:tr>
      <w:tr w:rsidR="00F819F0" w:rsidRPr="00E33965" w14:paraId="2D1A210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345A75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4231846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Interstitial lung disease and pulmonary sarcoidosis</w:t>
            </w:r>
          </w:p>
        </w:tc>
        <w:tc>
          <w:tcPr>
            <w:tcW w:w="5745" w:type="dxa"/>
            <w:tcBorders>
              <w:top w:val="single" w:sz="6" w:space="0" w:color="D0CECE"/>
              <w:left w:val="nil"/>
              <w:bottom w:val="single" w:sz="6" w:space="0" w:color="D0CECE"/>
              <w:right w:val="nil"/>
            </w:tcBorders>
            <w:shd w:val="clear" w:color="auto" w:fill="auto"/>
            <w:vAlign w:val="bottom"/>
          </w:tcPr>
          <w:p w14:paraId="00B14E6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D86–D86.2, D86.9, J84–J84.9</w:t>
            </w:r>
          </w:p>
        </w:tc>
      </w:tr>
      <w:tr w:rsidR="00F819F0" w:rsidRPr="00E33965" w14:paraId="71FDEAD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E7218A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A28C7D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chronic respiratory diseases</w:t>
            </w:r>
          </w:p>
        </w:tc>
        <w:tc>
          <w:tcPr>
            <w:tcW w:w="5745" w:type="dxa"/>
            <w:tcBorders>
              <w:top w:val="single" w:sz="6" w:space="0" w:color="D0CECE"/>
              <w:left w:val="nil"/>
              <w:bottom w:val="single" w:sz="6" w:space="0" w:color="D0CECE"/>
              <w:right w:val="nil"/>
            </w:tcBorders>
            <w:shd w:val="clear" w:color="auto" w:fill="auto"/>
            <w:vAlign w:val="bottom"/>
          </w:tcPr>
          <w:p w14:paraId="6986C34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G47.3, J30–J35.9, J37–J39.9, J66–J68.9, J70, J70.8–J70.9, J82, J91, J91.8–J92, J92.9</w:t>
            </w:r>
          </w:p>
        </w:tc>
      </w:tr>
      <w:tr w:rsidR="00F819F0" w:rsidRPr="00E33965" w14:paraId="67AD83B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26D32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2D7E8C9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Digestive diseases</w:t>
            </w:r>
          </w:p>
        </w:tc>
        <w:tc>
          <w:tcPr>
            <w:tcW w:w="5745" w:type="dxa"/>
            <w:tcBorders>
              <w:top w:val="single" w:sz="6" w:space="0" w:color="D0CECE"/>
              <w:left w:val="nil"/>
              <w:bottom w:val="single" w:sz="6" w:space="0" w:color="D0CECE"/>
              <w:right w:val="nil"/>
            </w:tcBorders>
            <w:shd w:val="clear" w:color="auto" w:fill="auto"/>
            <w:vAlign w:val="bottom"/>
          </w:tcPr>
          <w:p w14:paraId="6AE4D43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B18–B18.9, I84–I85.9, I98.2, K20–K20.9, K21*–K21.9*, K22–K22.6, K22.7*, K22.8–K29.9, K31–K31.8, K35–K38.9, K40–K42.9, K44–K46.9, K50–K52, K52.8–K52.9, K55–K62, K62.2–K62.6, K62.8–K62.9, K63*–K63.4*, K63.8*–K63.9*, K64–K64.9, K66.8, K67, K68, K70–K70.3, K71.7, K73–K75, K75.2, K75.4–K76.2, K76.4–K77, K77.8, K80–K83.9, K85–K86.9, K90–K90.9, K92.8, K93.8, M09.1</w:t>
            </w:r>
          </w:p>
        </w:tc>
      </w:tr>
      <w:tr w:rsidR="00F819F0" w:rsidRPr="00E33965" w14:paraId="59CB044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6A2DF9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167A09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Cirrhosis and other chronic liver diseases</w:t>
            </w:r>
          </w:p>
        </w:tc>
        <w:tc>
          <w:tcPr>
            <w:tcW w:w="5745" w:type="dxa"/>
            <w:tcBorders>
              <w:top w:val="single" w:sz="6" w:space="0" w:color="D0CECE"/>
              <w:left w:val="nil"/>
              <w:bottom w:val="single" w:sz="6" w:space="0" w:color="D0CECE"/>
              <w:right w:val="nil"/>
            </w:tcBorders>
            <w:shd w:val="clear" w:color="auto" w:fill="auto"/>
            <w:vAlign w:val="bottom"/>
          </w:tcPr>
          <w:p w14:paraId="6F8844F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B18–B18.9, I85–I85.9, I98.2, K70–K70.3, K71.7, K73–K75, K75.2, K75.4–K76.2, K76.4–K76.9, K77.8</w:t>
            </w:r>
          </w:p>
        </w:tc>
      </w:tr>
      <w:tr w:rsidR="00F819F0" w:rsidRPr="00E33965" w14:paraId="4507873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C7039D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868A8D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Upper digestive system diseases</w:t>
            </w:r>
          </w:p>
        </w:tc>
        <w:tc>
          <w:tcPr>
            <w:tcW w:w="5745" w:type="dxa"/>
            <w:tcBorders>
              <w:top w:val="single" w:sz="6" w:space="0" w:color="D0CECE"/>
              <w:left w:val="nil"/>
              <w:bottom w:val="single" w:sz="6" w:space="0" w:color="D0CECE"/>
              <w:right w:val="nil"/>
            </w:tcBorders>
            <w:shd w:val="clear" w:color="auto" w:fill="auto"/>
            <w:vAlign w:val="bottom"/>
          </w:tcPr>
          <w:p w14:paraId="42229DA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K25–K29.9</w:t>
            </w:r>
          </w:p>
        </w:tc>
      </w:tr>
      <w:tr w:rsidR="00F819F0" w:rsidRPr="00E33965" w14:paraId="64B7279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CDBC1A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5A191C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Peptic ulcer disease</w:t>
            </w:r>
          </w:p>
        </w:tc>
        <w:tc>
          <w:tcPr>
            <w:tcW w:w="5745" w:type="dxa"/>
            <w:tcBorders>
              <w:top w:val="single" w:sz="6" w:space="0" w:color="D0CECE"/>
              <w:left w:val="nil"/>
              <w:bottom w:val="single" w:sz="6" w:space="0" w:color="D0CECE"/>
              <w:right w:val="nil"/>
            </w:tcBorders>
            <w:shd w:val="clear" w:color="auto" w:fill="auto"/>
            <w:vAlign w:val="bottom"/>
          </w:tcPr>
          <w:p w14:paraId="4262D5F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K25–K28.9</w:t>
            </w:r>
          </w:p>
        </w:tc>
      </w:tr>
      <w:tr w:rsidR="00F819F0" w:rsidRPr="00E33965" w14:paraId="6C78DBA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175C06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D637B1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Gastritis and duodenitis</w:t>
            </w:r>
          </w:p>
        </w:tc>
        <w:tc>
          <w:tcPr>
            <w:tcW w:w="5745" w:type="dxa"/>
            <w:tcBorders>
              <w:top w:val="single" w:sz="6" w:space="0" w:color="D0CECE"/>
              <w:left w:val="nil"/>
              <w:bottom w:val="single" w:sz="6" w:space="0" w:color="D0CECE"/>
              <w:right w:val="nil"/>
            </w:tcBorders>
            <w:shd w:val="clear" w:color="auto" w:fill="auto"/>
            <w:vAlign w:val="bottom"/>
          </w:tcPr>
          <w:p w14:paraId="6C75563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K29–K29.9</w:t>
            </w:r>
          </w:p>
        </w:tc>
      </w:tr>
      <w:tr w:rsidR="00F819F0" w:rsidRPr="00E33965" w14:paraId="11A52BA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390BDD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2CF9E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Appendicitis</w:t>
            </w:r>
          </w:p>
        </w:tc>
        <w:tc>
          <w:tcPr>
            <w:tcW w:w="5745" w:type="dxa"/>
            <w:tcBorders>
              <w:top w:val="single" w:sz="6" w:space="0" w:color="D0CECE"/>
              <w:left w:val="nil"/>
              <w:bottom w:val="single" w:sz="6" w:space="0" w:color="D0CECE"/>
              <w:right w:val="nil"/>
            </w:tcBorders>
            <w:shd w:val="clear" w:color="auto" w:fill="auto"/>
            <w:vAlign w:val="bottom"/>
          </w:tcPr>
          <w:p w14:paraId="4210980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K35–K37.9, K38.3–K38.9</w:t>
            </w:r>
          </w:p>
        </w:tc>
      </w:tr>
      <w:tr w:rsidR="00F819F0" w:rsidRPr="00E33965" w14:paraId="39D0731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888306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BB4F87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Paralytic ileus and intestinal obstruction</w:t>
            </w:r>
          </w:p>
        </w:tc>
        <w:tc>
          <w:tcPr>
            <w:tcW w:w="5745" w:type="dxa"/>
            <w:tcBorders>
              <w:top w:val="single" w:sz="6" w:space="0" w:color="D0CECE"/>
              <w:left w:val="nil"/>
              <w:bottom w:val="single" w:sz="6" w:space="0" w:color="D0CECE"/>
              <w:right w:val="nil"/>
            </w:tcBorders>
            <w:shd w:val="clear" w:color="auto" w:fill="auto"/>
            <w:vAlign w:val="bottom"/>
          </w:tcPr>
          <w:p w14:paraId="18ACD76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K56–K56.9</w:t>
            </w:r>
          </w:p>
        </w:tc>
      </w:tr>
      <w:tr w:rsidR="00F819F0" w:rsidRPr="00E33965" w14:paraId="257349C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CDC300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62BE50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Inguinal, femoral, and abdominal hernia</w:t>
            </w:r>
          </w:p>
        </w:tc>
        <w:tc>
          <w:tcPr>
            <w:tcW w:w="5745" w:type="dxa"/>
            <w:tcBorders>
              <w:top w:val="single" w:sz="6" w:space="0" w:color="D0CECE"/>
              <w:left w:val="nil"/>
              <w:bottom w:val="single" w:sz="6" w:space="0" w:color="D0CECE"/>
              <w:right w:val="nil"/>
            </w:tcBorders>
            <w:shd w:val="clear" w:color="auto" w:fill="auto"/>
            <w:vAlign w:val="bottom"/>
          </w:tcPr>
          <w:p w14:paraId="0CFEC90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K40–K42.9, K44–K46.9</w:t>
            </w:r>
          </w:p>
        </w:tc>
      </w:tr>
      <w:tr w:rsidR="00F819F0" w:rsidRPr="00E33965" w14:paraId="5CBEECA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2E2BD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F85E50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Inflammatory bowel disease</w:t>
            </w:r>
          </w:p>
        </w:tc>
        <w:tc>
          <w:tcPr>
            <w:tcW w:w="5745" w:type="dxa"/>
            <w:tcBorders>
              <w:top w:val="single" w:sz="6" w:space="0" w:color="D0CECE"/>
              <w:left w:val="nil"/>
              <w:bottom w:val="single" w:sz="6" w:space="0" w:color="D0CECE"/>
              <w:right w:val="nil"/>
            </w:tcBorders>
            <w:shd w:val="clear" w:color="auto" w:fill="auto"/>
            <w:vAlign w:val="bottom"/>
          </w:tcPr>
          <w:p w14:paraId="2EB1240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K50–K52, K52.8–K52.9, M09.1</w:t>
            </w:r>
          </w:p>
        </w:tc>
      </w:tr>
      <w:tr w:rsidR="00F819F0" w:rsidRPr="00E33965" w14:paraId="0E38865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38924D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F5767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Vascular intestinal disorders</w:t>
            </w:r>
          </w:p>
        </w:tc>
        <w:tc>
          <w:tcPr>
            <w:tcW w:w="5745" w:type="dxa"/>
            <w:tcBorders>
              <w:top w:val="single" w:sz="6" w:space="0" w:color="D0CECE"/>
              <w:left w:val="nil"/>
              <w:bottom w:val="single" w:sz="6" w:space="0" w:color="D0CECE"/>
              <w:right w:val="nil"/>
            </w:tcBorders>
            <w:shd w:val="clear" w:color="auto" w:fill="auto"/>
            <w:vAlign w:val="bottom"/>
          </w:tcPr>
          <w:p w14:paraId="3727D58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K55–K55.9</w:t>
            </w:r>
          </w:p>
        </w:tc>
      </w:tr>
      <w:tr w:rsidR="00F819F0" w:rsidRPr="00E33965" w14:paraId="0DBC63E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985DA8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F1DEFC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Gallbladder and biliary diseases</w:t>
            </w:r>
          </w:p>
        </w:tc>
        <w:tc>
          <w:tcPr>
            <w:tcW w:w="5745" w:type="dxa"/>
            <w:tcBorders>
              <w:top w:val="single" w:sz="6" w:space="0" w:color="D0CECE"/>
              <w:left w:val="nil"/>
              <w:bottom w:val="single" w:sz="6" w:space="0" w:color="D0CECE"/>
              <w:right w:val="nil"/>
            </w:tcBorders>
            <w:shd w:val="clear" w:color="auto" w:fill="auto"/>
            <w:vAlign w:val="bottom"/>
          </w:tcPr>
          <w:p w14:paraId="0A843A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K80–K83.9</w:t>
            </w:r>
          </w:p>
        </w:tc>
      </w:tr>
      <w:tr w:rsidR="00F819F0" w:rsidRPr="00E33965" w14:paraId="0B64707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F50570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8285C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Pancreatitis</w:t>
            </w:r>
          </w:p>
        </w:tc>
        <w:tc>
          <w:tcPr>
            <w:tcW w:w="5745" w:type="dxa"/>
            <w:tcBorders>
              <w:top w:val="single" w:sz="6" w:space="0" w:color="D0CECE"/>
              <w:left w:val="nil"/>
              <w:bottom w:val="single" w:sz="6" w:space="0" w:color="D0CECE"/>
              <w:right w:val="nil"/>
            </w:tcBorders>
            <w:shd w:val="clear" w:color="auto" w:fill="auto"/>
            <w:vAlign w:val="bottom"/>
          </w:tcPr>
          <w:p w14:paraId="5F81A35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K85–K86.9</w:t>
            </w:r>
          </w:p>
        </w:tc>
      </w:tr>
      <w:tr w:rsidR="00F819F0" w:rsidRPr="00E33965" w14:paraId="24378F6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73B44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7C454D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digestive diseases</w:t>
            </w:r>
          </w:p>
        </w:tc>
        <w:tc>
          <w:tcPr>
            <w:tcW w:w="5745" w:type="dxa"/>
            <w:tcBorders>
              <w:top w:val="single" w:sz="6" w:space="0" w:color="D0CECE"/>
              <w:left w:val="nil"/>
              <w:bottom w:val="single" w:sz="6" w:space="0" w:color="D0CECE"/>
              <w:right w:val="nil"/>
            </w:tcBorders>
            <w:shd w:val="clear" w:color="auto" w:fill="auto"/>
            <w:vAlign w:val="bottom"/>
          </w:tcPr>
          <w:p w14:paraId="31F8789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I84–I84.9, K20–K20.9, K22–K22.6, K22.8–K24, K31–K31.8, K38–K38.2, K57–K62, K62.2–K62.6, K62.8–K62.9, K64–K64.9, K66.8, K67, K68, K77, K90–K90.9, K92.8, K93.8</w:t>
            </w:r>
          </w:p>
        </w:tc>
      </w:tr>
      <w:tr w:rsidR="00F819F0" w:rsidRPr="00E33965" w14:paraId="4E882D0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284312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245DEEB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Neurological disorders</w:t>
            </w:r>
          </w:p>
        </w:tc>
        <w:tc>
          <w:tcPr>
            <w:tcW w:w="5745" w:type="dxa"/>
            <w:tcBorders>
              <w:top w:val="single" w:sz="6" w:space="0" w:color="D0CECE"/>
              <w:left w:val="nil"/>
              <w:bottom w:val="single" w:sz="6" w:space="0" w:color="D0CECE"/>
              <w:right w:val="nil"/>
            </w:tcBorders>
            <w:shd w:val="clear" w:color="auto" w:fill="auto"/>
            <w:vAlign w:val="bottom"/>
          </w:tcPr>
          <w:p w14:paraId="429AFA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F00–F02.0, F02.2–F02.3, F02.8–F03.9, G10–G13.8, G20–G20.9, G23–G24, G24.1–G25.0, G25.2–G25.3, G25.5, G25.8–G26.0, G30–G31.1, G31.8–G31.9, G35–G37.9, G40–G41.9, G61–G61.9, G70–G71.1, G71.3–G72, G72.2–G73.7, G90–G90.9, G95–G95.9, M33–M33.9</w:t>
            </w:r>
          </w:p>
        </w:tc>
      </w:tr>
      <w:tr w:rsidR="00F819F0" w:rsidRPr="00E33965" w14:paraId="090DAC3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934586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830791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Alzheimer's disease and other dementias</w:t>
            </w:r>
          </w:p>
        </w:tc>
        <w:tc>
          <w:tcPr>
            <w:tcW w:w="5745" w:type="dxa"/>
            <w:tcBorders>
              <w:top w:val="single" w:sz="6" w:space="0" w:color="D0CECE"/>
              <w:left w:val="nil"/>
              <w:bottom w:val="single" w:sz="6" w:space="0" w:color="D0CECE"/>
              <w:right w:val="nil"/>
            </w:tcBorders>
            <w:shd w:val="clear" w:color="auto" w:fill="auto"/>
            <w:vAlign w:val="bottom"/>
          </w:tcPr>
          <w:p w14:paraId="06A1D24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F00–F02.0, F02.8–F03.9, G30–G31.1, G31.8–G31.9</w:t>
            </w:r>
          </w:p>
        </w:tc>
      </w:tr>
      <w:tr w:rsidR="00F819F0" w:rsidRPr="00E33965" w14:paraId="1C3C3AC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C9578F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D4DE57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Parkinson's disease</w:t>
            </w:r>
          </w:p>
        </w:tc>
        <w:tc>
          <w:tcPr>
            <w:tcW w:w="5745" w:type="dxa"/>
            <w:tcBorders>
              <w:top w:val="single" w:sz="6" w:space="0" w:color="D0CECE"/>
              <w:left w:val="nil"/>
              <w:bottom w:val="single" w:sz="6" w:space="0" w:color="D0CECE"/>
              <w:right w:val="nil"/>
            </w:tcBorders>
            <w:shd w:val="clear" w:color="auto" w:fill="auto"/>
            <w:vAlign w:val="bottom"/>
          </w:tcPr>
          <w:p w14:paraId="70698C6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F02.3, G20–G20.9</w:t>
            </w:r>
          </w:p>
        </w:tc>
      </w:tr>
      <w:tr w:rsidR="00F819F0" w:rsidRPr="00E33965" w14:paraId="4E965AE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DA721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FC3FE0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Idiopathic epilepsy</w:t>
            </w:r>
          </w:p>
        </w:tc>
        <w:tc>
          <w:tcPr>
            <w:tcW w:w="5745" w:type="dxa"/>
            <w:tcBorders>
              <w:top w:val="single" w:sz="6" w:space="0" w:color="D0CECE"/>
              <w:left w:val="nil"/>
              <w:bottom w:val="single" w:sz="6" w:space="0" w:color="D0CECE"/>
              <w:right w:val="nil"/>
            </w:tcBorders>
            <w:shd w:val="clear" w:color="auto" w:fill="auto"/>
            <w:vAlign w:val="bottom"/>
          </w:tcPr>
          <w:p w14:paraId="3CF643D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G40–G41.9</w:t>
            </w:r>
          </w:p>
        </w:tc>
      </w:tr>
      <w:tr w:rsidR="00F819F0" w:rsidRPr="00E33965" w14:paraId="478A9C7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9299BF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C523DD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Multiple sclerosis</w:t>
            </w:r>
          </w:p>
        </w:tc>
        <w:tc>
          <w:tcPr>
            <w:tcW w:w="5745" w:type="dxa"/>
            <w:tcBorders>
              <w:top w:val="single" w:sz="6" w:space="0" w:color="D0CECE"/>
              <w:left w:val="nil"/>
              <w:bottom w:val="single" w:sz="6" w:space="0" w:color="D0CECE"/>
              <w:right w:val="nil"/>
            </w:tcBorders>
            <w:shd w:val="clear" w:color="auto" w:fill="auto"/>
            <w:vAlign w:val="bottom"/>
          </w:tcPr>
          <w:p w14:paraId="0A1AF73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G35–G35.9</w:t>
            </w:r>
          </w:p>
        </w:tc>
      </w:tr>
      <w:tr w:rsidR="00F819F0" w:rsidRPr="00E33965" w14:paraId="113AFBA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BA291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6BD3B0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Motor neuron disease</w:t>
            </w:r>
          </w:p>
        </w:tc>
        <w:tc>
          <w:tcPr>
            <w:tcW w:w="5745" w:type="dxa"/>
            <w:tcBorders>
              <w:top w:val="single" w:sz="6" w:space="0" w:color="D0CECE"/>
              <w:left w:val="nil"/>
              <w:bottom w:val="single" w:sz="6" w:space="0" w:color="D0CECE"/>
              <w:right w:val="nil"/>
            </w:tcBorders>
            <w:shd w:val="clear" w:color="auto" w:fill="auto"/>
            <w:vAlign w:val="bottom"/>
          </w:tcPr>
          <w:p w14:paraId="748E46B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G12.2–G12.9</w:t>
            </w:r>
          </w:p>
        </w:tc>
      </w:tr>
      <w:tr w:rsidR="00F819F0" w:rsidRPr="00E33965" w14:paraId="4EBE5F7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ED3DE6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107CE8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neurological disorders</w:t>
            </w:r>
          </w:p>
        </w:tc>
        <w:tc>
          <w:tcPr>
            <w:tcW w:w="5745" w:type="dxa"/>
            <w:tcBorders>
              <w:top w:val="single" w:sz="6" w:space="0" w:color="D0CECE"/>
              <w:left w:val="nil"/>
              <w:bottom w:val="single" w:sz="6" w:space="0" w:color="D0CECE"/>
              <w:right w:val="nil"/>
            </w:tcBorders>
            <w:shd w:val="clear" w:color="auto" w:fill="auto"/>
            <w:vAlign w:val="bottom"/>
          </w:tcPr>
          <w:p w14:paraId="638A612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F02.2, G10–G12.1, G13–G13.8, G23–G24, G24.1–G25.0, G25.2–G25.3, G25.5, G25.8–G26.0, G36–G37.9, G61–G61.9, G70–</w:t>
            </w:r>
            <w:r w:rsidRPr="00E33965">
              <w:rPr>
                <w:rFonts w:asciiTheme="majorHAnsi" w:hAnsiTheme="majorHAnsi" w:cstheme="majorHAnsi"/>
                <w:color w:val="000000"/>
              </w:rPr>
              <w:lastRenderedPageBreak/>
              <w:t>G71.1, G71.3–G72, G72.2–G73.7, G90–G90.9, G95–G95.9, M33–M33.9</w:t>
            </w:r>
          </w:p>
        </w:tc>
      </w:tr>
      <w:tr w:rsidR="00F819F0" w:rsidRPr="00E33965" w14:paraId="42E2C1E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8618F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2</w:t>
            </w:r>
          </w:p>
        </w:tc>
        <w:tc>
          <w:tcPr>
            <w:tcW w:w="2250" w:type="dxa"/>
            <w:tcBorders>
              <w:top w:val="single" w:sz="6" w:space="0" w:color="D0CECE"/>
              <w:left w:val="nil"/>
              <w:bottom w:val="single" w:sz="6" w:space="0" w:color="D0CECE"/>
              <w:right w:val="nil"/>
            </w:tcBorders>
            <w:shd w:val="clear" w:color="auto" w:fill="auto"/>
            <w:vAlign w:val="bottom"/>
          </w:tcPr>
          <w:p w14:paraId="51C28D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Mental disorders</w:t>
            </w:r>
          </w:p>
        </w:tc>
        <w:tc>
          <w:tcPr>
            <w:tcW w:w="5745" w:type="dxa"/>
            <w:tcBorders>
              <w:top w:val="single" w:sz="6" w:space="0" w:color="D0CECE"/>
              <w:left w:val="nil"/>
              <w:bottom w:val="single" w:sz="6" w:space="0" w:color="D0CECE"/>
              <w:right w:val="nil"/>
            </w:tcBorders>
            <w:shd w:val="clear" w:color="auto" w:fill="auto"/>
            <w:vAlign w:val="bottom"/>
          </w:tcPr>
          <w:p w14:paraId="2FB4B72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F24, F50.0–F50.5</w:t>
            </w:r>
          </w:p>
        </w:tc>
      </w:tr>
      <w:tr w:rsidR="00F819F0" w:rsidRPr="00E33965" w14:paraId="7455A90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036D03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1DE47B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Eating disorders</w:t>
            </w:r>
          </w:p>
        </w:tc>
        <w:tc>
          <w:tcPr>
            <w:tcW w:w="5745" w:type="dxa"/>
            <w:tcBorders>
              <w:top w:val="single" w:sz="6" w:space="0" w:color="D0CECE"/>
              <w:left w:val="nil"/>
              <w:bottom w:val="single" w:sz="6" w:space="0" w:color="D0CECE"/>
              <w:right w:val="nil"/>
            </w:tcBorders>
            <w:shd w:val="clear" w:color="auto" w:fill="auto"/>
            <w:vAlign w:val="bottom"/>
          </w:tcPr>
          <w:p w14:paraId="6770FAE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F50.0–F50.5</w:t>
            </w:r>
          </w:p>
        </w:tc>
      </w:tr>
      <w:tr w:rsidR="00F819F0" w:rsidRPr="00E33965" w14:paraId="004D6F7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5429E8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7C970C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Anorexia nervosa</w:t>
            </w:r>
          </w:p>
        </w:tc>
        <w:tc>
          <w:tcPr>
            <w:tcW w:w="5745" w:type="dxa"/>
            <w:tcBorders>
              <w:top w:val="single" w:sz="6" w:space="0" w:color="D0CECE"/>
              <w:left w:val="nil"/>
              <w:bottom w:val="single" w:sz="6" w:space="0" w:color="D0CECE"/>
              <w:right w:val="nil"/>
            </w:tcBorders>
            <w:shd w:val="clear" w:color="auto" w:fill="auto"/>
            <w:vAlign w:val="bottom"/>
          </w:tcPr>
          <w:p w14:paraId="45F9195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F50.0–F50.5</w:t>
            </w:r>
          </w:p>
        </w:tc>
      </w:tr>
      <w:tr w:rsidR="00F819F0" w:rsidRPr="007569F5" w14:paraId="63D80A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BA6B7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4BBAA8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Substance use disorders</w:t>
            </w:r>
          </w:p>
        </w:tc>
        <w:tc>
          <w:tcPr>
            <w:tcW w:w="5745" w:type="dxa"/>
            <w:tcBorders>
              <w:top w:val="single" w:sz="6" w:space="0" w:color="D0CECE"/>
              <w:left w:val="nil"/>
              <w:bottom w:val="single" w:sz="6" w:space="0" w:color="D0CECE"/>
              <w:right w:val="nil"/>
            </w:tcBorders>
            <w:shd w:val="clear" w:color="auto" w:fill="auto"/>
            <w:vAlign w:val="bottom"/>
          </w:tcPr>
          <w:p w14:paraId="52D5818E"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E24.4, F10–F16.9, F18–F18.9, F19*–F19.9*, G31.2, G62.1, G72.1, P04.3–P04.4, P96.1, Q86.0, R78.0–R78.5, X40*–X44.9*, X45–X45.9, X46*–X46.9*, X49*–X49.9*, X65–X65.9, Y15–Y15.9</w:t>
            </w:r>
          </w:p>
        </w:tc>
      </w:tr>
      <w:tr w:rsidR="00F819F0" w:rsidRPr="007569F5" w14:paraId="6BB25B9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21458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196F7F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Alcohol use disorders</w:t>
            </w:r>
          </w:p>
        </w:tc>
        <w:tc>
          <w:tcPr>
            <w:tcW w:w="5745" w:type="dxa"/>
            <w:tcBorders>
              <w:top w:val="single" w:sz="6" w:space="0" w:color="D0CECE"/>
              <w:left w:val="nil"/>
              <w:bottom w:val="single" w:sz="6" w:space="0" w:color="D0CECE"/>
              <w:right w:val="nil"/>
            </w:tcBorders>
            <w:shd w:val="clear" w:color="auto" w:fill="auto"/>
            <w:vAlign w:val="bottom"/>
          </w:tcPr>
          <w:p w14:paraId="67B37C3F"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E24.4, F10–F10.9, G31.2, G62.1, G72.1, P04.3, Q86.0, R78.0, X45–X45.9, X65–X65.9, Y15–Y15.9</w:t>
            </w:r>
          </w:p>
        </w:tc>
      </w:tr>
      <w:tr w:rsidR="00F819F0" w:rsidRPr="00E33965" w14:paraId="0F2F0B6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470C6D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588D9E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Drug use disorders</w:t>
            </w:r>
          </w:p>
        </w:tc>
        <w:tc>
          <w:tcPr>
            <w:tcW w:w="5745" w:type="dxa"/>
            <w:tcBorders>
              <w:top w:val="single" w:sz="6" w:space="0" w:color="D0CECE"/>
              <w:left w:val="nil"/>
              <w:bottom w:val="single" w:sz="6" w:space="0" w:color="D0CECE"/>
              <w:right w:val="nil"/>
            </w:tcBorders>
            <w:shd w:val="clear" w:color="auto" w:fill="auto"/>
            <w:vAlign w:val="bottom"/>
          </w:tcPr>
          <w:p w14:paraId="4E1B7A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F11–F16.9, F18–F18.9, P04.4, P96.1, R78.1–R78.5</w:t>
            </w:r>
          </w:p>
        </w:tc>
      </w:tr>
      <w:tr w:rsidR="00F819F0" w:rsidRPr="00E33965" w14:paraId="79B558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AD6245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43C41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Opioid use disorders</w:t>
            </w:r>
          </w:p>
        </w:tc>
        <w:tc>
          <w:tcPr>
            <w:tcW w:w="5745" w:type="dxa"/>
            <w:tcBorders>
              <w:top w:val="single" w:sz="6" w:space="0" w:color="D0CECE"/>
              <w:left w:val="nil"/>
              <w:bottom w:val="single" w:sz="6" w:space="0" w:color="D0CECE"/>
              <w:right w:val="nil"/>
            </w:tcBorders>
            <w:shd w:val="clear" w:color="auto" w:fill="auto"/>
            <w:vAlign w:val="bottom"/>
          </w:tcPr>
          <w:p w14:paraId="36B5DB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F11–F11.9, P96.1, R78.1</w:t>
            </w:r>
          </w:p>
        </w:tc>
      </w:tr>
      <w:tr w:rsidR="00F819F0" w:rsidRPr="00E33965" w14:paraId="38925BF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D0DB5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1F1EA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Cocaine use disorders</w:t>
            </w:r>
          </w:p>
        </w:tc>
        <w:tc>
          <w:tcPr>
            <w:tcW w:w="5745" w:type="dxa"/>
            <w:tcBorders>
              <w:top w:val="single" w:sz="6" w:space="0" w:color="D0CECE"/>
              <w:left w:val="nil"/>
              <w:bottom w:val="single" w:sz="6" w:space="0" w:color="D0CECE"/>
              <w:right w:val="nil"/>
            </w:tcBorders>
            <w:shd w:val="clear" w:color="auto" w:fill="auto"/>
            <w:vAlign w:val="bottom"/>
          </w:tcPr>
          <w:p w14:paraId="48B73C5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F14–F14.9, R78.2</w:t>
            </w:r>
          </w:p>
        </w:tc>
      </w:tr>
      <w:tr w:rsidR="00F819F0" w:rsidRPr="00E33965" w14:paraId="540337B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1DF4A2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E2CAD2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Amphetamine use disorders</w:t>
            </w:r>
          </w:p>
        </w:tc>
        <w:tc>
          <w:tcPr>
            <w:tcW w:w="5745" w:type="dxa"/>
            <w:tcBorders>
              <w:top w:val="single" w:sz="6" w:space="0" w:color="D0CECE"/>
              <w:left w:val="nil"/>
              <w:bottom w:val="single" w:sz="6" w:space="0" w:color="D0CECE"/>
              <w:right w:val="nil"/>
            </w:tcBorders>
            <w:shd w:val="clear" w:color="auto" w:fill="auto"/>
            <w:vAlign w:val="bottom"/>
          </w:tcPr>
          <w:p w14:paraId="22FCB6F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F15–F15.9</w:t>
            </w:r>
          </w:p>
        </w:tc>
      </w:tr>
      <w:tr w:rsidR="00F819F0" w:rsidRPr="00E33965" w14:paraId="0EB5505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A7CF3C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6A09E5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drug use disorders</w:t>
            </w:r>
          </w:p>
        </w:tc>
        <w:tc>
          <w:tcPr>
            <w:tcW w:w="5745" w:type="dxa"/>
            <w:tcBorders>
              <w:top w:val="single" w:sz="6" w:space="0" w:color="D0CECE"/>
              <w:left w:val="nil"/>
              <w:bottom w:val="single" w:sz="6" w:space="0" w:color="D0CECE"/>
              <w:right w:val="nil"/>
            </w:tcBorders>
            <w:shd w:val="clear" w:color="auto" w:fill="auto"/>
            <w:vAlign w:val="bottom"/>
          </w:tcPr>
          <w:p w14:paraId="1AE6436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F13–F13.9, F16–F16.9, F18–F18.9, P04.4, R78.3–R78.5</w:t>
            </w:r>
          </w:p>
        </w:tc>
      </w:tr>
      <w:tr w:rsidR="00F819F0" w:rsidRPr="007569F5" w14:paraId="7FFEB7B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CD7E5B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619525C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Diabetes and kidney diseases</w:t>
            </w:r>
          </w:p>
        </w:tc>
        <w:tc>
          <w:tcPr>
            <w:tcW w:w="5745" w:type="dxa"/>
            <w:tcBorders>
              <w:top w:val="single" w:sz="6" w:space="0" w:color="D0CECE"/>
              <w:left w:val="nil"/>
              <w:bottom w:val="single" w:sz="6" w:space="0" w:color="D0CECE"/>
              <w:right w:val="nil"/>
            </w:tcBorders>
            <w:shd w:val="clear" w:color="auto" w:fill="auto"/>
            <w:vAlign w:val="bottom"/>
          </w:tcPr>
          <w:p w14:paraId="31D62964"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D63.1, E10–E11.9, E12*–E14.9*, I12–I13.9, N00–N08.8, N15.0, N18–N18.9, P70.2, Q61–Q62.8, R73*–R73.9*</w:t>
            </w:r>
          </w:p>
        </w:tc>
      </w:tr>
      <w:tr w:rsidR="00F819F0" w:rsidRPr="007569F5" w14:paraId="6E92B6D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9DAF83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07239A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Diabetes mellitus</w:t>
            </w:r>
          </w:p>
        </w:tc>
        <w:tc>
          <w:tcPr>
            <w:tcW w:w="5745" w:type="dxa"/>
            <w:tcBorders>
              <w:top w:val="single" w:sz="6" w:space="0" w:color="D0CECE"/>
              <w:left w:val="nil"/>
              <w:bottom w:val="single" w:sz="6" w:space="0" w:color="D0CECE"/>
              <w:right w:val="nil"/>
            </w:tcBorders>
            <w:shd w:val="clear" w:color="auto" w:fill="auto"/>
            <w:vAlign w:val="bottom"/>
          </w:tcPr>
          <w:p w14:paraId="091B121E"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E10–E10.1, E10.3–E11.1, E11.3–E11.9, E12*–E12.1*, E12.3*–E13.1*, E13.3*–E14.1*, E14.3*–E14.9*, P70.2, R73*–R73.9*</w:t>
            </w:r>
          </w:p>
        </w:tc>
      </w:tr>
      <w:tr w:rsidR="00F819F0" w:rsidRPr="00E33965" w14:paraId="416C77C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D7CCA1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762B85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Diabetes mellitus type 1</w:t>
            </w:r>
          </w:p>
        </w:tc>
        <w:tc>
          <w:tcPr>
            <w:tcW w:w="5745" w:type="dxa"/>
            <w:tcBorders>
              <w:top w:val="single" w:sz="6" w:space="0" w:color="D0CECE"/>
              <w:left w:val="nil"/>
              <w:bottom w:val="single" w:sz="6" w:space="0" w:color="D0CECE"/>
              <w:right w:val="nil"/>
            </w:tcBorders>
            <w:shd w:val="clear" w:color="auto" w:fill="auto"/>
            <w:vAlign w:val="bottom"/>
          </w:tcPr>
          <w:p w14:paraId="7146BA7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E10–E10.1, E10.3–E10.9, P70.2</w:t>
            </w:r>
          </w:p>
        </w:tc>
      </w:tr>
      <w:tr w:rsidR="00F819F0" w:rsidRPr="00E33965" w14:paraId="5D16200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93B82E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B18C20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Diabetes mellitus type 2</w:t>
            </w:r>
          </w:p>
        </w:tc>
        <w:tc>
          <w:tcPr>
            <w:tcW w:w="5745" w:type="dxa"/>
            <w:tcBorders>
              <w:top w:val="single" w:sz="6" w:space="0" w:color="D0CECE"/>
              <w:left w:val="nil"/>
              <w:bottom w:val="single" w:sz="6" w:space="0" w:color="D0CECE"/>
              <w:right w:val="nil"/>
            </w:tcBorders>
            <w:shd w:val="clear" w:color="auto" w:fill="auto"/>
            <w:vAlign w:val="bottom"/>
          </w:tcPr>
          <w:p w14:paraId="7FD9AED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E11–E11.1, E11.3–E11.9</w:t>
            </w:r>
          </w:p>
        </w:tc>
      </w:tr>
      <w:tr w:rsidR="00F819F0" w:rsidRPr="007569F5" w14:paraId="052CFDA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4D7EBB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A79806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w:t>
            </w:r>
          </w:p>
        </w:tc>
        <w:tc>
          <w:tcPr>
            <w:tcW w:w="5745" w:type="dxa"/>
            <w:tcBorders>
              <w:top w:val="single" w:sz="6" w:space="0" w:color="D0CECE"/>
              <w:left w:val="nil"/>
              <w:bottom w:val="single" w:sz="6" w:space="0" w:color="D0CECE"/>
              <w:right w:val="nil"/>
            </w:tcBorders>
            <w:shd w:val="clear" w:color="auto" w:fill="auto"/>
            <w:vAlign w:val="bottom"/>
          </w:tcPr>
          <w:p w14:paraId="0240A600"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D63.1, E10.2, E11.2, E12.2*, E13.2*, E14.2*, I12–I13.9, N02–N08.8, N15.0, N18–N18.9, Q61–Q62.8</w:t>
            </w:r>
          </w:p>
        </w:tc>
      </w:tr>
      <w:tr w:rsidR="00F819F0" w:rsidRPr="00E33965" w14:paraId="30883CA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A0BDD9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440C63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 due to diabetes mellitus type 1</w:t>
            </w:r>
          </w:p>
        </w:tc>
        <w:tc>
          <w:tcPr>
            <w:tcW w:w="5745" w:type="dxa"/>
            <w:tcBorders>
              <w:top w:val="single" w:sz="6" w:space="0" w:color="D0CECE"/>
              <w:left w:val="nil"/>
              <w:bottom w:val="single" w:sz="6" w:space="0" w:color="D0CECE"/>
              <w:right w:val="nil"/>
            </w:tcBorders>
            <w:shd w:val="clear" w:color="auto" w:fill="auto"/>
            <w:vAlign w:val="bottom"/>
          </w:tcPr>
          <w:p w14:paraId="6401B4F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E10.2</w:t>
            </w:r>
          </w:p>
        </w:tc>
      </w:tr>
      <w:tr w:rsidR="00F819F0" w:rsidRPr="00E33965" w14:paraId="496931F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58C082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8214AB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 due to diabetes mellitus type 2</w:t>
            </w:r>
          </w:p>
        </w:tc>
        <w:tc>
          <w:tcPr>
            <w:tcW w:w="5745" w:type="dxa"/>
            <w:tcBorders>
              <w:top w:val="single" w:sz="6" w:space="0" w:color="D0CECE"/>
              <w:left w:val="nil"/>
              <w:bottom w:val="single" w:sz="6" w:space="0" w:color="D0CECE"/>
              <w:right w:val="nil"/>
            </w:tcBorders>
            <w:shd w:val="clear" w:color="auto" w:fill="auto"/>
            <w:vAlign w:val="bottom"/>
          </w:tcPr>
          <w:p w14:paraId="503CD94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E11.2</w:t>
            </w:r>
          </w:p>
        </w:tc>
      </w:tr>
      <w:tr w:rsidR="00F819F0" w:rsidRPr="00E33965" w14:paraId="0BEAD1E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3AFC10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88C142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 due to hypertension</w:t>
            </w:r>
          </w:p>
        </w:tc>
        <w:tc>
          <w:tcPr>
            <w:tcW w:w="5745" w:type="dxa"/>
            <w:tcBorders>
              <w:top w:val="single" w:sz="6" w:space="0" w:color="D0CECE"/>
              <w:left w:val="nil"/>
              <w:bottom w:val="single" w:sz="6" w:space="0" w:color="D0CECE"/>
              <w:right w:val="nil"/>
            </w:tcBorders>
            <w:shd w:val="clear" w:color="auto" w:fill="auto"/>
            <w:vAlign w:val="bottom"/>
          </w:tcPr>
          <w:p w14:paraId="60ED553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I12–I13.9</w:t>
            </w:r>
          </w:p>
        </w:tc>
      </w:tr>
      <w:tr w:rsidR="00F819F0" w:rsidRPr="00E33965" w14:paraId="28714FA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A8485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8F2468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 due to glomerulonephritis</w:t>
            </w:r>
          </w:p>
        </w:tc>
        <w:tc>
          <w:tcPr>
            <w:tcW w:w="5745" w:type="dxa"/>
            <w:tcBorders>
              <w:top w:val="single" w:sz="6" w:space="0" w:color="D0CECE"/>
              <w:left w:val="nil"/>
              <w:bottom w:val="single" w:sz="6" w:space="0" w:color="D0CECE"/>
              <w:right w:val="nil"/>
            </w:tcBorders>
            <w:shd w:val="clear" w:color="auto" w:fill="auto"/>
            <w:vAlign w:val="bottom"/>
          </w:tcPr>
          <w:p w14:paraId="61878E7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N03–N06.9</w:t>
            </w:r>
          </w:p>
        </w:tc>
      </w:tr>
      <w:tr w:rsidR="00F819F0" w:rsidRPr="00E33965" w14:paraId="396E8F6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E08E2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5F8649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Chronic kidney disease due to other and unspecified causes</w:t>
            </w:r>
          </w:p>
        </w:tc>
        <w:tc>
          <w:tcPr>
            <w:tcW w:w="5745" w:type="dxa"/>
            <w:tcBorders>
              <w:top w:val="single" w:sz="6" w:space="0" w:color="D0CECE"/>
              <w:left w:val="nil"/>
              <w:bottom w:val="single" w:sz="6" w:space="0" w:color="D0CECE"/>
              <w:right w:val="nil"/>
            </w:tcBorders>
            <w:shd w:val="clear" w:color="auto" w:fill="auto"/>
            <w:vAlign w:val="bottom"/>
          </w:tcPr>
          <w:p w14:paraId="3537D18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N02–N02.9, N07–N08.8, N15.0, Q61–Q62.8</w:t>
            </w:r>
          </w:p>
        </w:tc>
      </w:tr>
      <w:tr w:rsidR="00F819F0" w:rsidRPr="00E33965" w14:paraId="0BFAF63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180F87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BC93CC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Acute glomerulonephritis</w:t>
            </w:r>
          </w:p>
        </w:tc>
        <w:tc>
          <w:tcPr>
            <w:tcW w:w="5745" w:type="dxa"/>
            <w:tcBorders>
              <w:top w:val="single" w:sz="6" w:space="0" w:color="D0CECE"/>
              <w:left w:val="nil"/>
              <w:bottom w:val="single" w:sz="6" w:space="0" w:color="D0CECE"/>
              <w:right w:val="nil"/>
            </w:tcBorders>
            <w:shd w:val="clear" w:color="auto" w:fill="auto"/>
            <w:vAlign w:val="bottom"/>
          </w:tcPr>
          <w:p w14:paraId="622DA40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N00–N01.9</w:t>
            </w:r>
          </w:p>
        </w:tc>
      </w:tr>
      <w:tr w:rsidR="00F819F0" w:rsidRPr="00E33965" w14:paraId="28DE4BB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C55D8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6FA0BB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Skin and subcutaneous diseases</w:t>
            </w:r>
          </w:p>
        </w:tc>
        <w:tc>
          <w:tcPr>
            <w:tcW w:w="5745" w:type="dxa"/>
            <w:tcBorders>
              <w:top w:val="single" w:sz="6" w:space="0" w:color="D0CECE"/>
              <w:left w:val="nil"/>
              <w:bottom w:val="single" w:sz="6" w:space="0" w:color="D0CECE"/>
              <w:right w:val="nil"/>
            </w:tcBorders>
            <w:shd w:val="clear" w:color="auto" w:fill="auto"/>
            <w:vAlign w:val="bottom"/>
          </w:tcPr>
          <w:p w14:paraId="04360EB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A46–A46.0, A66–A67.9, B86, D86.3, H05.0–H05.1, I89.1–I89.8, L00–L05.9, L08–L08.9, L10–L14.0, L51–L51.9, L88–L89.9, L97–L98.4, M72.5–M72.6</w:t>
            </w:r>
          </w:p>
        </w:tc>
      </w:tr>
      <w:tr w:rsidR="00F819F0" w:rsidRPr="00E33965" w14:paraId="0E61F31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30C1DF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2E5C50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Bacterial skin diseases</w:t>
            </w:r>
          </w:p>
        </w:tc>
        <w:tc>
          <w:tcPr>
            <w:tcW w:w="5745" w:type="dxa"/>
            <w:tcBorders>
              <w:top w:val="single" w:sz="6" w:space="0" w:color="D0CECE"/>
              <w:left w:val="nil"/>
              <w:bottom w:val="single" w:sz="6" w:space="0" w:color="D0CECE"/>
              <w:right w:val="nil"/>
            </w:tcBorders>
            <w:shd w:val="clear" w:color="auto" w:fill="auto"/>
            <w:vAlign w:val="bottom"/>
          </w:tcPr>
          <w:p w14:paraId="33C4579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A46–A46.0, A66–A67.9, H05.0–H05.1, I89.1–I89.8, L00–L05.9, L08–L08.9, L88, L97–L98.4, M72.5–M72.6</w:t>
            </w:r>
          </w:p>
        </w:tc>
      </w:tr>
      <w:tr w:rsidR="00F819F0" w:rsidRPr="00E33965" w14:paraId="2F27A26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EB8412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DA94A8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Cellulitis</w:t>
            </w:r>
          </w:p>
        </w:tc>
        <w:tc>
          <w:tcPr>
            <w:tcW w:w="5745" w:type="dxa"/>
            <w:tcBorders>
              <w:top w:val="single" w:sz="6" w:space="0" w:color="D0CECE"/>
              <w:left w:val="nil"/>
              <w:bottom w:val="single" w:sz="6" w:space="0" w:color="D0CECE"/>
              <w:right w:val="nil"/>
            </w:tcBorders>
            <w:shd w:val="clear" w:color="auto" w:fill="auto"/>
            <w:vAlign w:val="bottom"/>
          </w:tcPr>
          <w:p w14:paraId="429D7F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H05.0, L03–L03.9, M72.5–M72.6</w:t>
            </w:r>
          </w:p>
        </w:tc>
      </w:tr>
      <w:tr w:rsidR="00F819F0" w:rsidRPr="00E33965" w14:paraId="349A25F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E8E0F5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4</w:t>
            </w:r>
          </w:p>
        </w:tc>
        <w:tc>
          <w:tcPr>
            <w:tcW w:w="2250" w:type="dxa"/>
            <w:tcBorders>
              <w:top w:val="single" w:sz="6" w:space="0" w:color="D0CECE"/>
              <w:left w:val="nil"/>
              <w:bottom w:val="single" w:sz="6" w:space="0" w:color="D0CECE"/>
              <w:right w:val="nil"/>
            </w:tcBorders>
            <w:shd w:val="clear" w:color="auto" w:fill="auto"/>
            <w:vAlign w:val="bottom"/>
          </w:tcPr>
          <w:p w14:paraId="4AEECF0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Pyoderma</w:t>
            </w:r>
          </w:p>
        </w:tc>
        <w:tc>
          <w:tcPr>
            <w:tcW w:w="5745" w:type="dxa"/>
            <w:tcBorders>
              <w:top w:val="single" w:sz="6" w:space="0" w:color="D0CECE"/>
              <w:left w:val="nil"/>
              <w:bottom w:val="single" w:sz="6" w:space="0" w:color="D0CECE"/>
              <w:right w:val="nil"/>
            </w:tcBorders>
            <w:shd w:val="clear" w:color="auto" w:fill="auto"/>
            <w:vAlign w:val="bottom"/>
          </w:tcPr>
          <w:p w14:paraId="4689EEC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A46–A46.0, A66–A67.9, H05.1, I89.1–I89.8, L00–L02.9, L04–L05.9, L08–L08.9, L88, L97–L98.4</w:t>
            </w:r>
          </w:p>
        </w:tc>
      </w:tr>
      <w:tr w:rsidR="00F819F0" w:rsidRPr="00E33965" w14:paraId="6D30C24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8AEDD6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7718BF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Decubitus ulcer</w:t>
            </w:r>
          </w:p>
        </w:tc>
        <w:tc>
          <w:tcPr>
            <w:tcW w:w="5745" w:type="dxa"/>
            <w:tcBorders>
              <w:top w:val="single" w:sz="6" w:space="0" w:color="D0CECE"/>
              <w:left w:val="nil"/>
              <w:bottom w:val="single" w:sz="6" w:space="0" w:color="D0CECE"/>
              <w:right w:val="nil"/>
            </w:tcBorders>
            <w:shd w:val="clear" w:color="auto" w:fill="auto"/>
            <w:vAlign w:val="bottom"/>
          </w:tcPr>
          <w:p w14:paraId="2A14709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L89–L89.9</w:t>
            </w:r>
          </w:p>
        </w:tc>
      </w:tr>
      <w:tr w:rsidR="00F819F0" w:rsidRPr="00E33965" w14:paraId="5461346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299DAB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368458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skin and subcutaneous diseases</w:t>
            </w:r>
          </w:p>
        </w:tc>
        <w:tc>
          <w:tcPr>
            <w:tcW w:w="5745" w:type="dxa"/>
            <w:tcBorders>
              <w:top w:val="single" w:sz="6" w:space="0" w:color="D0CECE"/>
              <w:left w:val="nil"/>
              <w:bottom w:val="single" w:sz="6" w:space="0" w:color="D0CECE"/>
              <w:right w:val="nil"/>
            </w:tcBorders>
            <w:shd w:val="clear" w:color="auto" w:fill="auto"/>
            <w:vAlign w:val="bottom"/>
          </w:tcPr>
          <w:p w14:paraId="323FCB2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D86.3, L10–L14.0, L51–L51.9</w:t>
            </w:r>
          </w:p>
        </w:tc>
      </w:tr>
      <w:tr w:rsidR="00F819F0" w:rsidRPr="00E33965" w14:paraId="1750C5D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023B40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64BE1FE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Musculoskeletal disorders</w:t>
            </w:r>
          </w:p>
        </w:tc>
        <w:tc>
          <w:tcPr>
            <w:tcW w:w="5745" w:type="dxa"/>
            <w:tcBorders>
              <w:top w:val="single" w:sz="6" w:space="0" w:color="D0CECE"/>
              <w:left w:val="nil"/>
              <w:bottom w:val="single" w:sz="6" w:space="0" w:color="D0CECE"/>
              <w:right w:val="nil"/>
            </w:tcBorders>
            <w:shd w:val="clear" w:color="auto" w:fill="auto"/>
            <w:vAlign w:val="bottom"/>
          </w:tcPr>
          <w:p w14:paraId="6CDA8C9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I27.1, I67.7, L93–L93.2, M00–M03.0, M03.2–M03.6, M05–M09.0, M09.2–M09.8, M30–M32.9, M34–M36.8, M40–M43.1, M65–M65.0, M71.0–M71.1, M80–M82.8, M86.3–M86.4, M87–M87.0, M88–M89.0, M89.5, M89.7–M89.9</w:t>
            </w:r>
          </w:p>
        </w:tc>
      </w:tr>
      <w:tr w:rsidR="00F819F0" w:rsidRPr="00E33965" w14:paraId="4764F4B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0C19CB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EA5343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Rheumatoid arthritis</w:t>
            </w:r>
          </w:p>
        </w:tc>
        <w:tc>
          <w:tcPr>
            <w:tcW w:w="5745" w:type="dxa"/>
            <w:tcBorders>
              <w:top w:val="single" w:sz="6" w:space="0" w:color="D0CECE"/>
              <w:left w:val="nil"/>
              <w:bottom w:val="single" w:sz="6" w:space="0" w:color="D0CECE"/>
              <w:right w:val="nil"/>
            </w:tcBorders>
            <w:shd w:val="clear" w:color="auto" w:fill="auto"/>
            <w:vAlign w:val="bottom"/>
          </w:tcPr>
          <w:p w14:paraId="52D16D8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M05–M06.9, M08.0–M08.8</w:t>
            </w:r>
          </w:p>
        </w:tc>
      </w:tr>
      <w:tr w:rsidR="00F819F0" w:rsidRPr="00E33965" w14:paraId="5180E1C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70D14A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BDE346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musculoskeletal disorders</w:t>
            </w:r>
          </w:p>
        </w:tc>
        <w:tc>
          <w:tcPr>
            <w:tcW w:w="5745" w:type="dxa"/>
            <w:tcBorders>
              <w:top w:val="single" w:sz="6" w:space="0" w:color="D0CECE"/>
              <w:left w:val="nil"/>
              <w:bottom w:val="single" w:sz="6" w:space="0" w:color="D0CECE"/>
              <w:right w:val="nil"/>
            </w:tcBorders>
            <w:shd w:val="clear" w:color="auto" w:fill="auto"/>
            <w:vAlign w:val="bottom"/>
          </w:tcPr>
          <w:p w14:paraId="368CC57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I27.1, I67.7, L93–L93.2, M00–M03.0, M03.2–M03.6, M07–M08, M08.9–M09.0, M09.2–M09.8, M30–M32.9, M34–M36.8, M40–M43.1, M65–M65.0, M71.0–M71.1, M80–M82.8, M86.3–M86.4, M87–M87.0, M88–M89.0, M89.5, M89.7–M89.9</w:t>
            </w:r>
          </w:p>
        </w:tc>
      </w:tr>
      <w:tr w:rsidR="00F819F0" w:rsidRPr="007569F5" w14:paraId="5EE759A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861ED2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3FD2C50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non-communicable diseases</w:t>
            </w:r>
          </w:p>
        </w:tc>
        <w:tc>
          <w:tcPr>
            <w:tcW w:w="5745" w:type="dxa"/>
            <w:tcBorders>
              <w:top w:val="single" w:sz="6" w:space="0" w:color="D0CECE"/>
              <w:left w:val="nil"/>
              <w:bottom w:val="single" w:sz="6" w:space="0" w:color="D0CECE"/>
              <w:right w:val="nil"/>
            </w:tcBorders>
            <w:shd w:val="clear" w:color="auto" w:fill="auto"/>
            <w:vAlign w:val="bottom"/>
          </w:tcPr>
          <w:p w14:paraId="13DEA186"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D25–D26, D28.2, D55–D58.9, D59.1, D59.3, D59.5, D60–D61.9, D64.0, D66–D67, D68.0–D69.4, D69.6–D69.8, D70–D70.0, D70.4–D75.8, D76–D77, D86.8, D89–D89.2, E03–E03.1, E03.3–E06.3, E06.5–E07.1, E16.1–E16.9, E20–E23.0, E23.2–E24.1, E24.3, E24.8–E27.2, E27.4–E34, E34.1–E34.8, E65–E66.0, E66.2–E68, E70–E85.2, E88–E88.2, E88.4–E88.9, G71.2, N10–N12.9, N13.6, N15, N15.1–N16.8, N20–N23.0, N25–N28.1, N29–N30.3, N30.8–N32.0, N32.3–N32.4, N34–N34.3, N36–N36.9, N39–N39.2, N41–N41.9, N44–N44.0, N45–N45.9, N49–N49.9, N72–N72.0, N75–N77.8, N80–N81.9, N83–N83.9, P96.0, Q00–Q07.9, Q10.4–Q18.9, Q20–Q28.9, Q30–Q36, Q37–Q45.9, Q50–Q60.6, Q63–Q86, Q86.1–Q87.8, Q89–Q89.8, Q90–Q93.9, Q95–Q99.8, Q99.9*, R95–R95.9</w:t>
            </w:r>
          </w:p>
        </w:tc>
      </w:tr>
      <w:tr w:rsidR="00F819F0" w:rsidRPr="00E33965" w14:paraId="39203F6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C687DC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FADB75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Congenital birth defects</w:t>
            </w:r>
          </w:p>
        </w:tc>
        <w:tc>
          <w:tcPr>
            <w:tcW w:w="5745" w:type="dxa"/>
            <w:tcBorders>
              <w:top w:val="single" w:sz="6" w:space="0" w:color="D0CECE"/>
              <w:left w:val="nil"/>
              <w:bottom w:val="single" w:sz="6" w:space="0" w:color="D0CECE"/>
              <w:right w:val="nil"/>
            </w:tcBorders>
            <w:shd w:val="clear" w:color="auto" w:fill="auto"/>
            <w:vAlign w:val="bottom"/>
          </w:tcPr>
          <w:p w14:paraId="465EAD0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G71.2, P96.0, Q00–Q07.9, Q10.4–Q18.9, Q20–Q28.9, Q30–Q36, Q37–Q45.9, Q50–Q60.6, Q63–Q86, Q86.1–Q87.8, Q89–Q89.8, Q90–Q93.9, Q95–Q99.8, Q99.9*</w:t>
            </w:r>
          </w:p>
        </w:tc>
      </w:tr>
      <w:tr w:rsidR="00F819F0" w:rsidRPr="00E33965" w14:paraId="0534117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52D412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429AD9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Neural tube defects</w:t>
            </w:r>
          </w:p>
        </w:tc>
        <w:tc>
          <w:tcPr>
            <w:tcW w:w="5745" w:type="dxa"/>
            <w:tcBorders>
              <w:top w:val="single" w:sz="6" w:space="0" w:color="D0CECE"/>
              <w:left w:val="nil"/>
              <w:bottom w:val="single" w:sz="6" w:space="0" w:color="D0CECE"/>
              <w:right w:val="nil"/>
            </w:tcBorders>
            <w:shd w:val="clear" w:color="auto" w:fill="auto"/>
            <w:vAlign w:val="bottom"/>
          </w:tcPr>
          <w:p w14:paraId="5DF46E3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Q00–Q01.9, Q05–Q05.9</w:t>
            </w:r>
          </w:p>
        </w:tc>
      </w:tr>
      <w:tr w:rsidR="00F819F0" w:rsidRPr="00E33965" w14:paraId="5862A25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98EB68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2FD510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Congenital heart anomalies</w:t>
            </w:r>
          </w:p>
        </w:tc>
        <w:tc>
          <w:tcPr>
            <w:tcW w:w="5745" w:type="dxa"/>
            <w:tcBorders>
              <w:top w:val="single" w:sz="6" w:space="0" w:color="D0CECE"/>
              <w:left w:val="nil"/>
              <w:bottom w:val="single" w:sz="6" w:space="0" w:color="D0CECE"/>
              <w:right w:val="nil"/>
            </w:tcBorders>
            <w:shd w:val="clear" w:color="auto" w:fill="auto"/>
            <w:vAlign w:val="bottom"/>
          </w:tcPr>
          <w:p w14:paraId="3B1965C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Q20–Q28.9</w:t>
            </w:r>
          </w:p>
        </w:tc>
      </w:tr>
      <w:tr w:rsidR="00F819F0" w:rsidRPr="00E33965" w14:paraId="2DE45E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AFBBB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655F98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Orofacial clefts</w:t>
            </w:r>
          </w:p>
        </w:tc>
        <w:tc>
          <w:tcPr>
            <w:tcW w:w="5745" w:type="dxa"/>
            <w:tcBorders>
              <w:top w:val="single" w:sz="6" w:space="0" w:color="D0CECE"/>
              <w:left w:val="nil"/>
              <w:bottom w:val="single" w:sz="6" w:space="0" w:color="D0CECE"/>
              <w:right w:val="nil"/>
            </w:tcBorders>
            <w:shd w:val="clear" w:color="auto" w:fill="auto"/>
            <w:vAlign w:val="bottom"/>
          </w:tcPr>
          <w:p w14:paraId="2B53189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Q35–Q36, Q37–Q37.9</w:t>
            </w:r>
          </w:p>
        </w:tc>
      </w:tr>
      <w:tr w:rsidR="00F819F0" w:rsidRPr="00E33965" w14:paraId="709B740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D06A30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2A94F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Down syndrome</w:t>
            </w:r>
          </w:p>
        </w:tc>
        <w:tc>
          <w:tcPr>
            <w:tcW w:w="5745" w:type="dxa"/>
            <w:tcBorders>
              <w:top w:val="single" w:sz="6" w:space="0" w:color="D0CECE"/>
              <w:left w:val="nil"/>
              <w:bottom w:val="single" w:sz="6" w:space="0" w:color="D0CECE"/>
              <w:right w:val="nil"/>
            </w:tcBorders>
            <w:shd w:val="clear" w:color="auto" w:fill="auto"/>
            <w:vAlign w:val="bottom"/>
          </w:tcPr>
          <w:p w14:paraId="6453742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Q90–Q90.9</w:t>
            </w:r>
          </w:p>
        </w:tc>
      </w:tr>
      <w:tr w:rsidR="00F819F0" w:rsidRPr="00E33965" w14:paraId="32A9417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6BE058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2E805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chromosomal abnormalities</w:t>
            </w:r>
          </w:p>
        </w:tc>
        <w:tc>
          <w:tcPr>
            <w:tcW w:w="5745" w:type="dxa"/>
            <w:tcBorders>
              <w:top w:val="single" w:sz="6" w:space="0" w:color="D0CECE"/>
              <w:left w:val="nil"/>
              <w:bottom w:val="single" w:sz="6" w:space="0" w:color="D0CECE"/>
              <w:right w:val="nil"/>
            </w:tcBorders>
            <w:shd w:val="clear" w:color="auto" w:fill="auto"/>
            <w:vAlign w:val="bottom"/>
          </w:tcPr>
          <w:p w14:paraId="6A2BF02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Q87–Q87.8, Q91–Q93.9, Q95–Q95.9, Q97–Q97.9, Q99–Q99.8</w:t>
            </w:r>
          </w:p>
        </w:tc>
      </w:tr>
      <w:tr w:rsidR="00F819F0" w:rsidRPr="00E33965" w14:paraId="5CD36C6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24153A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F32732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Congenital musculoskeletal and limb anomalies</w:t>
            </w:r>
          </w:p>
        </w:tc>
        <w:tc>
          <w:tcPr>
            <w:tcW w:w="5745" w:type="dxa"/>
            <w:tcBorders>
              <w:top w:val="single" w:sz="6" w:space="0" w:color="D0CECE"/>
              <w:left w:val="nil"/>
              <w:bottom w:val="single" w:sz="6" w:space="0" w:color="D0CECE"/>
              <w:right w:val="nil"/>
            </w:tcBorders>
            <w:shd w:val="clear" w:color="auto" w:fill="auto"/>
            <w:vAlign w:val="bottom"/>
          </w:tcPr>
          <w:p w14:paraId="0D7857F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Q65–Q79, Q79.6–Q79.9</w:t>
            </w:r>
          </w:p>
        </w:tc>
      </w:tr>
      <w:tr w:rsidR="00F819F0" w:rsidRPr="00E33965" w14:paraId="57F4321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F39FA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E40FF3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Urogenital congenital anomalies</w:t>
            </w:r>
          </w:p>
        </w:tc>
        <w:tc>
          <w:tcPr>
            <w:tcW w:w="5745" w:type="dxa"/>
            <w:tcBorders>
              <w:top w:val="single" w:sz="6" w:space="0" w:color="D0CECE"/>
              <w:left w:val="nil"/>
              <w:bottom w:val="single" w:sz="6" w:space="0" w:color="D0CECE"/>
              <w:right w:val="nil"/>
            </w:tcBorders>
            <w:shd w:val="clear" w:color="auto" w:fill="auto"/>
            <w:vAlign w:val="bottom"/>
          </w:tcPr>
          <w:p w14:paraId="7E8BE59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P96.0, Q50–Q60.6, Q63–Q64.9</w:t>
            </w:r>
          </w:p>
        </w:tc>
      </w:tr>
      <w:tr w:rsidR="00F819F0" w:rsidRPr="00E33965" w14:paraId="6E09AD32"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E33756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72BB55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Digestive congenital anomalies</w:t>
            </w:r>
          </w:p>
        </w:tc>
        <w:tc>
          <w:tcPr>
            <w:tcW w:w="5745" w:type="dxa"/>
            <w:tcBorders>
              <w:top w:val="single" w:sz="6" w:space="0" w:color="D0CECE"/>
              <w:left w:val="nil"/>
              <w:bottom w:val="single" w:sz="6" w:space="0" w:color="D0CECE"/>
              <w:right w:val="nil"/>
            </w:tcBorders>
            <w:shd w:val="clear" w:color="auto" w:fill="auto"/>
            <w:vAlign w:val="bottom"/>
          </w:tcPr>
          <w:p w14:paraId="52D91BB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Q38–Q45.9, Q79.0–Q79.5</w:t>
            </w:r>
          </w:p>
        </w:tc>
      </w:tr>
      <w:tr w:rsidR="00F819F0" w:rsidRPr="00E33965" w14:paraId="0A62677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446565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96A44B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congenital birth defects</w:t>
            </w:r>
          </w:p>
        </w:tc>
        <w:tc>
          <w:tcPr>
            <w:tcW w:w="5745" w:type="dxa"/>
            <w:tcBorders>
              <w:top w:val="single" w:sz="6" w:space="0" w:color="D0CECE"/>
              <w:left w:val="nil"/>
              <w:bottom w:val="single" w:sz="6" w:space="0" w:color="D0CECE"/>
              <w:right w:val="nil"/>
            </w:tcBorders>
            <w:shd w:val="clear" w:color="auto" w:fill="auto"/>
            <w:vAlign w:val="bottom"/>
          </w:tcPr>
          <w:p w14:paraId="1CDAA1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G71.2, Q02–Q04.9, Q06–Q07.9, Q10.4–Q18.9, Q30–Q34.9, Q80–Q86, Q86.1–Q86.8, Q89–Q89.8</w:t>
            </w:r>
          </w:p>
        </w:tc>
      </w:tr>
      <w:tr w:rsidR="00F819F0" w:rsidRPr="00E33965" w14:paraId="05E7853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C28FD7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4B910DB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Urinary diseases and male infertility</w:t>
            </w:r>
          </w:p>
        </w:tc>
        <w:tc>
          <w:tcPr>
            <w:tcW w:w="5745" w:type="dxa"/>
            <w:tcBorders>
              <w:top w:val="single" w:sz="6" w:space="0" w:color="D0CECE"/>
              <w:left w:val="nil"/>
              <w:bottom w:val="single" w:sz="6" w:space="0" w:color="D0CECE"/>
              <w:right w:val="nil"/>
            </w:tcBorders>
            <w:shd w:val="clear" w:color="auto" w:fill="auto"/>
            <w:vAlign w:val="bottom"/>
          </w:tcPr>
          <w:p w14:paraId="16C7B13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N10–N12.9, N13.6, N15, N15.1–N16.8, N20–N23.0, N25–N28.1, N29–N30.3, N30.8–N32.0, N32.3–N32.4, N34–N34.3, N36–N36.9, N39–N39.2, N41–N41.9, N44–N44.0, N45–N45.9, N49–N49.9</w:t>
            </w:r>
          </w:p>
        </w:tc>
      </w:tr>
      <w:tr w:rsidR="00F819F0" w:rsidRPr="00E33965" w14:paraId="7F83376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DEE8C3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384D4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Urinary tract infections and interstitial nephritis</w:t>
            </w:r>
          </w:p>
        </w:tc>
        <w:tc>
          <w:tcPr>
            <w:tcW w:w="5745" w:type="dxa"/>
            <w:tcBorders>
              <w:top w:val="single" w:sz="6" w:space="0" w:color="D0CECE"/>
              <w:left w:val="nil"/>
              <w:bottom w:val="single" w:sz="6" w:space="0" w:color="D0CECE"/>
              <w:right w:val="nil"/>
            </w:tcBorders>
            <w:shd w:val="clear" w:color="auto" w:fill="auto"/>
            <w:vAlign w:val="bottom"/>
          </w:tcPr>
          <w:p w14:paraId="79E9202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N10–N12.9, N13.6, N15, N15.1–N16.8, N30–N30.3, N30.8–N30.9, N34–N34.3, N39.0–N39.2</w:t>
            </w:r>
          </w:p>
        </w:tc>
      </w:tr>
      <w:tr w:rsidR="00F819F0" w:rsidRPr="00E33965" w14:paraId="3F04D23A"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7F1764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55493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Urolithiasis</w:t>
            </w:r>
          </w:p>
        </w:tc>
        <w:tc>
          <w:tcPr>
            <w:tcW w:w="5745" w:type="dxa"/>
            <w:tcBorders>
              <w:top w:val="single" w:sz="6" w:space="0" w:color="D0CECE"/>
              <w:left w:val="nil"/>
              <w:bottom w:val="single" w:sz="6" w:space="0" w:color="D0CECE"/>
              <w:right w:val="nil"/>
            </w:tcBorders>
            <w:shd w:val="clear" w:color="auto" w:fill="auto"/>
            <w:vAlign w:val="bottom"/>
          </w:tcPr>
          <w:p w14:paraId="08A50D8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N20–N23.0</w:t>
            </w:r>
          </w:p>
        </w:tc>
      </w:tr>
      <w:tr w:rsidR="00F819F0" w:rsidRPr="00E33965" w14:paraId="5FC71D9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701E14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E2C0A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urinary diseases</w:t>
            </w:r>
          </w:p>
        </w:tc>
        <w:tc>
          <w:tcPr>
            <w:tcW w:w="5745" w:type="dxa"/>
            <w:tcBorders>
              <w:top w:val="single" w:sz="6" w:space="0" w:color="D0CECE"/>
              <w:left w:val="nil"/>
              <w:bottom w:val="single" w:sz="6" w:space="0" w:color="D0CECE"/>
              <w:right w:val="nil"/>
            </w:tcBorders>
            <w:shd w:val="clear" w:color="auto" w:fill="auto"/>
            <w:vAlign w:val="bottom"/>
          </w:tcPr>
          <w:p w14:paraId="5AADFCC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N25–N28.1, N29–N29.8, N31–N32.0, N32.3–N32.4, N36–N36.9, N39, N41–N41.9, N44–N44.0, N45–N45.9, N49–N49.9</w:t>
            </w:r>
          </w:p>
        </w:tc>
      </w:tr>
      <w:tr w:rsidR="00F819F0" w:rsidRPr="007569F5" w14:paraId="1467DFB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4C7AFC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BB04C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Gynecological diseases</w:t>
            </w:r>
          </w:p>
        </w:tc>
        <w:tc>
          <w:tcPr>
            <w:tcW w:w="5745" w:type="dxa"/>
            <w:tcBorders>
              <w:top w:val="single" w:sz="6" w:space="0" w:color="D0CECE"/>
              <w:left w:val="nil"/>
              <w:bottom w:val="single" w:sz="6" w:space="0" w:color="D0CECE"/>
              <w:right w:val="nil"/>
            </w:tcBorders>
            <w:shd w:val="clear" w:color="auto" w:fill="auto"/>
            <w:vAlign w:val="bottom"/>
          </w:tcPr>
          <w:p w14:paraId="256AFC90"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D25–D26, D28.2, E28.2, N72–N72.0, N75–N77.8, N80–N81.9, N83–N83.9</w:t>
            </w:r>
          </w:p>
        </w:tc>
      </w:tr>
      <w:tr w:rsidR="00F819F0" w:rsidRPr="00E33965" w14:paraId="7B74405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FFDC97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627BD1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Uterine fibroids</w:t>
            </w:r>
          </w:p>
        </w:tc>
        <w:tc>
          <w:tcPr>
            <w:tcW w:w="5745" w:type="dxa"/>
            <w:tcBorders>
              <w:top w:val="single" w:sz="6" w:space="0" w:color="D0CECE"/>
              <w:left w:val="nil"/>
              <w:bottom w:val="single" w:sz="6" w:space="0" w:color="D0CECE"/>
              <w:right w:val="nil"/>
            </w:tcBorders>
            <w:shd w:val="clear" w:color="auto" w:fill="auto"/>
            <w:vAlign w:val="bottom"/>
          </w:tcPr>
          <w:p w14:paraId="6D8DFEC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D25–D26, D28.2</w:t>
            </w:r>
          </w:p>
        </w:tc>
      </w:tr>
      <w:tr w:rsidR="00F819F0" w:rsidRPr="00E33965" w14:paraId="0F29B1C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5D5CD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629795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Endometriosis</w:t>
            </w:r>
          </w:p>
        </w:tc>
        <w:tc>
          <w:tcPr>
            <w:tcW w:w="5745" w:type="dxa"/>
            <w:tcBorders>
              <w:top w:val="single" w:sz="6" w:space="0" w:color="D0CECE"/>
              <w:left w:val="nil"/>
              <w:bottom w:val="single" w:sz="6" w:space="0" w:color="D0CECE"/>
              <w:right w:val="nil"/>
            </w:tcBorders>
            <w:shd w:val="clear" w:color="auto" w:fill="auto"/>
            <w:vAlign w:val="bottom"/>
          </w:tcPr>
          <w:p w14:paraId="6021E3B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N80–N80.9</w:t>
            </w:r>
          </w:p>
        </w:tc>
      </w:tr>
      <w:tr w:rsidR="00F819F0" w:rsidRPr="00E33965" w14:paraId="53124DD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D96186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232091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gramStart"/>
            <w:r w:rsidRPr="00E33965">
              <w:rPr>
                <w:rFonts w:asciiTheme="majorHAnsi" w:hAnsiTheme="majorHAnsi" w:cstheme="majorHAnsi"/>
                <w:color w:val="000000"/>
              </w:rPr>
              <w:t>Genital</w:t>
            </w:r>
            <w:proofErr w:type="gramEnd"/>
            <w:r w:rsidRPr="00E33965">
              <w:rPr>
                <w:rFonts w:asciiTheme="majorHAnsi" w:hAnsiTheme="majorHAnsi" w:cstheme="majorHAnsi"/>
                <w:color w:val="000000"/>
              </w:rPr>
              <w:t xml:space="preserve"> prolapse</w:t>
            </w:r>
          </w:p>
        </w:tc>
        <w:tc>
          <w:tcPr>
            <w:tcW w:w="5745" w:type="dxa"/>
            <w:tcBorders>
              <w:top w:val="single" w:sz="6" w:space="0" w:color="D0CECE"/>
              <w:left w:val="nil"/>
              <w:bottom w:val="single" w:sz="6" w:space="0" w:color="D0CECE"/>
              <w:right w:val="nil"/>
            </w:tcBorders>
            <w:shd w:val="clear" w:color="auto" w:fill="auto"/>
            <w:vAlign w:val="bottom"/>
          </w:tcPr>
          <w:p w14:paraId="2493BE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N81–N81.9</w:t>
            </w:r>
          </w:p>
        </w:tc>
      </w:tr>
      <w:tr w:rsidR="00F819F0" w:rsidRPr="00E33965" w14:paraId="46A7D68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040325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39D78D7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gynecological diseases</w:t>
            </w:r>
          </w:p>
        </w:tc>
        <w:tc>
          <w:tcPr>
            <w:tcW w:w="5745" w:type="dxa"/>
            <w:tcBorders>
              <w:top w:val="single" w:sz="6" w:space="0" w:color="D0CECE"/>
              <w:left w:val="nil"/>
              <w:bottom w:val="single" w:sz="6" w:space="0" w:color="D0CECE"/>
              <w:right w:val="nil"/>
            </w:tcBorders>
            <w:shd w:val="clear" w:color="auto" w:fill="auto"/>
            <w:vAlign w:val="bottom"/>
          </w:tcPr>
          <w:p w14:paraId="1D5AFC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N72–N72.0, N75–N77.8, N83–N83.9</w:t>
            </w:r>
          </w:p>
        </w:tc>
      </w:tr>
      <w:tr w:rsidR="00F819F0" w:rsidRPr="00E33965" w14:paraId="7B4277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FDD5BA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A12A78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Hemoglobinopathies and hemolytic </w:t>
            </w:r>
            <w:proofErr w:type="spellStart"/>
            <w:r w:rsidRPr="00E33965">
              <w:rPr>
                <w:rFonts w:asciiTheme="majorHAnsi" w:hAnsiTheme="majorHAnsi" w:cstheme="majorHAnsi"/>
                <w:color w:val="000000"/>
              </w:rPr>
              <w:t>anaemias</w:t>
            </w:r>
            <w:proofErr w:type="spellEnd"/>
          </w:p>
        </w:tc>
        <w:tc>
          <w:tcPr>
            <w:tcW w:w="5745" w:type="dxa"/>
            <w:tcBorders>
              <w:top w:val="single" w:sz="6" w:space="0" w:color="D0CECE"/>
              <w:left w:val="nil"/>
              <w:bottom w:val="single" w:sz="6" w:space="0" w:color="D0CECE"/>
              <w:right w:val="nil"/>
            </w:tcBorders>
            <w:shd w:val="clear" w:color="auto" w:fill="auto"/>
            <w:vAlign w:val="bottom"/>
          </w:tcPr>
          <w:p w14:paraId="18B1E24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D55–D58.9, D59.1, D59.3, D59.5, D60–D61.9, D64.0</w:t>
            </w:r>
          </w:p>
        </w:tc>
      </w:tr>
      <w:tr w:rsidR="00F819F0" w:rsidRPr="00E33965" w14:paraId="5FCA874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FEBEB2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8A858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proofErr w:type="spellStart"/>
            <w:r w:rsidRPr="00E33965">
              <w:rPr>
                <w:rFonts w:asciiTheme="majorHAnsi" w:hAnsiTheme="majorHAnsi" w:cstheme="majorHAnsi"/>
                <w:color w:val="000000"/>
              </w:rPr>
              <w:t>Thalassaemias</w:t>
            </w:r>
            <w:proofErr w:type="spellEnd"/>
          </w:p>
        </w:tc>
        <w:tc>
          <w:tcPr>
            <w:tcW w:w="5745" w:type="dxa"/>
            <w:tcBorders>
              <w:top w:val="single" w:sz="6" w:space="0" w:color="D0CECE"/>
              <w:left w:val="nil"/>
              <w:bottom w:val="single" w:sz="6" w:space="0" w:color="D0CECE"/>
              <w:right w:val="nil"/>
            </w:tcBorders>
            <w:shd w:val="clear" w:color="auto" w:fill="auto"/>
            <w:vAlign w:val="bottom"/>
          </w:tcPr>
          <w:p w14:paraId="4D480A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D56–D56.9</w:t>
            </w:r>
          </w:p>
        </w:tc>
      </w:tr>
      <w:tr w:rsidR="00F819F0" w:rsidRPr="00E33965" w14:paraId="0C27B43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7B4EC3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2D6B4A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Sickle cell disorders</w:t>
            </w:r>
          </w:p>
        </w:tc>
        <w:tc>
          <w:tcPr>
            <w:tcW w:w="5745" w:type="dxa"/>
            <w:tcBorders>
              <w:top w:val="single" w:sz="6" w:space="0" w:color="D0CECE"/>
              <w:left w:val="nil"/>
              <w:bottom w:val="single" w:sz="6" w:space="0" w:color="D0CECE"/>
              <w:right w:val="nil"/>
            </w:tcBorders>
            <w:shd w:val="clear" w:color="auto" w:fill="auto"/>
            <w:vAlign w:val="bottom"/>
          </w:tcPr>
          <w:p w14:paraId="31DD26D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D57–D57.8</w:t>
            </w:r>
          </w:p>
        </w:tc>
      </w:tr>
      <w:tr w:rsidR="00F819F0" w:rsidRPr="00E33965" w14:paraId="205131C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A38641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0657BB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G6PD deficiency</w:t>
            </w:r>
          </w:p>
        </w:tc>
        <w:tc>
          <w:tcPr>
            <w:tcW w:w="5745" w:type="dxa"/>
            <w:tcBorders>
              <w:top w:val="single" w:sz="6" w:space="0" w:color="D0CECE"/>
              <w:left w:val="nil"/>
              <w:bottom w:val="single" w:sz="6" w:space="0" w:color="D0CECE"/>
              <w:right w:val="nil"/>
            </w:tcBorders>
            <w:shd w:val="clear" w:color="auto" w:fill="auto"/>
            <w:vAlign w:val="bottom"/>
          </w:tcPr>
          <w:p w14:paraId="2048B4E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D55–D55.2</w:t>
            </w:r>
          </w:p>
        </w:tc>
      </w:tr>
      <w:tr w:rsidR="00F819F0" w:rsidRPr="00E33965" w14:paraId="4D4891B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5EF5EA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B102CA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Other hemoglobinopathies and hemolytic </w:t>
            </w:r>
            <w:proofErr w:type="spellStart"/>
            <w:r w:rsidRPr="00E33965">
              <w:rPr>
                <w:rFonts w:asciiTheme="majorHAnsi" w:hAnsiTheme="majorHAnsi" w:cstheme="majorHAnsi"/>
                <w:color w:val="000000"/>
              </w:rPr>
              <w:t>anaemias</w:t>
            </w:r>
            <w:proofErr w:type="spellEnd"/>
          </w:p>
        </w:tc>
        <w:tc>
          <w:tcPr>
            <w:tcW w:w="5745" w:type="dxa"/>
            <w:tcBorders>
              <w:top w:val="single" w:sz="6" w:space="0" w:color="D0CECE"/>
              <w:left w:val="nil"/>
              <w:bottom w:val="single" w:sz="6" w:space="0" w:color="D0CECE"/>
              <w:right w:val="nil"/>
            </w:tcBorders>
            <w:shd w:val="clear" w:color="auto" w:fill="auto"/>
            <w:vAlign w:val="bottom"/>
          </w:tcPr>
          <w:p w14:paraId="268EBF2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D55.3–D55.9, D58–D58.9, D59.1, D59.3, D59.5, D60–D61.9, D64.0</w:t>
            </w:r>
          </w:p>
        </w:tc>
      </w:tr>
      <w:tr w:rsidR="00F819F0" w:rsidRPr="007569F5" w14:paraId="1F5C093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409E83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B1DCF8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Endocrine, metabolic, blood, and immune disorders</w:t>
            </w:r>
          </w:p>
        </w:tc>
        <w:tc>
          <w:tcPr>
            <w:tcW w:w="5745" w:type="dxa"/>
            <w:tcBorders>
              <w:top w:val="single" w:sz="6" w:space="0" w:color="D0CECE"/>
              <w:left w:val="nil"/>
              <w:bottom w:val="single" w:sz="6" w:space="0" w:color="D0CECE"/>
              <w:right w:val="nil"/>
            </w:tcBorders>
            <w:shd w:val="clear" w:color="auto" w:fill="auto"/>
            <w:vAlign w:val="bottom"/>
          </w:tcPr>
          <w:p w14:paraId="01AE861F"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D66–D67, D68.0–D69.4, D69.6–D69.8, D70–D70.0, D70.4–D75.8, D76–D77, D86.8, D89–D89.2, E03–E03.1, E03.3–E06.3, E06.5–E07.1, E16.1–E16.9, E20–E23.0, E23.2–E24.1, E24.3, E24.8–E27.2, E27.4–E28.1, E28.3–E34, E34.1–E34.8, E65–E66.0, E66.2–E68, E70–E85.2, E88–E88.2, E88.4–E88.9</w:t>
            </w:r>
          </w:p>
        </w:tc>
      </w:tr>
      <w:tr w:rsidR="00F819F0" w:rsidRPr="00E33965" w14:paraId="4878999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8DA2E1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5261DA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Sudden infant death syndrome</w:t>
            </w:r>
          </w:p>
        </w:tc>
        <w:tc>
          <w:tcPr>
            <w:tcW w:w="5745" w:type="dxa"/>
            <w:tcBorders>
              <w:top w:val="single" w:sz="6" w:space="0" w:color="D0CECE"/>
              <w:left w:val="nil"/>
              <w:bottom w:val="single" w:sz="6" w:space="0" w:color="D0CECE"/>
              <w:right w:val="nil"/>
            </w:tcBorders>
            <w:shd w:val="clear" w:color="auto" w:fill="auto"/>
            <w:vAlign w:val="bottom"/>
          </w:tcPr>
          <w:p w14:paraId="324CD44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R95–R95.9</w:t>
            </w:r>
          </w:p>
        </w:tc>
      </w:tr>
      <w:tr w:rsidR="00F819F0" w:rsidRPr="007569F5" w14:paraId="452B880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5A9CC2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1</w:t>
            </w:r>
          </w:p>
        </w:tc>
        <w:tc>
          <w:tcPr>
            <w:tcW w:w="2250" w:type="dxa"/>
            <w:tcBorders>
              <w:top w:val="single" w:sz="6" w:space="0" w:color="D0CECE"/>
              <w:left w:val="nil"/>
              <w:bottom w:val="single" w:sz="6" w:space="0" w:color="D0CECE"/>
              <w:right w:val="nil"/>
            </w:tcBorders>
            <w:shd w:val="clear" w:color="auto" w:fill="auto"/>
            <w:vAlign w:val="bottom"/>
          </w:tcPr>
          <w:p w14:paraId="6E094C1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Injuries</w:t>
            </w:r>
          </w:p>
        </w:tc>
        <w:tc>
          <w:tcPr>
            <w:tcW w:w="5745" w:type="dxa"/>
            <w:tcBorders>
              <w:top w:val="single" w:sz="6" w:space="0" w:color="D0CECE"/>
              <w:left w:val="nil"/>
              <w:bottom w:val="single" w:sz="6" w:space="0" w:color="D0CECE"/>
              <w:right w:val="nil"/>
            </w:tcBorders>
            <w:shd w:val="clear" w:color="auto" w:fill="auto"/>
            <w:vAlign w:val="bottom"/>
          </w:tcPr>
          <w:p w14:paraId="75B894A6"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D52.1, D59.0, D59.2, D59.6, D69.5, D70.1–D70.2, D78–D78.8, E03.2, E06.4, E09–E09.9, E16.0, E23.1, E24.2, E27.3, E36–E36.8, E66.1, E88.3, E89–E89.9, G21.0–G21.1, G24.0, G25.1, G25.4, G25.6–G25.7, G44.3*, G72.0, G91.3*, G93.7, G97–G97.9, I95.2–I95.3, I97–I97.9, I98.9, J70.0–J70.5, J95–J95.9, K43–K43.9, K52.0, K62.7, K91–K91.9, K94–K95.8, L55–L55.9, L56.3, L56.8–L56.9, L58–L58.9, M87.1, N14–N14.4, N30.4, N65–N65.1, N99–N99.9, P93–P93.8, P96.2, P96.5, R50.2, R58*, S00*–T98.3*, U00–U03, V00–V86.9, V87*–V87.1*, V87.2–V87.3, V87.4*–V88.1*, V88.2–V88.3, V88.4*–V89.9*, V90–V98.8, V99*–V99.0*, W00–W46.2, W47*–W48*, W49–W62.9, W63*, W64–W70.9, W71*–W72*, W73–W75.9, W76*–W76.9*, W77–W81.9, W82*, W83–W94.9, W95*–W97*, W97.9, W98*, W99–X06.9, X07*, X08–X39.9, X47–X48.9, X50–X54.9, X55*–X56*, X57–X58.9, X59*–X59.9*, X60–X64.9, X66–X83.9, X85–Y08.9, Y09*–Y10.9*, Y13*–Y14.9*, Y16*–</w:t>
            </w:r>
            <w:r w:rsidRPr="007569F5">
              <w:rPr>
                <w:rFonts w:asciiTheme="majorHAnsi" w:hAnsiTheme="majorHAnsi" w:cstheme="majorHAnsi"/>
                <w:color w:val="000000"/>
                <w:lang w:val="es-419"/>
              </w:rPr>
              <w:lastRenderedPageBreak/>
              <w:t>Y18.9*, Y20*–Y34.9*, Y35–Y84.9, Y85*–Y87*, Y87.0–Y87.1, Y87.2*, Y88–Y88.3, Y89*, Y89.0–Y89.1, Y89.9*–Y99.9*</w:t>
            </w:r>
          </w:p>
        </w:tc>
      </w:tr>
      <w:tr w:rsidR="00F819F0" w:rsidRPr="007569F5" w14:paraId="55F28AE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20E921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2</w:t>
            </w:r>
          </w:p>
        </w:tc>
        <w:tc>
          <w:tcPr>
            <w:tcW w:w="2250" w:type="dxa"/>
            <w:tcBorders>
              <w:top w:val="single" w:sz="6" w:space="0" w:color="D0CECE"/>
              <w:left w:val="nil"/>
              <w:bottom w:val="single" w:sz="6" w:space="0" w:color="D0CECE"/>
              <w:right w:val="nil"/>
            </w:tcBorders>
            <w:shd w:val="clear" w:color="auto" w:fill="auto"/>
            <w:vAlign w:val="bottom"/>
          </w:tcPr>
          <w:p w14:paraId="7408625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Transport injuries</w:t>
            </w:r>
          </w:p>
        </w:tc>
        <w:tc>
          <w:tcPr>
            <w:tcW w:w="5745" w:type="dxa"/>
            <w:tcBorders>
              <w:top w:val="single" w:sz="6" w:space="0" w:color="D0CECE"/>
              <w:left w:val="nil"/>
              <w:bottom w:val="single" w:sz="6" w:space="0" w:color="D0CECE"/>
              <w:right w:val="nil"/>
            </w:tcBorders>
            <w:shd w:val="clear" w:color="auto" w:fill="auto"/>
            <w:vAlign w:val="bottom"/>
          </w:tcPr>
          <w:p w14:paraId="00B25EFC"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V00–V86.9, V87*–V87.1*, V87.2–V87.3, V87.4*–V88.1*, V88.2–V88.3, V88.4*–V89.9*, V90–V98.8, V99*–V99.0*, Y85*–Y85.9*</w:t>
            </w:r>
          </w:p>
        </w:tc>
      </w:tr>
      <w:tr w:rsidR="00F819F0" w:rsidRPr="00E33965" w14:paraId="405D9CA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4C7202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629368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Road injuries</w:t>
            </w:r>
          </w:p>
        </w:tc>
        <w:tc>
          <w:tcPr>
            <w:tcW w:w="5745" w:type="dxa"/>
            <w:tcBorders>
              <w:top w:val="single" w:sz="6" w:space="0" w:color="D0CECE"/>
              <w:left w:val="nil"/>
              <w:bottom w:val="single" w:sz="6" w:space="0" w:color="D0CECE"/>
              <w:right w:val="nil"/>
            </w:tcBorders>
            <w:shd w:val="clear" w:color="auto" w:fill="auto"/>
            <w:vAlign w:val="bottom"/>
          </w:tcPr>
          <w:p w14:paraId="261CF7D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V01–V04.9, V06–V80.9, V82–V82.9, V87*–V87.1*, V87.2–V87.3, V87.4*–V88.1*, V88.4*–V88.9*</w:t>
            </w:r>
          </w:p>
        </w:tc>
      </w:tr>
      <w:tr w:rsidR="00F819F0" w:rsidRPr="00E33965" w14:paraId="0F69092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24F4B1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700B9C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Pedestrian road injuries</w:t>
            </w:r>
          </w:p>
        </w:tc>
        <w:tc>
          <w:tcPr>
            <w:tcW w:w="5745" w:type="dxa"/>
            <w:tcBorders>
              <w:top w:val="single" w:sz="6" w:space="0" w:color="D0CECE"/>
              <w:left w:val="nil"/>
              <w:bottom w:val="single" w:sz="6" w:space="0" w:color="D0CECE"/>
              <w:right w:val="nil"/>
            </w:tcBorders>
            <w:shd w:val="clear" w:color="auto" w:fill="auto"/>
            <w:vAlign w:val="bottom"/>
          </w:tcPr>
          <w:p w14:paraId="11E4BE6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V01–V04.9, V06–V09.9</w:t>
            </w:r>
          </w:p>
        </w:tc>
      </w:tr>
      <w:tr w:rsidR="00F819F0" w:rsidRPr="00E33965" w14:paraId="115E203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B8FE1B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9D2580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Cyclist road injuries</w:t>
            </w:r>
          </w:p>
        </w:tc>
        <w:tc>
          <w:tcPr>
            <w:tcW w:w="5745" w:type="dxa"/>
            <w:tcBorders>
              <w:top w:val="single" w:sz="6" w:space="0" w:color="D0CECE"/>
              <w:left w:val="nil"/>
              <w:bottom w:val="single" w:sz="6" w:space="0" w:color="D0CECE"/>
              <w:right w:val="nil"/>
            </w:tcBorders>
            <w:shd w:val="clear" w:color="auto" w:fill="auto"/>
            <w:vAlign w:val="bottom"/>
          </w:tcPr>
          <w:p w14:paraId="45881A1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V10–V19.9</w:t>
            </w:r>
          </w:p>
        </w:tc>
      </w:tr>
      <w:tr w:rsidR="00F819F0" w:rsidRPr="00E33965" w14:paraId="726F1A2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3062CA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EECD51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Motorcyclist road injuries</w:t>
            </w:r>
          </w:p>
        </w:tc>
        <w:tc>
          <w:tcPr>
            <w:tcW w:w="5745" w:type="dxa"/>
            <w:tcBorders>
              <w:top w:val="single" w:sz="6" w:space="0" w:color="D0CECE"/>
              <w:left w:val="nil"/>
              <w:bottom w:val="single" w:sz="6" w:space="0" w:color="D0CECE"/>
              <w:right w:val="nil"/>
            </w:tcBorders>
            <w:shd w:val="clear" w:color="auto" w:fill="auto"/>
            <w:vAlign w:val="bottom"/>
          </w:tcPr>
          <w:p w14:paraId="5EB8CBC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V20–V29.9</w:t>
            </w:r>
          </w:p>
        </w:tc>
      </w:tr>
      <w:tr w:rsidR="00F819F0" w:rsidRPr="00E33965" w14:paraId="770E853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B4B9AE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E83055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Motor vehicle road injuries</w:t>
            </w:r>
          </w:p>
        </w:tc>
        <w:tc>
          <w:tcPr>
            <w:tcW w:w="5745" w:type="dxa"/>
            <w:tcBorders>
              <w:top w:val="single" w:sz="6" w:space="0" w:color="D0CECE"/>
              <w:left w:val="nil"/>
              <w:bottom w:val="single" w:sz="6" w:space="0" w:color="D0CECE"/>
              <w:right w:val="nil"/>
            </w:tcBorders>
            <w:shd w:val="clear" w:color="auto" w:fill="auto"/>
            <w:vAlign w:val="bottom"/>
          </w:tcPr>
          <w:p w14:paraId="536F7CA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V30–V79.9, V87.2–V87.3</w:t>
            </w:r>
          </w:p>
        </w:tc>
      </w:tr>
      <w:tr w:rsidR="00F819F0" w:rsidRPr="00E33965" w14:paraId="328D53E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31941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AEC36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road injuries</w:t>
            </w:r>
          </w:p>
        </w:tc>
        <w:tc>
          <w:tcPr>
            <w:tcW w:w="5745" w:type="dxa"/>
            <w:tcBorders>
              <w:top w:val="single" w:sz="6" w:space="0" w:color="D0CECE"/>
              <w:left w:val="nil"/>
              <w:bottom w:val="single" w:sz="6" w:space="0" w:color="D0CECE"/>
              <w:right w:val="nil"/>
            </w:tcBorders>
            <w:shd w:val="clear" w:color="auto" w:fill="auto"/>
            <w:vAlign w:val="bottom"/>
          </w:tcPr>
          <w:p w14:paraId="52E4E76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V80–V80.9, V82–V82.9</w:t>
            </w:r>
          </w:p>
        </w:tc>
      </w:tr>
      <w:tr w:rsidR="00F819F0" w:rsidRPr="00E33965" w14:paraId="719F97A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2D95CD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7CBE20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transport injuries</w:t>
            </w:r>
          </w:p>
        </w:tc>
        <w:tc>
          <w:tcPr>
            <w:tcW w:w="5745" w:type="dxa"/>
            <w:tcBorders>
              <w:top w:val="single" w:sz="6" w:space="0" w:color="D0CECE"/>
              <w:left w:val="nil"/>
              <w:bottom w:val="single" w:sz="6" w:space="0" w:color="D0CECE"/>
              <w:right w:val="nil"/>
            </w:tcBorders>
            <w:shd w:val="clear" w:color="auto" w:fill="auto"/>
            <w:vAlign w:val="bottom"/>
          </w:tcPr>
          <w:p w14:paraId="03ABD1E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V00–V00.8, V05–V05.9, V81–V81.9, V83–V86.9, V88.2–V88.3, V90–V98.8</w:t>
            </w:r>
          </w:p>
        </w:tc>
      </w:tr>
      <w:tr w:rsidR="00F819F0" w:rsidRPr="007569F5" w14:paraId="26B8700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28ABA1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6F12C48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Unintentional injuries</w:t>
            </w:r>
          </w:p>
        </w:tc>
        <w:tc>
          <w:tcPr>
            <w:tcW w:w="5745" w:type="dxa"/>
            <w:tcBorders>
              <w:top w:val="single" w:sz="6" w:space="0" w:color="D0CECE"/>
              <w:left w:val="nil"/>
              <w:bottom w:val="single" w:sz="6" w:space="0" w:color="D0CECE"/>
              <w:right w:val="nil"/>
            </w:tcBorders>
            <w:shd w:val="clear" w:color="auto" w:fill="auto"/>
            <w:vAlign w:val="bottom"/>
          </w:tcPr>
          <w:p w14:paraId="3E0A284A"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D52.1, D59.0, D59.2, D59.6, D69.5, D70.1–D70.2, D78–D78.8, E03.2, E06.4, E09–E09.9, E16.0, E23.1, E24.2, E27.3, E36–E36.8, E66.1, E88.3, E89–E89.9, G21.0–G21.1, G24.0, G25.1, G25.4, G25.6–G25.7, G72.0, G93.7, G97–G97.9, I95.2–I95.3, I97–I97.9, I98.9, J70.0–J70.5, J95–J95.9, K43–K43.9, K52.0, K62.7, K91–K91.9, K94–K95.8, L55–L55.9, L56.3, L56.8–L56.9, L58–L58.9, M87.1, N14–N14.4, N30.4, N65–N65.1, N99–N99.9, P93–P93.8, P96.2, P96.5, R50.2, W00–W46.2, W49–W62.9, W64–W70.9, W73–W75.9, W77–W81.9, W83–W94.9, W97.9, W99–X06.9, X08–X39.9, X47–X48.9, X50–X54.9, X57–X58.9, Y40–Y84.9, Y88–Y88.3</w:t>
            </w:r>
          </w:p>
        </w:tc>
      </w:tr>
      <w:tr w:rsidR="00F819F0" w:rsidRPr="00E33965" w14:paraId="403FB5EE"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CAEB1E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24EAEFD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Falls</w:t>
            </w:r>
          </w:p>
        </w:tc>
        <w:tc>
          <w:tcPr>
            <w:tcW w:w="5745" w:type="dxa"/>
            <w:tcBorders>
              <w:top w:val="single" w:sz="6" w:space="0" w:color="D0CECE"/>
              <w:left w:val="nil"/>
              <w:bottom w:val="single" w:sz="6" w:space="0" w:color="D0CECE"/>
              <w:right w:val="nil"/>
            </w:tcBorders>
            <w:shd w:val="clear" w:color="auto" w:fill="auto"/>
            <w:vAlign w:val="bottom"/>
          </w:tcPr>
          <w:p w14:paraId="63FEC7B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W00–W19.9</w:t>
            </w:r>
          </w:p>
        </w:tc>
      </w:tr>
      <w:tr w:rsidR="00F819F0" w:rsidRPr="00E33965" w14:paraId="4323A83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733432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34A3106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Drowning</w:t>
            </w:r>
          </w:p>
        </w:tc>
        <w:tc>
          <w:tcPr>
            <w:tcW w:w="5745" w:type="dxa"/>
            <w:tcBorders>
              <w:top w:val="single" w:sz="6" w:space="0" w:color="D0CECE"/>
              <w:left w:val="nil"/>
              <w:bottom w:val="single" w:sz="6" w:space="0" w:color="D0CECE"/>
              <w:right w:val="nil"/>
            </w:tcBorders>
            <w:shd w:val="clear" w:color="auto" w:fill="auto"/>
            <w:vAlign w:val="bottom"/>
          </w:tcPr>
          <w:p w14:paraId="6EB8D08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W65–W70.9, W73–W74.9</w:t>
            </w:r>
          </w:p>
        </w:tc>
      </w:tr>
      <w:tr w:rsidR="00F819F0" w:rsidRPr="00E33965" w14:paraId="218D592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9F977E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27AF4E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Fire, heat, and hot substances</w:t>
            </w:r>
          </w:p>
        </w:tc>
        <w:tc>
          <w:tcPr>
            <w:tcW w:w="5745" w:type="dxa"/>
            <w:tcBorders>
              <w:top w:val="single" w:sz="6" w:space="0" w:color="D0CECE"/>
              <w:left w:val="nil"/>
              <w:bottom w:val="single" w:sz="6" w:space="0" w:color="D0CECE"/>
              <w:right w:val="nil"/>
            </w:tcBorders>
            <w:shd w:val="clear" w:color="auto" w:fill="auto"/>
            <w:vAlign w:val="bottom"/>
          </w:tcPr>
          <w:p w14:paraId="4211022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X00–X06.9, X08–X19.9</w:t>
            </w:r>
          </w:p>
        </w:tc>
      </w:tr>
      <w:tr w:rsidR="00F819F0" w:rsidRPr="00E33965" w14:paraId="1BB8237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6A2381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84E74B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Poisonings</w:t>
            </w:r>
          </w:p>
        </w:tc>
        <w:tc>
          <w:tcPr>
            <w:tcW w:w="5745" w:type="dxa"/>
            <w:tcBorders>
              <w:top w:val="single" w:sz="6" w:space="0" w:color="D0CECE"/>
              <w:left w:val="nil"/>
              <w:bottom w:val="single" w:sz="6" w:space="0" w:color="D0CECE"/>
              <w:right w:val="nil"/>
            </w:tcBorders>
            <w:shd w:val="clear" w:color="auto" w:fill="auto"/>
            <w:vAlign w:val="bottom"/>
          </w:tcPr>
          <w:p w14:paraId="54DF75D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X47–X48.9</w:t>
            </w:r>
          </w:p>
        </w:tc>
      </w:tr>
      <w:tr w:rsidR="00F819F0" w:rsidRPr="00E33965" w14:paraId="057FE63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234E00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183199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Poisoning by carbon monoxide</w:t>
            </w:r>
          </w:p>
        </w:tc>
        <w:tc>
          <w:tcPr>
            <w:tcW w:w="5745" w:type="dxa"/>
            <w:tcBorders>
              <w:top w:val="single" w:sz="6" w:space="0" w:color="D0CECE"/>
              <w:left w:val="nil"/>
              <w:bottom w:val="single" w:sz="6" w:space="0" w:color="D0CECE"/>
              <w:right w:val="nil"/>
            </w:tcBorders>
            <w:shd w:val="clear" w:color="auto" w:fill="auto"/>
            <w:vAlign w:val="bottom"/>
          </w:tcPr>
          <w:p w14:paraId="5D78FC9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X47–X47.9</w:t>
            </w:r>
          </w:p>
        </w:tc>
      </w:tr>
      <w:tr w:rsidR="00F819F0" w:rsidRPr="00E33965" w14:paraId="5427F1B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6AF4A8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DCC187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Poisoning by other means</w:t>
            </w:r>
          </w:p>
        </w:tc>
        <w:tc>
          <w:tcPr>
            <w:tcW w:w="5745" w:type="dxa"/>
            <w:tcBorders>
              <w:top w:val="single" w:sz="6" w:space="0" w:color="D0CECE"/>
              <w:left w:val="nil"/>
              <w:bottom w:val="single" w:sz="6" w:space="0" w:color="D0CECE"/>
              <w:right w:val="nil"/>
            </w:tcBorders>
            <w:shd w:val="clear" w:color="auto" w:fill="auto"/>
            <w:vAlign w:val="bottom"/>
          </w:tcPr>
          <w:p w14:paraId="79D3F9E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X48–X48.9</w:t>
            </w:r>
          </w:p>
        </w:tc>
      </w:tr>
      <w:tr w:rsidR="00F819F0" w:rsidRPr="00E33965" w14:paraId="5B8879C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B717DD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BF61C1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Exposure to mechanical forces</w:t>
            </w:r>
          </w:p>
        </w:tc>
        <w:tc>
          <w:tcPr>
            <w:tcW w:w="5745" w:type="dxa"/>
            <w:tcBorders>
              <w:top w:val="single" w:sz="6" w:space="0" w:color="D0CECE"/>
              <w:left w:val="nil"/>
              <w:bottom w:val="single" w:sz="6" w:space="0" w:color="D0CECE"/>
              <w:right w:val="nil"/>
            </w:tcBorders>
            <w:shd w:val="clear" w:color="auto" w:fill="auto"/>
            <w:vAlign w:val="bottom"/>
          </w:tcPr>
          <w:p w14:paraId="5BA1716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W20–W38.9, W40–W43.9, W45.0–W45.2, W46–W46.2, W49–W52</w:t>
            </w:r>
          </w:p>
        </w:tc>
      </w:tr>
      <w:tr w:rsidR="00F819F0" w:rsidRPr="00E33965" w14:paraId="14660D7D"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DB476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F2D10D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Unintentional firearm injuries</w:t>
            </w:r>
          </w:p>
        </w:tc>
        <w:tc>
          <w:tcPr>
            <w:tcW w:w="5745" w:type="dxa"/>
            <w:tcBorders>
              <w:top w:val="single" w:sz="6" w:space="0" w:color="D0CECE"/>
              <w:left w:val="nil"/>
              <w:bottom w:val="single" w:sz="6" w:space="0" w:color="D0CECE"/>
              <w:right w:val="nil"/>
            </w:tcBorders>
            <w:shd w:val="clear" w:color="auto" w:fill="auto"/>
            <w:vAlign w:val="bottom"/>
          </w:tcPr>
          <w:p w14:paraId="6EECFAF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W32–W34.9</w:t>
            </w:r>
          </w:p>
        </w:tc>
      </w:tr>
      <w:tr w:rsidR="00F819F0" w:rsidRPr="00E33965" w14:paraId="21D0804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A2029D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EF1BDC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exposure to mechanical forces</w:t>
            </w:r>
          </w:p>
        </w:tc>
        <w:tc>
          <w:tcPr>
            <w:tcW w:w="5745" w:type="dxa"/>
            <w:tcBorders>
              <w:top w:val="single" w:sz="6" w:space="0" w:color="D0CECE"/>
              <w:left w:val="nil"/>
              <w:bottom w:val="single" w:sz="6" w:space="0" w:color="D0CECE"/>
              <w:right w:val="nil"/>
            </w:tcBorders>
            <w:shd w:val="clear" w:color="auto" w:fill="auto"/>
            <w:vAlign w:val="bottom"/>
          </w:tcPr>
          <w:p w14:paraId="0B0A364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W20–W31.9, W35–W38.9, W40–W43.9, W45.0–W45.2, W46–W46.2, W49–W52</w:t>
            </w:r>
          </w:p>
        </w:tc>
      </w:tr>
      <w:tr w:rsidR="00F819F0" w:rsidRPr="007569F5" w14:paraId="26FA100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6D7139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41861B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Adverse effects of medical treatment</w:t>
            </w:r>
          </w:p>
        </w:tc>
        <w:tc>
          <w:tcPr>
            <w:tcW w:w="5745" w:type="dxa"/>
            <w:tcBorders>
              <w:top w:val="single" w:sz="6" w:space="0" w:color="D0CECE"/>
              <w:left w:val="nil"/>
              <w:bottom w:val="single" w:sz="6" w:space="0" w:color="D0CECE"/>
              <w:right w:val="nil"/>
            </w:tcBorders>
            <w:shd w:val="clear" w:color="auto" w:fill="auto"/>
            <w:vAlign w:val="bottom"/>
          </w:tcPr>
          <w:p w14:paraId="0669E16F"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D52.1, D59.0, D59.2, D59.6, D69.5, D70.1–D70.2, D78–D78.8, E03.2, E06.4, E09–E09.9, E16.0, E23.1, E24.2, E27.3, E36–E36.8, E66.1, E88.3, E89–E89.9, G21.0–G21.1, G24.0, G25.1, G25.4, G25.6–G25.7, G72.0, G93.7, G97–G97.9, I95.2–I95.3, I97–I97.9, I98.9, J70.0–J70.5, J95–J95.9, K43–K43.9, K52.0, K62.7, K91–</w:t>
            </w:r>
            <w:r w:rsidRPr="007569F5">
              <w:rPr>
                <w:rFonts w:asciiTheme="majorHAnsi" w:hAnsiTheme="majorHAnsi" w:cstheme="majorHAnsi"/>
                <w:color w:val="000000"/>
                <w:lang w:val="es-419"/>
              </w:rPr>
              <w:lastRenderedPageBreak/>
              <w:t>K91.9, K94–K95.8, M87.1, N14–N14.4, N30.4, N65–N65.1, N99–N99.9, P93–P93.8, P96.2, P96.5, R50.2, Y40–Y84.9, Y88–Y88.3</w:t>
            </w:r>
          </w:p>
        </w:tc>
      </w:tr>
      <w:tr w:rsidR="00F819F0" w:rsidRPr="00E33965" w14:paraId="12EF026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6245B8E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lastRenderedPageBreak/>
              <w:t>3</w:t>
            </w:r>
          </w:p>
        </w:tc>
        <w:tc>
          <w:tcPr>
            <w:tcW w:w="2250" w:type="dxa"/>
            <w:tcBorders>
              <w:top w:val="single" w:sz="6" w:space="0" w:color="D0CECE"/>
              <w:left w:val="nil"/>
              <w:bottom w:val="single" w:sz="6" w:space="0" w:color="D0CECE"/>
              <w:right w:val="nil"/>
            </w:tcBorders>
            <w:shd w:val="clear" w:color="auto" w:fill="auto"/>
            <w:vAlign w:val="bottom"/>
          </w:tcPr>
          <w:p w14:paraId="27D45AE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Animal contact</w:t>
            </w:r>
          </w:p>
        </w:tc>
        <w:tc>
          <w:tcPr>
            <w:tcW w:w="5745" w:type="dxa"/>
            <w:tcBorders>
              <w:top w:val="single" w:sz="6" w:space="0" w:color="D0CECE"/>
              <w:left w:val="nil"/>
              <w:bottom w:val="single" w:sz="6" w:space="0" w:color="D0CECE"/>
              <w:right w:val="nil"/>
            </w:tcBorders>
            <w:shd w:val="clear" w:color="auto" w:fill="auto"/>
            <w:vAlign w:val="bottom"/>
          </w:tcPr>
          <w:p w14:paraId="18AF2A1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W52.0–W62.9, W64–W64.9, X20–X29.9</w:t>
            </w:r>
          </w:p>
        </w:tc>
      </w:tr>
      <w:tr w:rsidR="00F819F0" w:rsidRPr="00E33965" w14:paraId="480558D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63C3D4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006A88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Venomous animal contact</w:t>
            </w:r>
          </w:p>
        </w:tc>
        <w:tc>
          <w:tcPr>
            <w:tcW w:w="5745" w:type="dxa"/>
            <w:tcBorders>
              <w:top w:val="single" w:sz="6" w:space="0" w:color="D0CECE"/>
              <w:left w:val="nil"/>
              <w:bottom w:val="single" w:sz="6" w:space="0" w:color="D0CECE"/>
              <w:right w:val="nil"/>
            </w:tcBorders>
            <w:shd w:val="clear" w:color="auto" w:fill="auto"/>
            <w:vAlign w:val="bottom"/>
          </w:tcPr>
          <w:p w14:paraId="1A7CFD1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X20–X29.9</w:t>
            </w:r>
          </w:p>
        </w:tc>
      </w:tr>
      <w:tr w:rsidR="00F819F0" w:rsidRPr="00E33965" w14:paraId="13C520C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02DBAD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5659B1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Non-venomous animal contact</w:t>
            </w:r>
          </w:p>
        </w:tc>
        <w:tc>
          <w:tcPr>
            <w:tcW w:w="5745" w:type="dxa"/>
            <w:tcBorders>
              <w:top w:val="single" w:sz="6" w:space="0" w:color="D0CECE"/>
              <w:left w:val="nil"/>
              <w:bottom w:val="single" w:sz="6" w:space="0" w:color="D0CECE"/>
              <w:right w:val="nil"/>
            </w:tcBorders>
            <w:shd w:val="clear" w:color="auto" w:fill="auto"/>
            <w:vAlign w:val="bottom"/>
          </w:tcPr>
          <w:p w14:paraId="65FC1BD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W52.0–W62.9, W64–W64.9</w:t>
            </w:r>
          </w:p>
        </w:tc>
      </w:tr>
      <w:tr w:rsidR="00F819F0" w:rsidRPr="00E33965" w14:paraId="511E18A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C87876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6623FB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Foreign body</w:t>
            </w:r>
          </w:p>
        </w:tc>
        <w:tc>
          <w:tcPr>
            <w:tcW w:w="5745" w:type="dxa"/>
            <w:tcBorders>
              <w:top w:val="single" w:sz="6" w:space="0" w:color="D0CECE"/>
              <w:left w:val="nil"/>
              <w:bottom w:val="single" w:sz="6" w:space="0" w:color="D0CECE"/>
              <w:right w:val="nil"/>
            </w:tcBorders>
            <w:shd w:val="clear" w:color="auto" w:fill="auto"/>
            <w:vAlign w:val="bottom"/>
          </w:tcPr>
          <w:p w14:paraId="42339D1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W44–W45, W45.3–W45.9, W75–W75.9, W78–W80.9, W83–W84.9</w:t>
            </w:r>
          </w:p>
        </w:tc>
      </w:tr>
      <w:tr w:rsidR="00F819F0" w:rsidRPr="00E33965" w14:paraId="11F7385F"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AA49956"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679B237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Pulmonary aspiration and foreign body in airway</w:t>
            </w:r>
          </w:p>
        </w:tc>
        <w:tc>
          <w:tcPr>
            <w:tcW w:w="5745" w:type="dxa"/>
            <w:tcBorders>
              <w:top w:val="single" w:sz="6" w:space="0" w:color="D0CECE"/>
              <w:left w:val="nil"/>
              <w:bottom w:val="single" w:sz="6" w:space="0" w:color="D0CECE"/>
              <w:right w:val="nil"/>
            </w:tcBorders>
            <w:shd w:val="clear" w:color="auto" w:fill="auto"/>
            <w:vAlign w:val="bottom"/>
          </w:tcPr>
          <w:p w14:paraId="45ACD1B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W75–W75.9, W78–W80.9, W83–W84.9</w:t>
            </w:r>
          </w:p>
        </w:tc>
      </w:tr>
      <w:tr w:rsidR="00F819F0" w:rsidRPr="00E33965" w14:paraId="512D3C39"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543A5FE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5E7D7D5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Foreign body in other body part</w:t>
            </w:r>
          </w:p>
        </w:tc>
        <w:tc>
          <w:tcPr>
            <w:tcW w:w="5745" w:type="dxa"/>
            <w:tcBorders>
              <w:top w:val="single" w:sz="6" w:space="0" w:color="D0CECE"/>
              <w:left w:val="nil"/>
              <w:bottom w:val="single" w:sz="6" w:space="0" w:color="D0CECE"/>
              <w:right w:val="nil"/>
            </w:tcBorders>
            <w:shd w:val="clear" w:color="auto" w:fill="auto"/>
            <w:vAlign w:val="bottom"/>
          </w:tcPr>
          <w:p w14:paraId="0F3DCEA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W44–W45, W45.3–W45.9</w:t>
            </w:r>
          </w:p>
        </w:tc>
      </w:tr>
      <w:tr w:rsidR="00F819F0" w:rsidRPr="00E33965" w14:paraId="4AF7A2A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F6C3DF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691C563"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Environmental heat and cold exposure</w:t>
            </w:r>
          </w:p>
        </w:tc>
        <w:tc>
          <w:tcPr>
            <w:tcW w:w="5745" w:type="dxa"/>
            <w:tcBorders>
              <w:top w:val="single" w:sz="6" w:space="0" w:color="D0CECE"/>
              <w:left w:val="nil"/>
              <w:bottom w:val="single" w:sz="6" w:space="0" w:color="D0CECE"/>
              <w:right w:val="nil"/>
            </w:tcBorders>
            <w:shd w:val="clear" w:color="auto" w:fill="auto"/>
            <w:vAlign w:val="bottom"/>
          </w:tcPr>
          <w:p w14:paraId="214E113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L55–L55.9, L56.3, L56.8–L56.9, L58–L58.9, W88–W94.9, W97.9, W99–W99.9, X30–X32.9, X39–X39.9</w:t>
            </w:r>
          </w:p>
        </w:tc>
      </w:tr>
      <w:tr w:rsidR="00F819F0" w:rsidRPr="00E33965" w14:paraId="6EC14620"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926DC0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02D47ED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Exposure to </w:t>
            </w:r>
            <w:proofErr w:type="gramStart"/>
            <w:r w:rsidRPr="00E33965">
              <w:rPr>
                <w:rFonts w:asciiTheme="majorHAnsi" w:hAnsiTheme="majorHAnsi" w:cstheme="majorHAnsi"/>
                <w:color w:val="000000"/>
              </w:rPr>
              <w:t>forces</w:t>
            </w:r>
            <w:proofErr w:type="gramEnd"/>
            <w:r w:rsidRPr="00E33965">
              <w:rPr>
                <w:rFonts w:asciiTheme="majorHAnsi" w:hAnsiTheme="majorHAnsi" w:cstheme="majorHAnsi"/>
                <w:color w:val="000000"/>
              </w:rPr>
              <w:t xml:space="preserve"> of nature</w:t>
            </w:r>
          </w:p>
        </w:tc>
        <w:tc>
          <w:tcPr>
            <w:tcW w:w="5745" w:type="dxa"/>
            <w:tcBorders>
              <w:top w:val="single" w:sz="6" w:space="0" w:color="D0CECE"/>
              <w:left w:val="nil"/>
              <w:bottom w:val="single" w:sz="6" w:space="0" w:color="D0CECE"/>
              <w:right w:val="nil"/>
            </w:tcBorders>
            <w:shd w:val="clear" w:color="auto" w:fill="auto"/>
            <w:vAlign w:val="bottom"/>
          </w:tcPr>
          <w:p w14:paraId="2D13E19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X33–X38.9</w:t>
            </w:r>
          </w:p>
        </w:tc>
      </w:tr>
      <w:tr w:rsidR="00F819F0" w:rsidRPr="00E33965" w14:paraId="19BEAF8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7AC314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73EB9A8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Other unintentional injuries</w:t>
            </w:r>
          </w:p>
        </w:tc>
        <w:tc>
          <w:tcPr>
            <w:tcW w:w="5745" w:type="dxa"/>
            <w:tcBorders>
              <w:top w:val="single" w:sz="6" w:space="0" w:color="D0CECE"/>
              <w:left w:val="nil"/>
              <w:bottom w:val="single" w:sz="6" w:space="0" w:color="D0CECE"/>
              <w:right w:val="nil"/>
            </w:tcBorders>
            <w:shd w:val="clear" w:color="auto" w:fill="auto"/>
            <w:vAlign w:val="bottom"/>
          </w:tcPr>
          <w:p w14:paraId="309330A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W39–W39.9, W77–W77.9, W81–W81.9, W85–W87.9, X50–X54.9, X57–X58.9</w:t>
            </w:r>
          </w:p>
        </w:tc>
      </w:tr>
      <w:tr w:rsidR="00F819F0" w:rsidRPr="007569F5" w14:paraId="0D0316B8"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36038E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2</w:t>
            </w:r>
          </w:p>
        </w:tc>
        <w:tc>
          <w:tcPr>
            <w:tcW w:w="2250" w:type="dxa"/>
            <w:tcBorders>
              <w:top w:val="single" w:sz="6" w:space="0" w:color="D0CECE"/>
              <w:left w:val="nil"/>
              <w:bottom w:val="single" w:sz="6" w:space="0" w:color="D0CECE"/>
              <w:right w:val="nil"/>
            </w:tcBorders>
            <w:shd w:val="clear" w:color="auto" w:fill="auto"/>
            <w:vAlign w:val="bottom"/>
          </w:tcPr>
          <w:p w14:paraId="5D743A4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Self-harm and interpersonal violence</w:t>
            </w:r>
          </w:p>
        </w:tc>
        <w:tc>
          <w:tcPr>
            <w:tcW w:w="5745" w:type="dxa"/>
            <w:tcBorders>
              <w:top w:val="single" w:sz="6" w:space="0" w:color="D0CECE"/>
              <w:left w:val="nil"/>
              <w:bottom w:val="single" w:sz="6" w:space="0" w:color="D0CECE"/>
              <w:right w:val="nil"/>
            </w:tcBorders>
            <w:shd w:val="clear" w:color="auto" w:fill="auto"/>
            <w:vAlign w:val="bottom"/>
          </w:tcPr>
          <w:p w14:paraId="4EED9F3F" w14:textId="77777777" w:rsidR="00F819F0" w:rsidRPr="007569F5" w:rsidRDefault="00F819F0">
            <w:pPr>
              <w:spacing w:after="0" w:line="240" w:lineRule="auto"/>
              <w:textAlignment w:val="baseline"/>
              <w:rPr>
                <w:rFonts w:asciiTheme="majorHAnsi" w:eastAsia="Times New Roman" w:hAnsiTheme="majorHAnsi" w:cstheme="majorHAnsi"/>
                <w:sz w:val="18"/>
                <w:szCs w:val="18"/>
                <w:lang w:val="es-419"/>
              </w:rPr>
            </w:pPr>
            <w:r w:rsidRPr="007569F5">
              <w:rPr>
                <w:rFonts w:asciiTheme="majorHAnsi" w:hAnsiTheme="majorHAnsi" w:cstheme="majorHAnsi"/>
                <w:color w:val="000000"/>
                <w:lang w:val="es-419"/>
              </w:rPr>
              <w:t>U00–U03, X60–X64.9, X66–X83.9, X85–Y08.9, Y09*–Y09.9*, Y35–Y38.9, Y87.0–Y87.1, Y89.0–Y89.1</w:t>
            </w:r>
          </w:p>
        </w:tc>
      </w:tr>
      <w:tr w:rsidR="00F819F0" w:rsidRPr="00E33965" w14:paraId="19FD4DD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A8B5AB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5F2448C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Self-harm</w:t>
            </w:r>
          </w:p>
        </w:tc>
        <w:tc>
          <w:tcPr>
            <w:tcW w:w="5745" w:type="dxa"/>
            <w:tcBorders>
              <w:top w:val="single" w:sz="6" w:space="0" w:color="D0CECE"/>
              <w:left w:val="nil"/>
              <w:bottom w:val="single" w:sz="6" w:space="0" w:color="D0CECE"/>
              <w:right w:val="nil"/>
            </w:tcBorders>
            <w:shd w:val="clear" w:color="auto" w:fill="auto"/>
            <w:vAlign w:val="bottom"/>
          </w:tcPr>
          <w:p w14:paraId="0E09689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X60–X64.9, X66–X83.9, Y87.0</w:t>
            </w:r>
          </w:p>
        </w:tc>
      </w:tr>
      <w:tr w:rsidR="00F819F0" w:rsidRPr="00E33965" w14:paraId="67C10E23"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59F9E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77A291F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Self-harm by firearm</w:t>
            </w:r>
          </w:p>
        </w:tc>
        <w:tc>
          <w:tcPr>
            <w:tcW w:w="5745" w:type="dxa"/>
            <w:tcBorders>
              <w:top w:val="single" w:sz="6" w:space="0" w:color="D0CECE"/>
              <w:left w:val="nil"/>
              <w:bottom w:val="single" w:sz="6" w:space="0" w:color="D0CECE"/>
              <w:right w:val="nil"/>
            </w:tcBorders>
            <w:shd w:val="clear" w:color="auto" w:fill="auto"/>
            <w:vAlign w:val="bottom"/>
          </w:tcPr>
          <w:p w14:paraId="32C5C27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X72–X74.9</w:t>
            </w:r>
          </w:p>
        </w:tc>
      </w:tr>
      <w:tr w:rsidR="00F819F0" w:rsidRPr="00E33965" w14:paraId="0B3842F1"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7448518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156D32D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Self-harm by other specified means</w:t>
            </w:r>
          </w:p>
        </w:tc>
        <w:tc>
          <w:tcPr>
            <w:tcW w:w="5745" w:type="dxa"/>
            <w:tcBorders>
              <w:top w:val="single" w:sz="6" w:space="0" w:color="D0CECE"/>
              <w:left w:val="nil"/>
              <w:bottom w:val="single" w:sz="6" w:space="0" w:color="D0CECE"/>
              <w:right w:val="nil"/>
            </w:tcBorders>
            <w:shd w:val="clear" w:color="auto" w:fill="auto"/>
            <w:vAlign w:val="bottom"/>
          </w:tcPr>
          <w:p w14:paraId="19451B6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X60–X64.9, X66–X71.9, X75–X83.9, Y87.0</w:t>
            </w:r>
          </w:p>
        </w:tc>
      </w:tr>
      <w:tr w:rsidR="00F819F0" w:rsidRPr="00E33965" w14:paraId="6538870C"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86CBDD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4EBBB3F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Interpersonal violence</w:t>
            </w:r>
          </w:p>
        </w:tc>
        <w:tc>
          <w:tcPr>
            <w:tcW w:w="5745" w:type="dxa"/>
            <w:tcBorders>
              <w:top w:val="single" w:sz="6" w:space="0" w:color="D0CECE"/>
              <w:left w:val="nil"/>
              <w:bottom w:val="single" w:sz="6" w:space="0" w:color="D0CECE"/>
              <w:right w:val="nil"/>
            </w:tcBorders>
            <w:shd w:val="clear" w:color="auto" w:fill="auto"/>
            <w:vAlign w:val="bottom"/>
          </w:tcPr>
          <w:p w14:paraId="11F4539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X85–Y08.9, Y09*–Y09.9*, Y87.1</w:t>
            </w:r>
          </w:p>
        </w:tc>
      </w:tr>
      <w:tr w:rsidR="00F819F0" w:rsidRPr="00E33965" w14:paraId="253D1B84"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44A1CF78"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0EA10EF4"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Physical violence by firearm</w:t>
            </w:r>
          </w:p>
        </w:tc>
        <w:tc>
          <w:tcPr>
            <w:tcW w:w="5745" w:type="dxa"/>
            <w:tcBorders>
              <w:top w:val="single" w:sz="6" w:space="0" w:color="D0CECE"/>
              <w:left w:val="nil"/>
              <w:bottom w:val="single" w:sz="6" w:space="0" w:color="D0CECE"/>
              <w:right w:val="nil"/>
            </w:tcBorders>
            <w:shd w:val="clear" w:color="auto" w:fill="auto"/>
            <w:vAlign w:val="bottom"/>
          </w:tcPr>
          <w:p w14:paraId="53C770BE"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X93–X95.9</w:t>
            </w:r>
          </w:p>
        </w:tc>
      </w:tr>
      <w:tr w:rsidR="00F819F0" w:rsidRPr="00E33965" w14:paraId="1A1F588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4555F69"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4A3A0B6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Physical violence by sharp object</w:t>
            </w:r>
          </w:p>
        </w:tc>
        <w:tc>
          <w:tcPr>
            <w:tcW w:w="5745" w:type="dxa"/>
            <w:tcBorders>
              <w:top w:val="single" w:sz="6" w:space="0" w:color="D0CECE"/>
              <w:left w:val="nil"/>
              <w:bottom w:val="single" w:sz="6" w:space="0" w:color="D0CECE"/>
              <w:right w:val="nil"/>
            </w:tcBorders>
            <w:shd w:val="clear" w:color="auto" w:fill="auto"/>
            <w:vAlign w:val="bottom"/>
          </w:tcPr>
          <w:p w14:paraId="2FD504A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X99–X99.9</w:t>
            </w:r>
          </w:p>
        </w:tc>
      </w:tr>
      <w:tr w:rsidR="00F819F0" w:rsidRPr="00E33965" w14:paraId="650C5CE5"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3F93E3D2"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4</w:t>
            </w:r>
          </w:p>
        </w:tc>
        <w:tc>
          <w:tcPr>
            <w:tcW w:w="2250" w:type="dxa"/>
            <w:tcBorders>
              <w:top w:val="single" w:sz="6" w:space="0" w:color="D0CECE"/>
              <w:left w:val="nil"/>
              <w:bottom w:val="single" w:sz="6" w:space="0" w:color="D0CECE"/>
              <w:right w:val="nil"/>
            </w:tcBorders>
            <w:shd w:val="clear" w:color="auto" w:fill="auto"/>
            <w:vAlign w:val="bottom"/>
          </w:tcPr>
          <w:p w14:paraId="2797D2A5"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Physical violence by other means</w:t>
            </w:r>
          </w:p>
        </w:tc>
        <w:tc>
          <w:tcPr>
            <w:tcW w:w="5745" w:type="dxa"/>
            <w:tcBorders>
              <w:top w:val="single" w:sz="6" w:space="0" w:color="D0CECE"/>
              <w:left w:val="nil"/>
              <w:bottom w:val="single" w:sz="6" w:space="0" w:color="D0CECE"/>
              <w:right w:val="nil"/>
            </w:tcBorders>
            <w:shd w:val="clear" w:color="auto" w:fill="auto"/>
            <w:vAlign w:val="bottom"/>
          </w:tcPr>
          <w:p w14:paraId="0678D83D"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X85–X92.9, X96–X98.9, Y00–Y04.9, Y06–Y08.9, Y87.1</w:t>
            </w:r>
          </w:p>
        </w:tc>
      </w:tr>
      <w:tr w:rsidR="00F819F0" w:rsidRPr="00E33965" w14:paraId="3680D016"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2654BAFF"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1B96A18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Conflict and terrorism</w:t>
            </w:r>
          </w:p>
        </w:tc>
        <w:tc>
          <w:tcPr>
            <w:tcW w:w="5745" w:type="dxa"/>
            <w:tcBorders>
              <w:top w:val="single" w:sz="6" w:space="0" w:color="D0CECE"/>
              <w:left w:val="nil"/>
              <w:bottom w:val="single" w:sz="6" w:space="0" w:color="D0CECE"/>
              <w:right w:val="nil"/>
            </w:tcBorders>
            <w:shd w:val="clear" w:color="auto" w:fill="auto"/>
            <w:vAlign w:val="bottom"/>
          </w:tcPr>
          <w:p w14:paraId="7CBE95AC"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U00–U03, Y36–Y38.9, Y89.1</w:t>
            </w:r>
          </w:p>
        </w:tc>
      </w:tr>
      <w:tr w:rsidR="00F819F0" w:rsidRPr="00E33965" w14:paraId="22E04427"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06BBA55A"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3</w:t>
            </w:r>
          </w:p>
        </w:tc>
        <w:tc>
          <w:tcPr>
            <w:tcW w:w="2250" w:type="dxa"/>
            <w:tcBorders>
              <w:top w:val="single" w:sz="6" w:space="0" w:color="D0CECE"/>
              <w:left w:val="nil"/>
              <w:bottom w:val="single" w:sz="6" w:space="0" w:color="D0CECE"/>
              <w:right w:val="nil"/>
            </w:tcBorders>
            <w:shd w:val="clear" w:color="auto" w:fill="auto"/>
            <w:vAlign w:val="bottom"/>
          </w:tcPr>
          <w:p w14:paraId="67C31A80"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Police conflict and executions</w:t>
            </w:r>
          </w:p>
        </w:tc>
        <w:tc>
          <w:tcPr>
            <w:tcW w:w="5745" w:type="dxa"/>
            <w:tcBorders>
              <w:top w:val="single" w:sz="6" w:space="0" w:color="D0CECE"/>
              <w:left w:val="nil"/>
              <w:bottom w:val="single" w:sz="6" w:space="0" w:color="D0CECE"/>
              <w:right w:val="nil"/>
            </w:tcBorders>
            <w:shd w:val="clear" w:color="auto" w:fill="auto"/>
            <w:vAlign w:val="bottom"/>
          </w:tcPr>
          <w:p w14:paraId="42DC922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Y35–Y35.9, Y89.0</w:t>
            </w:r>
          </w:p>
        </w:tc>
      </w:tr>
      <w:tr w:rsidR="00F819F0" w:rsidRPr="00E33965" w14:paraId="5A7A37CB" w14:textId="77777777">
        <w:trPr>
          <w:trHeight w:val="285"/>
        </w:trPr>
        <w:tc>
          <w:tcPr>
            <w:tcW w:w="1350" w:type="dxa"/>
            <w:tcBorders>
              <w:top w:val="single" w:sz="6" w:space="0" w:color="D0CECE"/>
              <w:left w:val="nil"/>
              <w:bottom w:val="single" w:sz="6" w:space="0" w:color="D0CECE"/>
              <w:right w:val="nil"/>
            </w:tcBorders>
            <w:shd w:val="clear" w:color="auto" w:fill="auto"/>
            <w:vAlign w:val="bottom"/>
          </w:tcPr>
          <w:p w14:paraId="10A35F6B"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1</w:t>
            </w:r>
          </w:p>
        </w:tc>
        <w:tc>
          <w:tcPr>
            <w:tcW w:w="2250" w:type="dxa"/>
            <w:tcBorders>
              <w:top w:val="single" w:sz="6" w:space="0" w:color="D0CECE"/>
              <w:left w:val="nil"/>
              <w:bottom w:val="single" w:sz="6" w:space="0" w:color="D0CECE"/>
              <w:right w:val="nil"/>
            </w:tcBorders>
            <w:shd w:val="clear" w:color="auto" w:fill="auto"/>
            <w:vAlign w:val="bottom"/>
          </w:tcPr>
          <w:p w14:paraId="669037C7"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Class 1 Garbage Code</w:t>
            </w:r>
          </w:p>
        </w:tc>
        <w:tc>
          <w:tcPr>
            <w:tcW w:w="5745" w:type="dxa"/>
            <w:tcBorders>
              <w:top w:val="single" w:sz="6" w:space="0" w:color="D0CECE"/>
              <w:left w:val="nil"/>
              <w:bottom w:val="single" w:sz="6" w:space="0" w:color="D0CECE"/>
              <w:right w:val="nil"/>
            </w:tcBorders>
            <w:shd w:val="clear" w:color="auto" w:fill="auto"/>
            <w:vAlign w:val="bottom"/>
          </w:tcPr>
          <w:p w14:paraId="45B8B811" w14:textId="77777777" w:rsidR="00F819F0" w:rsidRPr="00E33965" w:rsidRDefault="00F819F0">
            <w:pPr>
              <w:spacing w:after="0" w:line="240" w:lineRule="auto"/>
              <w:textAlignment w:val="baseline"/>
              <w:rPr>
                <w:rFonts w:asciiTheme="majorHAnsi" w:eastAsia="Times New Roman" w:hAnsiTheme="majorHAnsi" w:cstheme="majorHAnsi"/>
                <w:sz w:val="18"/>
                <w:szCs w:val="18"/>
              </w:rPr>
            </w:pPr>
            <w:r w:rsidRPr="00E33965">
              <w:rPr>
                <w:rFonts w:asciiTheme="majorHAnsi" w:hAnsiTheme="majorHAnsi" w:cstheme="majorHAnsi"/>
                <w:color w:val="000000"/>
              </w:rPr>
              <w:t xml:space="preserve">A14.9, A29–A30.9, A31.1–A31.2, A40–A41.9, A45–A45.9, A47, A48.0, A48.3, A49.0–A49.2, A59–A59.9, A61–A62, A71–A73, A74.0, A76, A97, B07–B09, B11–B14, B16.9–B17, B17.1, B17.8–B17.9, B19–B19.0, B19.2–B19.9, B28–B29, B30–B32.4, B34–B34.1, B34.3–B36.9, B37.3–B37.4, B61–B62, B68–B68.9, B73–B74.2, B76–B76.9, B78–B81.8, B84–B85.4, B87–B88.9, B92–B94.0, B94.2–B94.9, B95.6–B97.1, B97.3, B97.7–B99.9, C46–C46.9, D50–D50.0, D50.9, D59, D59.4, D59.8–D59.9, D62–D63, D63.8–D64, D64.1–D65.9, D68, D69.9, D75.9, D79–D85, D87–D88, D89.8–D99, E07.8–E07.9, E15–E16, E17–E19, E34.9–E35.8, </w:t>
            </w:r>
            <w:r w:rsidRPr="00E33965">
              <w:rPr>
                <w:rFonts w:asciiTheme="majorHAnsi" w:hAnsiTheme="majorHAnsi" w:cstheme="majorHAnsi"/>
                <w:color w:val="000000"/>
              </w:rPr>
              <w:lastRenderedPageBreak/>
              <w:t>E37–E39, E47–E50.9, E62, E64.1, E69, E85.3–E87.6, E87.8–E87.9, E90–E99.9, F04–F07.0, F07.2–F09.9, F20–F23.9, F25–F50, F50.8–F99.0, G06–G08.0, G15–G19, G21, G21.2, G21.4–G22.0, G27–G29, G32–G34, G38–G39, G42–G44.2, G44.4–G44.8, G47–G47.2, G47.4–G60.9, G62–G62.0, G62.2–G69, G74–G89.4, G91–G91.2, G91.4–G93.6, G93.8–G94.8, G96–G96.9, G98–H05, H05.2–H69.9, H71–H99, I00.0, I03–I04, I14, I16–I19, I26–I27, I27.8–I27.9, I29–I29.9, I31.2–I31.4, I46–I46.9, I50–I50.9, I51.6, I52–I59, I74–I76, I90–I95.1, I95.8–I96.9, I98.4–I98.8, I99–I99.9, J40–J40.9, J47–J59, J65–J65.0, J69–J69.9, J71–J81.9, J83, J85–J90.9, J93–J94.9, J96–K19, K30, K31.9–K34, K39, K47–K49, K53–K54, K65–K66.1, K66.9, K68.1–K69, K71–K71.6, K71.8–K72.9, K75.0, K78–K79, K84, K87–K89, K92–K92.2, K92.9–K93, K96–K99, L20–L30.9, L40–L50.9, L52–L54.8, L56–L56.2, L56.4–L56.5, L57–L57.9, L59–L68.9, L70–L76.8, L80–L87.9, L90–L92.9, L94–L96, L98.5–L99.8, M04, M10–M12.0, M12.2–M29, M37–M39, M43.2–M49, M49.2–M64, M65.1–M71, M71.2–M72.4, M72.8–M73, M73.8–M79.9, M83–M86.2, M86.5–M86.9, M87.2–M87.9, M89.1–M89.4, M90–M99.9, N09, N13–N13.5, N13.7–N13.9, N17–N17.9, N19–N19.9, N24, N28.8–N28.9, N32.1–N32.2, N32.8–N33.8, N35–N35.9, N37–N38, N39.3–N40.9, N42–N43.4, N44.1–N44.8, N46–N48.9, N50–N59, N61–N64.9, N66–N69, N78–N79, N82–N82.9, N84, N84.9–N86, N88–N95.9, N97–N97.9, P06, P16–P18, P30–P34.2, P40–P49, P62–P69, P73, P79, P82, P85–P89, P96.9–P99.9, R00–R02.9, R03.1–R04, R04.1–R19.6, R19.8–R50.1, R50.8–R57.9, R58.0–R72.9, R74–R78, R78.6–R94.8, R96–R99.9, U05, U08–U81, U89.9–U99, X84–X84.9, Y11–Y12.9, Y19–Y19.9, Z00–Z15.8, Z17–Z99.9</w:t>
            </w:r>
          </w:p>
        </w:tc>
      </w:tr>
    </w:tbl>
    <w:p w14:paraId="2501CA8C" w14:textId="77777777" w:rsidR="00124E0D" w:rsidRDefault="00124E0D" w:rsidP="00E25DA5">
      <w:pPr>
        <w:contextualSpacing/>
        <w:rPr>
          <w:rFonts w:asciiTheme="majorHAnsi" w:hAnsiTheme="majorHAnsi" w:cstheme="majorHAnsi"/>
        </w:rPr>
      </w:pPr>
    </w:p>
    <w:p w14:paraId="4D06CF49" w14:textId="371FC72C" w:rsidR="00E25DA5" w:rsidRPr="00CD19D7" w:rsidRDefault="00E25DA5" w:rsidP="00E25DA5">
      <w:pPr>
        <w:contextualSpacing/>
        <w:rPr>
          <w:rFonts w:asciiTheme="majorHAnsi" w:hAnsiTheme="majorHAnsi" w:cstheme="majorHAnsi"/>
        </w:rPr>
      </w:pPr>
      <w:r w:rsidRPr="00CD19D7">
        <w:rPr>
          <w:rFonts w:asciiTheme="majorHAnsi" w:hAnsiTheme="majorHAnsi" w:cstheme="majorHAnsi"/>
        </w:rPr>
        <w:t xml:space="preserve">*Indicates ICD-10 codes that are considered “garbage codes” but are allocated entirely to more detailed causes within a given </w:t>
      </w:r>
      <w:r w:rsidR="00227BC3">
        <w:rPr>
          <w:rFonts w:asciiTheme="majorHAnsi" w:hAnsiTheme="majorHAnsi" w:cstheme="majorHAnsi"/>
        </w:rPr>
        <w:t>L</w:t>
      </w:r>
      <w:r w:rsidRPr="00CD19D7">
        <w:rPr>
          <w:rFonts w:asciiTheme="majorHAnsi" w:hAnsiTheme="majorHAnsi" w:cstheme="majorHAnsi"/>
        </w:rPr>
        <w:t xml:space="preserve">evel 1, 2, or 3 cause. Garbage codes that are allocated across </w:t>
      </w:r>
      <w:r w:rsidR="000516D2">
        <w:rPr>
          <w:rFonts w:asciiTheme="majorHAnsi" w:hAnsiTheme="majorHAnsi" w:cstheme="majorHAnsi"/>
        </w:rPr>
        <w:t>L</w:t>
      </w:r>
      <w:r w:rsidRPr="00CD19D7">
        <w:rPr>
          <w:rFonts w:asciiTheme="majorHAnsi" w:hAnsiTheme="majorHAnsi" w:cstheme="majorHAnsi"/>
        </w:rPr>
        <w:t>evel 1 causes (“Class 1 garbage codes”) are listed in the final row of the table.</w:t>
      </w:r>
    </w:p>
    <w:p w14:paraId="6553C192" w14:textId="67FC5051" w:rsidR="0D6F463C" w:rsidRDefault="0D6F463C"/>
    <w:p w14:paraId="7625F8CD" w14:textId="210E1BD5" w:rsidR="004461F8" w:rsidRPr="004C277A" w:rsidRDefault="004461F8" w:rsidP="00042A9E">
      <w:pPr>
        <w:contextualSpacing/>
        <w:rPr>
          <w:rFonts w:asciiTheme="majorHAnsi" w:hAnsiTheme="majorHAnsi" w:cstheme="majorHAnsi"/>
          <w:lang w:val="en-GB"/>
        </w:rPr>
        <w:sectPr w:rsidR="004461F8" w:rsidRPr="004C277A" w:rsidSect="008B1C9A">
          <w:pgSz w:w="12240" w:h="15840"/>
          <w:pgMar w:top="1440" w:right="1440" w:bottom="1440" w:left="1440" w:header="720" w:footer="720" w:gutter="0"/>
          <w:cols w:space="720"/>
          <w:docGrid w:linePitch="360"/>
        </w:sectPr>
      </w:pPr>
    </w:p>
    <w:p w14:paraId="69D2D825" w14:textId="00816EA5" w:rsidR="00AD69A7" w:rsidRPr="004C277A" w:rsidRDefault="004461F8" w:rsidP="136EDF08">
      <w:pPr>
        <w:pStyle w:val="Heading2"/>
        <w:spacing w:before="0" w:line="240" w:lineRule="auto"/>
        <w:contextualSpacing/>
        <w:rPr>
          <w:rFonts w:eastAsiaTheme="minorEastAsia"/>
          <w:lang w:val="en-GB"/>
        </w:rPr>
      </w:pPr>
      <w:bookmarkStart w:id="52" w:name="_Toc664605109"/>
      <w:bookmarkStart w:id="53" w:name="_Toc175308193"/>
      <w:r>
        <w:rPr>
          <w:rFonts w:eastAsiaTheme="minorEastAsia"/>
          <w:lang w:val="en-GB"/>
        </w:rPr>
        <w:lastRenderedPageBreak/>
        <w:t>3.4</w:t>
      </w:r>
      <w:r w:rsidR="009B006F" w:rsidRPr="136EDF08">
        <w:rPr>
          <w:rFonts w:eastAsiaTheme="minorEastAsia"/>
          <w:lang w:val="en-GB"/>
        </w:rPr>
        <w:t xml:space="preserve"> Covariate </w:t>
      </w:r>
      <w:r w:rsidR="00B50187">
        <w:rPr>
          <w:rFonts w:eastAsiaTheme="minorEastAsia"/>
          <w:lang w:val="en-GB"/>
        </w:rPr>
        <w:t>d</w:t>
      </w:r>
      <w:r w:rsidR="009B006F" w:rsidRPr="136EDF08">
        <w:rPr>
          <w:rFonts w:eastAsiaTheme="minorEastAsia"/>
          <w:lang w:val="en-GB"/>
        </w:rPr>
        <w:t xml:space="preserve">ata </w:t>
      </w:r>
      <w:r w:rsidR="00B50187">
        <w:rPr>
          <w:rFonts w:eastAsiaTheme="minorEastAsia"/>
          <w:lang w:val="en-GB"/>
        </w:rPr>
        <w:t>s</w:t>
      </w:r>
      <w:r w:rsidR="009B006F" w:rsidRPr="136EDF08">
        <w:rPr>
          <w:rFonts w:eastAsiaTheme="minorEastAsia"/>
          <w:lang w:val="en-GB"/>
        </w:rPr>
        <w:t>ources</w:t>
      </w:r>
      <w:bookmarkEnd w:id="52"/>
      <w:bookmarkEnd w:id="53"/>
    </w:p>
    <w:p w14:paraId="3378B8E0" w14:textId="3CAA3C29" w:rsidR="4571DE0D" w:rsidRPr="004C277A" w:rsidRDefault="009B006F" w:rsidP="007A6422">
      <w:pPr>
        <w:contextualSpacing/>
        <w:rPr>
          <w:rFonts w:asciiTheme="majorHAnsi" w:hAnsiTheme="majorHAnsi" w:cstheme="majorHAnsi"/>
          <w:lang w:val="en-GB"/>
        </w:rPr>
      </w:pPr>
      <w:r w:rsidRPr="004C277A">
        <w:rPr>
          <w:rFonts w:asciiTheme="majorHAnsi" w:hAnsiTheme="majorHAnsi" w:cstheme="majorHAnsi"/>
          <w:lang w:val="en-GB"/>
        </w:rPr>
        <w:t xml:space="preserve"> </w:t>
      </w:r>
    </w:p>
    <w:tbl>
      <w:tblPr>
        <w:tblW w:w="12960" w:type="dxa"/>
        <w:tblBorders>
          <w:insideH w:val="single" w:sz="4" w:space="0" w:color="D0CECE" w:themeColor="background2" w:themeShade="E6"/>
        </w:tblBorders>
        <w:tblLayout w:type="fixed"/>
        <w:tblLook w:val="06A0" w:firstRow="1" w:lastRow="0" w:firstColumn="1" w:lastColumn="0" w:noHBand="1" w:noVBand="1"/>
      </w:tblPr>
      <w:tblGrid>
        <w:gridCol w:w="2160"/>
        <w:gridCol w:w="2160"/>
        <w:gridCol w:w="2880"/>
        <w:gridCol w:w="5760"/>
      </w:tblGrid>
      <w:tr w:rsidR="00A259A8" w:rsidRPr="005173CD" w14:paraId="593E21AA" w14:textId="77777777" w:rsidTr="007F5028">
        <w:trPr>
          <w:cantSplit/>
          <w:tblHeader/>
        </w:trPr>
        <w:tc>
          <w:tcPr>
            <w:tcW w:w="2160" w:type="dxa"/>
            <w:tcBorders>
              <w:top w:val="single" w:sz="4" w:space="0" w:color="auto"/>
              <w:bottom w:val="single" w:sz="4" w:space="0" w:color="auto"/>
            </w:tcBorders>
          </w:tcPr>
          <w:p w14:paraId="4677D6A1" w14:textId="77777777" w:rsidR="00A259A8" w:rsidRPr="005173CD" w:rsidRDefault="00A259A8" w:rsidP="007F5028">
            <w:pPr>
              <w:contextualSpacing/>
              <w:rPr>
                <w:rFonts w:asciiTheme="majorHAnsi" w:eastAsiaTheme="majorEastAsia" w:hAnsiTheme="majorHAnsi" w:cstheme="majorHAnsi"/>
                <w:b/>
                <w:bCs/>
                <w:lang w:val="en-GB"/>
              </w:rPr>
            </w:pPr>
            <w:r w:rsidRPr="005173CD">
              <w:rPr>
                <w:rFonts w:asciiTheme="majorHAnsi" w:eastAsiaTheme="majorEastAsia" w:hAnsiTheme="majorHAnsi" w:cstheme="majorHAnsi"/>
                <w:b/>
                <w:bCs/>
                <w:lang w:val="en-GB"/>
              </w:rPr>
              <w:t>Covariate</w:t>
            </w:r>
          </w:p>
        </w:tc>
        <w:tc>
          <w:tcPr>
            <w:tcW w:w="2160" w:type="dxa"/>
            <w:tcBorders>
              <w:top w:val="single" w:sz="4" w:space="0" w:color="auto"/>
              <w:bottom w:val="single" w:sz="4" w:space="0" w:color="auto"/>
            </w:tcBorders>
          </w:tcPr>
          <w:p w14:paraId="7E71C8CF" w14:textId="77777777" w:rsidR="00A259A8" w:rsidRPr="005173CD" w:rsidRDefault="00A259A8" w:rsidP="007F5028">
            <w:pPr>
              <w:contextualSpacing/>
              <w:rPr>
                <w:rFonts w:asciiTheme="majorHAnsi" w:eastAsiaTheme="majorEastAsia" w:hAnsiTheme="majorHAnsi" w:cstheme="majorHAnsi"/>
                <w:b/>
                <w:bCs/>
                <w:lang w:val="en-GB"/>
              </w:rPr>
            </w:pPr>
            <w:r w:rsidRPr="005173CD">
              <w:rPr>
                <w:rFonts w:asciiTheme="majorHAnsi" w:eastAsiaTheme="majorEastAsia" w:hAnsiTheme="majorHAnsi" w:cstheme="majorHAnsi"/>
                <w:b/>
                <w:bCs/>
                <w:lang w:val="en-GB"/>
              </w:rPr>
              <w:t>Data sources</w:t>
            </w:r>
          </w:p>
        </w:tc>
        <w:tc>
          <w:tcPr>
            <w:tcW w:w="2880" w:type="dxa"/>
            <w:tcBorders>
              <w:top w:val="single" w:sz="4" w:space="0" w:color="auto"/>
              <w:bottom w:val="single" w:sz="4" w:space="0" w:color="auto"/>
            </w:tcBorders>
          </w:tcPr>
          <w:p w14:paraId="6E31A3BC" w14:textId="77777777" w:rsidR="00A259A8" w:rsidRPr="005173CD" w:rsidRDefault="00A259A8" w:rsidP="007F5028">
            <w:pPr>
              <w:contextualSpacing/>
              <w:rPr>
                <w:rFonts w:asciiTheme="majorHAnsi" w:eastAsiaTheme="majorEastAsia" w:hAnsiTheme="majorHAnsi" w:cstheme="majorHAnsi"/>
                <w:b/>
                <w:bCs/>
                <w:lang w:val="en-GB"/>
              </w:rPr>
            </w:pPr>
            <w:r w:rsidRPr="005173CD">
              <w:rPr>
                <w:rFonts w:asciiTheme="majorHAnsi" w:eastAsiaTheme="majorEastAsia" w:hAnsiTheme="majorHAnsi" w:cstheme="majorHAnsi"/>
                <w:b/>
                <w:bCs/>
                <w:lang w:val="en-GB"/>
              </w:rPr>
              <w:t>Data processing</w:t>
            </w:r>
          </w:p>
        </w:tc>
        <w:tc>
          <w:tcPr>
            <w:tcW w:w="5760" w:type="dxa"/>
            <w:tcBorders>
              <w:top w:val="single" w:sz="4" w:space="0" w:color="auto"/>
              <w:bottom w:val="single" w:sz="4" w:space="0" w:color="auto"/>
            </w:tcBorders>
          </w:tcPr>
          <w:p w14:paraId="01634AED" w14:textId="77777777" w:rsidR="00A259A8" w:rsidRPr="005173CD" w:rsidRDefault="00A259A8" w:rsidP="007F5028">
            <w:pPr>
              <w:contextualSpacing/>
              <w:rPr>
                <w:rFonts w:asciiTheme="majorHAnsi" w:eastAsiaTheme="majorEastAsia" w:hAnsiTheme="majorHAnsi" w:cstheme="majorHAnsi"/>
                <w:b/>
                <w:lang w:val="en-GB"/>
              </w:rPr>
            </w:pPr>
            <w:r w:rsidRPr="005173CD">
              <w:rPr>
                <w:rFonts w:asciiTheme="majorHAnsi" w:eastAsiaTheme="majorEastAsia" w:hAnsiTheme="majorHAnsi" w:cstheme="majorHAnsi"/>
                <w:b/>
                <w:lang w:val="en-GB"/>
              </w:rPr>
              <w:t>Citations</w:t>
            </w:r>
          </w:p>
        </w:tc>
      </w:tr>
      <w:tr w:rsidR="00A259A8" w:rsidRPr="005173CD" w14:paraId="27EBBFD1" w14:textId="77777777" w:rsidTr="007F5028">
        <w:trPr>
          <w:cantSplit/>
        </w:trPr>
        <w:tc>
          <w:tcPr>
            <w:tcW w:w="2160" w:type="dxa"/>
            <w:tcBorders>
              <w:bottom w:val="single" w:sz="4" w:space="0" w:color="D0CECE" w:themeColor="background2" w:themeShade="E6"/>
            </w:tcBorders>
          </w:tcPr>
          <w:p w14:paraId="3F9E601C"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Household median income</w:t>
            </w:r>
          </w:p>
        </w:tc>
        <w:tc>
          <w:tcPr>
            <w:tcW w:w="2160" w:type="dxa"/>
            <w:tcBorders>
              <w:bottom w:val="single" w:sz="4" w:space="0" w:color="D0CECE" w:themeColor="background2" w:themeShade="E6"/>
            </w:tcBorders>
          </w:tcPr>
          <w:p w14:paraId="39D9DFF3"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2000-2019 Small Area Income and Poverty Estimates [1]; 2000-2019 Bureau of Labor Statistics, Consumer Price Index [2]</w:t>
            </w:r>
          </w:p>
        </w:tc>
        <w:tc>
          <w:tcPr>
            <w:tcW w:w="2880" w:type="dxa"/>
            <w:tcBorders>
              <w:bottom w:val="single" w:sz="4" w:space="0" w:color="D0CECE" w:themeColor="background2" w:themeShade="E6"/>
            </w:tcBorders>
          </w:tcPr>
          <w:p w14:paraId="76713595"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Data were adjusted for inflation using the consumer price index. </w:t>
            </w:r>
          </w:p>
        </w:tc>
        <w:tc>
          <w:tcPr>
            <w:tcW w:w="5760" w:type="dxa"/>
            <w:tcBorders>
              <w:bottom w:val="single" w:sz="4" w:space="0" w:color="D0CECE" w:themeColor="background2" w:themeShade="E6"/>
            </w:tcBorders>
          </w:tcPr>
          <w:p w14:paraId="702179D4"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[1] US Census Bureau. Small Area Income and Poverty Estimates. </w:t>
            </w:r>
            <w:hyperlink r:id="rId16">
              <w:r w:rsidRPr="005173CD">
                <w:rPr>
                  <w:rStyle w:val="BalloonTextChar"/>
                  <w:rFonts w:asciiTheme="majorHAnsi" w:eastAsiaTheme="minorEastAsia" w:hAnsiTheme="majorHAnsi" w:cstheme="majorHAnsi"/>
                  <w:sz w:val="22"/>
                  <w:szCs w:val="22"/>
                  <w:lang w:val="en-GB"/>
                </w:rPr>
                <w:t>https://www.census.gov/programs-surveys/saipe/data/datasets.html</w:t>
              </w:r>
            </w:hyperlink>
            <w:r w:rsidRPr="005173CD">
              <w:rPr>
                <w:rFonts w:asciiTheme="majorHAnsi" w:eastAsiaTheme="minorEastAsia" w:hAnsiTheme="majorHAnsi" w:cstheme="majorHAnsi"/>
                <w:lang w:val="en-GB"/>
              </w:rPr>
              <w:t>. Accessed October 6, 2022.</w:t>
            </w:r>
          </w:p>
          <w:p w14:paraId="4F4BBF03"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[2] US Bureau of Labor Statistics. Consumer Price Index: All Urban Consumers History, All Items 1913-2021. </w:t>
            </w:r>
            <w:hyperlink r:id="rId17" w:history="1">
              <w:r w:rsidRPr="005173CD">
                <w:rPr>
                  <w:rStyle w:val="BalloonTextChar"/>
                  <w:rFonts w:asciiTheme="majorHAnsi" w:eastAsiaTheme="minorEastAsia" w:hAnsiTheme="majorHAnsi" w:cstheme="majorHAnsi"/>
                  <w:sz w:val="22"/>
                  <w:szCs w:val="22"/>
                  <w:lang w:val="en-GB"/>
                </w:rPr>
                <w:t>https://www.bls.gov/data/</w:t>
              </w:r>
            </w:hyperlink>
            <w:r w:rsidRPr="005173CD">
              <w:rPr>
                <w:rFonts w:asciiTheme="majorHAnsi" w:eastAsiaTheme="minorEastAsia" w:hAnsiTheme="majorHAnsi" w:cstheme="majorHAnsi"/>
                <w:lang w:val="en-GB"/>
              </w:rPr>
              <w:t>. Accessed October 6, 2022.</w:t>
            </w:r>
          </w:p>
        </w:tc>
      </w:tr>
      <w:tr w:rsidR="00A259A8" w:rsidRPr="005173CD" w14:paraId="4E67E0AC" w14:textId="77777777" w:rsidTr="007F5028">
        <w:trPr>
          <w:cantSplit/>
        </w:trPr>
        <w:tc>
          <w:tcPr>
            <w:tcW w:w="2160" w:type="dxa"/>
            <w:tcBorders>
              <w:top w:val="single" w:sz="4" w:space="0" w:color="D0CECE" w:themeColor="background2" w:themeShade="E6"/>
              <w:bottom w:val="single" w:sz="4" w:space="0" w:color="D0CECE" w:themeColor="background2" w:themeShade="E6"/>
            </w:tcBorders>
          </w:tcPr>
          <w:p w14:paraId="1A2A73B8"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Population density</w:t>
            </w:r>
          </w:p>
        </w:tc>
        <w:tc>
          <w:tcPr>
            <w:tcW w:w="2160" w:type="dxa"/>
            <w:tcBorders>
              <w:top w:val="single" w:sz="4" w:space="0" w:color="D0CECE" w:themeColor="background2" w:themeShade="E6"/>
              <w:bottom w:val="single" w:sz="4" w:space="0" w:color="D0CECE" w:themeColor="background2" w:themeShade="E6"/>
            </w:tcBorders>
          </w:tcPr>
          <w:p w14:paraId="69A6158F" w14:textId="46471C5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2000-2019 NCHS bridged race files [3</w:t>
            </w:r>
            <w:r w:rsidR="005E62FF">
              <w:rPr>
                <w:rFonts w:asciiTheme="majorHAnsi" w:hAnsiTheme="majorHAnsi" w:cstheme="majorHAnsi"/>
              </w:rPr>
              <w:t>–</w:t>
            </w:r>
            <w:r w:rsidRPr="005173CD">
              <w:rPr>
                <w:rFonts w:asciiTheme="majorHAnsi" w:eastAsiaTheme="minorEastAsia" w:hAnsiTheme="majorHAnsi" w:cstheme="majorHAnsi"/>
                <w:lang w:val="en-GB"/>
              </w:rPr>
              <w:t xml:space="preserve">4]; 2020 cartographic boundary file, state-county for United States [5] accessed using the </w:t>
            </w:r>
            <w:proofErr w:type="spellStart"/>
            <w:r w:rsidRPr="005173CD">
              <w:rPr>
                <w:rFonts w:asciiTheme="majorHAnsi" w:eastAsiaTheme="minorEastAsia" w:hAnsiTheme="majorHAnsi" w:cstheme="majorHAnsi"/>
                <w:lang w:val="en-GB"/>
              </w:rPr>
              <w:t>tigris</w:t>
            </w:r>
            <w:proofErr w:type="spellEnd"/>
            <w:r w:rsidRPr="005173CD">
              <w:rPr>
                <w:rFonts w:asciiTheme="majorHAnsi" w:eastAsiaTheme="minorEastAsia" w:hAnsiTheme="majorHAnsi" w:cstheme="majorHAnsi"/>
                <w:lang w:val="en-GB"/>
              </w:rPr>
              <w:t xml:space="preserve"> package [6]</w:t>
            </w:r>
          </w:p>
        </w:tc>
        <w:tc>
          <w:tcPr>
            <w:tcW w:w="2880" w:type="dxa"/>
            <w:tcBorders>
              <w:top w:val="single" w:sz="4" w:space="0" w:color="D0CECE" w:themeColor="background2" w:themeShade="E6"/>
              <w:bottom w:val="single" w:sz="4" w:space="0" w:color="D0CECE" w:themeColor="background2" w:themeShade="E6"/>
            </w:tcBorders>
          </w:tcPr>
          <w:p w14:paraId="2396063D"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The area of each county was calculated using an Albers Equal Area Conic projection. The total population of each county was divided by the total area of the county and was then log-transformed.</w:t>
            </w:r>
          </w:p>
        </w:tc>
        <w:tc>
          <w:tcPr>
            <w:tcW w:w="5760" w:type="dxa"/>
            <w:tcBorders>
              <w:top w:val="single" w:sz="4" w:space="0" w:color="D0CECE" w:themeColor="background2" w:themeShade="E6"/>
              <w:bottom w:val="single" w:sz="4" w:space="0" w:color="D0CECE" w:themeColor="background2" w:themeShade="E6"/>
            </w:tcBorders>
          </w:tcPr>
          <w:p w14:paraId="4D7A0C3B"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[3]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US Census Bureau. United States Bridged-Race Intercensal Population Estimates 2000-2009. Hyattsville, United States: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2012. </w:t>
            </w:r>
            <w:hyperlink r:id="rId18" w:history="1">
              <w:r w:rsidRPr="005173CD">
                <w:rPr>
                  <w:rStyle w:val="BalloonTextChar"/>
                  <w:rFonts w:asciiTheme="majorHAnsi" w:eastAsiaTheme="minorEastAsia" w:hAnsiTheme="majorHAnsi" w:cstheme="majorHAnsi"/>
                  <w:sz w:val="22"/>
                  <w:szCs w:val="22"/>
                  <w:lang w:val="en-GB"/>
                </w:rPr>
                <w:t>https://www.cdc.gov/nchs/nvss/bridged_race.htm</w:t>
              </w:r>
            </w:hyperlink>
            <w:r w:rsidRPr="005173CD">
              <w:rPr>
                <w:rFonts w:asciiTheme="majorHAnsi" w:eastAsiaTheme="minorEastAsia" w:hAnsiTheme="majorHAnsi" w:cstheme="majorHAnsi"/>
                <w:lang w:val="en-GB"/>
              </w:rPr>
              <w:t>. Accessed October 30, 2012.</w:t>
            </w:r>
          </w:p>
          <w:p w14:paraId="5E340481"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[4]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US Census Bureau. United States Vintage 2020 Bridged-Race Postcensal Population Estimates 2010-2020. Hyattsville, United States: National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for Health Statistics, </w:t>
            </w:r>
            <w:proofErr w:type="spellStart"/>
            <w:r w:rsidRPr="005173CD">
              <w:rPr>
                <w:rFonts w:asciiTheme="majorHAnsi" w:eastAsiaTheme="minorEastAsia" w:hAnsiTheme="majorHAnsi" w:cstheme="majorHAnsi"/>
                <w:lang w:val="en-GB"/>
              </w:rPr>
              <w:t>Centers</w:t>
            </w:r>
            <w:proofErr w:type="spellEnd"/>
            <w:r w:rsidRPr="005173CD">
              <w:rPr>
                <w:rFonts w:asciiTheme="majorHAnsi" w:eastAsiaTheme="minorEastAsia" w:hAnsiTheme="majorHAnsi" w:cstheme="majorHAnsi"/>
                <w:lang w:val="en-GB"/>
              </w:rPr>
              <w:t xml:space="preserve"> for Disease Control and Prevention, 2020. </w:t>
            </w:r>
            <w:hyperlink r:id="rId19" w:history="1">
              <w:r w:rsidRPr="005173CD">
                <w:rPr>
                  <w:rStyle w:val="BalloonTextChar"/>
                  <w:rFonts w:asciiTheme="majorHAnsi" w:eastAsiaTheme="minorEastAsia" w:hAnsiTheme="majorHAnsi" w:cstheme="majorHAnsi"/>
                  <w:sz w:val="22"/>
                  <w:szCs w:val="22"/>
                  <w:lang w:val="en-GB"/>
                </w:rPr>
                <w:t>https://www.cdc.gov/nchs/nvss/bridged_race.htm</w:t>
              </w:r>
            </w:hyperlink>
            <w:r w:rsidRPr="005173CD">
              <w:rPr>
                <w:rFonts w:asciiTheme="majorHAnsi" w:eastAsiaTheme="minorEastAsia" w:hAnsiTheme="majorHAnsi" w:cstheme="majorHAnsi"/>
                <w:lang w:val="en-GB"/>
              </w:rPr>
              <w:t>. Accessed February 17, 2022.</w:t>
            </w:r>
          </w:p>
          <w:p w14:paraId="0C9DB73C"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[5] US Census Bureau. TIGER/Line Shapefile, 2020 Cartographic Boundary File, State-County for United States, 1:20,000,000. </w:t>
            </w:r>
          </w:p>
          <w:p w14:paraId="198B41A1"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https://www.census.gov/geographies/mapping-files/time-series/geo/tiger-line-file.2020.html#list-tab-790442341. Accessed October 12, 2022.</w:t>
            </w:r>
          </w:p>
          <w:p w14:paraId="0E61863F" w14:textId="77777777" w:rsidR="00A259A8" w:rsidRPr="005173CD" w:rsidRDefault="00A259A8" w:rsidP="007F5028">
            <w:pPr>
              <w:contextualSpacing/>
              <w:rPr>
                <w:rFonts w:asciiTheme="majorHAnsi" w:hAnsiTheme="majorHAnsi" w:cstheme="majorHAnsi"/>
                <w:lang w:val="en-GB"/>
              </w:rPr>
            </w:pPr>
            <w:r w:rsidRPr="005173CD">
              <w:rPr>
                <w:rFonts w:asciiTheme="majorHAnsi" w:eastAsiaTheme="minorEastAsia" w:hAnsiTheme="majorHAnsi" w:cstheme="majorHAnsi"/>
                <w:lang w:val="en-GB"/>
              </w:rPr>
              <w:t xml:space="preserve">[6] Walker K (2022). </w:t>
            </w:r>
            <w:proofErr w:type="spellStart"/>
            <w:r w:rsidRPr="005173CD">
              <w:rPr>
                <w:rFonts w:asciiTheme="majorHAnsi" w:eastAsiaTheme="minorEastAsia" w:hAnsiTheme="majorHAnsi" w:cstheme="majorHAnsi"/>
                <w:i/>
                <w:iCs/>
                <w:lang w:val="en-GB"/>
              </w:rPr>
              <w:t>tigris</w:t>
            </w:r>
            <w:proofErr w:type="spellEnd"/>
            <w:r w:rsidRPr="005173CD">
              <w:rPr>
                <w:rFonts w:asciiTheme="majorHAnsi" w:eastAsiaTheme="minorEastAsia" w:hAnsiTheme="majorHAnsi" w:cstheme="majorHAnsi"/>
                <w:i/>
                <w:iCs/>
                <w:lang w:val="en-GB"/>
              </w:rPr>
              <w:t>: Load Census TIGER/Line Shapefiles</w:t>
            </w:r>
            <w:r w:rsidRPr="005173CD">
              <w:rPr>
                <w:rFonts w:asciiTheme="majorHAnsi" w:eastAsiaTheme="minorEastAsia" w:hAnsiTheme="majorHAnsi" w:cstheme="majorHAnsi"/>
                <w:lang w:val="en-GB"/>
              </w:rPr>
              <w:t>. R package version 2.0, &lt;https://github.com/walkerke/tigris&gt;.</w:t>
            </w:r>
          </w:p>
        </w:tc>
      </w:tr>
      <w:tr w:rsidR="00A259A8" w:rsidRPr="005173CD" w14:paraId="5B155498" w14:textId="77777777" w:rsidTr="007F5028">
        <w:trPr>
          <w:cantSplit/>
        </w:trPr>
        <w:tc>
          <w:tcPr>
            <w:tcW w:w="2160" w:type="dxa"/>
            <w:tcBorders>
              <w:top w:val="single" w:sz="4" w:space="0" w:color="D0CECE" w:themeColor="background2" w:themeShade="E6"/>
            </w:tcBorders>
          </w:tcPr>
          <w:p w14:paraId="022312C3"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lastRenderedPageBreak/>
              <w:t>Percent of the population age 25 and older who have completed a bachelor’s degree by race and ethnicity</w:t>
            </w:r>
          </w:p>
        </w:tc>
        <w:tc>
          <w:tcPr>
            <w:tcW w:w="2160" w:type="dxa"/>
            <w:tcBorders>
              <w:top w:val="single" w:sz="4" w:space="0" w:color="D0CECE" w:themeColor="background2" w:themeShade="E6"/>
            </w:tcBorders>
          </w:tcPr>
          <w:p w14:paraId="16936203"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1990 census [6]; 2000 census [7]; 2010-2020 ACS [8]</w:t>
            </w:r>
          </w:p>
        </w:tc>
        <w:tc>
          <w:tcPr>
            <w:tcW w:w="2880" w:type="dxa"/>
            <w:tcBorders>
              <w:top w:val="single" w:sz="4" w:space="0" w:color="D0CECE" w:themeColor="background2" w:themeShade="E6"/>
            </w:tcBorders>
          </w:tcPr>
          <w:p w14:paraId="2F23D626"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ACS estimates for Black, American Indian or Alaskan Native (AIAN), and Asian or Pacific Islander (Asian) were not available stratified by Latino ethnicity and were used as proxies for non-Latino Black, non-Latino AIAN, and non-Latino Asian estimates, respectively. Imputation via a small-area estimation model was used to generate and smooth missing values.</w:t>
            </w:r>
          </w:p>
        </w:tc>
        <w:tc>
          <w:tcPr>
            <w:tcW w:w="5760" w:type="dxa"/>
            <w:tcBorders>
              <w:top w:val="single" w:sz="4" w:space="0" w:color="D0CECE" w:themeColor="background2" w:themeShade="E6"/>
            </w:tcBorders>
          </w:tcPr>
          <w:p w14:paraId="0CDB3E1C"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[6]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1990 Census Summary Tape File 4, Table NPB44. IPUMS National Historical Geographic Information System: Version 15.0. Minneapolis, MN: IPUMS 2020. </w:t>
            </w:r>
            <w:hyperlink r:id="rId20"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August 25, 2020.</w:t>
            </w:r>
          </w:p>
          <w:p w14:paraId="51EA6487"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[7]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2000 Census Summary File 4, Table NPCT064C. IPUMS National Historical Geographic Information System: Version 15.0. Minneapolis, MN: IPUMS 2020. </w:t>
            </w:r>
            <w:hyperlink r:id="rId21"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August 25, 2020.</w:t>
            </w:r>
          </w:p>
          <w:p w14:paraId="281F7D44"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[8] US Census Bureau. American Community Survey, 2010-2020 American Community Survey 5-Year Estimates, Tables C15002A-C15002I; using Census data portal; </w:t>
            </w:r>
            <w:hyperlink r:id="rId22">
              <w:r w:rsidRPr="005173CD">
                <w:rPr>
                  <w:rStyle w:val="BalloonTextChar"/>
                  <w:rFonts w:asciiTheme="majorHAnsi" w:eastAsiaTheme="minorEastAsia" w:hAnsiTheme="majorHAnsi" w:cstheme="majorHAnsi"/>
                  <w:sz w:val="22"/>
                  <w:szCs w:val="22"/>
                  <w:lang w:val="en-GB"/>
                </w:rPr>
                <w:t>https://data.census.gov/cedsci/</w:t>
              </w:r>
            </w:hyperlink>
            <w:r w:rsidRPr="005173CD">
              <w:rPr>
                <w:rFonts w:asciiTheme="majorHAnsi" w:eastAsiaTheme="minorEastAsia" w:hAnsiTheme="majorHAnsi" w:cstheme="majorHAnsi"/>
                <w:lang w:val="en-GB"/>
              </w:rPr>
              <w:t>. Accessed October 5, 2022.</w:t>
            </w:r>
          </w:p>
        </w:tc>
      </w:tr>
      <w:tr w:rsidR="00A259A8" w:rsidRPr="005173CD" w14:paraId="61909391" w14:textId="77777777" w:rsidTr="007F5028">
        <w:trPr>
          <w:cantSplit/>
        </w:trPr>
        <w:tc>
          <w:tcPr>
            <w:tcW w:w="2160" w:type="dxa"/>
            <w:tcBorders>
              <w:bottom w:val="single" w:sz="4" w:space="0" w:color="D0CECE" w:themeColor="background2" w:themeShade="E6"/>
            </w:tcBorders>
          </w:tcPr>
          <w:p w14:paraId="5C5B4294"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Percent of the population below the poverty line by race and ethnicity</w:t>
            </w:r>
          </w:p>
        </w:tc>
        <w:tc>
          <w:tcPr>
            <w:tcW w:w="2160" w:type="dxa"/>
            <w:tcBorders>
              <w:bottom w:val="single" w:sz="4" w:space="0" w:color="D0CECE" w:themeColor="background2" w:themeShade="E6"/>
            </w:tcBorders>
          </w:tcPr>
          <w:p w14:paraId="34160F2B"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1990 census [9]; 2000 census [10]; 2010-2020 ACS [11]</w:t>
            </w:r>
          </w:p>
        </w:tc>
        <w:tc>
          <w:tcPr>
            <w:tcW w:w="2880" w:type="dxa"/>
            <w:tcBorders>
              <w:bottom w:val="single" w:sz="4" w:space="0" w:color="D0CECE" w:themeColor="background2" w:themeShade="E6"/>
            </w:tcBorders>
          </w:tcPr>
          <w:p w14:paraId="4D50B192"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ACS estimates for Black, American Indian or Alaskan Native (AIAN), and Asian or Pacific Islander (Asian) were not available stratified by Latino ethnicity and were used as proxies for non-Latino Black, non-Latino AIAN, and non-Latino Asian estimates, respectively. Imputation via a small-area estimation model was used to generate and smooth missing values.</w:t>
            </w:r>
          </w:p>
        </w:tc>
        <w:tc>
          <w:tcPr>
            <w:tcW w:w="5760" w:type="dxa"/>
            <w:tcBorders>
              <w:bottom w:val="single" w:sz="4" w:space="0" w:color="D0CECE" w:themeColor="background2" w:themeShade="E6"/>
            </w:tcBorders>
          </w:tcPr>
          <w:p w14:paraId="2BB91CC9"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[9]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1990 Census Summary Tape File 4, Table NPB100. IPUMS National Historical Geographic Information System: Version 15.0. Minneapolis, MN: IPUMS 2020. </w:t>
            </w:r>
            <w:hyperlink r:id="rId23"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August 30, 2020.</w:t>
            </w:r>
          </w:p>
          <w:p w14:paraId="77921053" w14:textId="77777777" w:rsidR="00A259A8" w:rsidRPr="005173CD" w:rsidRDefault="00A259A8" w:rsidP="007F5028">
            <w:pPr>
              <w:contextualSpacing/>
              <w:rPr>
                <w:rFonts w:asciiTheme="majorHAnsi" w:hAnsiTheme="majorHAnsi" w:cstheme="majorHAnsi"/>
                <w:lang w:val="en-GB"/>
              </w:rPr>
            </w:pPr>
            <w:r w:rsidRPr="005173CD">
              <w:rPr>
                <w:rFonts w:asciiTheme="majorHAnsi" w:eastAsiaTheme="minorEastAsia" w:hAnsiTheme="majorHAnsi" w:cstheme="majorHAnsi"/>
                <w:lang w:val="en-GB"/>
              </w:rPr>
              <w:t xml:space="preserve">[10]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2000 Census Summary File 4, Table NPCT142A. IPUMS National Historical Geographic Information System: Version 15.0. Minneapolis, MN: IPUMS 2020. </w:t>
            </w:r>
            <w:hyperlink r:id="rId24"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August 30, 2020.</w:t>
            </w:r>
          </w:p>
          <w:p w14:paraId="39894108"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[11] US Census Bureau. American Community Survey, 2010-2020 American Community Survey 5-Year Estimates, Tables B17001A-B17001I; using Census data portal; </w:t>
            </w:r>
            <w:hyperlink r:id="rId25">
              <w:r w:rsidRPr="005173CD">
                <w:rPr>
                  <w:rStyle w:val="BalloonTextChar"/>
                  <w:rFonts w:asciiTheme="majorHAnsi" w:eastAsiaTheme="minorEastAsia" w:hAnsiTheme="majorHAnsi" w:cstheme="majorHAnsi"/>
                  <w:sz w:val="22"/>
                  <w:szCs w:val="22"/>
                  <w:lang w:val="en-GB"/>
                </w:rPr>
                <w:t>https://data.census.gov/cedsci/</w:t>
              </w:r>
            </w:hyperlink>
            <w:r w:rsidRPr="005173CD">
              <w:rPr>
                <w:rFonts w:asciiTheme="majorHAnsi" w:eastAsiaTheme="minorEastAsia" w:hAnsiTheme="majorHAnsi" w:cstheme="majorHAnsi"/>
                <w:lang w:val="en-GB"/>
              </w:rPr>
              <w:t>. Accessed October 5, 2022.</w:t>
            </w:r>
          </w:p>
        </w:tc>
      </w:tr>
      <w:tr w:rsidR="00A259A8" w:rsidRPr="005173CD" w14:paraId="20144816" w14:textId="77777777" w:rsidTr="007F5028">
        <w:trPr>
          <w:cantSplit/>
        </w:trPr>
        <w:tc>
          <w:tcPr>
            <w:tcW w:w="2160" w:type="dxa"/>
            <w:tcBorders>
              <w:top w:val="single" w:sz="4" w:space="0" w:color="D0CECE" w:themeColor="background2" w:themeShade="E6"/>
              <w:bottom w:val="single" w:sz="4" w:space="0" w:color="auto"/>
            </w:tcBorders>
          </w:tcPr>
          <w:p w14:paraId="0279FC58"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lastRenderedPageBreak/>
              <w:t>Percent of the population that is foreign-born by race and ethnicity</w:t>
            </w:r>
          </w:p>
        </w:tc>
        <w:tc>
          <w:tcPr>
            <w:tcW w:w="2160" w:type="dxa"/>
            <w:tcBorders>
              <w:top w:val="single" w:sz="4" w:space="0" w:color="D0CECE" w:themeColor="background2" w:themeShade="E6"/>
              <w:bottom w:val="single" w:sz="4" w:space="0" w:color="auto"/>
            </w:tcBorders>
          </w:tcPr>
          <w:p w14:paraId="1CD26734"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1990 census [12]; 2000 census [13]; 2010-2020 ACS [14]</w:t>
            </w:r>
          </w:p>
        </w:tc>
        <w:tc>
          <w:tcPr>
            <w:tcW w:w="2880" w:type="dxa"/>
            <w:tcBorders>
              <w:top w:val="single" w:sz="4" w:space="0" w:color="D0CECE" w:themeColor="background2" w:themeShade="E6"/>
              <w:bottom w:val="single" w:sz="4" w:space="0" w:color="auto"/>
            </w:tcBorders>
          </w:tcPr>
          <w:p w14:paraId="4ECE0850"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ACS estimates for Black, American Indian or Alaskan Native (AIAN), and Asian or Pacific Islander (Asian) were not available stratified by Latino ethnicity and were used as proxies for non-Latino Black, non-Latino AIAN, and non-Latino Asian estimates, respectively. Imputation via a small-area estimation model was used to generate and smooth missing values.</w:t>
            </w:r>
          </w:p>
        </w:tc>
        <w:tc>
          <w:tcPr>
            <w:tcW w:w="5760" w:type="dxa"/>
            <w:tcBorders>
              <w:top w:val="single" w:sz="4" w:space="0" w:color="D0CECE" w:themeColor="background2" w:themeShade="E6"/>
              <w:bottom w:val="single" w:sz="4" w:space="0" w:color="auto"/>
            </w:tcBorders>
          </w:tcPr>
          <w:p w14:paraId="5121CE69"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[12]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1990 Census Summary Tape File 4, Table NPB28. IPUMS National Historical Geographic Information System: Version 15.0. Minneapolis, MN: IPUMS 2020. </w:t>
            </w:r>
            <w:hyperlink r:id="rId26"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October 8, 2020.</w:t>
            </w:r>
          </w:p>
          <w:p w14:paraId="18F87AD2"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[13] Minnesota Population </w:t>
            </w:r>
            <w:proofErr w:type="spellStart"/>
            <w:r w:rsidRPr="005173CD">
              <w:rPr>
                <w:rFonts w:asciiTheme="majorHAnsi" w:eastAsiaTheme="minorEastAsia" w:hAnsiTheme="majorHAnsi" w:cstheme="majorHAnsi"/>
                <w:lang w:val="en-GB"/>
              </w:rPr>
              <w:t>Center</w:t>
            </w:r>
            <w:proofErr w:type="spellEnd"/>
            <w:r w:rsidRPr="005173CD">
              <w:rPr>
                <w:rFonts w:asciiTheme="majorHAnsi" w:eastAsiaTheme="minorEastAsia" w:hAnsiTheme="majorHAnsi" w:cstheme="majorHAnsi"/>
                <w:lang w:val="en-GB"/>
              </w:rPr>
              <w:t xml:space="preserve">. 2000 Census Summary File 4, Table NPCT043A. IPUMS National Historical Geographic Information System: Version 15.0. Minneapolis, MN: IPUMS 2020. </w:t>
            </w:r>
            <w:hyperlink r:id="rId27" w:history="1">
              <w:r w:rsidRPr="005173CD">
                <w:rPr>
                  <w:rStyle w:val="BalloonTextChar"/>
                  <w:rFonts w:asciiTheme="majorHAnsi" w:eastAsiaTheme="minorEastAsia" w:hAnsiTheme="majorHAnsi" w:cstheme="majorHAnsi"/>
                  <w:sz w:val="22"/>
                  <w:szCs w:val="22"/>
                  <w:lang w:val="en-GB"/>
                </w:rPr>
                <w:t>https://www.nhgis.org/</w:t>
              </w:r>
            </w:hyperlink>
            <w:r w:rsidRPr="005173CD">
              <w:rPr>
                <w:rFonts w:asciiTheme="majorHAnsi" w:eastAsiaTheme="minorEastAsia" w:hAnsiTheme="majorHAnsi" w:cstheme="majorHAnsi"/>
                <w:lang w:val="en-GB"/>
              </w:rPr>
              <w:t>. Accessed October 8, 2020.</w:t>
            </w:r>
          </w:p>
          <w:p w14:paraId="0F8C9A9E" w14:textId="77777777" w:rsidR="00A259A8" w:rsidRPr="005173CD" w:rsidRDefault="00A259A8" w:rsidP="007F5028">
            <w:pPr>
              <w:contextualSpacing/>
              <w:rPr>
                <w:rFonts w:asciiTheme="majorHAnsi" w:eastAsiaTheme="minorEastAsia" w:hAnsiTheme="majorHAnsi" w:cstheme="majorHAnsi"/>
                <w:lang w:val="en-GB"/>
              </w:rPr>
            </w:pPr>
            <w:r w:rsidRPr="005173CD">
              <w:rPr>
                <w:rFonts w:asciiTheme="majorHAnsi" w:eastAsiaTheme="minorEastAsia" w:hAnsiTheme="majorHAnsi" w:cstheme="majorHAnsi"/>
                <w:lang w:val="en-GB"/>
              </w:rPr>
              <w:t xml:space="preserve">[14] US Census Bureau. American Community Survey, 2010-2020 American Community Survey 5-Year Estimates, Tables B05003A-B05003I; using Census data portal; </w:t>
            </w:r>
            <w:hyperlink r:id="rId28">
              <w:r w:rsidRPr="005173CD">
                <w:rPr>
                  <w:rStyle w:val="BalloonTextChar"/>
                  <w:rFonts w:asciiTheme="majorHAnsi" w:eastAsiaTheme="minorEastAsia" w:hAnsiTheme="majorHAnsi" w:cstheme="majorHAnsi"/>
                  <w:sz w:val="22"/>
                  <w:szCs w:val="22"/>
                  <w:lang w:val="en-GB"/>
                </w:rPr>
                <w:t>https://data.census.gov/cedsci/</w:t>
              </w:r>
            </w:hyperlink>
            <w:r w:rsidRPr="005173CD">
              <w:rPr>
                <w:rFonts w:asciiTheme="majorHAnsi" w:eastAsiaTheme="minorEastAsia" w:hAnsiTheme="majorHAnsi" w:cstheme="majorHAnsi"/>
                <w:lang w:val="en-GB"/>
              </w:rPr>
              <w:t>. Accessed October 5, 2022.</w:t>
            </w:r>
          </w:p>
        </w:tc>
      </w:tr>
    </w:tbl>
    <w:p w14:paraId="6AAABB68" w14:textId="77777777" w:rsidR="00537628" w:rsidRPr="004C277A" w:rsidRDefault="00537628" w:rsidP="007A6422">
      <w:pPr>
        <w:spacing w:after="0" w:line="240" w:lineRule="auto"/>
        <w:contextualSpacing/>
        <w:rPr>
          <w:rFonts w:asciiTheme="majorHAnsi" w:eastAsiaTheme="minorEastAsia" w:hAnsiTheme="majorHAnsi" w:cstheme="majorHAnsi"/>
          <w:lang w:val="en-GB"/>
        </w:rPr>
        <w:sectPr w:rsidR="00537628" w:rsidRPr="004C277A" w:rsidSect="008B1C9A">
          <w:pgSz w:w="15840" w:h="12240" w:orient="landscape"/>
          <w:pgMar w:top="1440" w:right="1440" w:bottom="1440" w:left="1440" w:header="720" w:footer="720" w:gutter="0"/>
          <w:cols w:space="720"/>
          <w:docGrid w:linePitch="360"/>
        </w:sectPr>
      </w:pPr>
    </w:p>
    <w:p w14:paraId="45BF2926" w14:textId="77777777" w:rsidR="00C71552" w:rsidRDefault="00C71552" w:rsidP="00C71552">
      <w:pPr>
        <w:pStyle w:val="Heading2"/>
        <w:spacing w:before="0" w:line="240" w:lineRule="auto"/>
        <w:contextualSpacing/>
        <w:rPr>
          <w:rFonts w:eastAsiaTheme="minorEastAsia"/>
          <w:lang w:val="en-GB"/>
        </w:rPr>
      </w:pPr>
      <w:bookmarkStart w:id="54" w:name="_Toc1444913154"/>
      <w:bookmarkStart w:id="55" w:name="_Toc112329092"/>
      <w:bookmarkStart w:id="56" w:name="_Toc175308194"/>
      <w:r w:rsidRPr="691BA196">
        <w:rPr>
          <w:rFonts w:eastAsiaTheme="minorEastAsia"/>
          <w:lang w:val="en-GB"/>
        </w:rPr>
        <w:lastRenderedPageBreak/>
        <w:t>3.5 Population mask</w:t>
      </w:r>
      <w:bookmarkEnd w:id="54"/>
      <w:bookmarkEnd w:id="55"/>
      <w:bookmarkEnd w:id="56"/>
    </w:p>
    <w:p w14:paraId="519A839A" w14:textId="77777777" w:rsidR="00C71552" w:rsidRPr="0084782D" w:rsidRDefault="00C71552" w:rsidP="00C71552">
      <w:pPr>
        <w:spacing w:after="0" w:line="240" w:lineRule="auto"/>
        <w:contextualSpacing/>
        <w:rPr>
          <w:lang w:val="en-GB"/>
        </w:rPr>
      </w:pPr>
    </w:p>
    <w:tbl>
      <w:tblPr>
        <w:tblStyle w:val="TableGridLight"/>
        <w:tblW w:w="12960" w:type="dxa"/>
        <w:tblLayout w:type="fixed"/>
        <w:tblCellMar>
          <w:top w:w="29" w:type="dxa"/>
          <w:left w:w="14" w:type="dxa"/>
          <w:bottom w:w="29" w:type="dxa"/>
          <w:right w:w="14" w:type="dxa"/>
        </w:tblCellMar>
        <w:tblLook w:val="04A0" w:firstRow="1" w:lastRow="0" w:firstColumn="1" w:lastColumn="0" w:noHBand="0" w:noVBand="1"/>
      </w:tblPr>
      <w:tblGrid>
        <w:gridCol w:w="1111"/>
        <w:gridCol w:w="689"/>
        <w:gridCol w:w="627"/>
        <w:gridCol w:w="658"/>
        <w:gridCol w:w="695"/>
        <w:gridCol w:w="622"/>
        <w:gridCol w:w="658"/>
        <w:gridCol w:w="700"/>
        <w:gridCol w:w="617"/>
        <w:gridCol w:w="658"/>
        <w:gridCol w:w="705"/>
        <w:gridCol w:w="612"/>
        <w:gridCol w:w="658"/>
        <w:gridCol w:w="710"/>
        <w:gridCol w:w="606"/>
        <w:gridCol w:w="659"/>
        <w:gridCol w:w="715"/>
        <w:gridCol w:w="601"/>
        <w:gridCol w:w="659"/>
      </w:tblGrid>
      <w:tr w:rsidR="009B5890" w:rsidRPr="005173CD" w14:paraId="127DFCA2" w14:textId="77777777" w:rsidTr="007F5028">
        <w:trPr>
          <w:trHeight w:val="295"/>
        </w:trPr>
        <w:tc>
          <w:tcPr>
            <w:tcW w:w="1111" w:type="dxa"/>
            <w:tcBorders>
              <w:top w:val="single" w:sz="4" w:space="0" w:color="auto"/>
              <w:left w:val="nil"/>
              <w:bottom w:val="nil"/>
              <w:right w:val="nil"/>
            </w:tcBorders>
            <w:noWrap/>
            <w:hideMark/>
          </w:tcPr>
          <w:p w14:paraId="33FEB1B7" w14:textId="77777777" w:rsidR="009B5890" w:rsidRPr="005173CD" w:rsidRDefault="009B5890" w:rsidP="007F5028">
            <w:pPr>
              <w:rPr>
                <w:rFonts w:asciiTheme="majorHAnsi" w:eastAsia="Times New Roman" w:hAnsiTheme="majorHAnsi" w:cstheme="majorHAnsi"/>
                <w:b/>
                <w:sz w:val="18"/>
                <w:szCs w:val="18"/>
              </w:rPr>
            </w:pPr>
          </w:p>
        </w:tc>
        <w:tc>
          <w:tcPr>
            <w:tcW w:w="1974" w:type="dxa"/>
            <w:gridSpan w:val="3"/>
            <w:tcBorders>
              <w:top w:val="single" w:sz="4" w:space="0" w:color="auto"/>
              <w:left w:val="nil"/>
              <w:bottom w:val="nil"/>
              <w:right w:val="nil"/>
            </w:tcBorders>
            <w:noWrap/>
            <w:vAlign w:val="center"/>
            <w:hideMark/>
          </w:tcPr>
          <w:p w14:paraId="4CF48C5A" w14:textId="77777777" w:rsidR="009B5890" w:rsidRPr="005173CD" w:rsidRDefault="009B5890" w:rsidP="007F5028">
            <w:pPr>
              <w:jc w:val="center"/>
              <w:rPr>
                <w:rFonts w:asciiTheme="majorHAnsi" w:eastAsia="Times New Roman" w:hAnsiTheme="majorHAnsi" w:cstheme="majorHAnsi"/>
                <w:b/>
                <w:sz w:val="18"/>
                <w:szCs w:val="18"/>
              </w:rPr>
            </w:pPr>
            <w:r w:rsidRPr="005173CD">
              <w:rPr>
                <w:rFonts w:asciiTheme="majorHAnsi" w:eastAsia="Times New Roman" w:hAnsiTheme="majorHAnsi" w:cstheme="majorHAnsi"/>
                <w:b/>
                <w:color w:val="000000"/>
                <w:sz w:val="18"/>
                <w:szCs w:val="18"/>
              </w:rPr>
              <w:t>AIAN</w:t>
            </w:r>
          </w:p>
        </w:tc>
        <w:tc>
          <w:tcPr>
            <w:tcW w:w="1975" w:type="dxa"/>
            <w:gridSpan w:val="3"/>
            <w:tcBorders>
              <w:top w:val="single" w:sz="4" w:space="0" w:color="auto"/>
              <w:left w:val="nil"/>
              <w:bottom w:val="single" w:sz="4" w:space="0" w:color="auto"/>
              <w:right w:val="nil"/>
            </w:tcBorders>
            <w:noWrap/>
            <w:vAlign w:val="center"/>
            <w:hideMark/>
          </w:tcPr>
          <w:p w14:paraId="5CB92E7D" w14:textId="77777777" w:rsidR="009B5890" w:rsidRPr="005173CD" w:rsidRDefault="009B5890" w:rsidP="007F5028">
            <w:pPr>
              <w:jc w:val="center"/>
              <w:rPr>
                <w:rFonts w:asciiTheme="majorHAnsi" w:eastAsia="Times New Roman" w:hAnsiTheme="majorHAnsi" w:cstheme="majorHAnsi"/>
                <w:b/>
                <w:sz w:val="18"/>
                <w:szCs w:val="18"/>
              </w:rPr>
            </w:pPr>
            <w:r w:rsidRPr="005173CD">
              <w:rPr>
                <w:rFonts w:asciiTheme="majorHAnsi" w:eastAsia="Times New Roman" w:hAnsiTheme="majorHAnsi" w:cstheme="majorHAnsi"/>
                <w:b/>
                <w:color w:val="000000"/>
                <w:sz w:val="18"/>
                <w:szCs w:val="18"/>
              </w:rPr>
              <w:t>Asian</w:t>
            </w:r>
          </w:p>
        </w:tc>
        <w:tc>
          <w:tcPr>
            <w:tcW w:w="1975" w:type="dxa"/>
            <w:gridSpan w:val="3"/>
            <w:tcBorders>
              <w:top w:val="single" w:sz="4" w:space="0" w:color="auto"/>
              <w:left w:val="nil"/>
              <w:bottom w:val="single" w:sz="4" w:space="0" w:color="auto"/>
              <w:right w:val="nil"/>
            </w:tcBorders>
            <w:noWrap/>
            <w:vAlign w:val="center"/>
            <w:hideMark/>
          </w:tcPr>
          <w:p w14:paraId="47394A6D" w14:textId="77777777" w:rsidR="009B5890" w:rsidRPr="005173CD" w:rsidRDefault="009B5890" w:rsidP="007F5028">
            <w:pPr>
              <w:jc w:val="center"/>
              <w:rPr>
                <w:rFonts w:asciiTheme="majorHAnsi" w:eastAsia="Times New Roman" w:hAnsiTheme="majorHAnsi" w:cstheme="majorHAnsi"/>
                <w:b/>
                <w:sz w:val="18"/>
                <w:szCs w:val="18"/>
              </w:rPr>
            </w:pPr>
            <w:r w:rsidRPr="005173CD">
              <w:rPr>
                <w:rFonts w:asciiTheme="majorHAnsi" w:eastAsia="Times New Roman" w:hAnsiTheme="majorHAnsi" w:cstheme="majorHAnsi"/>
                <w:b/>
                <w:color w:val="000000"/>
                <w:sz w:val="18"/>
                <w:szCs w:val="18"/>
              </w:rPr>
              <w:t>Black</w:t>
            </w:r>
          </w:p>
        </w:tc>
        <w:tc>
          <w:tcPr>
            <w:tcW w:w="1975" w:type="dxa"/>
            <w:gridSpan w:val="3"/>
            <w:tcBorders>
              <w:top w:val="single" w:sz="4" w:space="0" w:color="auto"/>
              <w:left w:val="nil"/>
              <w:bottom w:val="single" w:sz="4" w:space="0" w:color="auto"/>
              <w:right w:val="nil"/>
            </w:tcBorders>
            <w:noWrap/>
            <w:vAlign w:val="center"/>
            <w:hideMark/>
          </w:tcPr>
          <w:p w14:paraId="7BE90957" w14:textId="77777777" w:rsidR="009B5890" w:rsidRPr="005173CD" w:rsidRDefault="009B5890" w:rsidP="007F5028">
            <w:pPr>
              <w:jc w:val="center"/>
              <w:rPr>
                <w:rFonts w:asciiTheme="majorHAnsi" w:eastAsia="Times New Roman" w:hAnsiTheme="majorHAnsi" w:cstheme="majorHAnsi"/>
                <w:b/>
                <w:sz w:val="18"/>
                <w:szCs w:val="18"/>
              </w:rPr>
            </w:pPr>
            <w:r w:rsidRPr="005173CD">
              <w:rPr>
                <w:rFonts w:asciiTheme="majorHAnsi" w:eastAsia="Times New Roman" w:hAnsiTheme="majorHAnsi" w:cstheme="majorHAnsi"/>
                <w:b/>
                <w:color w:val="000000"/>
                <w:sz w:val="18"/>
                <w:szCs w:val="18"/>
              </w:rPr>
              <w:t>Latino</w:t>
            </w:r>
          </w:p>
        </w:tc>
        <w:tc>
          <w:tcPr>
            <w:tcW w:w="1975" w:type="dxa"/>
            <w:gridSpan w:val="3"/>
            <w:tcBorders>
              <w:top w:val="single" w:sz="4" w:space="0" w:color="auto"/>
              <w:left w:val="nil"/>
              <w:bottom w:val="single" w:sz="4" w:space="0" w:color="auto"/>
              <w:right w:val="nil"/>
            </w:tcBorders>
            <w:noWrap/>
            <w:vAlign w:val="center"/>
            <w:hideMark/>
          </w:tcPr>
          <w:p w14:paraId="36185554" w14:textId="77777777" w:rsidR="009B5890" w:rsidRPr="005173CD" w:rsidRDefault="009B5890" w:rsidP="007F5028">
            <w:pPr>
              <w:jc w:val="center"/>
              <w:rPr>
                <w:rFonts w:asciiTheme="majorHAnsi" w:eastAsia="Times New Roman" w:hAnsiTheme="majorHAnsi" w:cstheme="majorHAnsi"/>
                <w:b/>
                <w:sz w:val="18"/>
                <w:szCs w:val="18"/>
              </w:rPr>
            </w:pPr>
            <w:r w:rsidRPr="005173CD">
              <w:rPr>
                <w:rFonts w:asciiTheme="majorHAnsi" w:eastAsia="Times New Roman" w:hAnsiTheme="majorHAnsi" w:cstheme="majorHAnsi"/>
                <w:b/>
                <w:color w:val="000000"/>
                <w:sz w:val="18"/>
                <w:szCs w:val="18"/>
              </w:rPr>
              <w:t>White</w:t>
            </w:r>
          </w:p>
        </w:tc>
        <w:tc>
          <w:tcPr>
            <w:tcW w:w="1975" w:type="dxa"/>
            <w:gridSpan w:val="3"/>
            <w:tcBorders>
              <w:top w:val="single" w:sz="4" w:space="0" w:color="auto"/>
              <w:left w:val="nil"/>
              <w:bottom w:val="single" w:sz="4" w:space="0" w:color="auto"/>
              <w:right w:val="nil"/>
            </w:tcBorders>
            <w:noWrap/>
            <w:vAlign w:val="center"/>
            <w:hideMark/>
          </w:tcPr>
          <w:p w14:paraId="5E8E41C5" w14:textId="77777777" w:rsidR="009B5890" w:rsidRPr="005173CD" w:rsidRDefault="009B5890" w:rsidP="007F5028">
            <w:pPr>
              <w:jc w:val="center"/>
              <w:rPr>
                <w:rFonts w:asciiTheme="majorHAnsi" w:eastAsia="Times New Roman" w:hAnsiTheme="majorHAnsi" w:cstheme="majorHAnsi"/>
                <w:b/>
                <w:bCs/>
                <w:sz w:val="18"/>
                <w:szCs w:val="18"/>
              </w:rPr>
            </w:pPr>
            <w:r w:rsidRPr="005173CD">
              <w:rPr>
                <w:rFonts w:asciiTheme="majorHAnsi" w:eastAsia="Times New Roman" w:hAnsiTheme="majorHAnsi" w:cstheme="majorHAnsi"/>
                <w:b/>
                <w:bCs/>
                <w:color w:val="000000" w:themeColor="text1"/>
                <w:sz w:val="18"/>
                <w:szCs w:val="18"/>
              </w:rPr>
              <w:t>Total</w:t>
            </w:r>
          </w:p>
        </w:tc>
      </w:tr>
      <w:tr w:rsidR="009B5890" w:rsidRPr="005173CD" w14:paraId="39AFEDB9" w14:textId="77777777" w:rsidTr="007F5028">
        <w:trPr>
          <w:trHeight w:val="295"/>
        </w:trPr>
        <w:tc>
          <w:tcPr>
            <w:tcW w:w="1111" w:type="dxa"/>
            <w:tcBorders>
              <w:top w:val="nil"/>
              <w:left w:val="nil"/>
              <w:bottom w:val="single" w:sz="4" w:space="0" w:color="auto"/>
              <w:right w:val="nil"/>
            </w:tcBorders>
            <w:noWrap/>
            <w:vAlign w:val="center"/>
            <w:hideMark/>
          </w:tcPr>
          <w:p w14:paraId="06519312" w14:textId="496E1F73"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Strat</w:t>
            </w:r>
            <w:r w:rsidR="003D7A43">
              <w:rPr>
                <w:rFonts w:asciiTheme="majorHAnsi" w:eastAsia="Times New Roman" w:hAnsiTheme="majorHAnsi" w:cstheme="majorHAnsi"/>
                <w:b/>
                <w:color w:val="000000"/>
                <w:sz w:val="18"/>
                <w:szCs w:val="18"/>
              </w:rPr>
              <w:t>um</w:t>
            </w:r>
          </w:p>
        </w:tc>
        <w:tc>
          <w:tcPr>
            <w:tcW w:w="689" w:type="dxa"/>
            <w:tcBorders>
              <w:top w:val="single" w:sz="4" w:space="0" w:color="auto"/>
              <w:left w:val="nil"/>
              <w:bottom w:val="single" w:sz="4" w:space="0" w:color="auto"/>
              <w:right w:val="nil"/>
            </w:tcBorders>
            <w:noWrap/>
            <w:vAlign w:val="center"/>
            <w:hideMark/>
          </w:tcPr>
          <w:p w14:paraId="0283C035"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27" w:type="dxa"/>
            <w:tcBorders>
              <w:top w:val="single" w:sz="4" w:space="0" w:color="auto"/>
              <w:left w:val="nil"/>
              <w:bottom w:val="single" w:sz="4" w:space="0" w:color="auto"/>
              <w:right w:val="nil"/>
            </w:tcBorders>
            <w:noWrap/>
            <w:vAlign w:val="center"/>
            <w:hideMark/>
          </w:tcPr>
          <w:p w14:paraId="13715A3E"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8" w:type="dxa"/>
            <w:tcBorders>
              <w:top w:val="single" w:sz="4" w:space="0" w:color="auto"/>
              <w:left w:val="nil"/>
              <w:bottom w:val="single" w:sz="4" w:space="0" w:color="auto"/>
              <w:right w:val="nil"/>
            </w:tcBorders>
            <w:noWrap/>
            <w:vAlign w:val="center"/>
            <w:hideMark/>
          </w:tcPr>
          <w:p w14:paraId="7E9FBDB6"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513DE102"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4DEDE729" w14:textId="31300DEA"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c>
          <w:tcPr>
            <w:tcW w:w="695" w:type="dxa"/>
            <w:tcBorders>
              <w:top w:val="single" w:sz="4" w:space="0" w:color="auto"/>
              <w:left w:val="nil"/>
              <w:bottom w:val="single" w:sz="4" w:space="0" w:color="auto"/>
              <w:right w:val="nil"/>
            </w:tcBorders>
            <w:noWrap/>
            <w:vAlign w:val="center"/>
            <w:hideMark/>
          </w:tcPr>
          <w:p w14:paraId="3AC9FD24"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22" w:type="dxa"/>
            <w:tcBorders>
              <w:top w:val="single" w:sz="4" w:space="0" w:color="auto"/>
              <w:left w:val="nil"/>
              <w:bottom w:val="single" w:sz="4" w:space="0" w:color="auto"/>
              <w:right w:val="nil"/>
            </w:tcBorders>
            <w:noWrap/>
            <w:vAlign w:val="center"/>
            <w:hideMark/>
          </w:tcPr>
          <w:p w14:paraId="72012178"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8" w:type="dxa"/>
            <w:tcBorders>
              <w:top w:val="single" w:sz="4" w:space="0" w:color="auto"/>
              <w:left w:val="nil"/>
              <w:bottom w:val="single" w:sz="4" w:space="0" w:color="auto"/>
              <w:right w:val="nil"/>
            </w:tcBorders>
            <w:noWrap/>
            <w:vAlign w:val="center"/>
            <w:hideMark/>
          </w:tcPr>
          <w:p w14:paraId="306DFF2B"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06E2D0CB"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4670A9C1" w14:textId="158BE946"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c>
          <w:tcPr>
            <w:tcW w:w="700" w:type="dxa"/>
            <w:tcBorders>
              <w:top w:val="single" w:sz="4" w:space="0" w:color="auto"/>
              <w:left w:val="nil"/>
              <w:bottom w:val="single" w:sz="4" w:space="0" w:color="auto"/>
              <w:right w:val="nil"/>
            </w:tcBorders>
            <w:noWrap/>
            <w:vAlign w:val="center"/>
            <w:hideMark/>
          </w:tcPr>
          <w:p w14:paraId="6B2D18D1"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17" w:type="dxa"/>
            <w:tcBorders>
              <w:top w:val="single" w:sz="4" w:space="0" w:color="auto"/>
              <w:left w:val="nil"/>
              <w:bottom w:val="single" w:sz="4" w:space="0" w:color="auto"/>
              <w:right w:val="nil"/>
            </w:tcBorders>
            <w:noWrap/>
            <w:vAlign w:val="center"/>
            <w:hideMark/>
          </w:tcPr>
          <w:p w14:paraId="3C1E039C"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8" w:type="dxa"/>
            <w:tcBorders>
              <w:top w:val="single" w:sz="4" w:space="0" w:color="auto"/>
              <w:left w:val="nil"/>
              <w:bottom w:val="single" w:sz="4" w:space="0" w:color="auto"/>
              <w:right w:val="nil"/>
            </w:tcBorders>
            <w:noWrap/>
            <w:vAlign w:val="center"/>
            <w:hideMark/>
          </w:tcPr>
          <w:p w14:paraId="667D50E9"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7095E14B"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40F0F49B" w14:textId="2B9F13B3"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c>
          <w:tcPr>
            <w:tcW w:w="705" w:type="dxa"/>
            <w:tcBorders>
              <w:top w:val="single" w:sz="4" w:space="0" w:color="auto"/>
              <w:left w:val="nil"/>
              <w:bottom w:val="single" w:sz="4" w:space="0" w:color="auto"/>
              <w:right w:val="nil"/>
            </w:tcBorders>
            <w:noWrap/>
            <w:vAlign w:val="center"/>
            <w:hideMark/>
          </w:tcPr>
          <w:p w14:paraId="76E4A99C"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12" w:type="dxa"/>
            <w:tcBorders>
              <w:top w:val="single" w:sz="4" w:space="0" w:color="auto"/>
              <w:left w:val="nil"/>
              <w:bottom w:val="single" w:sz="4" w:space="0" w:color="auto"/>
              <w:right w:val="nil"/>
            </w:tcBorders>
            <w:noWrap/>
            <w:vAlign w:val="center"/>
            <w:hideMark/>
          </w:tcPr>
          <w:p w14:paraId="3D4BB491"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8" w:type="dxa"/>
            <w:tcBorders>
              <w:top w:val="single" w:sz="4" w:space="0" w:color="auto"/>
              <w:left w:val="nil"/>
              <w:bottom w:val="single" w:sz="4" w:space="0" w:color="auto"/>
              <w:right w:val="nil"/>
            </w:tcBorders>
            <w:noWrap/>
            <w:vAlign w:val="center"/>
            <w:hideMark/>
          </w:tcPr>
          <w:p w14:paraId="1C5AF1EC"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67FFBD01"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5902BA23" w14:textId="1A79B17C"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c>
          <w:tcPr>
            <w:tcW w:w="710" w:type="dxa"/>
            <w:tcBorders>
              <w:top w:val="single" w:sz="4" w:space="0" w:color="auto"/>
              <w:left w:val="nil"/>
              <w:bottom w:val="single" w:sz="4" w:space="0" w:color="auto"/>
              <w:right w:val="nil"/>
            </w:tcBorders>
            <w:noWrap/>
            <w:vAlign w:val="center"/>
            <w:hideMark/>
          </w:tcPr>
          <w:p w14:paraId="58ABA455"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06" w:type="dxa"/>
            <w:tcBorders>
              <w:top w:val="single" w:sz="4" w:space="0" w:color="auto"/>
              <w:left w:val="nil"/>
              <w:bottom w:val="single" w:sz="4" w:space="0" w:color="auto"/>
              <w:right w:val="nil"/>
            </w:tcBorders>
            <w:noWrap/>
            <w:vAlign w:val="center"/>
            <w:hideMark/>
          </w:tcPr>
          <w:p w14:paraId="4BCC45FE"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9" w:type="dxa"/>
            <w:tcBorders>
              <w:top w:val="single" w:sz="4" w:space="0" w:color="auto"/>
              <w:left w:val="nil"/>
              <w:bottom w:val="single" w:sz="4" w:space="0" w:color="auto"/>
              <w:right w:val="nil"/>
            </w:tcBorders>
            <w:noWrap/>
            <w:vAlign w:val="center"/>
            <w:hideMark/>
          </w:tcPr>
          <w:p w14:paraId="76A5F770"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58127F8B"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58B3DB13" w14:textId="16D8D69B"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c>
          <w:tcPr>
            <w:tcW w:w="715" w:type="dxa"/>
            <w:tcBorders>
              <w:top w:val="single" w:sz="4" w:space="0" w:color="auto"/>
              <w:left w:val="nil"/>
              <w:bottom w:val="single" w:sz="4" w:space="0" w:color="auto"/>
              <w:right w:val="nil"/>
            </w:tcBorders>
            <w:noWrap/>
            <w:vAlign w:val="center"/>
            <w:hideMark/>
          </w:tcPr>
          <w:p w14:paraId="06E8511B"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Counties masked</w:t>
            </w:r>
          </w:p>
        </w:tc>
        <w:tc>
          <w:tcPr>
            <w:tcW w:w="601" w:type="dxa"/>
            <w:tcBorders>
              <w:top w:val="single" w:sz="4" w:space="0" w:color="auto"/>
              <w:left w:val="nil"/>
              <w:bottom w:val="single" w:sz="4" w:space="0" w:color="auto"/>
              <w:right w:val="nil"/>
            </w:tcBorders>
            <w:noWrap/>
            <w:vAlign w:val="center"/>
            <w:hideMark/>
          </w:tcPr>
          <w:p w14:paraId="197C2D30" w14:textId="77777777" w:rsidR="009B5890" w:rsidRPr="005173CD" w:rsidRDefault="009B5890" w:rsidP="007F5028">
            <w:pPr>
              <w:jc w:val="cente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Person-years masked*</w:t>
            </w:r>
          </w:p>
        </w:tc>
        <w:tc>
          <w:tcPr>
            <w:tcW w:w="659" w:type="dxa"/>
            <w:tcBorders>
              <w:top w:val="single" w:sz="4" w:space="0" w:color="auto"/>
              <w:left w:val="nil"/>
              <w:bottom w:val="single" w:sz="4" w:space="0" w:color="auto"/>
              <w:right w:val="nil"/>
            </w:tcBorders>
            <w:noWrap/>
            <w:vAlign w:val="center"/>
            <w:hideMark/>
          </w:tcPr>
          <w:p w14:paraId="4BDE3CA4"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Percent person-</w:t>
            </w:r>
          </w:p>
          <w:p w14:paraId="27C92DE1" w14:textId="77777777"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years in</w:t>
            </w:r>
          </w:p>
          <w:p w14:paraId="6BF1E375" w14:textId="46BB8139" w:rsidR="009B5890" w:rsidRPr="005173CD" w:rsidRDefault="009B5890" w:rsidP="007F5028">
            <w:pPr>
              <w:jc w:val="cente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strat</w:t>
            </w:r>
            <w:r w:rsidR="003D7A43">
              <w:rPr>
                <w:rFonts w:asciiTheme="majorHAnsi" w:eastAsia="Times New Roman" w:hAnsiTheme="majorHAnsi" w:cstheme="majorHAnsi"/>
                <w:b/>
                <w:bCs/>
                <w:color w:val="000000" w:themeColor="text1"/>
                <w:sz w:val="18"/>
                <w:szCs w:val="18"/>
              </w:rPr>
              <w:t>um</w:t>
            </w:r>
          </w:p>
        </w:tc>
      </w:tr>
      <w:tr w:rsidR="009B5890" w:rsidRPr="005173CD" w14:paraId="51127C4A" w14:textId="77777777" w:rsidTr="007F5028">
        <w:trPr>
          <w:trHeight w:val="295"/>
        </w:trPr>
        <w:tc>
          <w:tcPr>
            <w:tcW w:w="1111" w:type="dxa"/>
            <w:tcBorders>
              <w:top w:val="single" w:sz="4" w:space="0" w:color="auto"/>
              <w:left w:val="nil"/>
              <w:right w:val="nil"/>
            </w:tcBorders>
            <w:noWrap/>
            <w:vAlign w:val="center"/>
            <w:hideMark/>
          </w:tcPr>
          <w:p w14:paraId="2D3FB38A" w14:textId="77777777" w:rsidR="009B5890" w:rsidRPr="005173CD" w:rsidRDefault="009B5890" w:rsidP="007F5028">
            <w:pPr>
              <w:rPr>
                <w:rFonts w:asciiTheme="majorHAnsi" w:eastAsia="Times New Roman" w:hAnsiTheme="majorHAnsi" w:cstheme="majorHAnsi"/>
                <w:b/>
                <w:color w:val="000000"/>
                <w:sz w:val="18"/>
                <w:szCs w:val="18"/>
              </w:rPr>
            </w:pPr>
            <w:r w:rsidRPr="005173CD">
              <w:rPr>
                <w:rFonts w:asciiTheme="majorHAnsi" w:eastAsia="Times New Roman" w:hAnsiTheme="majorHAnsi" w:cstheme="majorHAnsi"/>
                <w:b/>
                <w:color w:val="000000"/>
                <w:sz w:val="18"/>
                <w:szCs w:val="18"/>
              </w:rPr>
              <w:t>Total</w:t>
            </w:r>
          </w:p>
        </w:tc>
        <w:tc>
          <w:tcPr>
            <w:tcW w:w="689" w:type="dxa"/>
            <w:tcBorders>
              <w:top w:val="single" w:sz="4" w:space="0" w:color="auto"/>
              <w:left w:val="nil"/>
              <w:right w:val="nil"/>
            </w:tcBorders>
            <w:noWrap/>
            <w:vAlign w:val="center"/>
            <w:hideMark/>
          </w:tcPr>
          <w:p w14:paraId="7FD78D1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2636</w:t>
            </w:r>
          </w:p>
          <w:p w14:paraId="0B4CDB5E" w14:textId="61AA059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27" w:type="dxa"/>
            <w:tcBorders>
              <w:top w:val="single" w:sz="4" w:space="0" w:color="auto"/>
              <w:left w:val="nil"/>
              <w:right w:val="nil"/>
            </w:tcBorders>
            <w:noWrap/>
            <w:vAlign w:val="center"/>
            <w:hideMark/>
          </w:tcPr>
          <w:p w14:paraId="1E884C30" w14:textId="3EDC50E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6DDF9943" w14:textId="5F2D78B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58" w:type="dxa"/>
            <w:tcBorders>
              <w:top w:val="single" w:sz="4" w:space="0" w:color="auto"/>
              <w:left w:val="nil"/>
              <w:right w:val="nil"/>
            </w:tcBorders>
            <w:noWrap/>
            <w:vAlign w:val="center"/>
            <w:hideMark/>
          </w:tcPr>
          <w:p w14:paraId="360798A6"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95" w:type="dxa"/>
            <w:tcBorders>
              <w:top w:val="single" w:sz="4" w:space="0" w:color="auto"/>
              <w:left w:val="nil"/>
              <w:right w:val="nil"/>
            </w:tcBorders>
            <w:noWrap/>
            <w:vAlign w:val="center"/>
            <w:hideMark/>
          </w:tcPr>
          <w:p w14:paraId="5C77F52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2443</w:t>
            </w:r>
          </w:p>
          <w:p w14:paraId="010441F2" w14:textId="632B81C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22" w:type="dxa"/>
            <w:tcBorders>
              <w:top w:val="single" w:sz="4" w:space="0" w:color="auto"/>
              <w:left w:val="nil"/>
              <w:right w:val="nil"/>
            </w:tcBorders>
            <w:noWrap/>
            <w:vAlign w:val="center"/>
            <w:hideMark/>
          </w:tcPr>
          <w:p w14:paraId="1B62888E" w14:textId="7ACFD82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2E1D6670" w14:textId="6A04B01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58" w:type="dxa"/>
            <w:tcBorders>
              <w:top w:val="single" w:sz="4" w:space="0" w:color="auto"/>
              <w:left w:val="nil"/>
              <w:right w:val="nil"/>
            </w:tcBorders>
            <w:noWrap/>
            <w:vAlign w:val="center"/>
            <w:hideMark/>
          </w:tcPr>
          <w:p w14:paraId="38EF942B"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0" w:type="dxa"/>
            <w:tcBorders>
              <w:top w:val="single" w:sz="4" w:space="0" w:color="auto"/>
              <w:left w:val="nil"/>
              <w:right w:val="nil"/>
            </w:tcBorders>
            <w:noWrap/>
            <w:vAlign w:val="center"/>
            <w:hideMark/>
          </w:tcPr>
          <w:p w14:paraId="5A13FDAA"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1622</w:t>
            </w:r>
          </w:p>
          <w:p w14:paraId="4BF74237" w14:textId="0C3A71C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17" w:type="dxa"/>
            <w:tcBorders>
              <w:top w:val="single" w:sz="4" w:space="0" w:color="auto"/>
              <w:left w:val="nil"/>
              <w:right w:val="nil"/>
            </w:tcBorders>
            <w:noWrap/>
            <w:vAlign w:val="center"/>
            <w:hideMark/>
          </w:tcPr>
          <w:p w14:paraId="67B4218D" w14:textId="314C3B2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04781BCE" w14:textId="2D757C9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top w:val="single" w:sz="4" w:space="0" w:color="auto"/>
              <w:left w:val="nil"/>
              <w:right w:val="nil"/>
            </w:tcBorders>
            <w:noWrap/>
            <w:vAlign w:val="center"/>
            <w:hideMark/>
          </w:tcPr>
          <w:p w14:paraId="0ECF71CD"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5" w:type="dxa"/>
            <w:tcBorders>
              <w:top w:val="single" w:sz="4" w:space="0" w:color="auto"/>
              <w:left w:val="nil"/>
              <w:right w:val="nil"/>
            </w:tcBorders>
            <w:noWrap/>
            <w:vAlign w:val="center"/>
            <w:hideMark/>
          </w:tcPr>
          <w:p w14:paraId="474D6F4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1632</w:t>
            </w:r>
          </w:p>
          <w:p w14:paraId="00B304A3" w14:textId="346E761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12" w:type="dxa"/>
            <w:tcBorders>
              <w:top w:val="single" w:sz="4" w:space="0" w:color="auto"/>
              <w:left w:val="nil"/>
              <w:right w:val="nil"/>
            </w:tcBorders>
            <w:noWrap/>
            <w:vAlign w:val="center"/>
            <w:hideMark/>
          </w:tcPr>
          <w:p w14:paraId="6EC58EC5" w14:textId="0812E45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2C030631" w14:textId="15F4B26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58" w:type="dxa"/>
            <w:tcBorders>
              <w:top w:val="single" w:sz="4" w:space="0" w:color="auto"/>
              <w:left w:val="nil"/>
              <w:right w:val="nil"/>
            </w:tcBorders>
            <w:noWrap/>
            <w:vAlign w:val="center"/>
            <w:hideMark/>
          </w:tcPr>
          <w:p w14:paraId="0B11571A"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0" w:type="dxa"/>
            <w:tcBorders>
              <w:top w:val="single" w:sz="4" w:space="0" w:color="auto"/>
              <w:left w:val="nil"/>
              <w:right w:val="nil"/>
            </w:tcBorders>
            <w:noWrap/>
            <w:vAlign w:val="center"/>
            <w:hideMark/>
          </w:tcPr>
          <w:p w14:paraId="334736FF"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59</w:t>
            </w:r>
          </w:p>
          <w:p w14:paraId="4E15911A" w14:textId="4710B3B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06" w:type="dxa"/>
            <w:tcBorders>
              <w:top w:val="single" w:sz="4" w:space="0" w:color="auto"/>
              <w:left w:val="nil"/>
              <w:right w:val="nil"/>
            </w:tcBorders>
            <w:noWrap/>
            <w:vAlign w:val="center"/>
            <w:hideMark/>
          </w:tcPr>
          <w:p w14:paraId="2C6C82B0" w14:textId="24028AB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p w14:paraId="59DE7786" w14:textId="45A3259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top w:val="single" w:sz="4" w:space="0" w:color="auto"/>
              <w:left w:val="nil"/>
              <w:right w:val="nil"/>
            </w:tcBorders>
            <w:noWrap/>
            <w:vAlign w:val="center"/>
            <w:hideMark/>
          </w:tcPr>
          <w:p w14:paraId="469C2480"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5" w:type="dxa"/>
            <w:tcBorders>
              <w:top w:val="single" w:sz="4" w:space="0" w:color="auto"/>
              <w:left w:val="nil"/>
              <w:right w:val="nil"/>
            </w:tcBorders>
            <w:noWrap/>
            <w:vAlign w:val="center"/>
            <w:hideMark/>
          </w:tcPr>
          <w:p w14:paraId="6F310DA7"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31</w:t>
            </w:r>
          </w:p>
          <w:p w14:paraId="47E5A0A0" w14:textId="57CE740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1" w:type="dxa"/>
            <w:tcBorders>
              <w:top w:val="single" w:sz="4" w:space="0" w:color="auto"/>
              <w:left w:val="nil"/>
              <w:right w:val="nil"/>
            </w:tcBorders>
            <w:noWrap/>
            <w:vAlign w:val="center"/>
            <w:hideMark/>
          </w:tcPr>
          <w:p w14:paraId="4F4FF5C3" w14:textId="686CFFB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4994194C" w14:textId="088DACC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top w:val="single" w:sz="4" w:space="0" w:color="auto"/>
              <w:left w:val="nil"/>
              <w:right w:val="nil"/>
            </w:tcBorders>
            <w:noWrap/>
            <w:vAlign w:val="center"/>
            <w:hideMark/>
          </w:tcPr>
          <w:p w14:paraId="519B622F" w14:textId="77777777" w:rsidR="009B5890" w:rsidRPr="005173CD" w:rsidRDefault="009B5890" w:rsidP="007F5028">
            <w:pPr>
              <w:jc w:val="center"/>
              <w:rPr>
                <w:rFonts w:asciiTheme="majorHAnsi" w:eastAsia="Times New Roman" w:hAnsiTheme="majorHAnsi" w:cstheme="majorHAnsi"/>
                <w:color w:val="000000"/>
                <w:sz w:val="18"/>
                <w:szCs w:val="18"/>
              </w:rPr>
            </w:pPr>
          </w:p>
        </w:tc>
      </w:tr>
      <w:tr w:rsidR="009B5890" w:rsidRPr="005173CD" w14:paraId="0BC242BD" w14:textId="77777777" w:rsidTr="007F5028">
        <w:trPr>
          <w:trHeight w:val="295"/>
        </w:trPr>
        <w:tc>
          <w:tcPr>
            <w:tcW w:w="1800" w:type="dxa"/>
            <w:gridSpan w:val="2"/>
            <w:tcBorders>
              <w:top w:val="single" w:sz="4" w:space="0" w:color="BFBFBF" w:themeColor="background1" w:themeShade="BF"/>
              <w:left w:val="nil"/>
              <w:right w:val="nil"/>
            </w:tcBorders>
            <w:noWrap/>
            <w:vAlign w:val="center"/>
          </w:tcPr>
          <w:p w14:paraId="4D370D35" w14:textId="77777777" w:rsidR="009B5890" w:rsidRPr="005173CD" w:rsidRDefault="009B5890" w:rsidP="007F5028">
            <w:pP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Urban or rural code</w:t>
            </w:r>
          </w:p>
        </w:tc>
        <w:tc>
          <w:tcPr>
            <w:tcW w:w="627" w:type="dxa"/>
            <w:tcBorders>
              <w:top w:val="single" w:sz="4" w:space="0" w:color="BFBFBF" w:themeColor="background1" w:themeShade="BF"/>
              <w:left w:val="nil"/>
              <w:right w:val="nil"/>
            </w:tcBorders>
            <w:noWrap/>
            <w:vAlign w:val="center"/>
          </w:tcPr>
          <w:p w14:paraId="54027A6D"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top w:val="single" w:sz="4" w:space="0" w:color="BFBFBF" w:themeColor="background1" w:themeShade="BF"/>
              <w:left w:val="nil"/>
              <w:right w:val="nil"/>
            </w:tcBorders>
            <w:noWrap/>
            <w:vAlign w:val="center"/>
          </w:tcPr>
          <w:p w14:paraId="7E1F8F12"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95" w:type="dxa"/>
            <w:tcBorders>
              <w:top w:val="single" w:sz="4" w:space="0" w:color="BFBFBF" w:themeColor="background1" w:themeShade="BF"/>
              <w:left w:val="nil"/>
              <w:right w:val="nil"/>
            </w:tcBorders>
            <w:noWrap/>
            <w:vAlign w:val="center"/>
          </w:tcPr>
          <w:p w14:paraId="1BC09FD3"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22" w:type="dxa"/>
            <w:tcBorders>
              <w:top w:val="single" w:sz="4" w:space="0" w:color="BFBFBF" w:themeColor="background1" w:themeShade="BF"/>
              <w:left w:val="nil"/>
              <w:right w:val="nil"/>
            </w:tcBorders>
            <w:noWrap/>
            <w:vAlign w:val="center"/>
          </w:tcPr>
          <w:p w14:paraId="47C025E9"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top w:val="single" w:sz="4" w:space="0" w:color="BFBFBF" w:themeColor="background1" w:themeShade="BF"/>
              <w:left w:val="nil"/>
              <w:right w:val="nil"/>
            </w:tcBorders>
            <w:noWrap/>
            <w:vAlign w:val="center"/>
          </w:tcPr>
          <w:p w14:paraId="317B47B1"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0" w:type="dxa"/>
            <w:tcBorders>
              <w:top w:val="single" w:sz="4" w:space="0" w:color="BFBFBF" w:themeColor="background1" w:themeShade="BF"/>
              <w:left w:val="nil"/>
              <w:right w:val="nil"/>
            </w:tcBorders>
            <w:noWrap/>
            <w:vAlign w:val="center"/>
          </w:tcPr>
          <w:p w14:paraId="617A284A"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17" w:type="dxa"/>
            <w:tcBorders>
              <w:top w:val="single" w:sz="4" w:space="0" w:color="BFBFBF" w:themeColor="background1" w:themeShade="BF"/>
              <w:left w:val="nil"/>
              <w:right w:val="nil"/>
            </w:tcBorders>
            <w:noWrap/>
            <w:vAlign w:val="center"/>
          </w:tcPr>
          <w:p w14:paraId="26689AAB"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top w:val="single" w:sz="4" w:space="0" w:color="BFBFBF" w:themeColor="background1" w:themeShade="BF"/>
              <w:left w:val="nil"/>
              <w:right w:val="nil"/>
            </w:tcBorders>
            <w:noWrap/>
            <w:vAlign w:val="center"/>
          </w:tcPr>
          <w:p w14:paraId="1602484C"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5" w:type="dxa"/>
            <w:tcBorders>
              <w:top w:val="single" w:sz="4" w:space="0" w:color="BFBFBF" w:themeColor="background1" w:themeShade="BF"/>
              <w:left w:val="nil"/>
              <w:right w:val="nil"/>
            </w:tcBorders>
            <w:noWrap/>
            <w:vAlign w:val="center"/>
          </w:tcPr>
          <w:p w14:paraId="709C4B98"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12" w:type="dxa"/>
            <w:tcBorders>
              <w:top w:val="single" w:sz="4" w:space="0" w:color="BFBFBF" w:themeColor="background1" w:themeShade="BF"/>
              <w:left w:val="nil"/>
              <w:right w:val="nil"/>
            </w:tcBorders>
            <w:noWrap/>
            <w:vAlign w:val="center"/>
          </w:tcPr>
          <w:p w14:paraId="370D0B11"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top w:val="single" w:sz="4" w:space="0" w:color="BFBFBF" w:themeColor="background1" w:themeShade="BF"/>
              <w:left w:val="nil"/>
              <w:right w:val="nil"/>
            </w:tcBorders>
            <w:noWrap/>
            <w:vAlign w:val="center"/>
          </w:tcPr>
          <w:p w14:paraId="0A6E66F7"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0" w:type="dxa"/>
            <w:tcBorders>
              <w:top w:val="single" w:sz="4" w:space="0" w:color="BFBFBF" w:themeColor="background1" w:themeShade="BF"/>
              <w:left w:val="nil"/>
              <w:right w:val="nil"/>
            </w:tcBorders>
            <w:noWrap/>
            <w:vAlign w:val="center"/>
          </w:tcPr>
          <w:p w14:paraId="4870D8C3"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06" w:type="dxa"/>
            <w:tcBorders>
              <w:top w:val="single" w:sz="4" w:space="0" w:color="BFBFBF" w:themeColor="background1" w:themeShade="BF"/>
              <w:left w:val="nil"/>
              <w:right w:val="nil"/>
            </w:tcBorders>
            <w:noWrap/>
            <w:vAlign w:val="center"/>
          </w:tcPr>
          <w:p w14:paraId="2C38922C"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9" w:type="dxa"/>
            <w:tcBorders>
              <w:top w:val="single" w:sz="4" w:space="0" w:color="BFBFBF" w:themeColor="background1" w:themeShade="BF"/>
              <w:left w:val="nil"/>
              <w:right w:val="nil"/>
            </w:tcBorders>
            <w:noWrap/>
            <w:vAlign w:val="center"/>
          </w:tcPr>
          <w:p w14:paraId="114C79F4"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5" w:type="dxa"/>
            <w:tcBorders>
              <w:top w:val="single" w:sz="4" w:space="0" w:color="BFBFBF" w:themeColor="background1" w:themeShade="BF"/>
              <w:left w:val="nil"/>
              <w:right w:val="nil"/>
            </w:tcBorders>
            <w:noWrap/>
            <w:vAlign w:val="center"/>
          </w:tcPr>
          <w:p w14:paraId="3DEF428F"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01" w:type="dxa"/>
            <w:tcBorders>
              <w:top w:val="single" w:sz="4" w:space="0" w:color="BFBFBF" w:themeColor="background1" w:themeShade="BF"/>
              <w:left w:val="nil"/>
              <w:right w:val="nil"/>
            </w:tcBorders>
            <w:noWrap/>
            <w:vAlign w:val="center"/>
          </w:tcPr>
          <w:p w14:paraId="1ED93547"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9" w:type="dxa"/>
            <w:tcBorders>
              <w:top w:val="single" w:sz="4" w:space="0" w:color="BFBFBF" w:themeColor="background1" w:themeShade="BF"/>
              <w:left w:val="nil"/>
              <w:right w:val="nil"/>
            </w:tcBorders>
            <w:noWrap/>
            <w:vAlign w:val="center"/>
          </w:tcPr>
          <w:p w14:paraId="0DDDA9A8" w14:textId="77777777" w:rsidR="009B5890" w:rsidRPr="005173CD" w:rsidRDefault="009B5890" w:rsidP="007F5028">
            <w:pPr>
              <w:jc w:val="center"/>
              <w:rPr>
                <w:rFonts w:asciiTheme="majorHAnsi" w:eastAsia="Times New Roman" w:hAnsiTheme="majorHAnsi" w:cstheme="majorHAnsi"/>
                <w:color w:val="000000"/>
                <w:sz w:val="18"/>
                <w:szCs w:val="18"/>
              </w:rPr>
            </w:pPr>
          </w:p>
        </w:tc>
      </w:tr>
      <w:tr w:rsidR="009B5890" w:rsidRPr="005173CD" w14:paraId="00596991" w14:textId="77777777" w:rsidTr="007F5028">
        <w:trPr>
          <w:trHeight w:val="295"/>
        </w:trPr>
        <w:tc>
          <w:tcPr>
            <w:tcW w:w="1111" w:type="dxa"/>
            <w:tcBorders>
              <w:left w:val="nil"/>
              <w:right w:val="nil"/>
            </w:tcBorders>
            <w:noWrap/>
            <w:vAlign w:val="center"/>
            <w:hideMark/>
          </w:tcPr>
          <w:p w14:paraId="368702AF"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Large central metro</w:t>
            </w:r>
          </w:p>
        </w:tc>
        <w:tc>
          <w:tcPr>
            <w:tcW w:w="689" w:type="dxa"/>
            <w:tcBorders>
              <w:left w:val="nil"/>
              <w:right w:val="nil"/>
            </w:tcBorders>
            <w:noWrap/>
            <w:vAlign w:val="center"/>
            <w:hideMark/>
          </w:tcPr>
          <w:p w14:paraId="747ECBF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w:t>
            </w:r>
          </w:p>
          <w:p w14:paraId="3F648FA3" w14:textId="0D1D2CB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27" w:type="dxa"/>
            <w:tcBorders>
              <w:left w:val="nil"/>
              <w:right w:val="nil"/>
            </w:tcBorders>
            <w:noWrap/>
            <w:vAlign w:val="center"/>
            <w:hideMark/>
          </w:tcPr>
          <w:p w14:paraId="0FE73B42" w14:textId="0541014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34D8FAB1" w14:textId="43B94AB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58" w:type="dxa"/>
            <w:tcBorders>
              <w:left w:val="nil"/>
              <w:right w:val="nil"/>
            </w:tcBorders>
            <w:noWrap/>
            <w:vAlign w:val="center"/>
            <w:hideMark/>
          </w:tcPr>
          <w:p w14:paraId="0316161F" w14:textId="31446AC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95" w:type="dxa"/>
            <w:tcBorders>
              <w:left w:val="nil"/>
              <w:right w:val="nil"/>
            </w:tcBorders>
            <w:noWrap/>
            <w:vAlign w:val="center"/>
            <w:hideMark/>
          </w:tcPr>
          <w:p w14:paraId="015B511F"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2743CC09" w14:textId="1F3776C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22" w:type="dxa"/>
            <w:tcBorders>
              <w:left w:val="nil"/>
              <w:right w:val="nil"/>
            </w:tcBorders>
            <w:noWrap/>
            <w:vAlign w:val="center"/>
            <w:hideMark/>
          </w:tcPr>
          <w:p w14:paraId="6EF74177" w14:textId="65A4C34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1E9754E0" w14:textId="57574FA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left w:val="nil"/>
              <w:right w:val="nil"/>
            </w:tcBorders>
            <w:noWrap/>
            <w:vAlign w:val="center"/>
            <w:hideMark/>
          </w:tcPr>
          <w:p w14:paraId="2E9FE121" w14:textId="399CE04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00" w:type="dxa"/>
            <w:tcBorders>
              <w:left w:val="nil"/>
              <w:right w:val="nil"/>
            </w:tcBorders>
            <w:noWrap/>
            <w:vAlign w:val="center"/>
            <w:hideMark/>
          </w:tcPr>
          <w:p w14:paraId="468C7AF7"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1656369E" w14:textId="7D738A5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17" w:type="dxa"/>
            <w:tcBorders>
              <w:left w:val="nil"/>
              <w:right w:val="nil"/>
            </w:tcBorders>
            <w:noWrap/>
            <w:vAlign w:val="center"/>
            <w:hideMark/>
          </w:tcPr>
          <w:p w14:paraId="0479F98F" w14:textId="11D00A2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5667923A" w14:textId="129558E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left w:val="nil"/>
              <w:right w:val="nil"/>
            </w:tcBorders>
            <w:noWrap/>
            <w:vAlign w:val="center"/>
            <w:hideMark/>
          </w:tcPr>
          <w:p w14:paraId="5E61AC83" w14:textId="0818797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05" w:type="dxa"/>
            <w:tcBorders>
              <w:left w:val="nil"/>
              <w:right w:val="nil"/>
            </w:tcBorders>
            <w:noWrap/>
            <w:vAlign w:val="center"/>
            <w:hideMark/>
          </w:tcPr>
          <w:p w14:paraId="6423F79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52DDC860" w14:textId="478756B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12" w:type="dxa"/>
            <w:tcBorders>
              <w:left w:val="nil"/>
              <w:right w:val="nil"/>
            </w:tcBorders>
            <w:noWrap/>
            <w:vAlign w:val="center"/>
            <w:hideMark/>
          </w:tcPr>
          <w:p w14:paraId="215CDC06" w14:textId="55012F4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0271A128" w14:textId="30DC0DB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left w:val="nil"/>
              <w:right w:val="nil"/>
            </w:tcBorders>
            <w:noWrap/>
            <w:vAlign w:val="center"/>
            <w:hideMark/>
          </w:tcPr>
          <w:p w14:paraId="5C40403D" w14:textId="6891B5D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710" w:type="dxa"/>
            <w:tcBorders>
              <w:left w:val="nil"/>
              <w:right w:val="nil"/>
            </w:tcBorders>
            <w:noWrap/>
            <w:vAlign w:val="center"/>
            <w:hideMark/>
          </w:tcPr>
          <w:p w14:paraId="27ED53A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56AF294C" w14:textId="6AAA08A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6" w:type="dxa"/>
            <w:tcBorders>
              <w:left w:val="nil"/>
              <w:right w:val="nil"/>
            </w:tcBorders>
            <w:noWrap/>
            <w:vAlign w:val="center"/>
            <w:hideMark/>
          </w:tcPr>
          <w:p w14:paraId="18D03D93" w14:textId="7DA3F29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07D6F8A3" w14:textId="7279983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5D0D3C96" w14:textId="50F37F9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15" w:type="dxa"/>
            <w:tcBorders>
              <w:left w:val="nil"/>
              <w:right w:val="nil"/>
            </w:tcBorders>
            <w:noWrap/>
            <w:vAlign w:val="center"/>
            <w:hideMark/>
          </w:tcPr>
          <w:p w14:paraId="5FDA293F"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4F6D3F29" w14:textId="01666F7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1" w:type="dxa"/>
            <w:tcBorders>
              <w:left w:val="nil"/>
              <w:right w:val="nil"/>
            </w:tcBorders>
            <w:noWrap/>
            <w:vAlign w:val="center"/>
            <w:hideMark/>
          </w:tcPr>
          <w:p w14:paraId="2D1CE99A" w14:textId="0F470A6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493A8D64" w14:textId="3000113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664F0400" w14:textId="577C036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r>
      <w:tr w:rsidR="009B5890" w:rsidRPr="005173CD" w14:paraId="05C2DDB6" w14:textId="77777777" w:rsidTr="007F5028">
        <w:trPr>
          <w:trHeight w:val="295"/>
        </w:trPr>
        <w:tc>
          <w:tcPr>
            <w:tcW w:w="1111" w:type="dxa"/>
            <w:tcBorders>
              <w:left w:val="nil"/>
              <w:right w:val="nil"/>
            </w:tcBorders>
            <w:noWrap/>
            <w:vAlign w:val="center"/>
            <w:hideMark/>
          </w:tcPr>
          <w:p w14:paraId="013392EE"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Large fringe metro</w:t>
            </w:r>
          </w:p>
        </w:tc>
        <w:tc>
          <w:tcPr>
            <w:tcW w:w="689" w:type="dxa"/>
            <w:tcBorders>
              <w:left w:val="nil"/>
              <w:right w:val="nil"/>
            </w:tcBorders>
            <w:noWrap/>
            <w:vAlign w:val="center"/>
            <w:hideMark/>
          </w:tcPr>
          <w:p w14:paraId="3298713B"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309</w:t>
            </w:r>
          </w:p>
          <w:p w14:paraId="1D3CB233" w14:textId="7E0B3CC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27" w:type="dxa"/>
            <w:tcBorders>
              <w:left w:val="nil"/>
              <w:right w:val="nil"/>
            </w:tcBorders>
            <w:noWrap/>
            <w:vAlign w:val="center"/>
            <w:hideMark/>
          </w:tcPr>
          <w:p w14:paraId="3C8D0B72" w14:textId="7A6E958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09FCE1BE" w14:textId="38FFCE2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58" w:type="dxa"/>
            <w:tcBorders>
              <w:left w:val="nil"/>
              <w:right w:val="nil"/>
            </w:tcBorders>
            <w:noWrap/>
            <w:vAlign w:val="center"/>
            <w:hideMark/>
          </w:tcPr>
          <w:p w14:paraId="456CFAE2" w14:textId="59ACFBA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95" w:type="dxa"/>
            <w:tcBorders>
              <w:left w:val="nil"/>
              <w:right w:val="nil"/>
            </w:tcBorders>
            <w:noWrap/>
            <w:vAlign w:val="center"/>
            <w:hideMark/>
          </w:tcPr>
          <w:p w14:paraId="00E1872C"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184</w:t>
            </w:r>
          </w:p>
          <w:p w14:paraId="670B5901" w14:textId="0D8D21B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22" w:type="dxa"/>
            <w:tcBorders>
              <w:left w:val="nil"/>
              <w:right w:val="nil"/>
            </w:tcBorders>
            <w:noWrap/>
            <w:vAlign w:val="center"/>
            <w:hideMark/>
          </w:tcPr>
          <w:p w14:paraId="39627A25" w14:textId="69CE557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p w14:paraId="11F4A946" w14:textId="7DC7895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58" w:type="dxa"/>
            <w:tcBorders>
              <w:left w:val="nil"/>
              <w:right w:val="nil"/>
            </w:tcBorders>
            <w:noWrap/>
            <w:vAlign w:val="center"/>
            <w:hideMark/>
          </w:tcPr>
          <w:p w14:paraId="720E8F02" w14:textId="35B0AB7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700" w:type="dxa"/>
            <w:tcBorders>
              <w:left w:val="nil"/>
              <w:right w:val="nil"/>
            </w:tcBorders>
            <w:noWrap/>
            <w:vAlign w:val="center"/>
            <w:hideMark/>
          </w:tcPr>
          <w:p w14:paraId="339142DA"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83</w:t>
            </w:r>
          </w:p>
          <w:p w14:paraId="66BE7A3D" w14:textId="0C581F7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17" w:type="dxa"/>
            <w:tcBorders>
              <w:left w:val="nil"/>
              <w:right w:val="nil"/>
            </w:tcBorders>
            <w:noWrap/>
            <w:vAlign w:val="center"/>
            <w:hideMark/>
          </w:tcPr>
          <w:p w14:paraId="34645638" w14:textId="7D244F9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084C76F1" w14:textId="6F63475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58" w:type="dxa"/>
            <w:tcBorders>
              <w:left w:val="nil"/>
              <w:right w:val="nil"/>
            </w:tcBorders>
            <w:noWrap/>
            <w:vAlign w:val="center"/>
            <w:hideMark/>
          </w:tcPr>
          <w:p w14:paraId="787BB1CC" w14:textId="1DD8BA2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05" w:type="dxa"/>
            <w:tcBorders>
              <w:left w:val="nil"/>
              <w:right w:val="nil"/>
            </w:tcBorders>
            <w:noWrap/>
            <w:vAlign w:val="center"/>
            <w:hideMark/>
          </w:tcPr>
          <w:p w14:paraId="3C60CC6E"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103</w:t>
            </w:r>
          </w:p>
          <w:p w14:paraId="688F7266" w14:textId="12F305F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12" w:type="dxa"/>
            <w:tcBorders>
              <w:left w:val="nil"/>
              <w:right w:val="nil"/>
            </w:tcBorders>
            <w:noWrap/>
            <w:vAlign w:val="center"/>
            <w:hideMark/>
          </w:tcPr>
          <w:p w14:paraId="6224961C" w14:textId="47A20F6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p w14:paraId="309F8EF5" w14:textId="3E723FE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743C1E39" w14:textId="5C813DC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710" w:type="dxa"/>
            <w:tcBorders>
              <w:left w:val="nil"/>
              <w:right w:val="nil"/>
            </w:tcBorders>
            <w:noWrap/>
            <w:vAlign w:val="center"/>
            <w:hideMark/>
          </w:tcPr>
          <w:p w14:paraId="41606D03"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2B42F31E" w14:textId="0F79ECB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6" w:type="dxa"/>
            <w:tcBorders>
              <w:left w:val="nil"/>
              <w:right w:val="nil"/>
            </w:tcBorders>
            <w:noWrap/>
            <w:vAlign w:val="center"/>
            <w:hideMark/>
          </w:tcPr>
          <w:p w14:paraId="4275965F" w14:textId="086C49C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34169780" w14:textId="2C8FE8F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61BECCEF" w14:textId="533CF6B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15" w:type="dxa"/>
            <w:tcBorders>
              <w:left w:val="nil"/>
              <w:right w:val="nil"/>
            </w:tcBorders>
            <w:noWrap/>
            <w:vAlign w:val="center"/>
            <w:hideMark/>
          </w:tcPr>
          <w:p w14:paraId="6FC8D8F1"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073799E1" w14:textId="3F05C19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1" w:type="dxa"/>
            <w:tcBorders>
              <w:left w:val="nil"/>
              <w:right w:val="nil"/>
            </w:tcBorders>
            <w:noWrap/>
            <w:vAlign w:val="center"/>
            <w:hideMark/>
          </w:tcPr>
          <w:p w14:paraId="7B16F7D2" w14:textId="5FA1F14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3B2E1E23" w14:textId="4054AD6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7346FF73" w14:textId="15E8192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r>
      <w:tr w:rsidR="009B5890" w:rsidRPr="005173CD" w14:paraId="688BCA74" w14:textId="77777777" w:rsidTr="007F5028">
        <w:trPr>
          <w:trHeight w:val="295"/>
        </w:trPr>
        <w:tc>
          <w:tcPr>
            <w:tcW w:w="1111" w:type="dxa"/>
            <w:tcBorders>
              <w:left w:val="nil"/>
              <w:right w:val="nil"/>
            </w:tcBorders>
            <w:noWrap/>
            <w:vAlign w:val="center"/>
            <w:hideMark/>
          </w:tcPr>
          <w:p w14:paraId="1FC03735"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Medium metro</w:t>
            </w:r>
          </w:p>
        </w:tc>
        <w:tc>
          <w:tcPr>
            <w:tcW w:w="689" w:type="dxa"/>
            <w:tcBorders>
              <w:left w:val="nil"/>
              <w:right w:val="nil"/>
            </w:tcBorders>
            <w:noWrap/>
            <w:vAlign w:val="center"/>
            <w:hideMark/>
          </w:tcPr>
          <w:p w14:paraId="2C12A68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359</w:t>
            </w:r>
          </w:p>
          <w:p w14:paraId="628C2ED6" w14:textId="63CAA76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27" w:type="dxa"/>
            <w:tcBorders>
              <w:left w:val="nil"/>
              <w:right w:val="nil"/>
            </w:tcBorders>
            <w:noWrap/>
            <w:vAlign w:val="center"/>
            <w:hideMark/>
          </w:tcPr>
          <w:p w14:paraId="36EDA9C0" w14:textId="4F15EB3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5695F4B4" w14:textId="425588B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58" w:type="dxa"/>
            <w:tcBorders>
              <w:left w:val="nil"/>
              <w:right w:val="nil"/>
            </w:tcBorders>
            <w:noWrap/>
            <w:vAlign w:val="center"/>
            <w:hideMark/>
          </w:tcPr>
          <w:p w14:paraId="51D981F2" w14:textId="513F5BA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95" w:type="dxa"/>
            <w:tcBorders>
              <w:left w:val="nil"/>
              <w:right w:val="nil"/>
            </w:tcBorders>
            <w:noWrap/>
            <w:vAlign w:val="center"/>
            <w:hideMark/>
          </w:tcPr>
          <w:p w14:paraId="205AF19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239</w:t>
            </w:r>
          </w:p>
          <w:p w14:paraId="5BF3DF90" w14:textId="30A845F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22" w:type="dxa"/>
            <w:tcBorders>
              <w:left w:val="nil"/>
              <w:right w:val="nil"/>
            </w:tcBorders>
            <w:noWrap/>
            <w:vAlign w:val="center"/>
            <w:hideMark/>
          </w:tcPr>
          <w:p w14:paraId="35D474C0" w14:textId="21C59BE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p w14:paraId="328FB0A2" w14:textId="1D10A5C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58" w:type="dxa"/>
            <w:tcBorders>
              <w:left w:val="nil"/>
              <w:right w:val="nil"/>
            </w:tcBorders>
            <w:noWrap/>
            <w:vAlign w:val="center"/>
            <w:hideMark/>
          </w:tcPr>
          <w:p w14:paraId="4D780A3F" w14:textId="000F375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00" w:type="dxa"/>
            <w:tcBorders>
              <w:left w:val="nil"/>
              <w:right w:val="nil"/>
            </w:tcBorders>
            <w:noWrap/>
            <w:vAlign w:val="center"/>
            <w:hideMark/>
          </w:tcPr>
          <w:p w14:paraId="112DF31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115</w:t>
            </w:r>
          </w:p>
          <w:p w14:paraId="2AD3C240" w14:textId="6C17723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17" w:type="dxa"/>
            <w:tcBorders>
              <w:left w:val="nil"/>
              <w:right w:val="nil"/>
            </w:tcBorders>
            <w:noWrap/>
            <w:vAlign w:val="center"/>
            <w:hideMark/>
          </w:tcPr>
          <w:p w14:paraId="18CFE59F" w14:textId="40338F6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7AA8CC77" w14:textId="6871569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38B8EAEA" w14:textId="138FEB9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705" w:type="dxa"/>
            <w:tcBorders>
              <w:left w:val="nil"/>
              <w:right w:val="nil"/>
            </w:tcBorders>
            <w:noWrap/>
            <w:vAlign w:val="center"/>
            <w:hideMark/>
          </w:tcPr>
          <w:p w14:paraId="2918EC40"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121</w:t>
            </w:r>
          </w:p>
          <w:p w14:paraId="3C2C138A" w14:textId="3E4EE7E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12" w:type="dxa"/>
            <w:tcBorders>
              <w:left w:val="nil"/>
              <w:right w:val="nil"/>
            </w:tcBorders>
            <w:noWrap/>
            <w:vAlign w:val="center"/>
            <w:hideMark/>
          </w:tcPr>
          <w:p w14:paraId="01F66922" w14:textId="12645B0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p w14:paraId="652BE237" w14:textId="6DA5327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5F923FE8" w14:textId="0B1ECF5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10" w:type="dxa"/>
            <w:tcBorders>
              <w:left w:val="nil"/>
              <w:right w:val="nil"/>
            </w:tcBorders>
            <w:noWrap/>
            <w:vAlign w:val="center"/>
            <w:hideMark/>
          </w:tcPr>
          <w:p w14:paraId="08AA95A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p>
          <w:p w14:paraId="133BF080" w14:textId="22C8451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06" w:type="dxa"/>
            <w:tcBorders>
              <w:left w:val="nil"/>
              <w:right w:val="nil"/>
            </w:tcBorders>
            <w:noWrap/>
            <w:vAlign w:val="center"/>
            <w:hideMark/>
          </w:tcPr>
          <w:p w14:paraId="7D862740" w14:textId="6F771CA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1E9CD0C4" w14:textId="562CCAA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0101B544" w14:textId="1780ADD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15" w:type="dxa"/>
            <w:tcBorders>
              <w:left w:val="nil"/>
              <w:right w:val="nil"/>
            </w:tcBorders>
            <w:noWrap/>
            <w:vAlign w:val="center"/>
            <w:hideMark/>
          </w:tcPr>
          <w:p w14:paraId="39939ED0"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6F405260" w14:textId="27E16A4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1" w:type="dxa"/>
            <w:tcBorders>
              <w:left w:val="nil"/>
              <w:right w:val="nil"/>
            </w:tcBorders>
            <w:noWrap/>
            <w:vAlign w:val="center"/>
            <w:hideMark/>
          </w:tcPr>
          <w:p w14:paraId="11A516C0" w14:textId="5EC7FE7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0566908E" w14:textId="228E5D0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4AC45208" w14:textId="23C0FA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r>
      <w:tr w:rsidR="009B5890" w:rsidRPr="005173CD" w14:paraId="4750DA7C" w14:textId="77777777" w:rsidTr="007F5028">
        <w:trPr>
          <w:trHeight w:val="295"/>
        </w:trPr>
        <w:tc>
          <w:tcPr>
            <w:tcW w:w="1111" w:type="dxa"/>
            <w:tcBorders>
              <w:left w:val="nil"/>
              <w:right w:val="nil"/>
            </w:tcBorders>
            <w:noWrap/>
            <w:vAlign w:val="center"/>
            <w:hideMark/>
          </w:tcPr>
          <w:p w14:paraId="55E2C444"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Small metro</w:t>
            </w:r>
          </w:p>
        </w:tc>
        <w:tc>
          <w:tcPr>
            <w:tcW w:w="689" w:type="dxa"/>
            <w:tcBorders>
              <w:left w:val="nil"/>
              <w:right w:val="nil"/>
            </w:tcBorders>
            <w:noWrap/>
            <w:vAlign w:val="center"/>
            <w:hideMark/>
          </w:tcPr>
          <w:p w14:paraId="779055C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356</w:t>
            </w:r>
          </w:p>
          <w:p w14:paraId="77374413" w14:textId="141A432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27" w:type="dxa"/>
            <w:tcBorders>
              <w:left w:val="nil"/>
              <w:right w:val="nil"/>
            </w:tcBorders>
            <w:noWrap/>
            <w:vAlign w:val="center"/>
            <w:hideMark/>
          </w:tcPr>
          <w:p w14:paraId="1E3B811E" w14:textId="5E0C1DE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p w14:paraId="6BD52B3F" w14:textId="7E8BBF1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left w:val="nil"/>
              <w:right w:val="nil"/>
            </w:tcBorders>
            <w:noWrap/>
            <w:vAlign w:val="center"/>
            <w:hideMark/>
          </w:tcPr>
          <w:p w14:paraId="6BE8F76F" w14:textId="49DD302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95" w:type="dxa"/>
            <w:tcBorders>
              <w:left w:val="nil"/>
              <w:right w:val="nil"/>
            </w:tcBorders>
            <w:noWrap/>
            <w:vAlign w:val="center"/>
            <w:hideMark/>
          </w:tcPr>
          <w:p w14:paraId="63695EB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241</w:t>
            </w:r>
          </w:p>
          <w:p w14:paraId="5C63D3B8" w14:textId="0372E31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22" w:type="dxa"/>
            <w:tcBorders>
              <w:left w:val="nil"/>
              <w:right w:val="nil"/>
            </w:tcBorders>
            <w:noWrap/>
            <w:vAlign w:val="center"/>
            <w:hideMark/>
          </w:tcPr>
          <w:p w14:paraId="7CBE24FD" w14:textId="6423DBE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259DF460" w14:textId="2F6248E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58" w:type="dxa"/>
            <w:tcBorders>
              <w:left w:val="nil"/>
              <w:right w:val="nil"/>
            </w:tcBorders>
            <w:noWrap/>
            <w:vAlign w:val="center"/>
            <w:hideMark/>
          </w:tcPr>
          <w:p w14:paraId="37B4C118" w14:textId="0BA81C7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00" w:type="dxa"/>
            <w:tcBorders>
              <w:left w:val="nil"/>
              <w:right w:val="nil"/>
            </w:tcBorders>
            <w:noWrap/>
            <w:vAlign w:val="center"/>
            <w:hideMark/>
          </w:tcPr>
          <w:p w14:paraId="2C6094BB"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125</w:t>
            </w:r>
          </w:p>
          <w:p w14:paraId="103689B3" w14:textId="1BB361A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17" w:type="dxa"/>
            <w:tcBorders>
              <w:left w:val="nil"/>
              <w:right w:val="nil"/>
            </w:tcBorders>
            <w:noWrap/>
            <w:vAlign w:val="center"/>
            <w:hideMark/>
          </w:tcPr>
          <w:p w14:paraId="174D619C" w14:textId="40C2F16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0EA65F63" w14:textId="54DD6BE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58" w:type="dxa"/>
            <w:tcBorders>
              <w:left w:val="nil"/>
              <w:right w:val="nil"/>
            </w:tcBorders>
            <w:noWrap/>
            <w:vAlign w:val="center"/>
            <w:hideMark/>
          </w:tcPr>
          <w:p w14:paraId="1FA617E8" w14:textId="553A7A9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05" w:type="dxa"/>
            <w:tcBorders>
              <w:left w:val="nil"/>
              <w:right w:val="nil"/>
            </w:tcBorders>
            <w:noWrap/>
            <w:vAlign w:val="center"/>
            <w:hideMark/>
          </w:tcPr>
          <w:p w14:paraId="41EFE8F0"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149</w:t>
            </w:r>
          </w:p>
          <w:p w14:paraId="2BC807DF" w14:textId="7E9D7F2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12" w:type="dxa"/>
            <w:tcBorders>
              <w:left w:val="nil"/>
              <w:right w:val="nil"/>
            </w:tcBorders>
            <w:noWrap/>
            <w:vAlign w:val="center"/>
            <w:hideMark/>
          </w:tcPr>
          <w:p w14:paraId="33E2B0D5" w14:textId="10D8F1F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p w14:paraId="1AA6A569" w14:textId="0B15B60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0624724F" w14:textId="1296D56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10" w:type="dxa"/>
            <w:tcBorders>
              <w:left w:val="nil"/>
              <w:right w:val="nil"/>
            </w:tcBorders>
            <w:noWrap/>
            <w:vAlign w:val="center"/>
            <w:hideMark/>
          </w:tcPr>
          <w:p w14:paraId="3F41E6EA"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p>
          <w:p w14:paraId="5E446AE9" w14:textId="299C1C2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06" w:type="dxa"/>
            <w:tcBorders>
              <w:left w:val="nil"/>
              <w:right w:val="nil"/>
            </w:tcBorders>
            <w:noWrap/>
            <w:vAlign w:val="center"/>
            <w:hideMark/>
          </w:tcPr>
          <w:p w14:paraId="01C64690" w14:textId="6BC0041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2E8DB497" w14:textId="3712AC7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0D55DA21" w14:textId="6D8F4E0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715" w:type="dxa"/>
            <w:tcBorders>
              <w:left w:val="nil"/>
              <w:right w:val="nil"/>
            </w:tcBorders>
            <w:noWrap/>
            <w:vAlign w:val="center"/>
            <w:hideMark/>
          </w:tcPr>
          <w:p w14:paraId="319DE33B"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p>
          <w:p w14:paraId="11230D9A" w14:textId="00780F2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01" w:type="dxa"/>
            <w:tcBorders>
              <w:left w:val="nil"/>
              <w:right w:val="nil"/>
            </w:tcBorders>
            <w:noWrap/>
            <w:vAlign w:val="center"/>
            <w:hideMark/>
          </w:tcPr>
          <w:p w14:paraId="08CD8525" w14:textId="0E55086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4F7998C2" w14:textId="7E1D880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06E62CC9" w14:textId="5790F9D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r>
      <w:tr w:rsidR="009B5890" w:rsidRPr="005173CD" w14:paraId="6604A2C1" w14:textId="77777777" w:rsidTr="007F5028">
        <w:trPr>
          <w:trHeight w:val="295"/>
        </w:trPr>
        <w:tc>
          <w:tcPr>
            <w:tcW w:w="1111" w:type="dxa"/>
            <w:tcBorders>
              <w:left w:val="nil"/>
              <w:right w:val="nil"/>
            </w:tcBorders>
            <w:noWrap/>
            <w:vAlign w:val="center"/>
            <w:hideMark/>
          </w:tcPr>
          <w:p w14:paraId="03DA9B1F"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Micropolitan</w:t>
            </w:r>
          </w:p>
        </w:tc>
        <w:tc>
          <w:tcPr>
            <w:tcW w:w="689" w:type="dxa"/>
            <w:tcBorders>
              <w:left w:val="nil"/>
              <w:right w:val="nil"/>
            </w:tcBorders>
            <w:noWrap/>
            <w:vAlign w:val="center"/>
            <w:hideMark/>
          </w:tcPr>
          <w:p w14:paraId="747DA01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717</w:t>
            </w:r>
          </w:p>
          <w:p w14:paraId="12739C87" w14:textId="2B65546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27" w:type="dxa"/>
            <w:tcBorders>
              <w:left w:val="nil"/>
              <w:right w:val="nil"/>
            </w:tcBorders>
            <w:noWrap/>
            <w:vAlign w:val="center"/>
            <w:hideMark/>
          </w:tcPr>
          <w:p w14:paraId="7848986B" w14:textId="0B96890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140C359D" w14:textId="6174A62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33717B83" w14:textId="2522CE4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95" w:type="dxa"/>
            <w:tcBorders>
              <w:left w:val="nil"/>
              <w:right w:val="nil"/>
            </w:tcBorders>
            <w:noWrap/>
            <w:vAlign w:val="center"/>
            <w:hideMark/>
          </w:tcPr>
          <w:p w14:paraId="239C224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693</w:t>
            </w:r>
          </w:p>
          <w:p w14:paraId="37DB3DBB" w14:textId="01DDB7E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22" w:type="dxa"/>
            <w:tcBorders>
              <w:left w:val="nil"/>
              <w:right w:val="nil"/>
            </w:tcBorders>
            <w:noWrap/>
            <w:vAlign w:val="center"/>
            <w:hideMark/>
          </w:tcPr>
          <w:p w14:paraId="70DBFD28" w14:textId="11C0FE1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428BD9A6" w14:textId="56FF9C7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8" w:type="dxa"/>
            <w:tcBorders>
              <w:left w:val="nil"/>
              <w:right w:val="nil"/>
            </w:tcBorders>
            <w:noWrap/>
            <w:vAlign w:val="center"/>
            <w:hideMark/>
          </w:tcPr>
          <w:p w14:paraId="0A29815C" w14:textId="50C66D5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00" w:type="dxa"/>
            <w:tcBorders>
              <w:left w:val="nil"/>
              <w:right w:val="nil"/>
            </w:tcBorders>
            <w:noWrap/>
            <w:vAlign w:val="center"/>
            <w:hideMark/>
          </w:tcPr>
          <w:p w14:paraId="755467E8"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384</w:t>
            </w:r>
          </w:p>
          <w:p w14:paraId="4223260B" w14:textId="0DC0166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17" w:type="dxa"/>
            <w:tcBorders>
              <w:left w:val="nil"/>
              <w:right w:val="nil"/>
            </w:tcBorders>
            <w:noWrap/>
            <w:vAlign w:val="center"/>
            <w:hideMark/>
          </w:tcPr>
          <w:p w14:paraId="59774A16" w14:textId="58FEA8E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506222E1" w14:textId="612075A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58" w:type="dxa"/>
            <w:tcBorders>
              <w:left w:val="nil"/>
              <w:right w:val="nil"/>
            </w:tcBorders>
            <w:noWrap/>
            <w:vAlign w:val="center"/>
            <w:hideMark/>
          </w:tcPr>
          <w:p w14:paraId="5FE0F95D" w14:textId="2CBA5DB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05" w:type="dxa"/>
            <w:tcBorders>
              <w:left w:val="nil"/>
              <w:right w:val="nil"/>
            </w:tcBorders>
            <w:noWrap/>
            <w:vAlign w:val="center"/>
            <w:hideMark/>
          </w:tcPr>
          <w:p w14:paraId="54CB46A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307</w:t>
            </w:r>
          </w:p>
          <w:p w14:paraId="1561E3F6" w14:textId="6ABB634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12" w:type="dxa"/>
            <w:tcBorders>
              <w:left w:val="nil"/>
              <w:right w:val="nil"/>
            </w:tcBorders>
            <w:noWrap/>
            <w:vAlign w:val="center"/>
            <w:hideMark/>
          </w:tcPr>
          <w:p w14:paraId="67731ACC" w14:textId="1DA25FA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p w14:paraId="45D7FA6C" w14:textId="7624E0A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58" w:type="dxa"/>
            <w:tcBorders>
              <w:left w:val="nil"/>
              <w:right w:val="nil"/>
            </w:tcBorders>
            <w:noWrap/>
            <w:vAlign w:val="center"/>
            <w:hideMark/>
          </w:tcPr>
          <w:p w14:paraId="09AED3CF" w14:textId="301833C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10" w:type="dxa"/>
            <w:tcBorders>
              <w:left w:val="nil"/>
              <w:right w:val="nil"/>
            </w:tcBorders>
            <w:noWrap/>
            <w:vAlign w:val="center"/>
            <w:hideMark/>
          </w:tcPr>
          <w:p w14:paraId="1300661F"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p>
          <w:p w14:paraId="115A7667" w14:textId="738C5B1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06" w:type="dxa"/>
            <w:tcBorders>
              <w:left w:val="nil"/>
              <w:right w:val="nil"/>
            </w:tcBorders>
            <w:noWrap/>
            <w:vAlign w:val="center"/>
            <w:hideMark/>
          </w:tcPr>
          <w:p w14:paraId="567CF74D" w14:textId="7C58E51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1328336C" w14:textId="5CE75E1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08495FAC" w14:textId="403CAF7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715" w:type="dxa"/>
            <w:tcBorders>
              <w:left w:val="nil"/>
              <w:right w:val="nil"/>
            </w:tcBorders>
            <w:noWrap/>
            <w:vAlign w:val="center"/>
            <w:hideMark/>
          </w:tcPr>
          <w:p w14:paraId="01E80E1F"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p>
          <w:p w14:paraId="3E727D6C" w14:textId="75CA96C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01" w:type="dxa"/>
            <w:tcBorders>
              <w:left w:val="nil"/>
              <w:right w:val="nil"/>
            </w:tcBorders>
            <w:noWrap/>
            <w:vAlign w:val="center"/>
            <w:hideMark/>
          </w:tcPr>
          <w:p w14:paraId="494280FC" w14:textId="64504DE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175B31D8" w14:textId="6ACB4D1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2093ED55" w14:textId="67B9948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r>
      <w:tr w:rsidR="009B5890" w:rsidRPr="005173CD" w14:paraId="64EFD793" w14:textId="77777777" w:rsidTr="007F5028">
        <w:trPr>
          <w:trHeight w:val="295"/>
        </w:trPr>
        <w:tc>
          <w:tcPr>
            <w:tcW w:w="1111" w:type="dxa"/>
            <w:tcBorders>
              <w:left w:val="nil"/>
              <w:right w:val="nil"/>
            </w:tcBorders>
            <w:noWrap/>
            <w:vAlign w:val="center"/>
            <w:hideMark/>
          </w:tcPr>
          <w:p w14:paraId="5AE4ADE3"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Noncore</w:t>
            </w:r>
          </w:p>
        </w:tc>
        <w:tc>
          <w:tcPr>
            <w:tcW w:w="689" w:type="dxa"/>
            <w:tcBorders>
              <w:left w:val="nil"/>
              <w:right w:val="nil"/>
            </w:tcBorders>
            <w:noWrap/>
            <w:vAlign w:val="center"/>
            <w:hideMark/>
          </w:tcPr>
          <w:p w14:paraId="11EFCD43"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1694</w:t>
            </w:r>
          </w:p>
          <w:p w14:paraId="37A2371E" w14:textId="25B2615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27" w:type="dxa"/>
            <w:tcBorders>
              <w:left w:val="nil"/>
              <w:right w:val="nil"/>
            </w:tcBorders>
            <w:noWrap/>
            <w:vAlign w:val="center"/>
            <w:hideMark/>
          </w:tcPr>
          <w:p w14:paraId="65294114" w14:textId="5180FE9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p w14:paraId="7AB28B88" w14:textId="79AEBEE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right w:val="nil"/>
            </w:tcBorders>
            <w:noWrap/>
            <w:vAlign w:val="center"/>
            <w:hideMark/>
          </w:tcPr>
          <w:p w14:paraId="2E9FD67F" w14:textId="6061305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95" w:type="dxa"/>
            <w:tcBorders>
              <w:left w:val="nil"/>
              <w:right w:val="nil"/>
            </w:tcBorders>
            <w:noWrap/>
            <w:vAlign w:val="center"/>
            <w:hideMark/>
          </w:tcPr>
          <w:p w14:paraId="44F483C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1805</w:t>
            </w:r>
          </w:p>
          <w:p w14:paraId="73713C1E" w14:textId="1555941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22" w:type="dxa"/>
            <w:tcBorders>
              <w:left w:val="nil"/>
              <w:right w:val="nil"/>
            </w:tcBorders>
            <w:noWrap/>
            <w:vAlign w:val="center"/>
            <w:hideMark/>
          </w:tcPr>
          <w:p w14:paraId="5A1C3346" w14:textId="08070E5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p w14:paraId="06E7DF52" w14:textId="2516331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58" w:type="dxa"/>
            <w:tcBorders>
              <w:left w:val="nil"/>
              <w:right w:val="nil"/>
            </w:tcBorders>
            <w:noWrap/>
            <w:vAlign w:val="center"/>
            <w:hideMark/>
          </w:tcPr>
          <w:p w14:paraId="086F0CEE" w14:textId="0ECCB32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00" w:type="dxa"/>
            <w:tcBorders>
              <w:left w:val="nil"/>
              <w:right w:val="nil"/>
            </w:tcBorders>
            <w:noWrap/>
            <w:vAlign w:val="center"/>
            <w:hideMark/>
          </w:tcPr>
          <w:p w14:paraId="274FCC85"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1340</w:t>
            </w:r>
          </w:p>
          <w:p w14:paraId="3B65DDCA" w14:textId="22350D8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17" w:type="dxa"/>
            <w:tcBorders>
              <w:left w:val="nil"/>
              <w:right w:val="nil"/>
            </w:tcBorders>
            <w:noWrap/>
            <w:vAlign w:val="center"/>
            <w:hideMark/>
          </w:tcPr>
          <w:p w14:paraId="4DFA4F32" w14:textId="3F3C49B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p w14:paraId="16BD0F94" w14:textId="737ADDF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58" w:type="dxa"/>
            <w:tcBorders>
              <w:left w:val="nil"/>
              <w:right w:val="nil"/>
            </w:tcBorders>
            <w:noWrap/>
            <w:vAlign w:val="center"/>
            <w:hideMark/>
          </w:tcPr>
          <w:p w14:paraId="6E0B4F25" w14:textId="399A06C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05" w:type="dxa"/>
            <w:tcBorders>
              <w:left w:val="nil"/>
              <w:right w:val="nil"/>
            </w:tcBorders>
            <w:noWrap/>
            <w:vAlign w:val="center"/>
            <w:hideMark/>
          </w:tcPr>
          <w:p w14:paraId="42E828F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1399</w:t>
            </w:r>
          </w:p>
          <w:p w14:paraId="5F795723" w14:textId="561BF21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12" w:type="dxa"/>
            <w:tcBorders>
              <w:left w:val="nil"/>
              <w:right w:val="nil"/>
            </w:tcBorders>
            <w:noWrap/>
            <w:vAlign w:val="center"/>
            <w:hideMark/>
          </w:tcPr>
          <w:p w14:paraId="4D10C2C4" w14:textId="491F438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p w14:paraId="170CA602" w14:textId="515194D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58" w:type="dxa"/>
            <w:tcBorders>
              <w:left w:val="nil"/>
              <w:right w:val="nil"/>
            </w:tcBorders>
            <w:noWrap/>
            <w:vAlign w:val="center"/>
            <w:hideMark/>
          </w:tcPr>
          <w:p w14:paraId="5B49552B" w14:textId="00B0B70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710" w:type="dxa"/>
            <w:tcBorders>
              <w:left w:val="nil"/>
              <w:right w:val="nil"/>
            </w:tcBorders>
            <w:noWrap/>
            <w:vAlign w:val="center"/>
            <w:hideMark/>
          </w:tcPr>
          <w:p w14:paraId="2755468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59</w:t>
            </w:r>
          </w:p>
          <w:p w14:paraId="0D7FCF89" w14:textId="103F980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06" w:type="dxa"/>
            <w:tcBorders>
              <w:left w:val="nil"/>
              <w:right w:val="nil"/>
            </w:tcBorders>
            <w:noWrap/>
            <w:vAlign w:val="center"/>
            <w:hideMark/>
          </w:tcPr>
          <w:p w14:paraId="7B498578" w14:textId="3EB30CC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p w14:paraId="4E925078" w14:textId="1B2665D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59" w:type="dxa"/>
            <w:tcBorders>
              <w:left w:val="nil"/>
              <w:right w:val="nil"/>
            </w:tcBorders>
            <w:noWrap/>
            <w:vAlign w:val="center"/>
            <w:hideMark/>
          </w:tcPr>
          <w:p w14:paraId="5E25D971" w14:textId="4C3AC82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715" w:type="dxa"/>
            <w:tcBorders>
              <w:left w:val="nil"/>
              <w:right w:val="nil"/>
            </w:tcBorders>
            <w:noWrap/>
            <w:vAlign w:val="center"/>
            <w:hideMark/>
          </w:tcPr>
          <w:p w14:paraId="6D13B9B0"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31</w:t>
            </w:r>
          </w:p>
          <w:p w14:paraId="28C77586" w14:textId="124E5BB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01" w:type="dxa"/>
            <w:tcBorders>
              <w:left w:val="nil"/>
              <w:right w:val="nil"/>
            </w:tcBorders>
            <w:noWrap/>
            <w:vAlign w:val="center"/>
            <w:hideMark/>
          </w:tcPr>
          <w:p w14:paraId="06F44E67" w14:textId="28FCE62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65708C26" w14:textId="34942A8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59" w:type="dxa"/>
            <w:tcBorders>
              <w:left w:val="nil"/>
              <w:right w:val="nil"/>
            </w:tcBorders>
            <w:noWrap/>
            <w:vAlign w:val="center"/>
            <w:hideMark/>
          </w:tcPr>
          <w:p w14:paraId="29BD79A1" w14:textId="093E989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r>
      <w:tr w:rsidR="009B5890" w:rsidRPr="005173CD" w14:paraId="195B4CEF" w14:textId="77777777" w:rsidTr="007F5028">
        <w:trPr>
          <w:trHeight w:val="295"/>
        </w:trPr>
        <w:tc>
          <w:tcPr>
            <w:tcW w:w="1111" w:type="dxa"/>
            <w:tcBorders>
              <w:left w:val="nil"/>
              <w:right w:val="nil"/>
            </w:tcBorders>
            <w:noWrap/>
            <w:vAlign w:val="center"/>
          </w:tcPr>
          <w:p w14:paraId="602E042F" w14:textId="77777777" w:rsidR="009B5890" w:rsidRPr="005173CD" w:rsidRDefault="009B5890" w:rsidP="007F5028">
            <w:pPr>
              <w:rPr>
                <w:rFonts w:asciiTheme="majorHAnsi" w:eastAsia="Times New Roman" w:hAnsiTheme="majorHAnsi" w:cstheme="majorHAnsi"/>
                <w:b/>
                <w:bCs/>
                <w:color w:val="000000"/>
                <w:sz w:val="18"/>
                <w:szCs w:val="18"/>
              </w:rPr>
            </w:pPr>
            <w:r w:rsidRPr="005173CD">
              <w:rPr>
                <w:rFonts w:asciiTheme="majorHAnsi" w:eastAsia="Times New Roman" w:hAnsiTheme="majorHAnsi" w:cstheme="majorHAnsi"/>
                <w:b/>
                <w:bCs/>
                <w:color w:val="000000" w:themeColor="text1"/>
                <w:sz w:val="18"/>
                <w:szCs w:val="18"/>
              </w:rPr>
              <w:t>Census region</w:t>
            </w:r>
          </w:p>
        </w:tc>
        <w:tc>
          <w:tcPr>
            <w:tcW w:w="689" w:type="dxa"/>
            <w:tcBorders>
              <w:left w:val="nil"/>
              <w:right w:val="nil"/>
            </w:tcBorders>
            <w:noWrap/>
            <w:vAlign w:val="center"/>
          </w:tcPr>
          <w:p w14:paraId="60635A7C"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27" w:type="dxa"/>
            <w:tcBorders>
              <w:left w:val="nil"/>
              <w:right w:val="nil"/>
            </w:tcBorders>
            <w:noWrap/>
            <w:vAlign w:val="center"/>
          </w:tcPr>
          <w:p w14:paraId="5E9337F6"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left w:val="nil"/>
              <w:right w:val="nil"/>
            </w:tcBorders>
            <w:noWrap/>
            <w:vAlign w:val="center"/>
          </w:tcPr>
          <w:p w14:paraId="50D6CE4E"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95" w:type="dxa"/>
            <w:tcBorders>
              <w:left w:val="nil"/>
              <w:right w:val="nil"/>
            </w:tcBorders>
            <w:noWrap/>
            <w:vAlign w:val="center"/>
          </w:tcPr>
          <w:p w14:paraId="5BB55C6D"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22" w:type="dxa"/>
            <w:tcBorders>
              <w:left w:val="nil"/>
              <w:right w:val="nil"/>
            </w:tcBorders>
            <w:noWrap/>
            <w:vAlign w:val="center"/>
          </w:tcPr>
          <w:p w14:paraId="57A7B67C"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left w:val="nil"/>
              <w:right w:val="nil"/>
            </w:tcBorders>
            <w:noWrap/>
            <w:vAlign w:val="center"/>
          </w:tcPr>
          <w:p w14:paraId="58109AAC"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0" w:type="dxa"/>
            <w:tcBorders>
              <w:left w:val="nil"/>
              <w:right w:val="nil"/>
            </w:tcBorders>
            <w:noWrap/>
            <w:vAlign w:val="center"/>
          </w:tcPr>
          <w:p w14:paraId="100A9A58"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17" w:type="dxa"/>
            <w:tcBorders>
              <w:left w:val="nil"/>
              <w:right w:val="nil"/>
            </w:tcBorders>
            <w:noWrap/>
            <w:vAlign w:val="center"/>
          </w:tcPr>
          <w:p w14:paraId="01CFDDFE"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left w:val="nil"/>
              <w:right w:val="nil"/>
            </w:tcBorders>
            <w:noWrap/>
            <w:vAlign w:val="center"/>
          </w:tcPr>
          <w:p w14:paraId="1E83F958"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05" w:type="dxa"/>
            <w:tcBorders>
              <w:left w:val="nil"/>
              <w:right w:val="nil"/>
            </w:tcBorders>
            <w:noWrap/>
            <w:vAlign w:val="center"/>
          </w:tcPr>
          <w:p w14:paraId="480174EB"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12" w:type="dxa"/>
            <w:tcBorders>
              <w:left w:val="nil"/>
              <w:right w:val="nil"/>
            </w:tcBorders>
            <w:noWrap/>
            <w:vAlign w:val="center"/>
          </w:tcPr>
          <w:p w14:paraId="7AEF44F1"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8" w:type="dxa"/>
            <w:tcBorders>
              <w:left w:val="nil"/>
              <w:right w:val="nil"/>
            </w:tcBorders>
            <w:noWrap/>
            <w:vAlign w:val="center"/>
          </w:tcPr>
          <w:p w14:paraId="4834CF21"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0" w:type="dxa"/>
            <w:tcBorders>
              <w:left w:val="nil"/>
              <w:right w:val="nil"/>
            </w:tcBorders>
            <w:noWrap/>
            <w:vAlign w:val="center"/>
          </w:tcPr>
          <w:p w14:paraId="2CFB0F50"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06" w:type="dxa"/>
            <w:tcBorders>
              <w:left w:val="nil"/>
              <w:right w:val="nil"/>
            </w:tcBorders>
            <w:noWrap/>
            <w:vAlign w:val="center"/>
          </w:tcPr>
          <w:p w14:paraId="3687403D"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9" w:type="dxa"/>
            <w:tcBorders>
              <w:left w:val="nil"/>
              <w:right w:val="nil"/>
            </w:tcBorders>
            <w:noWrap/>
            <w:vAlign w:val="center"/>
          </w:tcPr>
          <w:p w14:paraId="7DB82545"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715" w:type="dxa"/>
            <w:tcBorders>
              <w:left w:val="nil"/>
              <w:right w:val="nil"/>
            </w:tcBorders>
            <w:noWrap/>
            <w:vAlign w:val="center"/>
          </w:tcPr>
          <w:p w14:paraId="1C7AC25A"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01" w:type="dxa"/>
            <w:tcBorders>
              <w:left w:val="nil"/>
              <w:right w:val="nil"/>
            </w:tcBorders>
            <w:noWrap/>
            <w:vAlign w:val="center"/>
          </w:tcPr>
          <w:p w14:paraId="2C7EBAF5" w14:textId="77777777" w:rsidR="009B5890" w:rsidRPr="005173CD" w:rsidRDefault="009B5890" w:rsidP="007F5028">
            <w:pPr>
              <w:jc w:val="center"/>
              <w:rPr>
                <w:rFonts w:asciiTheme="majorHAnsi" w:eastAsia="Times New Roman" w:hAnsiTheme="majorHAnsi" w:cstheme="majorHAnsi"/>
                <w:color w:val="000000"/>
                <w:sz w:val="18"/>
                <w:szCs w:val="18"/>
              </w:rPr>
            </w:pPr>
          </w:p>
        </w:tc>
        <w:tc>
          <w:tcPr>
            <w:tcW w:w="659" w:type="dxa"/>
            <w:tcBorders>
              <w:left w:val="nil"/>
              <w:right w:val="nil"/>
            </w:tcBorders>
            <w:noWrap/>
            <w:vAlign w:val="center"/>
          </w:tcPr>
          <w:p w14:paraId="14D70EB1" w14:textId="77777777" w:rsidR="009B5890" w:rsidRPr="005173CD" w:rsidRDefault="009B5890" w:rsidP="007F5028">
            <w:pPr>
              <w:jc w:val="center"/>
              <w:rPr>
                <w:rFonts w:asciiTheme="majorHAnsi" w:eastAsia="Times New Roman" w:hAnsiTheme="majorHAnsi" w:cstheme="majorHAnsi"/>
                <w:color w:val="000000"/>
                <w:sz w:val="18"/>
                <w:szCs w:val="18"/>
              </w:rPr>
            </w:pPr>
          </w:p>
        </w:tc>
      </w:tr>
      <w:tr w:rsidR="009B5890" w:rsidRPr="005173CD" w14:paraId="7EAFCE0B" w14:textId="77777777" w:rsidTr="007F5028">
        <w:trPr>
          <w:trHeight w:val="295"/>
        </w:trPr>
        <w:tc>
          <w:tcPr>
            <w:tcW w:w="1111" w:type="dxa"/>
            <w:tcBorders>
              <w:left w:val="nil"/>
              <w:right w:val="nil"/>
            </w:tcBorders>
            <w:noWrap/>
            <w:vAlign w:val="center"/>
            <w:hideMark/>
          </w:tcPr>
          <w:p w14:paraId="5EA31BE1"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South</w:t>
            </w:r>
          </w:p>
        </w:tc>
        <w:tc>
          <w:tcPr>
            <w:tcW w:w="689" w:type="dxa"/>
            <w:tcBorders>
              <w:left w:val="nil"/>
              <w:right w:val="nil"/>
            </w:tcBorders>
            <w:noWrap/>
            <w:vAlign w:val="center"/>
            <w:hideMark/>
          </w:tcPr>
          <w:p w14:paraId="32716347"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1246</w:t>
            </w:r>
          </w:p>
          <w:p w14:paraId="42FA5AC8" w14:textId="0BC61DA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27" w:type="dxa"/>
            <w:tcBorders>
              <w:left w:val="nil"/>
              <w:right w:val="nil"/>
            </w:tcBorders>
            <w:noWrap/>
            <w:vAlign w:val="center"/>
            <w:hideMark/>
          </w:tcPr>
          <w:p w14:paraId="19798925" w14:textId="39C28CC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p w14:paraId="668F05CA" w14:textId="5CDDB0F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right w:val="nil"/>
            </w:tcBorders>
            <w:noWrap/>
            <w:vAlign w:val="center"/>
            <w:hideMark/>
          </w:tcPr>
          <w:p w14:paraId="17DDFCD0" w14:textId="467ABDD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95" w:type="dxa"/>
            <w:tcBorders>
              <w:left w:val="nil"/>
              <w:right w:val="nil"/>
            </w:tcBorders>
            <w:noWrap/>
            <w:vAlign w:val="center"/>
            <w:hideMark/>
          </w:tcPr>
          <w:p w14:paraId="3A3876A7"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1137</w:t>
            </w:r>
          </w:p>
          <w:p w14:paraId="232CBC43" w14:textId="7FA7731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22" w:type="dxa"/>
            <w:tcBorders>
              <w:left w:val="nil"/>
              <w:right w:val="nil"/>
            </w:tcBorders>
            <w:noWrap/>
            <w:vAlign w:val="center"/>
            <w:hideMark/>
          </w:tcPr>
          <w:p w14:paraId="063F16C8" w14:textId="5D32E65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3D59B23A" w14:textId="2906F10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58" w:type="dxa"/>
            <w:tcBorders>
              <w:left w:val="nil"/>
              <w:right w:val="nil"/>
            </w:tcBorders>
            <w:noWrap/>
            <w:vAlign w:val="center"/>
            <w:hideMark/>
          </w:tcPr>
          <w:p w14:paraId="35171E0F" w14:textId="353669C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700" w:type="dxa"/>
            <w:tcBorders>
              <w:left w:val="nil"/>
              <w:right w:val="nil"/>
            </w:tcBorders>
            <w:noWrap/>
            <w:vAlign w:val="center"/>
            <w:hideMark/>
          </w:tcPr>
          <w:p w14:paraId="52E8E7C3"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451</w:t>
            </w:r>
          </w:p>
          <w:p w14:paraId="4C0FF42A" w14:textId="17F0873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17" w:type="dxa"/>
            <w:tcBorders>
              <w:left w:val="nil"/>
              <w:right w:val="nil"/>
            </w:tcBorders>
            <w:noWrap/>
            <w:vAlign w:val="center"/>
            <w:hideMark/>
          </w:tcPr>
          <w:p w14:paraId="1B16BE4F" w14:textId="05EAB7E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p w14:paraId="528FA860" w14:textId="1613E9A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58" w:type="dxa"/>
            <w:tcBorders>
              <w:left w:val="nil"/>
              <w:right w:val="nil"/>
            </w:tcBorders>
            <w:noWrap/>
            <w:vAlign w:val="center"/>
            <w:hideMark/>
          </w:tcPr>
          <w:p w14:paraId="6C3B563F" w14:textId="150BA96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05" w:type="dxa"/>
            <w:tcBorders>
              <w:left w:val="nil"/>
              <w:right w:val="nil"/>
            </w:tcBorders>
            <w:noWrap/>
            <w:vAlign w:val="center"/>
            <w:hideMark/>
          </w:tcPr>
          <w:p w14:paraId="3B6893E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686</w:t>
            </w:r>
          </w:p>
          <w:p w14:paraId="35FE65F9" w14:textId="5903A58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12" w:type="dxa"/>
            <w:tcBorders>
              <w:left w:val="nil"/>
              <w:right w:val="nil"/>
            </w:tcBorders>
            <w:noWrap/>
            <w:vAlign w:val="center"/>
            <w:hideMark/>
          </w:tcPr>
          <w:p w14:paraId="7B9ADA9E" w14:textId="275E665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7EC1E571" w14:textId="6AD7E39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right w:val="nil"/>
            </w:tcBorders>
            <w:noWrap/>
            <w:vAlign w:val="center"/>
            <w:hideMark/>
          </w:tcPr>
          <w:p w14:paraId="6F8C1E9A" w14:textId="69628B1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10" w:type="dxa"/>
            <w:tcBorders>
              <w:left w:val="nil"/>
              <w:right w:val="nil"/>
            </w:tcBorders>
            <w:noWrap/>
            <w:vAlign w:val="center"/>
            <w:hideMark/>
          </w:tcPr>
          <w:p w14:paraId="6D7EF234"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p>
          <w:p w14:paraId="3A1EA343" w14:textId="3B0516F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06" w:type="dxa"/>
            <w:tcBorders>
              <w:left w:val="nil"/>
              <w:right w:val="nil"/>
            </w:tcBorders>
            <w:noWrap/>
            <w:vAlign w:val="center"/>
            <w:hideMark/>
          </w:tcPr>
          <w:p w14:paraId="446A0A3F" w14:textId="7F00D98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p w14:paraId="3317E29D" w14:textId="463D05D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365D5EB4" w14:textId="38E15CC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715" w:type="dxa"/>
            <w:tcBorders>
              <w:left w:val="nil"/>
              <w:right w:val="nil"/>
            </w:tcBorders>
            <w:noWrap/>
            <w:vAlign w:val="center"/>
            <w:hideMark/>
          </w:tcPr>
          <w:p w14:paraId="3706E5A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w:t>
            </w:r>
          </w:p>
          <w:p w14:paraId="1EA5DFDD" w14:textId="2B03EFA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01" w:type="dxa"/>
            <w:tcBorders>
              <w:left w:val="nil"/>
              <w:right w:val="nil"/>
            </w:tcBorders>
            <w:noWrap/>
            <w:vAlign w:val="center"/>
            <w:hideMark/>
          </w:tcPr>
          <w:p w14:paraId="5C89D5BC" w14:textId="1E0413D0"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2ED96CD5" w14:textId="3E5213C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6630F18E" w14:textId="1C06CBD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r>
      <w:tr w:rsidR="009B5890" w:rsidRPr="005173CD" w14:paraId="305EBE72" w14:textId="77777777" w:rsidTr="007F5028">
        <w:trPr>
          <w:trHeight w:val="295"/>
        </w:trPr>
        <w:tc>
          <w:tcPr>
            <w:tcW w:w="1111" w:type="dxa"/>
            <w:tcBorders>
              <w:left w:val="nil"/>
              <w:right w:val="nil"/>
            </w:tcBorders>
            <w:noWrap/>
            <w:vAlign w:val="center"/>
            <w:hideMark/>
          </w:tcPr>
          <w:p w14:paraId="398066B2"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West</w:t>
            </w:r>
          </w:p>
        </w:tc>
        <w:tc>
          <w:tcPr>
            <w:tcW w:w="689" w:type="dxa"/>
            <w:tcBorders>
              <w:left w:val="nil"/>
              <w:right w:val="nil"/>
            </w:tcBorders>
            <w:noWrap/>
            <w:vAlign w:val="center"/>
            <w:hideMark/>
          </w:tcPr>
          <w:p w14:paraId="0DF08752"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269</w:t>
            </w:r>
          </w:p>
          <w:p w14:paraId="5F84014B" w14:textId="27F6C6C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27" w:type="dxa"/>
            <w:tcBorders>
              <w:left w:val="nil"/>
              <w:right w:val="nil"/>
            </w:tcBorders>
            <w:noWrap/>
            <w:vAlign w:val="center"/>
            <w:hideMark/>
          </w:tcPr>
          <w:p w14:paraId="66329666" w14:textId="44B4F09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p w14:paraId="3DC0C66F" w14:textId="4B6B50C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58" w:type="dxa"/>
            <w:tcBorders>
              <w:left w:val="nil"/>
              <w:right w:val="nil"/>
            </w:tcBorders>
            <w:noWrap/>
            <w:vAlign w:val="center"/>
            <w:hideMark/>
          </w:tcPr>
          <w:p w14:paraId="27896213" w14:textId="6F4CC2F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95" w:type="dxa"/>
            <w:tcBorders>
              <w:left w:val="nil"/>
              <w:right w:val="nil"/>
            </w:tcBorders>
            <w:noWrap/>
            <w:vAlign w:val="center"/>
            <w:hideMark/>
          </w:tcPr>
          <w:p w14:paraId="5C842CE5"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309</w:t>
            </w:r>
          </w:p>
          <w:p w14:paraId="55BB3DA8" w14:textId="2285E3C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22" w:type="dxa"/>
            <w:tcBorders>
              <w:left w:val="nil"/>
              <w:right w:val="nil"/>
            </w:tcBorders>
            <w:noWrap/>
            <w:vAlign w:val="center"/>
            <w:hideMark/>
          </w:tcPr>
          <w:p w14:paraId="0B394886" w14:textId="46CCE00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p w14:paraId="2FA00523" w14:textId="55263B4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58" w:type="dxa"/>
            <w:tcBorders>
              <w:left w:val="nil"/>
              <w:right w:val="nil"/>
            </w:tcBorders>
            <w:noWrap/>
            <w:vAlign w:val="center"/>
            <w:hideMark/>
          </w:tcPr>
          <w:p w14:paraId="28F1DBFE" w14:textId="7CD0DEA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700" w:type="dxa"/>
            <w:tcBorders>
              <w:left w:val="nil"/>
              <w:right w:val="nil"/>
            </w:tcBorders>
            <w:noWrap/>
            <w:vAlign w:val="center"/>
            <w:hideMark/>
          </w:tcPr>
          <w:p w14:paraId="619175AA"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319</w:t>
            </w:r>
          </w:p>
          <w:p w14:paraId="245BE528" w14:textId="5FE3D24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17" w:type="dxa"/>
            <w:tcBorders>
              <w:left w:val="nil"/>
              <w:right w:val="nil"/>
            </w:tcBorders>
            <w:noWrap/>
            <w:vAlign w:val="center"/>
            <w:hideMark/>
          </w:tcPr>
          <w:p w14:paraId="747306AC" w14:textId="23D028A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p w14:paraId="7BD3D7D6" w14:textId="4BFD526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58" w:type="dxa"/>
            <w:tcBorders>
              <w:left w:val="nil"/>
              <w:right w:val="nil"/>
            </w:tcBorders>
            <w:noWrap/>
            <w:vAlign w:val="center"/>
            <w:hideMark/>
          </w:tcPr>
          <w:p w14:paraId="090C278E" w14:textId="75D6071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705" w:type="dxa"/>
            <w:tcBorders>
              <w:left w:val="nil"/>
              <w:right w:val="nil"/>
            </w:tcBorders>
            <w:noWrap/>
            <w:vAlign w:val="center"/>
            <w:hideMark/>
          </w:tcPr>
          <w:p w14:paraId="32561AF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152</w:t>
            </w:r>
          </w:p>
          <w:p w14:paraId="2C5598A0" w14:textId="2B4540B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(35</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12" w:type="dxa"/>
            <w:tcBorders>
              <w:left w:val="nil"/>
              <w:right w:val="nil"/>
            </w:tcBorders>
            <w:noWrap/>
            <w:vAlign w:val="center"/>
            <w:hideMark/>
          </w:tcPr>
          <w:p w14:paraId="6ACD079E" w14:textId="515B344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p w14:paraId="56AA1BE7" w14:textId="1E4AAE8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58" w:type="dxa"/>
            <w:tcBorders>
              <w:left w:val="nil"/>
              <w:right w:val="nil"/>
            </w:tcBorders>
            <w:noWrap/>
            <w:vAlign w:val="center"/>
            <w:hideMark/>
          </w:tcPr>
          <w:p w14:paraId="56FD4F26" w14:textId="2CF5F17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710" w:type="dxa"/>
            <w:tcBorders>
              <w:left w:val="nil"/>
              <w:right w:val="nil"/>
            </w:tcBorders>
            <w:noWrap/>
            <w:vAlign w:val="center"/>
            <w:hideMark/>
          </w:tcPr>
          <w:p w14:paraId="4ED243AA"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18</w:t>
            </w:r>
          </w:p>
          <w:p w14:paraId="737AA8F2" w14:textId="33A91F8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06" w:type="dxa"/>
            <w:tcBorders>
              <w:left w:val="nil"/>
              <w:right w:val="nil"/>
            </w:tcBorders>
            <w:noWrap/>
            <w:vAlign w:val="center"/>
            <w:hideMark/>
          </w:tcPr>
          <w:p w14:paraId="43B04419" w14:textId="6C9AC1F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p w14:paraId="5C315A68" w14:textId="7D3F909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6C663420" w14:textId="19AB195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715" w:type="dxa"/>
            <w:tcBorders>
              <w:left w:val="nil"/>
              <w:right w:val="nil"/>
            </w:tcBorders>
            <w:noWrap/>
            <w:vAlign w:val="center"/>
            <w:hideMark/>
          </w:tcPr>
          <w:p w14:paraId="27EAA27E"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p>
          <w:p w14:paraId="6F6880C8" w14:textId="46C140A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01" w:type="dxa"/>
            <w:tcBorders>
              <w:left w:val="nil"/>
              <w:right w:val="nil"/>
            </w:tcBorders>
            <w:noWrap/>
            <w:vAlign w:val="center"/>
            <w:hideMark/>
          </w:tcPr>
          <w:p w14:paraId="17215DAA" w14:textId="3884871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p w14:paraId="7612F089" w14:textId="5205A584"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4FA2B74C" w14:textId="7C86EC4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r>
      <w:tr w:rsidR="009B5890" w:rsidRPr="005173CD" w14:paraId="1884F2BA" w14:textId="77777777" w:rsidTr="007F5028">
        <w:trPr>
          <w:trHeight w:val="295"/>
        </w:trPr>
        <w:tc>
          <w:tcPr>
            <w:tcW w:w="1111" w:type="dxa"/>
            <w:tcBorders>
              <w:left w:val="nil"/>
              <w:right w:val="nil"/>
            </w:tcBorders>
            <w:noWrap/>
            <w:vAlign w:val="center"/>
            <w:hideMark/>
          </w:tcPr>
          <w:p w14:paraId="3DBCDB1B"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Northeast</w:t>
            </w:r>
          </w:p>
        </w:tc>
        <w:tc>
          <w:tcPr>
            <w:tcW w:w="689" w:type="dxa"/>
            <w:tcBorders>
              <w:left w:val="nil"/>
              <w:right w:val="nil"/>
            </w:tcBorders>
            <w:noWrap/>
            <w:vAlign w:val="center"/>
            <w:hideMark/>
          </w:tcPr>
          <w:p w14:paraId="112E5D6C"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172</w:t>
            </w:r>
          </w:p>
          <w:p w14:paraId="3AC2BE11" w14:textId="4B207C3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27" w:type="dxa"/>
            <w:tcBorders>
              <w:left w:val="nil"/>
              <w:right w:val="nil"/>
            </w:tcBorders>
            <w:noWrap/>
            <w:vAlign w:val="center"/>
            <w:hideMark/>
          </w:tcPr>
          <w:p w14:paraId="5C02771A" w14:textId="18233B2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p w14:paraId="65A013FC" w14:textId="5D4C8E4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tc>
        <w:tc>
          <w:tcPr>
            <w:tcW w:w="658" w:type="dxa"/>
            <w:tcBorders>
              <w:left w:val="nil"/>
              <w:right w:val="nil"/>
            </w:tcBorders>
            <w:noWrap/>
            <w:vAlign w:val="center"/>
            <w:hideMark/>
          </w:tcPr>
          <w:p w14:paraId="492B87D5" w14:textId="296905C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95" w:type="dxa"/>
            <w:tcBorders>
              <w:left w:val="nil"/>
              <w:right w:val="nil"/>
            </w:tcBorders>
            <w:noWrap/>
            <w:vAlign w:val="center"/>
            <w:hideMark/>
          </w:tcPr>
          <w:p w14:paraId="2606D5B1"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110</w:t>
            </w:r>
          </w:p>
          <w:p w14:paraId="6F409C92" w14:textId="2543861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(50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22" w:type="dxa"/>
            <w:tcBorders>
              <w:left w:val="nil"/>
              <w:right w:val="nil"/>
            </w:tcBorders>
            <w:noWrap/>
            <w:vAlign w:val="center"/>
            <w:hideMark/>
          </w:tcPr>
          <w:p w14:paraId="1CC392DD" w14:textId="15D21C5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p w14:paraId="15E5EBA6" w14:textId="11C7336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58" w:type="dxa"/>
            <w:tcBorders>
              <w:left w:val="nil"/>
              <w:right w:val="nil"/>
            </w:tcBorders>
            <w:noWrap/>
            <w:vAlign w:val="center"/>
            <w:hideMark/>
          </w:tcPr>
          <w:p w14:paraId="308DFE19" w14:textId="2BB10D6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700" w:type="dxa"/>
            <w:tcBorders>
              <w:left w:val="nil"/>
              <w:right w:val="nil"/>
            </w:tcBorders>
            <w:noWrap/>
            <w:vAlign w:val="center"/>
            <w:hideMark/>
          </w:tcPr>
          <w:p w14:paraId="5259C0C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69</w:t>
            </w:r>
          </w:p>
          <w:p w14:paraId="58464965" w14:textId="43DF85E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c>
          <w:tcPr>
            <w:tcW w:w="617" w:type="dxa"/>
            <w:tcBorders>
              <w:left w:val="nil"/>
              <w:right w:val="nil"/>
            </w:tcBorders>
            <w:noWrap/>
            <w:vAlign w:val="center"/>
            <w:hideMark/>
          </w:tcPr>
          <w:p w14:paraId="1B7A8820" w14:textId="0FFF407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6</w:t>
            </w:r>
          </w:p>
          <w:p w14:paraId="46C504B3" w14:textId="32C4676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658" w:type="dxa"/>
            <w:tcBorders>
              <w:left w:val="nil"/>
              <w:right w:val="nil"/>
            </w:tcBorders>
            <w:noWrap/>
            <w:vAlign w:val="center"/>
            <w:hideMark/>
          </w:tcPr>
          <w:p w14:paraId="0F520F09" w14:textId="7E95907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705" w:type="dxa"/>
            <w:tcBorders>
              <w:left w:val="nil"/>
              <w:right w:val="nil"/>
            </w:tcBorders>
            <w:noWrap/>
            <w:vAlign w:val="center"/>
            <w:hideMark/>
          </w:tcPr>
          <w:p w14:paraId="5A17951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67</w:t>
            </w:r>
          </w:p>
          <w:p w14:paraId="55BFCF33" w14:textId="725DB95F"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12" w:type="dxa"/>
            <w:tcBorders>
              <w:left w:val="nil"/>
              <w:right w:val="nil"/>
            </w:tcBorders>
            <w:noWrap/>
            <w:vAlign w:val="center"/>
            <w:hideMark/>
          </w:tcPr>
          <w:p w14:paraId="3A7CBFAE" w14:textId="01B33B95"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p w14:paraId="5ED23C1E" w14:textId="5510A26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right w:val="nil"/>
            </w:tcBorders>
            <w:noWrap/>
            <w:vAlign w:val="center"/>
            <w:hideMark/>
          </w:tcPr>
          <w:p w14:paraId="425936CC" w14:textId="38B9E69A"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710" w:type="dxa"/>
            <w:tcBorders>
              <w:left w:val="nil"/>
              <w:right w:val="nil"/>
            </w:tcBorders>
            <w:noWrap/>
            <w:vAlign w:val="center"/>
            <w:hideMark/>
          </w:tcPr>
          <w:p w14:paraId="7397F929"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283E9DEC" w14:textId="2F351F2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6" w:type="dxa"/>
            <w:tcBorders>
              <w:left w:val="nil"/>
              <w:right w:val="nil"/>
            </w:tcBorders>
            <w:noWrap/>
            <w:vAlign w:val="center"/>
            <w:hideMark/>
          </w:tcPr>
          <w:p w14:paraId="053D1C50" w14:textId="40D0EF5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1473D7AC" w14:textId="3C7D35B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3B259436" w14:textId="68FC0F9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715" w:type="dxa"/>
            <w:tcBorders>
              <w:left w:val="nil"/>
              <w:right w:val="nil"/>
            </w:tcBorders>
            <w:noWrap/>
            <w:vAlign w:val="center"/>
            <w:hideMark/>
          </w:tcPr>
          <w:p w14:paraId="2BB3B455"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p>
          <w:p w14:paraId="2819FD1E" w14:textId="6C3C4FB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01" w:type="dxa"/>
            <w:tcBorders>
              <w:left w:val="nil"/>
              <w:right w:val="nil"/>
            </w:tcBorders>
            <w:noWrap/>
            <w:vAlign w:val="center"/>
            <w:hideMark/>
          </w:tcPr>
          <w:p w14:paraId="08103262" w14:textId="704857B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70697BD7" w14:textId="1A35317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right w:val="nil"/>
            </w:tcBorders>
            <w:noWrap/>
            <w:vAlign w:val="center"/>
            <w:hideMark/>
          </w:tcPr>
          <w:p w14:paraId="19C0E7AF" w14:textId="7BD1EFE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r>
      <w:tr w:rsidR="009B5890" w:rsidRPr="005173CD" w14:paraId="63F18923" w14:textId="77777777" w:rsidTr="007F5028">
        <w:trPr>
          <w:trHeight w:val="295"/>
        </w:trPr>
        <w:tc>
          <w:tcPr>
            <w:tcW w:w="1111" w:type="dxa"/>
            <w:tcBorders>
              <w:left w:val="nil"/>
              <w:bottom w:val="single" w:sz="4" w:space="0" w:color="auto"/>
              <w:right w:val="nil"/>
            </w:tcBorders>
            <w:noWrap/>
            <w:vAlign w:val="center"/>
            <w:hideMark/>
          </w:tcPr>
          <w:p w14:paraId="3F608E5B" w14:textId="77777777" w:rsidR="009B5890" w:rsidRPr="005173CD" w:rsidRDefault="009B5890" w:rsidP="007F5028">
            <w:pPr>
              <w:rPr>
                <w:rFonts w:asciiTheme="majorHAnsi" w:eastAsia="Times New Roman" w:hAnsiTheme="majorHAnsi" w:cstheme="majorHAnsi"/>
                <w:bCs/>
                <w:i/>
                <w:iCs/>
                <w:color w:val="000000"/>
                <w:sz w:val="18"/>
                <w:szCs w:val="18"/>
              </w:rPr>
            </w:pPr>
            <w:r w:rsidRPr="005173CD">
              <w:rPr>
                <w:rFonts w:asciiTheme="majorHAnsi" w:eastAsia="Times New Roman" w:hAnsiTheme="majorHAnsi" w:cstheme="majorHAnsi"/>
                <w:bCs/>
                <w:i/>
                <w:iCs/>
                <w:color w:val="000000"/>
                <w:sz w:val="18"/>
                <w:szCs w:val="18"/>
              </w:rPr>
              <w:t>Midwest</w:t>
            </w:r>
          </w:p>
        </w:tc>
        <w:tc>
          <w:tcPr>
            <w:tcW w:w="689" w:type="dxa"/>
            <w:tcBorders>
              <w:left w:val="nil"/>
              <w:bottom w:val="single" w:sz="4" w:space="0" w:color="auto"/>
              <w:right w:val="nil"/>
            </w:tcBorders>
            <w:noWrap/>
            <w:vAlign w:val="center"/>
            <w:hideMark/>
          </w:tcPr>
          <w:p w14:paraId="76420927"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949</w:t>
            </w:r>
          </w:p>
          <w:p w14:paraId="5E66240A" w14:textId="0ECC9578"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27" w:type="dxa"/>
            <w:tcBorders>
              <w:left w:val="nil"/>
              <w:bottom w:val="single" w:sz="4" w:space="0" w:color="auto"/>
              <w:right w:val="nil"/>
            </w:tcBorders>
            <w:noWrap/>
            <w:vAlign w:val="center"/>
            <w:hideMark/>
          </w:tcPr>
          <w:p w14:paraId="0F816BAD" w14:textId="5791AB8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730C8FBB" w14:textId="5C54598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bottom w:val="single" w:sz="4" w:space="0" w:color="auto"/>
              <w:right w:val="nil"/>
            </w:tcBorders>
            <w:noWrap/>
            <w:vAlign w:val="center"/>
            <w:hideMark/>
          </w:tcPr>
          <w:p w14:paraId="43F2E880" w14:textId="185F506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17</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7%</w:t>
            </w:r>
          </w:p>
        </w:tc>
        <w:tc>
          <w:tcPr>
            <w:tcW w:w="695" w:type="dxa"/>
            <w:tcBorders>
              <w:left w:val="nil"/>
              <w:bottom w:val="single" w:sz="4" w:space="0" w:color="auto"/>
              <w:right w:val="nil"/>
            </w:tcBorders>
            <w:noWrap/>
            <w:vAlign w:val="center"/>
            <w:hideMark/>
          </w:tcPr>
          <w:p w14:paraId="58CE622C"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887</w:t>
            </w:r>
          </w:p>
          <w:p w14:paraId="00990C80" w14:textId="54F70EB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(84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22" w:type="dxa"/>
            <w:tcBorders>
              <w:left w:val="nil"/>
              <w:bottom w:val="single" w:sz="4" w:space="0" w:color="auto"/>
              <w:right w:val="nil"/>
            </w:tcBorders>
            <w:noWrap/>
            <w:vAlign w:val="center"/>
            <w:hideMark/>
          </w:tcPr>
          <w:p w14:paraId="0A814E2A" w14:textId="17312152"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p w14:paraId="1DA05590" w14:textId="4410243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5%)</w:t>
            </w:r>
          </w:p>
        </w:tc>
        <w:tc>
          <w:tcPr>
            <w:tcW w:w="658" w:type="dxa"/>
            <w:tcBorders>
              <w:left w:val="nil"/>
              <w:bottom w:val="single" w:sz="4" w:space="0" w:color="auto"/>
              <w:right w:val="nil"/>
            </w:tcBorders>
            <w:noWrap/>
            <w:vAlign w:val="center"/>
            <w:hideMark/>
          </w:tcPr>
          <w:p w14:paraId="2AFF2C0D" w14:textId="4239684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700" w:type="dxa"/>
            <w:tcBorders>
              <w:left w:val="nil"/>
              <w:bottom w:val="single" w:sz="4" w:space="0" w:color="auto"/>
              <w:right w:val="nil"/>
            </w:tcBorders>
            <w:noWrap/>
            <w:vAlign w:val="center"/>
            <w:hideMark/>
          </w:tcPr>
          <w:p w14:paraId="1A49A96E"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783</w:t>
            </w:r>
          </w:p>
          <w:p w14:paraId="16F5B3B9" w14:textId="633F414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617" w:type="dxa"/>
            <w:tcBorders>
              <w:left w:val="nil"/>
              <w:bottom w:val="single" w:sz="4" w:space="0" w:color="auto"/>
              <w:right w:val="nil"/>
            </w:tcBorders>
            <w:noWrap/>
            <w:vAlign w:val="center"/>
            <w:hideMark/>
          </w:tcPr>
          <w:p w14:paraId="6AFC785D" w14:textId="788A205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3</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p w14:paraId="72A27A29" w14:textId="786ABF4D"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58" w:type="dxa"/>
            <w:tcBorders>
              <w:left w:val="nil"/>
              <w:bottom w:val="single" w:sz="4" w:space="0" w:color="auto"/>
              <w:right w:val="nil"/>
            </w:tcBorders>
            <w:noWrap/>
            <w:vAlign w:val="center"/>
            <w:hideMark/>
          </w:tcPr>
          <w:p w14:paraId="5E356E8E" w14:textId="7418BFF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705" w:type="dxa"/>
            <w:tcBorders>
              <w:left w:val="nil"/>
              <w:bottom w:val="single" w:sz="4" w:space="0" w:color="auto"/>
              <w:right w:val="nil"/>
            </w:tcBorders>
            <w:noWrap/>
            <w:vAlign w:val="center"/>
            <w:hideMark/>
          </w:tcPr>
          <w:p w14:paraId="42DF1A92"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727</w:t>
            </w:r>
          </w:p>
          <w:p w14:paraId="040B3CD7" w14:textId="716817C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(68</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12" w:type="dxa"/>
            <w:tcBorders>
              <w:left w:val="nil"/>
              <w:bottom w:val="single" w:sz="4" w:space="0" w:color="auto"/>
              <w:right w:val="nil"/>
            </w:tcBorders>
            <w:noWrap/>
            <w:vAlign w:val="center"/>
            <w:hideMark/>
          </w:tcPr>
          <w:p w14:paraId="3E29C9DD" w14:textId="06ED847E"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p w14:paraId="6432013E" w14:textId="6AB863C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(4</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9%)</w:t>
            </w:r>
          </w:p>
        </w:tc>
        <w:tc>
          <w:tcPr>
            <w:tcW w:w="658" w:type="dxa"/>
            <w:tcBorders>
              <w:left w:val="nil"/>
              <w:bottom w:val="single" w:sz="4" w:space="0" w:color="auto"/>
              <w:right w:val="nil"/>
            </w:tcBorders>
            <w:noWrap/>
            <w:vAlign w:val="center"/>
            <w:hideMark/>
          </w:tcPr>
          <w:p w14:paraId="6D669F2E" w14:textId="18C8F79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9</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tc>
        <w:tc>
          <w:tcPr>
            <w:tcW w:w="710" w:type="dxa"/>
            <w:tcBorders>
              <w:left w:val="nil"/>
              <w:bottom w:val="single" w:sz="4" w:space="0" w:color="auto"/>
              <w:right w:val="nil"/>
            </w:tcBorders>
            <w:noWrap/>
            <w:vAlign w:val="center"/>
            <w:hideMark/>
          </w:tcPr>
          <w:p w14:paraId="14F5AAF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22</w:t>
            </w:r>
          </w:p>
          <w:p w14:paraId="2FAD6861" w14:textId="4DA3DA11"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1%)</w:t>
            </w:r>
          </w:p>
        </w:tc>
        <w:tc>
          <w:tcPr>
            <w:tcW w:w="606" w:type="dxa"/>
            <w:tcBorders>
              <w:left w:val="nil"/>
              <w:bottom w:val="single" w:sz="4" w:space="0" w:color="auto"/>
              <w:right w:val="nil"/>
            </w:tcBorders>
            <w:noWrap/>
            <w:vAlign w:val="center"/>
            <w:hideMark/>
          </w:tcPr>
          <w:p w14:paraId="2A8A1B1F" w14:textId="4BFFE786"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p w14:paraId="0F3F2B7D" w14:textId="49D1ACC9"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bottom w:val="single" w:sz="4" w:space="0" w:color="auto"/>
              <w:right w:val="nil"/>
            </w:tcBorders>
            <w:noWrap/>
            <w:vAlign w:val="center"/>
            <w:hideMark/>
          </w:tcPr>
          <w:p w14:paraId="057408DF" w14:textId="6ECBBDE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26</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4%</w:t>
            </w:r>
          </w:p>
        </w:tc>
        <w:tc>
          <w:tcPr>
            <w:tcW w:w="715" w:type="dxa"/>
            <w:tcBorders>
              <w:left w:val="nil"/>
              <w:bottom w:val="single" w:sz="4" w:space="0" w:color="auto"/>
              <w:right w:val="nil"/>
            </w:tcBorders>
            <w:noWrap/>
            <w:vAlign w:val="center"/>
            <w:hideMark/>
          </w:tcPr>
          <w:p w14:paraId="4F84F7CD" w14:textId="77777777"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14</w:t>
            </w:r>
          </w:p>
          <w:p w14:paraId="3B23546E" w14:textId="5E95EA6C"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3%)</w:t>
            </w:r>
          </w:p>
        </w:tc>
        <w:tc>
          <w:tcPr>
            <w:tcW w:w="601" w:type="dxa"/>
            <w:tcBorders>
              <w:left w:val="nil"/>
              <w:bottom w:val="single" w:sz="4" w:space="0" w:color="auto"/>
              <w:right w:val="nil"/>
            </w:tcBorders>
            <w:noWrap/>
            <w:vAlign w:val="center"/>
            <w:hideMark/>
          </w:tcPr>
          <w:p w14:paraId="556ADB73" w14:textId="4D99305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2</w:t>
            </w:r>
          </w:p>
          <w:p w14:paraId="7F719C4C" w14:textId="38296283"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(0</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0%)</w:t>
            </w:r>
          </w:p>
        </w:tc>
        <w:tc>
          <w:tcPr>
            <w:tcW w:w="659" w:type="dxa"/>
            <w:tcBorders>
              <w:left w:val="nil"/>
              <w:bottom w:val="single" w:sz="4" w:space="0" w:color="auto"/>
              <w:right w:val="nil"/>
            </w:tcBorders>
            <w:noWrap/>
            <w:vAlign w:val="center"/>
            <w:hideMark/>
          </w:tcPr>
          <w:p w14:paraId="4486016D" w14:textId="0A7A205B" w:rsidR="009B5890" w:rsidRPr="005173CD" w:rsidRDefault="009B5890" w:rsidP="007F5028">
            <w:pPr>
              <w:jc w:val="center"/>
              <w:rPr>
                <w:rFonts w:asciiTheme="majorHAnsi" w:eastAsia="Times New Roman" w:hAnsiTheme="majorHAnsi" w:cstheme="majorHAnsi"/>
                <w:color w:val="000000"/>
                <w:sz w:val="18"/>
                <w:szCs w:val="18"/>
              </w:rPr>
            </w:pPr>
            <w:r w:rsidRPr="005173CD">
              <w:rPr>
                <w:rFonts w:asciiTheme="majorHAnsi" w:eastAsia="Times New Roman" w:hAnsiTheme="majorHAnsi" w:cstheme="majorHAnsi"/>
                <w:color w:val="000000"/>
                <w:sz w:val="18"/>
                <w:szCs w:val="18"/>
              </w:rPr>
              <w:t>21</w:t>
            </w:r>
            <w:r w:rsidR="005B08F7">
              <w:rPr>
                <w:rFonts w:asciiTheme="majorHAnsi" w:eastAsia="Times New Roman" w:hAnsiTheme="majorHAnsi" w:cstheme="majorHAnsi"/>
                <w:color w:val="000000"/>
                <w:sz w:val="18"/>
                <w:szCs w:val="18"/>
              </w:rPr>
              <w:t>.</w:t>
            </w:r>
            <w:r w:rsidRPr="005173CD">
              <w:rPr>
                <w:rFonts w:asciiTheme="majorHAnsi" w:eastAsia="Times New Roman" w:hAnsiTheme="majorHAnsi" w:cstheme="majorHAnsi"/>
                <w:color w:val="000000"/>
                <w:sz w:val="18"/>
                <w:szCs w:val="18"/>
              </w:rPr>
              <w:t>8%</w:t>
            </w:r>
          </w:p>
        </w:tc>
      </w:tr>
    </w:tbl>
    <w:p w14:paraId="1D3BE5DB" w14:textId="77777777" w:rsidR="00734096" w:rsidRDefault="00734096" w:rsidP="00C71552">
      <w:pPr>
        <w:spacing w:after="0" w:line="240" w:lineRule="auto"/>
        <w:contextualSpacing/>
        <w:rPr>
          <w:rFonts w:asciiTheme="majorHAnsi" w:hAnsiTheme="majorHAnsi" w:cstheme="majorHAnsi"/>
          <w:lang w:val="en-GB"/>
        </w:rPr>
      </w:pPr>
    </w:p>
    <w:p w14:paraId="39680EE9" w14:textId="23FC32F7" w:rsidR="00C71552" w:rsidRDefault="00C71552" w:rsidP="00C71552">
      <w:pPr>
        <w:spacing w:after="0" w:line="240" w:lineRule="auto"/>
        <w:contextualSpacing/>
        <w:rPr>
          <w:rFonts w:asciiTheme="majorHAnsi" w:hAnsiTheme="majorHAnsi" w:cstheme="majorHAnsi"/>
          <w:lang w:val="en-GB"/>
        </w:rPr>
      </w:pPr>
      <w:r w:rsidRPr="004C277A">
        <w:rPr>
          <w:rFonts w:asciiTheme="majorHAnsi" w:hAnsiTheme="majorHAnsi" w:cstheme="majorHAnsi"/>
          <w:lang w:val="en-GB"/>
        </w:rPr>
        <w:t>*</w:t>
      </w:r>
      <w:r>
        <w:rPr>
          <w:rFonts w:asciiTheme="majorHAnsi" w:hAnsiTheme="majorHAnsi" w:cstheme="majorHAnsi"/>
          <w:lang w:val="en-GB"/>
        </w:rPr>
        <w:t>Person-years are given in millions</w:t>
      </w:r>
      <w:r w:rsidRPr="004C277A">
        <w:rPr>
          <w:rFonts w:asciiTheme="majorHAnsi" w:hAnsiTheme="majorHAnsi" w:cstheme="majorHAnsi"/>
          <w:lang w:val="en-GB"/>
        </w:rPr>
        <w:t>.</w:t>
      </w:r>
    </w:p>
    <w:p w14:paraId="6810E07A" w14:textId="77777777" w:rsidR="00C71552" w:rsidRPr="004C277A" w:rsidRDefault="00C71552" w:rsidP="00C71552">
      <w:pPr>
        <w:spacing w:after="0" w:line="240" w:lineRule="auto"/>
        <w:contextualSpacing/>
        <w:rPr>
          <w:rFonts w:asciiTheme="majorHAnsi" w:hAnsiTheme="majorHAnsi" w:cstheme="majorHAnsi"/>
          <w:lang w:val="en-GB"/>
        </w:rPr>
      </w:pPr>
    </w:p>
    <w:p w14:paraId="12899284" w14:textId="1C4154DE" w:rsidR="00CC7885" w:rsidRPr="004C277A" w:rsidRDefault="00C71552" w:rsidP="00C71552">
      <w:pPr>
        <w:rPr>
          <w:rFonts w:asciiTheme="majorHAnsi" w:hAnsiTheme="majorHAnsi" w:cstheme="majorHAnsi"/>
          <w:lang w:val="en-GB"/>
        </w:rPr>
      </w:pPr>
      <w:r w:rsidRPr="004C277A">
        <w:rPr>
          <w:rFonts w:asciiTheme="majorHAnsi" w:hAnsiTheme="majorHAnsi" w:cstheme="majorHAnsi"/>
          <w:lang w:val="en-GB"/>
        </w:rPr>
        <w:lastRenderedPageBreak/>
        <w:t xml:space="preserve">Modelled </w:t>
      </w:r>
      <w:r>
        <w:rPr>
          <w:rFonts w:asciiTheme="majorHAnsi" w:hAnsiTheme="majorHAnsi" w:cstheme="majorHAnsi"/>
          <w:lang w:val="en-GB"/>
        </w:rPr>
        <w:t>age-standardi</w:t>
      </w:r>
      <w:r w:rsidR="00F80235">
        <w:rPr>
          <w:rFonts w:asciiTheme="majorHAnsi" w:hAnsiTheme="majorHAnsi" w:cstheme="majorHAnsi"/>
          <w:lang w:val="en-GB"/>
        </w:rPr>
        <w:t>s</w:t>
      </w:r>
      <w:r>
        <w:rPr>
          <w:rFonts w:asciiTheme="majorHAnsi" w:hAnsiTheme="majorHAnsi" w:cstheme="majorHAnsi"/>
          <w:lang w:val="en-GB"/>
        </w:rPr>
        <w:t>ed mortality</w:t>
      </w:r>
      <w:r w:rsidRPr="004C277A">
        <w:rPr>
          <w:rFonts w:asciiTheme="majorHAnsi" w:hAnsiTheme="majorHAnsi" w:cstheme="majorHAnsi"/>
          <w:lang w:val="en-GB"/>
        </w:rPr>
        <w:t xml:space="preserve"> estimates were masked (not displayed) </w:t>
      </w:r>
      <w:r>
        <w:rPr>
          <w:rFonts w:asciiTheme="majorHAnsi" w:hAnsiTheme="majorHAnsi" w:cstheme="majorHAnsi"/>
          <w:lang w:val="en-GB"/>
        </w:rPr>
        <w:t>in all years for</w:t>
      </w:r>
      <w:r w:rsidRPr="004C277A">
        <w:rPr>
          <w:rFonts w:asciiTheme="majorHAnsi" w:hAnsiTheme="majorHAnsi" w:cstheme="majorHAnsi"/>
          <w:lang w:val="en-GB"/>
        </w:rPr>
        <w:t xml:space="preserve"> county</w:t>
      </w:r>
      <w:r w:rsidR="00050B76">
        <w:rPr>
          <w:rFonts w:asciiTheme="majorHAnsi" w:hAnsiTheme="majorHAnsi" w:cstheme="majorHAnsi"/>
          <w:lang w:val="en-GB"/>
        </w:rPr>
        <w:t xml:space="preserve"> and </w:t>
      </w:r>
      <w:r w:rsidR="009579DB">
        <w:rPr>
          <w:rFonts w:asciiTheme="majorHAnsi" w:hAnsiTheme="majorHAnsi" w:cstheme="majorHAnsi"/>
          <w:lang w:val="en-GB"/>
        </w:rPr>
        <w:t>racial and ethnic population</w:t>
      </w:r>
      <w:r w:rsidR="00D10F64">
        <w:rPr>
          <w:rFonts w:asciiTheme="majorHAnsi" w:hAnsiTheme="majorHAnsi" w:cstheme="majorHAnsi"/>
          <w:lang w:val="en-GB"/>
        </w:rPr>
        <w:t xml:space="preserve"> combination</w:t>
      </w:r>
      <w:r>
        <w:rPr>
          <w:rFonts w:asciiTheme="majorHAnsi" w:hAnsiTheme="majorHAnsi" w:cstheme="majorHAnsi"/>
          <w:lang w:val="en-GB"/>
        </w:rPr>
        <w:t>s</w:t>
      </w:r>
      <w:r w:rsidRPr="004C277A">
        <w:rPr>
          <w:rFonts w:asciiTheme="majorHAnsi" w:hAnsiTheme="majorHAnsi" w:cstheme="majorHAnsi"/>
          <w:lang w:val="en-GB"/>
        </w:rPr>
        <w:t xml:space="preserve"> with a </w:t>
      </w:r>
      <w:r>
        <w:rPr>
          <w:rFonts w:asciiTheme="majorHAnsi" w:hAnsiTheme="majorHAnsi" w:cstheme="majorHAnsi"/>
          <w:lang w:val="en-GB"/>
        </w:rPr>
        <w:t>mean</w:t>
      </w:r>
      <w:r w:rsidRPr="004C277A">
        <w:rPr>
          <w:rFonts w:asciiTheme="majorHAnsi" w:hAnsiTheme="majorHAnsi" w:cstheme="majorHAnsi"/>
          <w:lang w:val="en-GB"/>
        </w:rPr>
        <w:t xml:space="preserve"> annual population of </w:t>
      </w:r>
      <w:r w:rsidR="00D10F64">
        <w:rPr>
          <w:rFonts w:asciiTheme="majorHAnsi" w:hAnsiTheme="majorHAnsi" w:cstheme="majorHAnsi"/>
          <w:lang w:val="en-GB"/>
        </w:rPr>
        <w:t>fewer</w:t>
      </w:r>
      <w:r w:rsidRPr="004C277A">
        <w:rPr>
          <w:rFonts w:asciiTheme="majorHAnsi" w:hAnsiTheme="majorHAnsi" w:cstheme="majorHAnsi"/>
          <w:lang w:val="en-GB"/>
        </w:rPr>
        <w:t xml:space="preserve"> than 1000 </w:t>
      </w:r>
      <w:r w:rsidR="00C226B4">
        <w:rPr>
          <w:rFonts w:asciiTheme="majorHAnsi" w:hAnsiTheme="majorHAnsi" w:cstheme="majorHAnsi"/>
          <w:lang w:val="en-GB"/>
        </w:rPr>
        <w:t>people</w:t>
      </w:r>
      <w:r w:rsidR="00DC3696">
        <w:rPr>
          <w:rFonts w:asciiTheme="majorHAnsi" w:hAnsiTheme="majorHAnsi" w:cstheme="majorHAnsi"/>
          <w:lang w:val="en-GB"/>
        </w:rPr>
        <w:t xml:space="preserve"> </w:t>
      </w:r>
      <w:r w:rsidR="00300316" w:rsidRPr="003C4E49">
        <w:rPr>
          <w:rFonts w:asciiTheme="majorHAnsi" w:hAnsiTheme="majorHAnsi" w:cstheme="majorHAnsi"/>
        </w:rPr>
        <w:t>because model performance declined notably below this threshold</w:t>
      </w:r>
      <w:r>
        <w:rPr>
          <w:rFonts w:asciiTheme="majorHAnsi" w:hAnsiTheme="majorHAnsi" w:cstheme="majorHAnsi"/>
          <w:lang w:val="en-GB"/>
        </w:rPr>
        <w:t>.</w:t>
      </w:r>
      <w:r w:rsidRPr="004C277A">
        <w:rPr>
          <w:rFonts w:asciiTheme="majorHAnsi" w:hAnsiTheme="majorHAnsi" w:cstheme="majorHAnsi"/>
          <w:lang w:val="en-GB"/>
        </w:rPr>
        <w:t xml:space="preserve"> The number of unique counties masked</w:t>
      </w:r>
      <w:r w:rsidR="00056D28">
        <w:rPr>
          <w:rFonts w:asciiTheme="majorHAnsi" w:hAnsiTheme="majorHAnsi" w:cstheme="majorHAnsi"/>
          <w:lang w:val="en-GB"/>
        </w:rPr>
        <w:t xml:space="preserve"> (and corresponding percentage of all counties)</w:t>
      </w:r>
      <w:r w:rsidRPr="004C277A">
        <w:rPr>
          <w:rFonts w:asciiTheme="majorHAnsi" w:hAnsiTheme="majorHAnsi" w:cstheme="majorHAnsi"/>
          <w:lang w:val="en-GB"/>
        </w:rPr>
        <w:t>, the person-years in millions represented by these county-years</w:t>
      </w:r>
      <w:r w:rsidR="00BC388D">
        <w:rPr>
          <w:rFonts w:asciiTheme="majorHAnsi" w:hAnsiTheme="majorHAnsi" w:cstheme="majorHAnsi"/>
          <w:lang w:val="en-GB"/>
        </w:rPr>
        <w:t xml:space="preserve"> (and corresponding percentage of all person-years)</w:t>
      </w:r>
      <w:r>
        <w:rPr>
          <w:rFonts w:asciiTheme="majorHAnsi" w:hAnsiTheme="majorHAnsi" w:cstheme="majorHAnsi"/>
          <w:lang w:val="en-GB"/>
        </w:rPr>
        <w:t xml:space="preserve">, and the percentage of the person-years masked in each </w:t>
      </w:r>
      <w:r w:rsidR="00AE5757">
        <w:rPr>
          <w:rFonts w:asciiTheme="majorHAnsi" w:hAnsiTheme="majorHAnsi" w:cstheme="majorHAnsi"/>
          <w:lang w:val="en-GB"/>
        </w:rPr>
        <w:t>county and racial and ethnic population combination</w:t>
      </w:r>
      <w:r w:rsidRPr="004C277A">
        <w:rPr>
          <w:rFonts w:asciiTheme="majorHAnsi" w:hAnsiTheme="majorHAnsi" w:cstheme="majorHAnsi"/>
          <w:lang w:val="en-GB"/>
        </w:rPr>
        <w:t xml:space="preserve"> are listed in this table.</w:t>
      </w:r>
      <w:r w:rsidR="0070701D">
        <w:rPr>
          <w:rFonts w:asciiTheme="majorHAnsi" w:hAnsiTheme="majorHAnsi" w:cstheme="majorHAnsi"/>
          <w:lang w:val="en-GB"/>
        </w:rPr>
        <w:t xml:space="preserve"> </w:t>
      </w:r>
      <w:r w:rsidR="0070701D" w:rsidRPr="4555A144">
        <w:rPr>
          <w:rFonts w:ascii="Calibri Light" w:eastAsia="Calibri Light" w:hAnsi="Calibri Light" w:cs="Calibri Light"/>
          <w:color w:val="000000" w:themeColor="text1"/>
          <w:lang w:val="en-GB"/>
        </w:rPr>
        <w:t>AIAN = American Indian or Alaska Native.</w:t>
      </w:r>
    </w:p>
    <w:p w14:paraId="79FDFE14" w14:textId="1B32128A" w:rsidR="6D47B361" w:rsidRPr="004C277A" w:rsidRDefault="006C1B1F">
      <w:pPr>
        <w:rPr>
          <w:rFonts w:asciiTheme="majorHAnsi" w:hAnsiTheme="majorHAnsi" w:cstheme="majorHAnsi"/>
          <w:lang w:val="en-GB"/>
        </w:rPr>
      </w:pPr>
      <w:r w:rsidRPr="004C277A">
        <w:rPr>
          <w:rFonts w:asciiTheme="majorHAnsi" w:hAnsiTheme="majorHAnsi" w:cstheme="majorHAnsi"/>
          <w:lang w:val="en-GB"/>
        </w:rPr>
        <w:br w:type="page"/>
      </w:r>
    </w:p>
    <w:p w14:paraId="768B10DB" w14:textId="68C82B79" w:rsidR="00EB2445" w:rsidRDefault="00DF3268" w:rsidP="00EB2445">
      <w:pPr>
        <w:pStyle w:val="Heading2"/>
        <w:rPr>
          <w:rFonts w:cstheme="majorHAnsi"/>
          <w:lang w:val="en-GB"/>
        </w:rPr>
      </w:pPr>
      <w:bookmarkStart w:id="57" w:name="_Toc99615587"/>
      <w:bookmarkStart w:id="58" w:name="_Toc175308195"/>
      <w:bookmarkStart w:id="59" w:name="_Toc69073491"/>
      <w:r>
        <w:rPr>
          <w:rFonts w:cstheme="majorHAnsi"/>
          <w:lang w:val="en-GB"/>
        </w:rPr>
        <w:lastRenderedPageBreak/>
        <w:t>3.6</w:t>
      </w:r>
      <w:r w:rsidR="00EB2445" w:rsidRPr="00A04876">
        <w:rPr>
          <w:rFonts w:cstheme="majorHAnsi"/>
          <w:lang w:val="en-GB"/>
        </w:rPr>
        <w:t xml:space="preserve"> Hyperparameter posterior means and standard errors</w:t>
      </w:r>
      <w:bookmarkEnd w:id="57"/>
      <w:r w:rsidR="00CF609A">
        <w:rPr>
          <w:rFonts w:cstheme="majorHAnsi"/>
          <w:lang w:val="en-GB"/>
        </w:rPr>
        <w:t xml:space="preserve"> for </w:t>
      </w:r>
      <w:r w:rsidR="000D61F1">
        <w:rPr>
          <w:rFonts w:cstheme="majorHAnsi"/>
          <w:lang w:val="en-GB"/>
        </w:rPr>
        <w:t>maternal mortality</w:t>
      </w:r>
      <w:r w:rsidR="00CF609A">
        <w:rPr>
          <w:rFonts w:cstheme="majorHAnsi"/>
          <w:lang w:val="en-GB"/>
        </w:rPr>
        <w:t xml:space="preserve"> model</w:t>
      </w:r>
      <w:bookmarkEnd w:id="58"/>
    </w:p>
    <w:p w14:paraId="52D5BFA4" w14:textId="77777777" w:rsidR="00357D02" w:rsidRPr="00357D02" w:rsidRDefault="00357D02" w:rsidP="00357D02">
      <w:pPr>
        <w:spacing w:after="0" w:line="240" w:lineRule="auto"/>
        <w:contextualSpacing/>
        <w:rPr>
          <w:lang w:val="en-GB"/>
        </w:rPr>
      </w:pPr>
    </w:p>
    <w:tbl>
      <w:tblPr>
        <w:tblStyle w:val="TableGrid"/>
        <w:tblW w:w="0" w:type="auto"/>
        <w:jc w:val="center"/>
        <w:tblBorders>
          <w:top w:val="single" w:sz="4" w:space="0" w:color="AEAAAA" w:themeColor="background2" w:themeShade="BF"/>
          <w:left w:val="none" w:sz="0" w:space="0" w:color="auto"/>
          <w:bottom w:val="single" w:sz="4" w:space="0" w:color="AEAAAA" w:themeColor="background2" w:themeShade="BF"/>
          <w:right w:val="none" w:sz="0" w:space="0" w:color="auto"/>
          <w:insideH w:val="single" w:sz="4" w:space="0" w:color="AEAAAA" w:themeColor="background2" w:themeShade="BF"/>
          <w:insideV w:val="none" w:sz="0" w:space="0" w:color="auto"/>
        </w:tblBorders>
        <w:tblLook w:val="04A0" w:firstRow="1" w:lastRow="0" w:firstColumn="1" w:lastColumn="0" w:noHBand="0" w:noVBand="1"/>
      </w:tblPr>
      <w:tblGrid>
        <w:gridCol w:w="2790"/>
        <w:gridCol w:w="1890"/>
        <w:gridCol w:w="1170"/>
        <w:gridCol w:w="1102"/>
        <w:gridCol w:w="3716"/>
        <w:gridCol w:w="2082"/>
      </w:tblGrid>
      <w:tr w:rsidR="00167ADD" w:rsidRPr="005173CD" w14:paraId="17859E16" w14:textId="77777777" w:rsidTr="00431944">
        <w:trPr>
          <w:trHeight w:val="290"/>
          <w:tblHeader/>
          <w:jc w:val="center"/>
        </w:trPr>
        <w:tc>
          <w:tcPr>
            <w:tcW w:w="2790" w:type="dxa"/>
            <w:tcBorders>
              <w:top w:val="single" w:sz="8" w:space="0" w:color="auto"/>
              <w:bottom w:val="single" w:sz="8" w:space="0" w:color="auto"/>
            </w:tcBorders>
            <w:noWrap/>
            <w:hideMark/>
          </w:tcPr>
          <w:p w14:paraId="7AD29209" w14:textId="41B96DC0" w:rsidR="00167ADD" w:rsidRPr="005173CD" w:rsidRDefault="00167ADD">
            <w:pPr>
              <w:rPr>
                <w:rFonts w:asciiTheme="majorHAnsi" w:hAnsiTheme="majorHAnsi" w:cstheme="majorHAnsi"/>
                <w:b/>
                <w:sz w:val="20"/>
                <w:szCs w:val="20"/>
              </w:rPr>
            </w:pPr>
            <w:r w:rsidRPr="005173CD">
              <w:rPr>
                <w:rFonts w:asciiTheme="majorHAnsi" w:hAnsiTheme="majorHAnsi" w:cstheme="majorHAnsi"/>
                <w:b/>
                <w:sz w:val="20"/>
                <w:szCs w:val="20"/>
              </w:rPr>
              <w:t>Model</w:t>
            </w:r>
          </w:p>
        </w:tc>
        <w:tc>
          <w:tcPr>
            <w:tcW w:w="1890" w:type="dxa"/>
            <w:tcBorders>
              <w:top w:val="single" w:sz="8" w:space="0" w:color="auto"/>
              <w:bottom w:val="single" w:sz="8" w:space="0" w:color="auto"/>
            </w:tcBorders>
            <w:noWrap/>
            <w:hideMark/>
          </w:tcPr>
          <w:p w14:paraId="7B395D8D" w14:textId="77777777" w:rsidR="00167ADD" w:rsidRPr="005173CD" w:rsidRDefault="00167ADD">
            <w:pPr>
              <w:rPr>
                <w:rFonts w:asciiTheme="majorHAnsi" w:hAnsiTheme="majorHAnsi" w:cstheme="majorHAnsi"/>
                <w:b/>
                <w:sz w:val="20"/>
                <w:szCs w:val="20"/>
              </w:rPr>
            </w:pPr>
            <w:r w:rsidRPr="005173CD">
              <w:rPr>
                <w:rFonts w:asciiTheme="majorHAnsi" w:hAnsiTheme="majorHAnsi" w:cstheme="majorHAnsi"/>
                <w:b/>
                <w:sz w:val="20"/>
                <w:szCs w:val="20"/>
              </w:rPr>
              <w:t>Cause</w:t>
            </w:r>
          </w:p>
        </w:tc>
        <w:tc>
          <w:tcPr>
            <w:tcW w:w="1170" w:type="dxa"/>
            <w:tcBorders>
              <w:top w:val="single" w:sz="8" w:space="0" w:color="auto"/>
              <w:bottom w:val="single" w:sz="8" w:space="0" w:color="auto"/>
            </w:tcBorders>
            <w:noWrap/>
            <w:hideMark/>
          </w:tcPr>
          <w:p w14:paraId="62C6D4D8" w14:textId="77777777" w:rsidR="00167ADD" w:rsidRPr="005173CD" w:rsidRDefault="00167ADD">
            <w:pPr>
              <w:rPr>
                <w:rFonts w:asciiTheme="majorHAnsi" w:hAnsiTheme="majorHAnsi" w:cstheme="majorHAnsi"/>
                <w:b/>
                <w:sz w:val="20"/>
                <w:szCs w:val="20"/>
              </w:rPr>
            </w:pPr>
            <w:r w:rsidRPr="005173CD">
              <w:rPr>
                <w:rFonts w:asciiTheme="majorHAnsi" w:hAnsiTheme="majorHAnsi" w:cstheme="majorHAnsi"/>
                <w:b/>
                <w:sz w:val="20"/>
                <w:szCs w:val="20"/>
              </w:rPr>
              <w:t>Sex</w:t>
            </w:r>
          </w:p>
        </w:tc>
        <w:tc>
          <w:tcPr>
            <w:tcW w:w="1102" w:type="dxa"/>
            <w:tcBorders>
              <w:top w:val="single" w:sz="8" w:space="0" w:color="auto"/>
              <w:bottom w:val="single" w:sz="8" w:space="0" w:color="auto"/>
            </w:tcBorders>
            <w:noWrap/>
            <w:hideMark/>
          </w:tcPr>
          <w:p w14:paraId="00E04E98" w14:textId="70AD2A34" w:rsidR="00167ADD" w:rsidRPr="005173CD" w:rsidRDefault="004058CF">
            <w:pPr>
              <w:rPr>
                <w:rFonts w:asciiTheme="majorHAnsi" w:hAnsiTheme="majorHAnsi" w:cstheme="majorHAnsi"/>
                <w:b/>
                <w:sz w:val="20"/>
                <w:szCs w:val="20"/>
              </w:rPr>
            </w:pPr>
            <w:r w:rsidRPr="005173CD">
              <w:rPr>
                <w:rFonts w:asciiTheme="majorHAnsi" w:hAnsiTheme="majorHAnsi" w:cstheme="majorHAnsi"/>
                <w:b/>
                <w:sz w:val="20"/>
                <w:szCs w:val="20"/>
              </w:rPr>
              <w:t>Parameter</w:t>
            </w:r>
          </w:p>
        </w:tc>
        <w:tc>
          <w:tcPr>
            <w:tcW w:w="3716" w:type="dxa"/>
            <w:tcBorders>
              <w:top w:val="single" w:sz="8" w:space="0" w:color="auto"/>
              <w:bottom w:val="single" w:sz="8" w:space="0" w:color="auto"/>
            </w:tcBorders>
            <w:noWrap/>
            <w:hideMark/>
          </w:tcPr>
          <w:p w14:paraId="3833D4D1" w14:textId="0A20C5FB" w:rsidR="00167ADD" w:rsidRPr="005173CD" w:rsidRDefault="00167ADD" w:rsidP="004058CF">
            <w:pPr>
              <w:rPr>
                <w:rFonts w:asciiTheme="majorHAnsi" w:hAnsiTheme="majorHAnsi" w:cstheme="majorHAnsi"/>
                <w:b/>
                <w:sz w:val="20"/>
                <w:szCs w:val="20"/>
              </w:rPr>
            </w:pPr>
          </w:p>
        </w:tc>
        <w:tc>
          <w:tcPr>
            <w:tcW w:w="2082" w:type="dxa"/>
            <w:tcBorders>
              <w:top w:val="single" w:sz="8" w:space="0" w:color="auto"/>
              <w:bottom w:val="single" w:sz="8" w:space="0" w:color="auto"/>
            </w:tcBorders>
            <w:noWrap/>
            <w:hideMark/>
          </w:tcPr>
          <w:p w14:paraId="3778273A" w14:textId="77777777" w:rsidR="00167ADD" w:rsidRPr="005173CD" w:rsidRDefault="00167ADD">
            <w:pPr>
              <w:rPr>
                <w:rFonts w:asciiTheme="majorHAnsi" w:hAnsiTheme="majorHAnsi" w:cstheme="majorHAnsi"/>
                <w:b/>
                <w:sz w:val="20"/>
                <w:szCs w:val="20"/>
              </w:rPr>
            </w:pPr>
            <w:r w:rsidRPr="005173CD">
              <w:rPr>
                <w:rFonts w:asciiTheme="majorHAnsi" w:hAnsiTheme="majorHAnsi" w:cstheme="majorHAnsi"/>
                <w:b/>
                <w:sz w:val="20"/>
                <w:szCs w:val="20"/>
              </w:rPr>
              <w:t>Mean (SE)*</w:t>
            </w:r>
          </w:p>
        </w:tc>
      </w:tr>
      <w:tr w:rsidR="0018666D" w:rsidRPr="005173CD" w14:paraId="19B5EA37" w14:textId="77777777" w:rsidTr="003501F0">
        <w:trPr>
          <w:trHeight w:val="290"/>
          <w:jc w:val="center"/>
        </w:trPr>
        <w:tc>
          <w:tcPr>
            <w:tcW w:w="2790" w:type="dxa"/>
            <w:tcBorders>
              <w:top w:val="single" w:sz="8" w:space="0" w:color="auto"/>
            </w:tcBorders>
            <w:noWrap/>
            <w:vAlign w:val="center"/>
            <w:hideMark/>
          </w:tcPr>
          <w:p w14:paraId="7C0E6670" w14:textId="67203103" w:rsidR="0018666D" w:rsidRPr="005173CD" w:rsidRDefault="0018666D" w:rsidP="0018666D">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tcBorders>
              <w:top w:val="single" w:sz="8" w:space="0" w:color="auto"/>
            </w:tcBorders>
            <w:noWrap/>
            <w:vAlign w:val="center"/>
            <w:hideMark/>
          </w:tcPr>
          <w:p w14:paraId="4F7CDC95" w14:textId="454679D9" w:rsidR="0018666D" w:rsidRPr="005173CD" w:rsidRDefault="004A4C95" w:rsidP="0018666D">
            <w:pPr>
              <w:rPr>
                <w:rFonts w:asciiTheme="majorHAnsi" w:hAnsiTheme="majorHAnsi" w:cstheme="majorHAnsi"/>
                <w:sz w:val="20"/>
                <w:szCs w:val="20"/>
              </w:rPr>
            </w:pPr>
            <w:r w:rsidRPr="004A4C95">
              <w:rPr>
                <w:rFonts w:asciiTheme="majorHAnsi" w:hAnsiTheme="majorHAnsi" w:cstheme="majorHAnsi"/>
                <w:sz w:val="20"/>
                <w:szCs w:val="20"/>
              </w:rPr>
              <w:t>Maternal disorders (Level 3)</w:t>
            </w:r>
          </w:p>
        </w:tc>
        <w:tc>
          <w:tcPr>
            <w:tcW w:w="1170" w:type="dxa"/>
            <w:tcBorders>
              <w:top w:val="single" w:sz="8" w:space="0" w:color="auto"/>
            </w:tcBorders>
            <w:noWrap/>
            <w:vAlign w:val="center"/>
            <w:hideMark/>
          </w:tcPr>
          <w:p w14:paraId="042730C0" w14:textId="77777777" w:rsidR="0018666D" w:rsidRPr="005173CD" w:rsidRDefault="0018666D" w:rsidP="0018666D">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tcBorders>
              <w:top w:val="single" w:sz="8" w:space="0" w:color="auto"/>
            </w:tcBorders>
            <w:noWrap/>
            <w:vAlign w:val="center"/>
            <w:hideMark/>
          </w:tcPr>
          <w:p w14:paraId="6E85E973" w14:textId="184714E9" w:rsidR="0018666D" w:rsidRPr="005173CD" w:rsidRDefault="007A62BF" w:rsidP="0018666D">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1</m:t>
                    </m:r>
                  </m:sub>
                </m:sSub>
              </m:oMath>
            </m:oMathPara>
          </w:p>
        </w:tc>
        <w:tc>
          <w:tcPr>
            <w:tcW w:w="3716" w:type="dxa"/>
            <w:tcBorders>
              <w:top w:val="single" w:sz="8" w:space="0" w:color="auto"/>
            </w:tcBorders>
            <w:noWrap/>
            <w:vAlign w:val="center"/>
            <w:hideMark/>
          </w:tcPr>
          <w:p w14:paraId="2259C75B" w14:textId="77777777" w:rsidR="0018666D" w:rsidRPr="005173CD" w:rsidRDefault="0018666D" w:rsidP="0018666D">
            <w:pPr>
              <w:rPr>
                <w:rFonts w:asciiTheme="majorHAnsi" w:hAnsiTheme="majorHAnsi" w:cstheme="majorHAnsi"/>
                <w:sz w:val="20"/>
                <w:szCs w:val="20"/>
              </w:rPr>
            </w:pPr>
            <w:r w:rsidRPr="005173CD">
              <w:rPr>
                <w:rFonts w:asciiTheme="majorHAnsi" w:hAnsiTheme="majorHAnsi" w:cstheme="majorHAnsi"/>
                <w:sz w:val="20"/>
                <w:szCs w:val="20"/>
              </w:rPr>
              <w:t xml:space="preserve">Standard deviation, Proportion with </w:t>
            </w:r>
            <w:proofErr w:type="spellStart"/>
            <w:proofErr w:type="gramStart"/>
            <w:r w:rsidRPr="005173CD">
              <w:rPr>
                <w:rFonts w:asciiTheme="majorHAnsi" w:hAnsiTheme="majorHAnsi" w:cstheme="majorHAnsi"/>
                <w:sz w:val="20"/>
                <w:szCs w:val="20"/>
              </w:rPr>
              <w:t>Bachelors</w:t>
            </w:r>
            <w:proofErr w:type="spellEnd"/>
            <w:r w:rsidRPr="005173CD">
              <w:rPr>
                <w:rFonts w:asciiTheme="majorHAnsi" w:hAnsiTheme="majorHAnsi" w:cstheme="majorHAnsi"/>
                <w:sz w:val="20"/>
                <w:szCs w:val="20"/>
              </w:rPr>
              <w:t xml:space="preserve"> Degree</w:t>
            </w:r>
            <w:proofErr w:type="gramEnd"/>
          </w:p>
        </w:tc>
        <w:tc>
          <w:tcPr>
            <w:tcW w:w="2082" w:type="dxa"/>
            <w:tcBorders>
              <w:top w:val="single" w:sz="8" w:space="0" w:color="auto"/>
            </w:tcBorders>
            <w:noWrap/>
            <w:vAlign w:val="center"/>
            <w:hideMark/>
          </w:tcPr>
          <w:p w14:paraId="6941BB28" w14:textId="57ED7CEC" w:rsidR="0018666D" w:rsidRPr="005173CD" w:rsidRDefault="0018666D" w:rsidP="003501F0">
            <w:pPr>
              <w:rPr>
                <w:rFonts w:asciiTheme="majorHAnsi" w:hAnsiTheme="majorHAnsi" w:cstheme="majorHAnsi"/>
                <w:sz w:val="20"/>
                <w:szCs w:val="20"/>
              </w:rPr>
            </w:pPr>
            <w:r w:rsidRPr="006E7676">
              <w:rPr>
                <w:rFonts w:asciiTheme="majorHAnsi" w:hAnsiTheme="majorHAnsi" w:cstheme="majorHAnsi"/>
                <w:sz w:val="20"/>
                <w:szCs w:val="20"/>
              </w:rPr>
              <w:t>0.061 (SE = 0.039)</w:t>
            </w:r>
          </w:p>
        </w:tc>
      </w:tr>
      <w:tr w:rsidR="004A4C95" w:rsidRPr="005173CD" w14:paraId="599AA12E" w14:textId="77777777" w:rsidTr="004A4C95">
        <w:trPr>
          <w:trHeight w:val="290"/>
          <w:jc w:val="center"/>
        </w:trPr>
        <w:tc>
          <w:tcPr>
            <w:tcW w:w="2790" w:type="dxa"/>
            <w:noWrap/>
            <w:vAlign w:val="center"/>
            <w:hideMark/>
          </w:tcPr>
          <w:p w14:paraId="72E6FD0B" w14:textId="7BCB75BC"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228690A0" w14:textId="21686740"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1F6706E5"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4E803E95" w14:textId="66852FCA"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1</m:t>
                    </m:r>
                  </m:sub>
                </m:sSub>
              </m:oMath>
            </m:oMathPara>
          </w:p>
        </w:tc>
        <w:tc>
          <w:tcPr>
            <w:tcW w:w="3716" w:type="dxa"/>
            <w:noWrap/>
            <w:vAlign w:val="center"/>
            <w:hideMark/>
          </w:tcPr>
          <w:p w14:paraId="28EDA73B"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 Proportion in poverty</w:t>
            </w:r>
          </w:p>
        </w:tc>
        <w:tc>
          <w:tcPr>
            <w:tcW w:w="2082" w:type="dxa"/>
            <w:noWrap/>
            <w:vAlign w:val="center"/>
            <w:hideMark/>
          </w:tcPr>
          <w:p w14:paraId="403558C0" w14:textId="0526B7D6"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0.125 (SE = 0.063)</w:t>
            </w:r>
          </w:p>
        </w:tc>
      </w:tr>
      <w:tr w:rsidR="004A4C95" w:rsidRPr="005173CD" w14:paraId="1B65373F" w14:textId="77777777" w:rsidTr="004A4C95">
        <w:trPr>
          <w:trHeight w:val="290"/>
          <w:jc w:val="center"/>
        </w:trPr>
        <w:tc>
          <w:tcPr>
            <w:tcW w:w="2790" w:type="dxa"/>
            <w:noWrap/>
            <w:vAlign w:val="center"/>
            <w:hideMark/>
          </w:tcPr>
          <w:p w14:paraId="1C263CFA" w14:textId="4770B751"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01FDFF71" w14:textId="698C2EE1"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083D4382"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31538136" w14:textId="5CE741FE"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1</m:t>
                    </m:r>
                  </m:sub>
                </m:sSub>
              </m:oMath>
            </m:oMathPara>
          </w:p>
        </w:tc>
        <w:tc>
          <w:tcPr>
            <w:tcW w:w="3716" w:type="dxa"/>
            <w:noWrap/>
            <w:vAlign w:val="center"/>
            <w:hideMark/>
          </w:tcPr>
          <w:p w14:paraId="6B90BAD0"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 Proportion foreign born</w:t>
            </w:r>
          </w:p>
        </w:tc>
        <w:tc>
          <w:tcPr>
            <w:tcW w:w="2082" w:type="dxa"/>
            <w:noWrap/>
            <w:vAlign w:val="center"/>
            <w:hideMark/>
          </w:tcPr>
          <w:p w14:paraId="2A5BB616" w14:textId="4B95994E"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0.218 (SE = 0.169)</w:t>
            </w:r>
          </w:p>
        </w:tc>
      </w:tr>
      <w:tr w:rsidR="004A4C95" w:rsidRPr="005173CD" w14:paraId="5CD4FA3B" w14:textId="77777777" w:rsidTr="004A4C95">
        <w:trPr>
          <w:trHeight w:val="290"/>
          <w:jc w:val="center"/>
        </w:trPr>
        <w:tc>
          <w:tcPr>
            <w:tcW w:w="2790" w:type="dxa"/>
            <w:noWrap/>
            <w:vAlign w:val="center"/>
            <w:hideMark/>
          </w:tcPr>
          <w:p w14:paraId="150529C8" w14:textId="4A356861"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0220927C" w14:textId="14B93D82"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36A054B2"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3FDE0C9B" w14:textId="55AE6BB3"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2</m:t>
                    </m:r>
                  </m:sub>
                </m:sSub>
              </m:oMath>
            </m:oMathPara>
          </w:p>
        </w:tc>
        <w:tc>
          <w:tcPr>
            <w:tcW w:w="3716" w:type="dxa"/>
            <w:noWrap/>
            <w:vAlign w:val="center"/>
            <w:hideMark/>
          </w:tcPr>
          <w:p w14:paraId="44965BEB"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57511665" w14:textId="09B2C9B6"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0.248 (SE = 0.024)</w:t>
            </w:r>
          </w:p>
        </w:tc>
      </w:tr>
      <w:tr w:rsidR="004A4C95" w:rsidRPr="005173CD" w14:paraId="171AD63E" w14:textId="77777777" w:rsidTr="004A4C95">
        <w:trPr>
          <w:trHeight w:val="290"/>
          <w:jc w:val="center"/>
        </w:trPr>
        <w:tc>
          <w:tcPr>
            <w:tcW w:w="2790" w:type="dxa"/>
            <w:noWrap/>
            <w:vAlign w:val="center"/>
            <w:hideMark/>
          </w:tcPr>
          <w:p w14:paraId="71908598" w14:textId="7DF235CA"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50620217" w14:textId="489095C4"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5AF71F85"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5581121F" w14:textId="3ED685CB"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2</m:t>
                    </m:r>
                  </m:sub>
                </m:sSub>
              </m:oMath>
            </m:oMathPara>
          </w:p>
        </w:tc>
        <w:tc>
          <w:tcPr>
            <w:tcW w:w="3716" w:type="dxa"/>
            <w:noWrap/>
            <w:vAlign w:val="center"/>
            <w:hideMark/>
          </w:tcPr>
          <w:p w14:paraId="53A1232D"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County</w:t>
            </w:r>
          </w:p>
        </w:tc>
        <w:tc>
          <w:tcPr>
            <w:tcW w:w="2082" w:type="dxa"/>
            <w:noWrap/>
            <w:vAlign w:val="center"/>
            <w:hideMark/>
          </w:tcPr>
          <w:p w14:paraId="67CF4F1C" w14:textId="7BD98E13"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0.988 (SE = 0.008)</w:t>
            </w:r>
          </w:p>
        </w:tc>
      </w:tr>
      <w:tr w:rsidR="004A4C95" w:rsidRPr="005173CD" w14:paraId="6832E30D" w14:textId="77777777" w:rsidTr="004A4C95">
        <w:trPr>
          <w:trHeight w:val="290"/>
          <w:jc w:val="center"/>
        </w:trPr>
        <w:tc>
          <w:tcPr>
            <w:tcW w:w="2790" w:type="dxa"/>
            <w:noWrap/>
            <w:vAlign w:val="center"/>
            <w:hideMark/>
          </w:tcPr>
          <w:p w14:paraId="7B99BFAB" w14:textId="50067D71"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545AF755" w14:textId="22FC0BAB"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40CF6D97"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70AC2167" w14:textId="7B172F2E"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168A6DAC" w14:textId="13AEC52B"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579E1FB2" w14:textId="17D1AF02"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0.152 (SE = 0.013)</w:t>
            </w:r>
          </w:p>
        </w:tc>
      </w:tr>
      <w:tr w:rsidR="004A4C95" w:rsidRPr="005173CD" w14:paraId="6C34C8C1" w14:textId="77777777" w:rsidTr="004A4C95">
        <w:trPr>
          <w:trHeight w:val="290"/>
          <w:jc w:val="center"/>
        </w:trPr>
        <w:tc>
          <w:tcPr>
            <w:tcW w:w="2790" w:type="dxa"/>
            <w:noWrap/>
            <w:vAlign w:val="center"/>
            <w:hideMark/>
          </w:tcPr>
          <w:p w14:paraId="033D5F70" w14:textId="24074A05"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64830CE0" w14:textId="69CD0499"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1291C845"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7DBCAFD7" w14:textId="6A006086"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4AB2D4D3" w14:textId="0859108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Year</w:t>
            </w:r>
          </w:p>
        </w:tc>
        <w:tc>
          <w:tcPr>
            <w:tcW w:w="2082" w:type="dxa"/>
            <w:noWrap/>
            <w:vAlign w:val="center"/>
            <w:hideMark/>
          </w:tcPr>
          <w:p w14:paraId="499B7719" w14:textId="6EF3AB73"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0.999 (SE &lt; 0.001)</w:t>
            </w:r>
          </w:p>
        </w:tc>
      </w:tr>
      <w:tr w:rsidR="004A4C95" w:rsidRPr="005173CD" w14:paraId="61F20121" w14:textId="77777777" w:rsidTr="004A4C95">
        <w:trPr>
          <w:trHeight w:val="290"/>
          <w:jc w:val="center"/>
        </w:trPr>
        <w:tc>
          <w:tcPr>
            <w:tcW w:w="2790" w:type="dxa"/>
            <w:noWrap/>
            <w:vAlign w:val="center"/>
            <w:hideMark/>
          </w:tcPr>
          <w:p w14:paraId="400689AD" w14:textId="46AF5FDB"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55DC8B89" w14:textId="3144A7E4"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08E1F0DF"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5EE25647" w14:textId="16685287"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2C14D5A2" w14:textId="019C83DA"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Age</w:t>
            </w:r>
          </w:p>
        </w:tc>
        <w:tc>
          <w:tcPr>
            <w:tcW w:w="2082" w:type="dxa"/>
            <w:noWrap/>
            <w:vAlign w:val="center"/>
            <w:hideMark/>
          </w:tcPr>
          <w:p w14:paraId="36547AA6" w14:textId="06DC9F40"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0.856 (SE = 0.034)</w:t>
            </w:r>
          </w:p>
        </w:tc>
      </w:tr>
      <w:tr w:rsidR="004A4C95" w:rsidRPr="005173CD" w14:paraId="7A0A4BBE" w14:textId="77777777" w:rsidTr="004A4C95">
        <w:trPr>
          <w:trHeight w:val="290"/>
          <w:jc w:val="center"/>
        </w:trPr>
        <w:tc>
          <w:tcPr>
            <w:tcW w:w="2790" w:type="dxa"/>
            <w:noWrap/>
            <w:vAlign w:val="center"/>
            <w:hideMark/>
          </w:tcPr>
          <w:p w14:paraId="1C222C20" w14:textId="50FD3DAF"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660398FF" w14:textId="69283147"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33115284"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3A9770AA" w14:textId="5242EC5F"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5EC9F403" w14:textId="6ACFF992"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04A2F128" w14:textId="282F7ADB"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0.516 (SE = 0.033)</w:t>
            </w:r>
          </w:p>
        </w:tc>
      </w:tr>
      <w:tr w:rsidR="004A4C95" w:rsidRPr="005173CD" w14:paraId="29D55CF6" w14:textId="77777777" w:rsidTr="004A4C95">
        <w:trPr>
          <w:trHeight w:val="290"/>
          <w:jc w:val="center"/>
        </w:trPr>
        <w:tc>
          <w:tcPr>
            <w:tcW w:w="2790" w:type="dxa"/>
            <w:noWrap/>
            <w:vAlign w:val="center"/>
            <w:hideMark/>
          </w:tcPr>
          <w:p w14:paraId="7808AB69" w14:textId="1E343659"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7FA4D0DA" w14:textId="40607C30"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70ED492F"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5A1D7201" w14:textId="480026E1"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36AB79CA" w14:textId="63E7E1D3"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County</w:t>
            </w:r>
          </w:p>
        </w:tc>
        <w:tc>
          <w:tcPr>
            <w:tcW w:w="2082" w:type="dxa"/>
            <w:noWrap/>
            <w:vAlign w:val="center"/>
            <w:hideMark/>
          </w:tcPr>
          <w:p w14:paraId="6B6C03A9" w14:textId="5DDC185C"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0.994 (SE = 0.002)</w:t>
            </w:r>
          </w:p>
        </w:tc>
      </w:tr>
      <w:tr w:rsidR="004A4C95" w:rsidRPr="005173CD" w14:paraId="117EBF53" w14:textId="77777777" w:rsidTr="004A4C95">
        <w:trPr>
          <w:trHeight w:val="290"/>
          <w:jc w:val="center"/>
        </w:trPr>
        <w:tc>
          <w:tcPr>
            <w:tcW w:w="2790" w:type="dxa"/>
            <w:noWrap/>
            <w:vAlign w:val="center"/>
            <w:hideMark/>
          </w:tcPr>
          <w:p w14:paraId="795C18DD" w14:textId="5415AAA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5D32CBC5" w14:textId="37854280"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00C03D94"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6A0717A7" w14:textId="750F349F"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2D23470C" w14:textId="28BEF3E0"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Year spline</w:t>
            </w:r>
          </w:p>
        </w:tc>
        <w:tc>
          <w:tcPr>
            <w:tcW w:w="2082" w:type="dxa"/>
            <w:noWrap/>
            <w:vAlign w:val="center"/>
            <w:hideMark/>
          </w:tcPr>
          <w:p w14:paraId="3D697372" w14:textId="03905C12"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0.062 (SE = 0.044)</w:t>
            </w:r>
          </w:p>
        </w:tc>
      </w:tr>
      <w:tr w:rsidR="004A4C95" w:rsidRPr="005173CD" w14:paraId="590EA587" w14:textId="77777777" w:rsidTr="004A4C95">
        <w:trPr>
          <w:trHeight w:val="290"/>
          <w:jc w:val="center"/>
        </w:trPr>
        <w:tc>
          <w:tcPr>
            <w:tcW w:w="2790" w:type="dxa"/>
            <w:noWrap/>
            <w:vAlign w:val="center"/>
            <w:hideMark/>
          </w:tcPr>
          <w:p w14:paraId="467E7DA3" w14:textId="5E40BCF5"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racial and ethnic population and county</w:t>
            </w:r>
          </w:p>
        </w:tc>
        <w:tc>
          <w:tcPr>
            <w:tcW w:w="1890" w:type="dxa"/>
            <w:noWrap/>
            <w:hideMark/>
          </w:tcPr>
          <w:p w14:paraId="7DA6AFAD" w14:textId="6AC0FDE2"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7EAE7B67"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06C10C7E" w14:textId="74A4E448"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3708EACE" w14:textId="3AF9BAC0"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Age spline</w:t>
            </w:r>
          </w:p>
        </w:tc>
        <w:tc>
          <w:tcPr>
            <w:tcW w:w="2082" w:type="dxa"/>
            <w:noWrap/>
            <w:vAlign w:val="center"/>
            <w:hideMark/>
          </w:tcPr>
          <w:p w14:paraId="6C24C10B" w14:textId="3D051583"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0.04 (SE = 0.029)</w:t>
            </w:r>
          </w:p>
        </w:tc>
      </w:tr>
      <w:tr w:rsidR="004A4C95" w:rsidRPr="005173CD" w14:paraId="61530333" w14:textId="77777777" w:rsidTr="004A4C95">
        <w:trPr>
          <w:trHeight w:val="290"/>
          <w:jc w:val="center"/>
        </w:trPr>
        <w:tc>
          <w:tcPr>
            <w:tcW w:w="2790" w:type="dxa"/>
            <w:noWrap/>
            <w:vAlign w:val="center"/>
            <w:hideMark/>
          </w:tcPr>
          <w:p w14:paraId="17744DFE"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63E0D938" w14:textId="7DC4DFA1"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43FA3247"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7067AE13" w14:textId="333FAF13"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2</m:t>
                    </m:r>
                  </m:sub>
                </m:sSub>
              </m:oMath>
            </m:oMathPara>
          </w:p>
        </w:tc>
        <w:tc>
          <w:tcPr>
            <w:tcW w:w="3716" w:type="dxa"/>
            <w:noWrap/>
            <w:vAlign w:val="center"/>
            <w:hideMark/>
          </w:tcPr>
          <w:p w14:paraId="548DF867" w14:textId="2FB74252"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657F57AA" w14:textId="7AEF99D8"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0.055 (SE = 0.04)</w:t>
            </w:r>
          </w:p>
        </w:tc>
      </w:tr>
      <w:tr w:rsidR="004A4C95" w:rsidRPr="005173CD" w14:paraId="60020903" w14:textId="77777777" w:rsidTr="004A4C95">
        <w:trPr>
          <w:trHeight w:val="290"/>
          <w:jc w:val="center"/>
        </w:trPr>
        <w:tc>
          <w:tcPr>
            <w:tcW w:w="2790" w:type="dxa"/>
            <w:noWrap/>
            <w:vAlign w:val="center"/>
            <w:hideMark/>
          </w:tcPr>
          <w:p w14:paraId="48AEB1B0"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70E397EF" w14:textId="707AF2FF"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66489459"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09700329" w14:textId="1E825FC3"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2</m:t>
                    </m:r>
                  </m:sub>
                </m:sSub>
              </m:oMath>
            </m:oMathPara>
          </w:p>
        </w:tc>
        <w:tc>
          <w:tcPr>
            <w:tcW w:w="3716" w:type="dxa"/>
            <w:noWrap/>
            <w:vAlign w:val="center"/>
            <w:hideMark/>
          </w:tcPr>
          <w:p w14:paraId="2935F3CB" w14:textId="72CB3A7D"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County</w:t>
            </w:r>
          </w:p>
        </w:tc>
        <w:tc>
          <w:tcPr>
            <w:tcW w:w="2082" w:type="dxa"/>
            <w:noWrap/>
            <w:vAlign w:val="center"/>
            <w:hideMark/>
          </w:tcPr>
          <w:p w14:paraId="15D6798E" w14:textId="49420CDE"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0.587 (SE = 0.349)</w:t>
            </w:r>
          </w:p>
        </w:tc>
      </w:tr>
      <w:tr w:rsidR="004A4C95" w:rsidRPr="005173CD" w14:paraId="4D087A49" w14:textId="77777777" w:rsidTr="004A4C95">
        <w:trPr>
          <w:trHeight w:val="290"/>
          <w:jc w:val="center"/>
        </w:trPr>
        <w:tc>
          <w:tcPr>
            <w:tcW w:w="2790" w:type="dxa"/>
            <w:noWrap/>
            <w:vAlign w:val="center"/>
            <w:hideMark/>
          </w:tcPr>
          <w:p w14:paraId="49209C6B"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031D9708" w14:textId="3A2E8794"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2137BF70"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72B7E1A3" w14:textId="60D86F5F"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135812AB" w14:textId="28AAA290"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34D0E5B1" w14:textId="0E9044A5"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0.181 (SE = 0.019)</w:t>
            </w:r>
          </w:p>
        </w:tc>
      </w:tr>
      <w:tr w:rsidR="004A4C95" w:rsidRPr="005173CD" w14:paraId="154DFF99" w14:textId="77777777" w:rsidTr="004A4C95">
        <w:trPr>
          <w:trHeight w:val="290"/>
          <w:jc w:val="center"/>
        </w:trPr>
        <w:tc>
          <w:tcPr>
            <w:tcW w:w="2790" w:type="dxa"/>
            <w:noWrap/>
            <w:vAlign w:val="center"/>
            <w:hideMark/>
          </w:tcPr>
          <w:p w14:paraId="59482B31"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40ADED7D" w14:textId="6C092B3E"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6B7CA375"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2797B18C" w14:textId="30B49A5C"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01830D06" w14:textId="75F07BF4"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Year</w:t>
            </w:r>
          </w:p>
        </w:tc>
        <w:tc>
          <w:tcPr>
            <w:tcW w:w="2082" w:type="dxa"/>
            <w:noWrap/>
            <w:vAlign w:val="center"/>
            <w:hideMark/>
          </w:tcPr>
          <w:p w14:paraId="1B974565" w14:textId="36DACF53"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0.998 (SE = 0.001)</w:t>
            </w:r>
          </w:p>
        </w:tc>
      </w:tr>
      <w:tr w:rsidR="004A4C95" w:rsidRPr="005173CD" w14:paraId="090318A2" w14:textId="77777777" w:rsidTr="004A4C95">
        <w:trPr>
          <w:trHeight w:val="290"/>
          <w:jc w:val="center"/>
        </w:trPr>
        <w:tc>
          <w:tcPr>
            <w:tcW w:w="2790" w:type="dxa"/>
            <w:noWrap/>
            <w:vAlign w:val="center"/>
            <w:hideMark/>
          </w:tcPr>
          <w:p w14:paraId="6C534FA2"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lastRenderedPageBreak/>
              <w:t>By county</w:t>
            </w:r>
          </w:p>
        </w:tc>
        <w:tc>
          <w:tcPr>
            <w:tcW w:w="1890" w:type="dxa"/>
            <w:noWrap/>
            <w:hideMark/>
          </w:tcPr>
          <w:p w14:paraId="5322E124" w14:textId="6E99B174"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7C23F7DE"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0AE8FF08" w14:textId="22D497CA"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3</m:t>
                    </m:r>
                  </m:sub>
                </m:sSub>
              </m:oMath>
            </m:oMathPara>
          </w:p>
        </w:tc>
        <w:tc>
          <w:tcPr>
            <w:tcW w:w="3716" w:type="dxa"/>
            <w:noWrap/>
            <w:vAlign w:val="center"/>
            <w:hideMark/>
          </w:tcPr>
          <w:p w14:paraId="278C814B" w14:textId="3C6831A6"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Age</w:t>
            </w:r>
          </w:p>
        </w:tc>
        <w:tc>
          <w:tcPr>
            <w:tcW w:w="2082" w:type="dxa"/>
            <w:noWrap/>
            <w:vAlign w:val="center"/>
            <w:hideMark/>
          </w:tcPr>
          <w:p w14:paraId="5448D43D" w14:textId="3F6DE9C0"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0.85 (SE = 0.05)</w:t>
            </w:r>
          </w:p>
        </w:tc>
      </w:tr>
      <w:tr w:rsidR="004A4C95" w:rsidRPr="005173CD" w14:paraId="114B5630" w14:textId="77777777" w:rsidTr="004A4C95">
        <w:trPr>
          <w:trHeight w:val="290"/>
          <w:jc w:val="center"/>
        </w:trPr>
        <w:tc>
          <w:tcPr>
            <w:tcW w:w="2790" w:type="dxa"/>
            <w:noWrap/>
            <w:vAlign w:val="center"/>
            <w:hideMark/>
          </w:tcPr>
          <w:p w14:paraId="56D4A49D"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36BC09DB" w14:textId="551CB3E2"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66D2E2D5"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43550222" w14:textId="16031B5D"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2F3FBCC0" w14:textId="270C5382"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Standard deviation</w:t>
            </w:r>
          </w:p>
        </w:tc>
        <w:tc>
          <w:tcPr>
            <w:tcW w:w="2082" w:type="dxa"/>
            <w:noWrap/>
            <w:vAlign w:val="center"/>
            <w:hideMark/>
          </w:tcPr>
          <w:p w14:paraId="3B38E8E4" w14:textId="70A8D7F7"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0.696 (SE = 0.036)</w:t>
            </w:r>
          </w:p>
        </w:tc>
      </w:tr>
      <w:tr w:rsidR="004A4C95" w:rsidRPr="005173CD" w14:paraId="770D05AA" w14:textId="77777777" w:rsidTr="004A4C95">
        <w:trPr>
          <w:trHeight w:val="290"/>
          <w:jc w:val="center"/>
        </w:trPr>
        <w:tc>
          <w:tcPr>
            <w:tcW w:w="2790" w:type="dxa"/>
            <w:noWrap/>
            <w:vAlign w:val="center"/>
            <w:hideMark/>
          </w:tcPr>
          <w:p w14:paraId="12361D5F"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41118640" w14:textId="7E756D84"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58581CB1"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47518B2A" w14:textId="39BA73D2"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1E54B46F" w14:textId="6CA7E30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County</w:t>
            </w:r>
          </w:p>
        </w:tc>
        <w:tc>
          <w:tcPr>
            <w:tcW w:w="2082" w:type="dxa"/>
            <w:noWrap/>
            <w:vAlign w:val="center"/>
            <w:hideMark/>
          </w:tcPr>
          <w:p w14:paraId="329AC890" w14:textId="6DDCFFC6"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0.993 (SE = 0.003)</w:t>
            </w:r>
          </w:p>
        </w:tc>
      </w:tr>
      <w:tr w:rsidR="004A4C95" w:rsidRPr="005173CD" w14:paraId="104592D2" w14:textId="77777777" w:rsidTr="004A4C95">
        <w:trPr>
          <w:trHeight w:val="290"/>
          <w:jc w:val="center"/>
        </w:trPr>
        <w:tc>
          <w:tcPr>
            <w:tcW w:w="2790" w:type="dxa"/>
            <w:noWrap/>
            <w:vAlign w:val="center"/>
            <w:hideMark/>
          </w:tcPr>
          <w:p w14:paraId="499F444B"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7E0BBCB2" w14:textId="22656C8F"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2352F57F"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40A0D44A" w14:textId="18854E3E"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74FCFBD6" w14:textId="61D815F6"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Year spline</w:t>
            </w:r>
          </w:p>
        </w:tc>
        <w:tc>
          <w:tcPr>
            <w:tcW w:w="2082" w:type="dxa"/>
            <w:noWrap/>
            <w:vAlign w:val="center"/>
            <w:hideMark/>
          </w:tcPr>
          <w:p w14:paraId="28564298" w14:textId="7A1B4618"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0.136 (SE = 0.072)</w:t>
            </w:r>
          </w:p>
        </w:tc>
      </w:tr>
      <w:tr w:rsidR="004A4C95" w:rsidRPr="005173CD" w14:paraId="58433918" w14:textId="77777777" w:rsidTr="004A4C95">
        <w:trPr>
          <w:trHeight w:val="290"/>
          <w:jc w:val="center"/>
        </w:trPr>
        <w:tc>
          <w:tcPr>
            <w:tcW w:w="2790" w:type="dxa"/>
            <w:noWrap/>
            <w:vAlign w:val="center"/>
            <w:hideMark/>
          </w:tcPr>
          <w:p w14:paraId="581E2E59"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By county</w:t>
            </w:r>
          </w:p>
        </w:tc>
        <w:tc>
          <w:tcPr>
            <w:tcW w:w="1890" w:type="dxa"/>
            <w:noWrap/>
            <w:hideMark/>
          </w:tcPr>
          <w:p w14:paraId="18E4DEAE" w14:textId="0061D245" w:rsidR="004A4C95" w:rsidRPr="005173CD" w:rsidRDefault="004A4C95" w:rsidP="004A4C95">
            <w:pPr>
              <w:rPr>
                <w:rFonts w:asciiTheme="majorHAnsi" w:hAnsiTheme="majorHAnsi" w:cstheme="majorHAnsi"/>
                <w:sz w:val="20"/>
                <w:szCs w:val="20"/>
              </w:rPr>
            </w:pPr>
            <w:r w:rsidRPr="00D54AD5">
              <w:rPr>
                <w:rFonts w:asciiTheme="majorHAnsi" w:hAnsiTheme="majorHAnsi" w:cstheme="majorHAnsi"/>
                <w:sz w:val="20"/>
                <w:szCs w:val="20"/>
              </w:rPr>
              <w:t>Maternal disorders (Level 3)</w:t>
            </w:r>
          </w:p>
        </w:tc>
        <w:tc>
          <w:tcPr>
            <w:tcW w:w="1170" w:type="dxa"/>
            <w:noWrap/>
            <w:vAlign w:val="center"/>
            <w:hideMark/>
          </w:tcPr>
          <w:p w14:paraId="1F3F8497" w14:textId="77777777"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Females</w:t>
            </w:r>
          </w:p>
        </w:tc>
        <w:tc>
          <w:tcPr>
            <w:tcW w:w="1102" w:type="dxa"/>
            <w:noWrap/>
            <w:vAlign w:val="center"/>
            <w:hideMark/>
          </w:tcPr>
          <w:p w14:paraId="62CE645A" w14:textId="26C35452" w:rsidR="004A4C95" w:rsidRPr="005173CD" w:rsidRDefault="007A62BF" w:rsidP="004A4C95">
            <w:pPr>
              <w:rPr>
                <w:rFonts w:asciiTheme="majorHAnsi" w:hAnsiTheme="majorHAnsi" w:cstheme="majorHAnsi"/>
                <w:sz w:val="20"/>
                <w:szCs w:val="20"/>
              </w:rPr>
            </w:pPr>
            <m:oMathPara>
              <m:oMath>
                <m:sSub>
                  <m:sSubPr>
                    <m:ctrlPr>
                      <w:rPr>
                        <w:rFonts w:ascii="Cambria Math" w:eastAsia="Times New Roman" w:hAnsi="Cambria Math" w:cstheme="majorHAnsi"/>
                        <w:i/>
                        <w:color w:val="000000"/>
                        <w:sz w:val="20"/>
                        <w:szCs w:val="20"/>
                      </w:rPr>
                    </m:ctrlPr>
                  </m:sSubPr>
                  <m:e>
                    <m:r>
                      <w:rPr>
                        <w:rFonts w:ascii="Cambria Math" w:eastAsia="Times New Roman" w:hAnsi="Cambria Math" w:cstheme="majorHAnsi"/>
                        <w:color w:val="000000"/>
                        <w:sz w:val="20"/>
                        <w:szCs w:val="20"/>
                      </w:rPr>
                      <m:t>γ</m:t>
                    </m:r>
                  </m:e>
                  <m:sub>
                    <m:r>
                      <w:rPr>
                        <w:rFonts w:ascii="Cambria Math" w:eastAsia="Times New Roman" w:hAnsi="Cambria Math" w:cstheme="majorHAnsi"/>
                        <w:color w:val="000000"/>
                        <w:sz w:val="20"/>
                        <w:szCs w:val="20"/>
                      </w:rPr>
                      <m:t>4</m:t>
                    </m:r>
                  </m:sub>
                </m:sSub>
              </m:oMath>
            </m:oMathPara>
          </w:p>
        </w:tc>
        <w:tc>
          <w:tcPr>
            <w:tcW w:w="3716" w:type="dxa"/>
            <w:noWrap/>
            <w:vAlign w:val="center"/>
            <w:hideMark/>
          </w:tcPr>
          <w:p w14:paraId="22ECC62F" w14:textId="704DC934" w:rsidR="004A4C95" w:rsidRPr="005173CD" w:rsidRDefault="004A4C95" w:rsidP="004A4C95">
            <w:pPr>
              <w:rPr>
                <w:rFonts w:asciiTheme="majorHAnsi" w:hAnsiTheme="majorHAnsi" w:cstheme="majorHAnsi"/>
                <w:sz w:val="20"/>
                <w:szCs w:val="20"/>
              </w:rPr>
            </w:pPr>
            <w:r w:rsidRPr="005173CD">
              <w:rPr>
                <w:rFonts w:asciiTheme="majorHAnsi" w:hAnsiTheme="majorHAnsi" w:cstheme="majorHAnsi"/>
                <w:sz w:val="20"/>
                <w:szCs w:val="20"/>
              </w:rPr>
              <w:t>Correlation parameter, Age spline</w:t>
            </w:r>
          </w:p>
        </w:tc>
        <w:tc>
          <w:tcPr>
            <w:tcW w:w="2082" w:type="dxa"/>
            <w:noWrap/>
            <w:vAlign w:val="center"/>
            <w:hideMark/>
          </w:tcPr>
          <w:p w14:paraId="707BCBB8" w14:textId="21838D35" w:rsidR="004A4C95" w:rsidRPr="005173CD" w:rsidRDefault="004A4C95" w:rsidP="004A4C95">
            <w:pPr>
              <w:rPr>
                <w:rFonts w:asciiTheme="majorHAnsi" w:hAnsiTheme="majorHAnsi" w:cstheme="majorHAnsi"/>
                <w:sz w:val="20"/>
                <w:szCs w:val="20"/>
              </w:rPr>
            </w:pPr>
            <w:r w:rsidRPr="006E7676">
              <w:rPr>
                <w:rFonts w:asciiTheme="majorHAnsi" w:hAnsiTheme="majorHAnsi" w:cstheme="majorHAnsi"/>
                <w:sz w:val="20"/>
                <w:szCs w:val="20"/>
              </w:rPr>
              <w:t>0.084 (SE = 0.057)</w:t>
            </w:r>
          </w:p>
        </w:tc>
      </w:tr>
    </w:tbl>
    <w:p w14:paraId="47890C43" w14:textId="6D738FC3" w:rsidR="00EB2445" w:rsidRDefault="007205F5" w:rsidP="00EB2445">
      <w:pPr>
        <w:rPr>
          <w:rFonts w:asciiTheme="majorHAnsi" w:hAnsiTheme="majorHAnsi" w:cstheme="majorHAnsi"/>
        </w:rPr>
      </w:pPr>
      <w:r w:rsidRPr="007205F5">
        <w:rPr>
          <w:rFonts w:asciiTheme="majorHAnsi" w:hAnsiTheme="majorHAnsi" w:cstheme="majorHAnsi"/>
        </w:rPr>
        <w:t>*Estimates are reported by TMB on the log standard deviation and logit correlation parameter scale. For convenience, we have transformed these using a delta transformation for the standard error.</w:t>
      </w:r>
      <w:r w:rsidR="000217E4">
        <w:rPr>
          <w:rFonts w:asciiTheme="majorHAnsi" w:hAnsiTheme="majorHAnsi" w:cstheme="majorHAnsi"/>
        </w:rPr>
        <w:t xml:space="preserve"> </w:t>
      </w:r>
      <w:r w:rsidR="000217E4">
        <w:rPr>
          <w:rStyle w:val="normaltextrun"/>
          <w:rFonts w:ascii="Calibri Light" w:hAnsi="Calibri Light" w:cs="Calibri Light"/>
          <w:color w:val="000000"/>
          <w:shd w:val="clear" w:color="auto" w:fill="FFFFFF"/>
        </w:rPr>
        <w:t>SE = standard error; TMB = Template Model Builder package in R version 3.6.110.</w:t>
      </w:r>
    </w:p>
    <w:p w14:paraId="2FF09F51" w14:textId="6E9C7D49" w:rsidR="00615140" w:rsidRDefault="00615140" w:rsidP="00EB2445">
      <w:pPr>
        <w:rPr>
          <w:rFonts w:asciiTheme="majorHAnsi" w:hAnsiTheme="majorHAnsi" w:cstheme="majorHAnsi"/>
          <w:lang w:val="en-GB"/>
        </w:rPr>
        <w:sectPr w:rsidR="00615140" w:rsidSect="00615140">
          <w:pgSz w:w="15840" w:h="12240" w:orient="landscape"/>
          <w:pgMar w:top="1440" w:right="1440" w:bottom="1440" w:left="1440" w:header="720" w:footer="720" w:gutter="0"/>
          <w:cols w:space="720"/>
          <w:docGrid w:linePitch="360"/>
        </w:sectPr>
      </w:pPr>
    </w:p>
    <w:p w14:paraId="0A9799E9" w14:textId="0631CC21" w:rsidR="601C1A80" w:rsidRDefault="004461F8" w:rsidP="00210529">
      <w:pPr>
        <w:pStyle w:val="Heading2"/>
        <w:rPr>
          <w:lang w:val="en-GB"/>
        </w:rPr>
      </w:pPr>
      <w:bookmarkStart w:id="60" w:name="_Toc175308196"/>
      <w:r>
        <w:rPr>
          <w:lang w:val="en-GB"/>
        </w:rPr>
        <w:lastRenderedPageBreak/>
        <w:t>3.</w:t>
      </w:r>
      <w:r w:rsidR="00DF3268">
        <w:rPr>
          <w:lang w:val="en-GB"/>
        </w:rPr>
        <w:t>7</w:t>
      </w:r>
      <w:r w:rsidR="0D1D33B4" w:rsidRPr="136EDF08">
        <w:rPr>
          <w:lang w:val="en-GB"/>
        </w:rPr>
        <w:t xml:space="preserve"> </w:t>
      </w:r>
      <w:r w:rsidR="672729F9" w:rsidRPr="136EDF08">
        <w:rPr>
          <w:lang w:val="en-GB"/>
        </w:rPr>
        <w:t>C</w:t>
      </w:r>
      <w:r w:rsidR="0D1D33B4" w:rsidRPr="136EDF08">
        <w:rPr>
          <w:lang w:val="en-GB"/>
        </w:rPr>
        <w:t>ounty</w:t>
      </w:r>
      <w:r w:rsidR="00D85F25">
        <w:rPr>
          <w:lang w:val="en-GB"/>
        </w:rPr>
        <w:t xml:space="preserve"> and </w:t>
      </w:r>
      <w:r w:rsidR="009579DB">
        <w:rPr>
          <w:lang w:val="en-GB"/>
        </w:rPr>
        <w:t>racial and ethnic population</w:t>
      </w:r>
      <w:r w:rsidR="00BB2366" w:rsidRPr="136EDF08">
        <w:rPr>
          <w:lang w:val="en-GB"/>
        </w:rPr>
        <w:t>s</w:t>
      </w:r>
      <w:r w:rsidR="00B50187">
        <w:rPr>
          <w:lang w:val="en-GB"/>
        </w:rPr>
        <w:t xml:space="preserve"> in the </w:t>
      </w:r>
      <w:r w:rsidR="00CF609A">
        <w:rPr>
          <w:lang w:val="en-GB"/>
        </w:rPr>
        <w:t xml:space="preserve">all-cause mortality </w:t>
      </w:r>
      <w:r w:rsidR="00B50187">
        <w:rPr>
          <w:lang w:val="en-GB"/>
        </w:rPr>
        <w:t>validation s</w:t>
      </w:r>
      <w:r w:rsidR="0D1D33B4" w:rsidRPr="136EDF08">
        <w:rPr>
          <w:lang w:val="en-GB"/>
        </w:rPr>
        <w:t>et</w:t>
      </w:r>
      <w:bookmarkEnd w:id="59"/>
      <w:bookmarkEnd w:id="60"/>
    </w:p>
    <w:p w14:paraId="1930E1BF" w14:textId="77777777" w:rsidR="007C6258" w:rsidRPr="00A04876" w:rsidRDefault="007C6258" w:rsidP="007C6258">
      <w:pPr>
        <w:pStyle w:val="NoSpacing"/>
        <w:rPr>
          <w:rFonts w:asciiTheme="majorHAnsi" w:hAnsiTheme="majorHAnsi" w:cstheme="majorHAnsi"/>
          <w:lang w:val="en-GB"/>
        </w:rPr>
      </w:pPr>
    </w:p>
    <w:tbl>
      <w:tblPr>
        <w:tblStyle w:val="PlainTable1"/>
        <w:tblW w:w="0" w:type="auto"/>
        <w:tblLayout w:type="fixed"/>
        <w:tblLook w:val="06A0" w:firstRow="1" w:lastRow="0" w:firstColumn="1" w:lastColumn="0" w:noHBand="1" w:noVBand="1"/>
      </w:tblPr>
      <w:tblGrid>
        <w:gridCol w:w="1942"/>
        <w:gridCol w:w="3003"/>
        <w:gridCol w:w="4579"/>
      </w:tblGrid>
      <w:tr w:rsidR="00D914E8" w:rsidRPr="008F7048" w14:paraId="3E62A502" w14:textId="77777777" w:rsidTr="00082DA3">
        <w:trPr>
          <w:cnfStyle w:val="100000000000" w:firstRow="1" w:lastRow="0" w:firstColumn="0" w:lastColumn="0" w:oddVBand="0" w:evenVBand="0" w:oddHBand="0" w:evenHBand="0" w:firstRowFirstColumn="0" w:firstRowLastColumn="0" w:lastRowFirstColumn="0" w:lastRowLastColumn="0"/>
          <w:trHeight w:val="345"/>
          <w:tblHeader/>
        </w:trPr>
        <w:tc>
          <w:tcPr>
            <w:cnfStyle w:val="001000000000" w:firstRow="0" w:lastRow="0" w:firstColumn="1" w:lastColumn="0" w:oddVBand="0" w:evenVBand="0" w:oddHBand="0" w:evenHBand="0" w:firstRowFirstColumn="0" w:firstRowLastColumn="0" w:lastRowFirstColumn="0" w:lastRowLastColumn="0"/>
            <w:tcW w:w="1942" w:type="dxa"/>
            <w:tcBorders>
              <w:top w:val="single" w:sz="4" w:space="0" w:color="000000" w:themeColor="text1"/>
              <w:left w:val="nil"/>
              <w:bottom w:val="single" w:sz="4" w:space="0" w:color="000000" w:themeColor="text1"/>
              <w:right w:val="nil"/>
            </w:tcBorders>
          </w:tcPr>
          <w:p w14:paraId="33854AD8" w14:textId="77777777" w:rsidR="00D914E8" w:rsidRPr="008F7048" w:rsidRDefault="00D914E8" w:rsidP="007F5028">
            <w:pPr>
              <w:rPr>
                <w:rFonts w:asciiTheme="majorHAnsi" w:hAnsiTheme="majorHAnsi" w:cstheme="majorHAnsi"/>
              </w:rPr>
            </w:pPr>
            <w:r w:rsidRPr="008F7048">
              <w:rPr>
                <w:rFonts w:asciiTheme="majorHAnsi" w:eastAsia="Calibri" w:hAnsiTheme="majorHAnsi" w:cstheme="majorHAnsi"/>
                <w:color w:val="000000" w:themeColor="text1"/>
                <w:sz w:val="20"/>
                <w:szCs w:val="20"/>
              </w:rPr>
              <w:t>State</w:t>
            </w:r>
          </w:p>
        </w:tc>
        <w:tc>
          <w:tcPr>
            <w:tcW w:w="3003" w:type="dxa"/>
            <w:tcBorders>
              <w:top w:val="single" w:sz="4" w:space="0" w:color="000000" w:themeColor="text1"/>
              <w:left w:val="nil"/>
              <w:bottom w:val="single" w:sz="4" w:space="0" w:color="000000" w:themeColor="text1"/>
              <w:right w:val="nil"/>
            </w:tcBorders>
          </w:tcPr>
          <w:p w14:paraId="1B951571" w14:textId="77777777" w:rsidR="00D914E8" w:rsidRPr="008F7048" w:rsidRDefault="00D914E8" w:rsidP="007F502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F7048">
              <w:rPr>
                <w:rFonts w:asciiTheme="majorHAnsi" w:eastAsia="Calibri" w:hAnsiTheme="majorHAnsi" w:cstheme="majorHAnsi"/>
                <w:color w:val="000000" w:themeColor="text1"/>
                <w:sz w:val="20"/>
                <w:szCs w:val="20"/>
              </w:rPr>
              <w:t>Merged county</w:t>
            </w:r>
          </w:p>
        </w:tc>
        <w:tc>
          <w:tcPr>
            <w:tcW w:w="4579" w:type="dxa"/>
            <w:tcBorders>
              <w:top w:val="single" w:sz="4" w:space="0" w:color="000000" w:themeColor="text1"/>
              <w:left w:val="nil"/>
              <w:bottom w:val="single" w:sz="4" w:space="0" w:color="000000" w:themeColor="text1"/>
              <w:right w:val="nil"/>
            </w:tcBorders>
          </w:tcPr>
          <w:p w14:paraId="416442C7" w14:textId="1AB8FB34" w:rsidR="00D914E8" w:rsidRPr="008F7048" w:rsidRDefault="00D914E8" w:rsidP="007F5028">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8F7048">
              <w:rPr>
                <w:rFonts w:asciiTheme="majorHAnsi" w:eastAsia="Calibri" w:hAnsiTheme="majorHAnsi" w:cstheme="majorHAnsi"/>
                <w:color w:val="000000" w:themeColor="text1"/>
                <w:sz w:val="20"/>
                <w:szCs w:val="20"/>
              </w:rPr>
              <w:t>Racial</w:t>
            </w:r>
            <w:r w:rsidR="00370CF1" w:rsidRPr="008F7048">
              <w:rPr>
                <w:rFonts w:asciiTheme="majorHAnsi" w:eastAsiaTheme="majorEastAsia" w:hAnsiTheme="majorHAnsi" w:cstheme="majorHAnsi"/>
                <w:color w:val="000000" w:themeColor="text1"/>
                <w:sz w:val="20"/>
                <w:szCs w:val="20"/>
              </w:rPr>
              <w:t xml:space="preserve"> and </w:t>
            </w:r>
            <w:r w:rsidRPr="008F7048">
              <w:rPr>
                <w:rFonts w:asciiTheme="majorHAnsi" w:eastAsiaTheme="majorEastAsia" w:hAnsiTheme="majorHAnsi" w:cstheme="majorHAnsi"/>
                <w:color w:val="000000" w:themeColor="text1"/>
                <w:sz w:val="20"/>
                <w:szCs w:val="20"/>
              </w:rPr>
              <w:t>e</w:t>
            </w:r>
            <w:r w:rsidRPr="008F7048">
              <w:rPr>
                <w:rFonts w:asciiTheme="majorHAnsi" w:eastAsia="Calibri" w:hAnsiTheme="majorHAnsi" w:cstheme="majorHAnsi"/>
                <w:color w:val="000000" w:themeColor="text1"/>
                <w:sz w:val="20"/>
                <w:szCs w:val="20"/>
              </w:rPr>
              <w:t xml:space="preserve">thnic </w:t>
            </w:r>
            <w:r w:rsidR="00370CF1" w:rsidRPr="008F7048">
              <w:rPr>
                <w:rFonts w:asciiTheme="majorHAnsi" w:eastAsia="Calibri" w:hAnsiTheme="majorHAnsi" w:cstheme="majorHAnsi"/>
                <w:color w:val="000000" w:themeColor="text1"/>
                <w:sz w:val="20"/>
                <w:szCs w:val="20"/>
              </w:rPr>
              <w:t>population</w:t>
            </w:r>
            <w:r w:rsidRPr="008F7048">
              <w:rPr>
                <w:rFonts w:asciiTheme="majorHAnsi" w:eastAsia="Calibri" w:hAnsiTheme="majorHAnsi" w:cstheme="majorHAnsi"/>
                <w:color w:val="000000" w:themeColor="text1"/>
                <w:sz w:val="20"/>
                <w:szCs w:val="20"/>
              </w:rPr>
              <w:t>*</w:t>
            </w:r>
          </w:p>
        </w:tc>
      </w:tr>
      <w:tr w:rsidR="00D914E8" w:rsidRPr="008F7048" w14:paraId="6188FFEB"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top w:val="single" w:sz="4" w:space="0" w:color="000000" w:themeColor="text1"/>
              <w:left w:val="nil"/>
              <w:right w:val="nil"/>
            </w:tcBorders>
          </w:tcPr>
          <w:p w14:paraId="696119F6"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Alabama</w:t>
            </w:r>
          </w:p>
        </w:tc>
        <w:tc>
          <w:tcPr>
            <w:tcW w:w="3003" w:type="dxa"/>
            <w:tcBorders>
              <w:top w:val="single" w:sz="4" w:space="0" w:color="000000" w:themeColor="text1"/>
              <w:left w:val="nil"/>
              <w:right w:val="nil"/>
            </w:tcBorders>
          </w:tcPr>
          <w:p w14:paraId="4D2DE33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Jefferson</w:t>
            </w:r>
          </w:p>
        </w:tc>
        <w:tc>
          <w:tcPr>
            <w:tcW w:w="4579" w:type="dxa"/>
            <w:tcBorders>
              <w:top w:val="single" w:sz="4" w:space="0" w:color="000000" w:themeColor="text1"/>
              <w:left w:val="nil"/>
              <w:right w:val="nil"/>
            </w:tcBorders>
          </w:tcPr>
          <w:p w14:paraId="74725738" w14:textId="004DEC8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58A278D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FCECEE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BE39F40"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Madison</w:t>
            </w:r>
          </w:p>
        </w:tc>
        <w:tc>
          <w:tcPr>
            <w:tcW w:w="4579" w:type="dxa"/>
            <w:tcBorders>
              <w:left w:val="nil"/>
              <w:right w:val="nil"/>
            </w:tcBorders>
          </w:tcPr>
          <w:p w14:paraId="06612A5A" w14:textId="7A34315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253D83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C02A82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CF97DB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Mobile</w:t>
            </w:r>
          </w:p>
        </w:tc>
        <w:tc>
          <w:tcPr>
            <w:tcW w:w="4579" w:type="dxa"/>
            <w:tcBorders>
              <w:left w:val="nil"/>
              <w:right w:val="nil"/>
            </w:tcBorders>
          </w:tcPr>
          <w:p w14:paraId="4A57B8A8" w14:textId="39113C5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4AEE1BE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059A0E3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Alaska</w:t>
            </w:r>
          </w:p>
        </w:tc>
        <w:tc>
          <w:tcPr>
            <w:tcW w:w="3003" w:type="dxa"/>
            <w:tcBorders>
              <w:left w:val="nil"/>
              <w:right w:val="nil"/>
            </w:tcBorders>
          </w:tcPr>
          <w:p w14:paraId="021F5CB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Anchorage Municipality</w:t>
            </w:r>
          </w:p>
        </w:tc>
        <w:tc>
          <w:tcPr>
            <w:tcW w:w="4579" w:type="dxa"/>
            <w:tcBorders>
              <w:left w:val="nil"/>
              <w:right w:val="nil"/>
            </w:tcBorders>
          </w:tcPr>
          <w:p w14:paraId="0833EBEA" w14:textId="6544F4D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7D16F2E"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2BB1E1C7"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Arizona</w:t>
            </w:r>
          </w:p>
        </w:tc>
        <w:tc>
          <w:tcPr>
            <w:tcW w:w="3003" w:type="dxa"/>
            <w:tcBorders>
              <w:left w:val="nil"/>
              <w:right w:val="nil"/>
            </w:tcBorders>
          </w:tcPr>
          <w:p w14:paraId="622F4A8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Maricopa</w:t>
            </w:r>
          </w:p>
        </w:tc>
        <w:tc>
          <w:tcPr>
            <w:tcW w:w="4579" w:type="dxa"/>
            <w:tcBorders>
              <w:left w:val="nil"/>
              <w:right w:val="nil"/>
            </w:tcBorders>
          </w:tcPr>
          <w:p w14:paraId="4B4C43CA" w14:textId="60FE046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5577AD8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8A3068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13E92E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Pima</w:t>
            </w:r>
          </w:p>
        </w:tc>
        <w:tc>
          <w:tcPr>
            <w:tcW w:w="4579" w:type="dxa"/>
            <w:tcBorders>
              <w:left w:val="nil"/>
              <w:right w:val="nil"/>
            </w:tcBorders>
          </w:tcPr>
          <w:p w14:paraId="48969FA7" w14:textId="2171425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633DB525"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B49B29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554554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Pinal</w:t>
            </w:r>
          </w:p>
        </w:tc>
        <w:tc>
          <w:tcPr>
            <w:tcW w:w="4579" w:type="dxa"/>
            <w:tcBorders>
              <w:left w:val="nil"/>
              <w:right w:val="nil"/>
            </w:tcBorders>
          </w:tcPr>
          <w:p w14:paraId="0F58F863" w14:textId="110A7E2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F76D4F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515B3BB6"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Arkansas</w:t>
            </w:r>
          </w:p>
        </w:tc>
        <w:tc>
          <w:tcPr>
            <w:tcW w:w="3003" w:type="dxa"/>
            <w:tcBorders>
              <w:left w:val="nil"/>
              <w:right w:val="nil"/>
            </w:tcBorders>
          </w:tcPr>
          <w:p w14:paraId="340E84D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Pulaski</w:t>
            </w:r>
          </w:p>
        </w:tc>
        <w:tc>
          <w:tcPr>
            <w:tcW w:w="4579" w:type="dxa"/>
            <w:tcBorders>
              <w:left w:val="nil"/>
              <w:right w:val="nil"/>
            </w:tcBorders>
          </w:tcPr>
          <w:p w14:paraId="2C0B1023" w14:textId="5A95D49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EBDB952"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4CD6230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California</w:t>
            </w:r>
          </w:p>
        </w:tc>
        <w:tc>
          <w:tcPr>
            <w:tcW w:w="3003" w:type="dxa"/>
            <w:tcBorders>
              <w:left w:val="nil"/>
              <w:right w:val="nil"/>
            </w:tcBorders>
          </w:tcPr>
          <w:p w14:paraId="4E0A04E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Alameda</w:t>
            </w:r>
          </w:p>
        </w:tc>
        <w:tc>
          <w:tcPr>
            <w:tcW w:w="4579" w:type="dxa"/>
            <w:tcBorders>
              <w:left w:val="nil"/>
              <w:right w:val="nil"/>
            </w:tcBorders>
          </w:tcPr>
          <w:p w14:paraId="716AF173" w14:textId="4109707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674B2CF9"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F7B520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906F58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Contra Costa</w:t>
            </w:r>
          </w:p>
        </w:tc>
        <w:tc>
          <w:tcPr>
            <w:tcW w:w="4579" w:type="dxa"/>
            <w:tcBorders>
              <w:left w:val="nil"/>
              <w:right w:val="nil"/>
            </w:tcBorders>
          </w:tcPr>
          <w:p w14:paraId="1B0699E9" w14:textId="222C1CE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22587B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A09488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130A82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Fresno</w:t>
            </w:r>
          </w:p>
        </w:tc>
        <w:tc>
          <w:tcPr>
            <w:tcW w:w="4579" w:type="dxa"/>
            <w:tcBorders>
              <w:left w:val="nil"/>
              <w:right w:val="nil"/>
            </w:tcBorders>
          </w:tcPr>
          <w:p w14:paraId="22B0C295" w14:textId="115DD96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107D778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4D59E6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229A99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Kern</w:t>
            </w:r>
          </w:p>
        </w:tc>
        <w:tc>
          <w:tcPr>
            <w:tcW w:w="4579" w:type="dxa"/>
            <w:tcBorders>
              <w:left w:val="nil"/>
              <w:right w:val="nil"/>
            </w:tcBorders>
          </w:tcPr>
          <w:p w14:paraId="035C8C42" w14:textId="586A3E8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7EA0AA5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85E33D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0F72D0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Los Angeles</w:t>
            </w:r>
          </w:p>
        </w:tc>
        <w:tc>
          <w:tcPr>
            <w:tcW w:w="4579" w:type="dxa"/>
            <w:tcBorders>
              <w:left w:val="nil"/>
              <w:right w:val="nil"/>
            </w:tcBorders>
          </w:tcPr>
          <w:p w14:paraId="758807D0" w14:textId="7EEE83E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Asian, Black, Latino, White</w:t>
            </w:r>
          </w:p>
        </w:tc>
      </w:tr>
      <w:tr w:rsidR="00D914E8" w:rsidRPr="008F7048" w14:paraId="6ADC536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4B3246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788F6D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Merced</w:t>
            </w:r>
          </w:p>
        </w:tc>
        <w:tc>
          <w:tcPr>
            <w:tcW w:w="4579" w:type="dxa"/>
            <w:tcBorders>
              <w:left w:val="nil"/>
              <w:right w:val="nil"/>
            </w:tcBorders>
          </w:tcPr>
          <w:p w14:paraId="7C73359A" w14:textId="1F474F9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20B2D2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179477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4B6F24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Monterey</w:t>
            </w:r>
          </w:p>
        </w:tc>
        <w:tc>
          <w:tcPr>
            <w:tcW w:w="4579" w:type="dxa"/>
            <w:tcBorders>
              <w:left w:val="nil"/>
              <w:right w:val="nil"/>
            </w:tcBorders>
          </w:tcPr>
          <w:p w14:paraId="397A408D" w14:textId="0DC46A4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09667C2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1CEFE8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D07CCC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Orange</w:t>
            </w:r>
          </w:p>
        </w:tc>
        <w:tc>
          <w:tcPr>
            <w:tcW w:w="4579" w:type="dxa"/>
            <w:tcBorders>
              <w:left w:val="nil"/>
              <w:right w:val="nil"/>
            </w:tcBorders>
          </w:tcPr>
          <w:p w14:paraId="4F479D33" w14:textId="432E289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1601731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BB4C63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125301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Riverside</w:t>
            </w:r>
          </w:p>
        </w:tc>
        <w:tc>
          <w:tcPr>
            <w:tcW w:w="4579" w:type="dxa"/>
            <w:tcBorders>
              <w:left w:val="nil"/>
              <w:right w:val="nil"/>
            </w:tcBorders>
          </w:tcPr>
          <w:p w14:paraId="2AB25206" w14:textId="5CD914C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04FC90E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0A91B1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280094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Sacramento</w:t>
            </w:r>
          </w:p>
        </w:tc>
        <w:tc>
          <w:tcPr>
            <w:tcW w:w="4579" w:type="dxa"/>
            <w:tcBorders>
              <w:left w:val="nil"/>
              <w:right w:val="nil"/>
            </w:tcBorders>
          </w:tcPr>
          <w:p w14:paraId="04EFF7A8" w14:textId="0EFF1F4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D441BA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84E854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75AFFC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Bernardino</w:t>
            </w:r>
          </w:p>
        </w:tc>
        <w:tc>
          <w:tcPr>
            <w:tcW w:w="4579" w:type="dxa"/>
            <w:tcBorders>
              <w:left w:val="nil"/>
              <w:right w:val="nil"/>
            </w:tcBorders>
          </w:tcPr>
          <w:p w14:paraId="6913878D" w14:textId="6C5F28A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w:t>
            </w:r>
          </w:p>
        </w:tc>
      </w:tr>
      <w:tr w:rsidR="00D914E8" w:rsidRPr="008F7048" w14:paraId="323FFC0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8E5403D"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DDE3FF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Diego</w:t>
            </w:r>
          </w:p>
        </w:tc>
        <w:tc>
          <w:tcPr>
            <w:tcW w:w="4579" w:type="dxa"/>
            <w:tcBorders>
              <w:left w:val="nil"/>
              <w:right w:val="nil"/>
            </w:tcBorders>
          </w:tcPr>
          <w:p w14:paraId="5248144F" w14:textId="19A85EC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3F029A4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BB496D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A0CCC4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Francisco</w:t>
            </w:r>
          </w:p>
        </w:tc>
        <w:tc>
          <w:tcPr>
            <w:tcW w:w="4579" w:type="dxa"/>
            <w:tcBorders>
              <w:left w:val="nil"/>
              <w:right w:val="nil"/>
            </w:tcBorders>
          </w:tcPr>
          <w:p w14:paraId="18062693" w14:textId="7F8AF34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CDBC2F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1E4D36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28F192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Joaquin</w:t>
            </w:r>
          </w:p>
        </w:tc>
        <w:tc>
          <w:tcPr>
            <w:tcW w:w="4579" w:type="dxa"/>
            <w:tcBorders>
              <w:left w:val="nil"/>
              <w:right w:val="nil"/>
            </w:tcBorders>
          </w:tcPr>
          <w:p w14:paraId="66C55F09" w14:textId="10A47491"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1B89F30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5D48B9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5FC5A0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Mateo</w:t>
            </w:r>
          </w:p>
        </w:tc>
        <w:tc>
          <w:tcPr>
            <w:tcW w:w="4579" w:type="dxa"/>
            <w:tcBorders>
              <w:left w:val="nil"/>
              <w:right w:val="nil"/>
            </w:tcBorders>
          </w:tcPr>
          <w:p w14:paraId="4D178D06" w14:textId="10189CF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806514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63D10D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FBBAB8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Santa Clara</w:t>
            </w:r>
          </w:p>
        </w:tc>
        <w:tc>
          <w:tcPr>
            <w:tcW w:w="4579" w:type="dxa"/>
            <w:tcBorders>
              <w:left w:val="nil"/>
              <w:right w:val="nil"/>
            </w:tcBorders>
          </w:tcPr>
          <w:p w14:paraId="1DB0F07B" w14:textId="1B49A13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Asian, Latino</w:t>
            </w:r>
          </w:p>
        </w:tc>
      </w:tr>
      <w:tr w:rsidR="00D914E8" w:rsidRPr="008F7048" w14:paraId="3AA1C8B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568421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BBD5D60"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Solano</w:t>
            </w:r>
          </w:p>
        </w:tc>
        <w:tc>
          <w:tcPr>
            <w:tcW w:w="4579" w:type="dxa"/>
            <w:tcBorders>
              <w:left w:val="nil"/>
              <w:right w:val="nil"/>
            </w:tcBorders>
          </w:tcPr>
          <w:p w14:paraId="0AB41BF9" w14:textId="72BAA8B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240228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B9EFE1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D865C6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Sonoma</w:t>
            </w:r>
          </w:p>
        </w:tc>
        <w:tc>
          <w:tcPr>
            <w:tcW w:w="4579" w:type="dxa"/>
            <w:tcBorders>
              <w:left w:val="nil"/>
              <w:right w:val="nil"/>
            </w:tcBorders>
          </w:tcPr>
          <w:p w14:paraId="369376C5" w14:textId="7DE8AB8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4ED4EA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1789EE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B740CC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Stanislaus</w:t>
            </w:r>
          </w:p>
        </w:tc>
        <w:tc>
          <w:tcPr>
            <w:tcW w:w="4579" w:type="dxa"/>
            <w:tcBorders>
              <w:left w:val="nil"/>
              <w:right w:val="nil"/>
            </w:tcBorders>
          </w:tcPr>
          <w:p w14:paraId="7E1B35D6" w14:textId="620A76A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C80968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EEE970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225FE2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Tulare</w:t>
            </w:r>
          </w:p>
        </w:tc>
        <w:tc>
          <w:tcPr>
            <w:tcW w:w="4579" w:type="dxa"/>
            <w:tcBorders>
              <w:left w:val="nil"/>
              <w:right w:val="nil"/>
            </w:tcBorders>
          </w:tcPr>
          <w:p w14:paraId="7694FB7B" w14:textId="467789B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4475681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C1C2BE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FCC71B0"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Ventura</w:t>
            </w:r>
          </w:p>
        </w:tc>
        <w:tc>
          <w:tcPr>
            <w:tcW w:w="4579" w:type="dxa"/>
            <w:tcBorders>
              <w:left w:val="nil"/>
              <w:right w:val="nil"/>
            </w:tcBorders>
          </w:tcPr>
          <w:p w14:paraId="41325F0E" w14:textId="72EAF42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8904CEB" w14:textId="77777777" w:rsidTr="00082DA3">
        <w:trPr>
          <w:trHeight w:val="646"/>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67260EB1"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Colorado</w:t>
            </w:r>
          </w:p>
        </w:tc>
        <w:tc>
          <w:tcPr>
            <w:tcW w:w="3003" w:type="dxa"/>
            <w:tcBorders>
              <w:left w:val="nil"/>
              <w:right w:val="nil"/>
            </w:tcBorders>
          </w:tcPr>
          <w:p w14:paraId="3A0E972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Adams/Arapahoe/Boulder/Broomfield/Denver/Jefferson/Weld</w:t>
            </w:r>
          </w:p>
        </w:tc>
        <w:tc>
          <w:tcPr>
            <w:tcW w:w="4579" w:type="dxa"/>
            <w:tcBorders>
              <w:left w:val="nil"/>
              <w:right w:val="nil"/>
            </w:tcBorders>
          </w:tcPr>
          <w:p w14:paraId="5CCABBB7" w14:textId="3AA5E26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2EACECE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2E3D3B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93E3FD0"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El Paso</w:t>
            </w:r>
          </w:p>
        </w:tc>
        <w:tc>
          <w:tcPr>
            <w:tcW w:w="4579" w:type="dxa"/>
            <w:tcBorders>
              <w:left w:val="nil"/>
              <w:right w:val="nil"/>
            </w:tcBorders>
          </w:tcPr>
          <w:p w14:paraId="64230613" w14:textId="08EC2A1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26C8598"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3B0855BF"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Connecticut</w:t>
            </w:r>
          </w:p>
        </w:tc>
        <w:tc>
          <w:tcPr>
            <w:tcW w:w="3003" w:type="dxa"/>
            <w:tcBorders>
              <w:left w:val="nil"/>
              <w:right w:val="nil"/>
            </w:tcBorders>
          </w:tcPr>
          <w:p w14:paraId="49CE4A5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Fairfield</w:t>
            </w:r>
          </w:p>
        </w:tc>
        <w:tc>
          <w:tcPr>
            <w:tcW w:w="4579" w:type="dxa"/>
            <w:tcBorders>
              <w:left w:val="nil"/>
              <w:right w:val="nil"/>
            </w:tcBorders>
          </w:tcPr>
          <w:p w14:paraId="0A06D02A" w14:textId="6718956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353BD72A"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84DE3B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F26F3D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Hartford</w:t>
            </w:r>
          </w:p>
        </w:tc>
        <w:tc>
          <w:tcPr>
            <w:tcW w:w="4579" w:type="dxa"/>
            <w:tcBorders>
              <w:left w:val="nil"/>
              <w:right w:val="nil"/>
            </w:tcBorders>
          </w:tcPr>
          <w:p w14:paraId="5464AC89" w14:textId="3528FF8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3D5A55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3BA4677"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C2E25C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New Haven</w:t>
            </w:r>
          </w:p>
        </w:tc>
        <w:tc>
          <w:tcPr>
            <w:tcW w:w="4579" w:type="dxa"/>
            <w:tcBorders>
              <w:left w:val="nil"/>
              <w:right w:val="nil"/>
            </w:tcBorders>
          </w:tcPr>
          <w:p w14:paraId="016B7E37" w14:textId="00DF360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4AEC0F2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0634347A"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District of Columbia</w:t>
            </w:r>
          </w:p>
        </w:tc>
        <w:tc>
          <w:tcPr>
            <w:tcW w:w="3003" w:type="dxa"/>
            <w:tcBorders>
              <w:left w:val="nil"/>
              <w:right w:val="nil"/>
            </w:tcBorders>
          </w:tcPr>
          <w:p w14:paraId="1BCDEAB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District of Columbia</w:t>
            </w:r>
          </w:p>
        </w:tc>
        <w:tc>
          <w:tcPr>
            <w:tcW w:w="4579" w:type="dxa"/>
            <w:tcBorders>
              <w:left w:val="nil"/>
              <w:right w:val="nil"/>
            </w:tcBorders>
          </w:tcPr>
          <w:p w14:paraId="45B1A3F7" w14:textId="0E28AAE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33B101E5"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5D0D901F"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lastRenderedPageBreak/>
              <w:t xml:space="preserve"> Florida</w:t>
            </w:r>
          </w:p>
        </w:tc>
        <w:tc>
          <w:tcPr>
            <w:tcW w:w="3003" w:type="dxa"/>
            <w:tcBorders>
              <w:left w:val="nil"/>
              <w:right w:val="nil"/>
            </w:tcBorders>
          </w:tcPr>
          <w:p w14:paraId="6C5EF05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Brevard</w:t>
            </w:r>
          </w:p>
        </w:tc>
        <w:tc>
          <w:tcPr>
            <w:tcW w:w="4579" w:type="dxa"/>
            <w:tcBorders>
              <w:left w:val="nil"/>
              <w:right w:val="nil"/>
            </w:tcBorders>
          </w:tcPr>
          <w:p w14:paraId="113830B3" w14:textId="4930F2C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F1B551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8A270E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AD1348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Broward</w:t>
            </w:r>
          </w:p>
        </w:tc>
        <w:tc>
          <w:tcPr>
            <w:tcW w:w="4579" w:type="dxa"/>
            <w:tcBorders>
              <w:left w:val="nil"/>
              <w:right w:val="nil"/>
            </w:tcBorders>
          </w:tcPr>
          <w:p w14:paraId="46D972F1" w14:textId="75DF7F1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0956F4C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69CA03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1BB025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Miami-Dade</w:t>
            </w:r>
          </w:p>
        </w:tc>
        <w:tc>
          <w:tcPr>
            <w:tcW w:w="4579" w:type="dxa"/>
            <w:tcBorders>
              <w:left w:val="nil"/>
              <w:right w:val="nil"/>
            </w:tcBorders>
          </w:tcPr>
          <w:p w14:paraId="2E54E160" w14:textId="1A1CA5E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w:t>
            </w:r>
          </w:p>
        </w:tc>
      </w:tr>
      <w:tr w:rsidR="00D914E8" w:rsidRPr="008F7048" w14:paraId="43B747B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7F8FBB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5DC6BC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Duval</w:t>
            </w:r>
          </w:p>
        </w:tc>
        <w:tc>
          <w:tcPr>
            <w:tcW w:w="4579" w:type="dxa"/>
            <w:tcBorders>
              <w:left w:val="nil"/>
              <w:right w:val="nil"/>
            </w:tcBorders>
          </w:tcPr>
          <w:p w14:paraId="041F66CC" w14:textId="58162AA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621BF9D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948479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4EF90E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Hillsborough</w:t>
            </w:r>
          </w:p>
        </w:tc>
        <w:tc>
          <w:tcPr>
            <w:tcW w:w="4579" w:type="dxa"/>
            <w:tcBorders>
              <w:left w:val="nil"/>
              <w:right w:val="nil"/>
            </w:tcBorders>
          </w:tcPr>
          <w:p w14:paraId="45978D7E" w14:textId="656FDD7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62AD11B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64D33A7"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AC3797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Lee</w:t>
            </w:r>
          </w:p>
        </w:tc>
        <w:tc>
          <w:tcPr>
            <w:tcW w:w="4579" w:type="dxa"/>
            <w:tcBorders>
              <w:left w:val="nil"/>
              <w:right w:val="nil"/>
            </w:tcBorders>
          </w:tcPr>
          <w:p w14:paraId="781898DB" w14:textId="0F8F843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24C393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48D01E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08DE64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Orange</w:t>
            </w:r>
          </w:p>
        </w:tc>
        <w:tc>
          <w:tcPr>
            <w:tcW w:w="4579" w:type="dxa"/>
            <w:tcBorders>
              <w:left w:val="nil"/>
              <w:right w:val="nil"/>
            </w:tcBorders>
          </w:tcPr>
          <w:p w14:paraId="6EC763CA" w14:textId="0FD0A42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54E2DB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13BBE2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BF9FF6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Palm Beach</w:t>
            </w:r>
          </w:p>
        </w:tc>
        <w:tc>
          <w:tcPr>
            <w:tcW w:w="4579" w:type="dxa"/>
            <w:tcBorders>
              <w:left w:val="nil"/>
              <w:right w:val="nil"/>
            </w:tcBorders>
          </w:tcPr>
          <w:p w14:paraId="60C73521" w14:textId="5236220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6E8766C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33CD9E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080B95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Pasco</w:t>
            </w:r>
          </w:p>
        </w:tc>
        <w:tc>
          <w:tcPr>
            <w:tcW w:w="4579" w:type="dxa"/>
            <w:tcBorders>
              <w:left w:val="nil"/>
              <w:right w:val="nil"/>
            </w:tcBorders>
          </w:tcPr>
          <w:p w14:paraId="2552A4C2" w14:textId="01C4CA7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63C30E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B7E413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5980CD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Pinellas</w:t>
            </w:r>
          </w:p>
        </w:tc>
        <w:tc>
          <w:tcPr>
            <w:tcW w:w="4579" w:type="dxa"/>
            <w:tcBorders>
              <w:left w:val="nil"/>
              <w:right w:val="nil"/>
            </w:tcBorders>
          </w:tcPr>
          <w:p w14:paraId="05310FEA" w14:textId="759872E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806767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E2C6D1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96242D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Polk</w:t>
            </w:r>
          </w:p>
        </w:tc>
        <w:tc>
          <w:tcPr>
            <w:tcW w:w="4579" w:type="dxa"/>
            <w:tcBorders>
              <w:left w:val="nil"/>
              <w:right w:val="nil"/>
            </w:tcBorders>
          </w:tcPr>
          <w:p w14:paraId="29AB9F2E" w14:textId="747DC85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6EA2B1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AFB630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91325C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Seminole</w:t>
            </w:r>
          </w:p>
        </w:tc>
        <w:tc>
          <w:tcPr>
            <w:tcW w:w="4579" w:type="dxa"/>
            <w:tcBorders>
              <w:left w:val="nil"/>
              <w:right w:val="nil"/>
            </w:tcBorders>
          </w:tcPr>
          <w:p w14:paraId="7E9C8D6B" w14:textId="187A8A4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72D5EBE"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70832C46"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Georgia</w:t>
            </w:r>
          </w:p>
        </w:tc>
        <w:tc>
          <w:tcPr>
            <w:tcW w:w="3003" w:type="dxa"/>
            <w:tcBorders>
              <w:left w:val="nil"/>
              <w:right w:val="nil"/>
            </w:tcBorders>
          </w:tcPr>
          <w:p w14:paraId="7346785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Bibb</w:t>
            </w:r>
          </w:p>
        </w:tc>
        <w:tc>
          <w:tcPr>
            <w:tcW w:w="4579" w:type="dxa"/>
            <w:tcBorders>
              <w:left w:val="nil"/>
              <w:right w:val="nil"/>
            </w:tcBorders>
          </w:tcPr>
          <w:p w14:paraId="71842FDE" w14:textId="3018220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651DDB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2988C0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14166E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Cobb</w:t>
            </w:r>
          </w:p>
        </w:tc>
        <w:tc>
          <w:tcPr>
            <w:tcW w:w="4579" w:type="dxa"/>
            <w:tcBorders>
              <w:left w:val="nil"/>
              <w:right w:val="nil"/>
            </w:tcBorders>
          </w:tcPr>
          <w:p w14:paraId="55165F46" w14:textId="07AE99F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1BFFF70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DB394C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D5FE50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DeKalb</w:t>
            </w:r>
          </w:p>
        </w:tc>
        <w:tc>
          <w:tcPr>
            <w:tcW w:w="4579" w:type="dxa"/>
            <w:tcBorders>
              <w:left w:val="nil"/>
              <w:right w:val="nil"/>
            </w:tcBorders>
          </w:tcPr>
          <w:p w14:paraId="32E1D047" w14:textId="5055A16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655D8C8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5B3B89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ABCF01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Fulton</w:t>
            </w:r>
          </w:p>
        </w:tc>
        <w:tc>
          <w:tcPr>
            <w:tcW w:w="4579" w:type="dxa"/>
            <w:tcBorders>
              <w:left w:val="nil"/>
              <w:right w:val="nil"/>
            </w:tcBorders>
          </w:tcPr>
          <w:p w14:paraId="5D537287" w14:textId="1797D74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334EF08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0E49E3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D974E6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Gwinnett</w:t>
            </w:r>
          </w:p>
        </w:tc>
        <w:tc>
          <w:tcPr>
            <w:tcW w:w="4579" w:type="dxa"/>
            <w:tcBorders>
              <w:left w:val="nil"/>
              <w:right w:val="nil"/>
            </w:tcBorders>
          </w:tcPr>
          <w:p w14:paraId="60A84AEB" w14:textId="372B783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AC82E5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766DB4F1"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Hawaii</w:t>
            </w:r>
          </w:p>
        </w:tc>
        <w:tc>
          <w:tcPr>
            <w:tcW w:w="3003" w:type="dxa"/>
            <w:tcBorders>
              <w:left w:val="nil"/>
              <w:right w:val="nil"/>
            </w:tcBorders>
          </w:tcPr>
          <w:p w14:paraId="69C37C3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Honolulu</w:t>
            </w:r>
          </w:p>
        </w:tc>
        <w:tc>
          <w:tcPr>
            <w:tcW w:w="4579" w:type="dxa"/>
            <w:tcBorders>
              <w:left w:val="nil"/>
              <w:right w:val="nil"/>
            </w:tcBorders>
          </w:tcPr>
          <w:p w14:paraId="0B80E46F" w14:textId="3740535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Asian</w:t>
            </w:r>
          </w:p>
        </w:tc>
      </w:tr>
      <w:tr w:rsidR="00D914E8" w:rsidRPr="008F7048" w14:paraId="3149A59D"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CA7C742"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Illinois</w:t>
            </w:r>
          </w:p>
        </w:tc>
        <w:tc>
          <w:tcPr>
            <w:tcW w:w="3003" w:type="dxa"/>
            <w:tcBorders>
              <w:left w:val="nil"/>
              <w:right w:val="nil"/>
            </w:tcBorders>
          </w:tcPr>
          <w:p w14:paraId="6B93F33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Cook</w:t>
            </w:r>
          </w:p>
        </w:tc>
        <w:tc>
          <w:tcPr>
            <w:tcW w:w="4579" w:type="dxa"/>
            <w:tcBorders>
              <w:left w:val="nil"/>
              <w:right w:val="nil"/>
            </w:tcBorders>
          </w:tcPr>
          <w:p w14:paraId="25E730D8" w14:textId="39C8E6E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2AF316C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163350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5F621D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DuPage</w:t>
            </w:r>
          </w:p>
        </w:tc>
        <w:tc>
          <w:tcPr>
            <w:tcW w:w="4579" w:type="dxa"/>
            <w:tcBorders>
              <w:left w:val="nil"/>
              <w:right w:val="nil"/>
            </w:tcBorders>
          </w:tcPr>
          <w:p w14:paraId="4E7CF5EB" w14:textId="19BC99B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32D385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ABDCB6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E30F29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Kane</w:t>
            </w:r>
          </w:p>
        </w:tc>
        <w:tc>
          <w:tcPr>
            <w:tcW w:w="4579" w:type="dxa"/>
            <w:tcBorders>
              <w:left w:val="nil"/>
              <w:right w:val="nil"/>
            </w:tcBorders>
          </w:tcPr>
          <w:p w14:paraId="66D7E306" w14:textId="73614C9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F42D9B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8D84A2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CA1E2D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Lake</w:t>
            </w:r>
          </w:p>
        </w:tc>
        <w:tc>
          <w:tcPr>
            <w:tcW w:w="4579" w:type="dxa"/>
            <w:tcBorders>
              <w:left w:val="nil"/>
              <w:right w:val="nil"/>
            </w:tcBorders>
          </w:tcPr>
          <w:p w14:paraId="0987F15B" w14:textId="0E06C8E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8CE1235"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2A7416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58428C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Will</w:t>
            </w:r>
          </w:p>
        </w:tc>
        <w:tc>
          <w:tcPr>
            <w:tcW w:w="4579" w:type="dxa"/>
            <w:tcBorders>
              <w:left w:val="nil"/>
              <w:right w:val="nil"/>
            </w:tcBorders>
          </w:tcPr>
          <w:p w14:paraId="1A1CAAB8" w14:textId="3555E131"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54140438"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749D726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Indiana</w:t>
            </w:r>
          </w:p>
        </w:tc>
        <w:tc>
          <w:tcPr>
            <w:tcW w:w="3003" w:type="dxa"/>
            <w:tcBorders>
              <w:left w:val="nil"/>
              <w:right w:val="nil"/>
            </w:tcBorders>
          </w:tcPr>
          <w:p w14:paraId="573A38D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Allen</w:t>
            </w:r>
          </w:p>
        </w:tc>
        <w:tc>
          <w:tcPr>
            <w:tcW w:w="4579" w:type="dxa"/>
            <w:tcBorders>
              <w:left w:val="nil"/>
              <w:right w:val="nil"/>
            </w:tcBorders>
          </w:tcPr>
          <w:p w14:paraId="6FA2D00A" w14:textId="6CAC9F8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971F03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EF2CA7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34DDCD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Elkhart</w:t>
            </w:r>
          </w:p>
        </w:tc>
        <w:tc>
          <w:tcPr>
            <w:tcW w:w="4579" w:type="dxa"/>
            <w:tcBorders>
              <w:left w:val="nil"/>
              <w:right w:val="nil"/>
            </w:tcBorders>
          </w:tcPr>
          <w:p w14:paraId="3D1E2B5A" w14:textId="6B8499D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72C276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31943A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B441C3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Lake</w:t>
            </w:r>
          </w:p>
        </w:tc>
        <w:tc>
          <w:tcPr>
            <w:tcW w:w="4579" w:type="dxa"/>
            <w:tcBorders>
              <w:left w:val="nil"/>
              <w:right w:val="nil"/>
            </w:tcBorders>
          </w:tcPr>
          <w:p w14:paraId="2EFAD0E2" w14:textId="5F5BFD0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7E5FE37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3F1325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725718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Marion</w:t>
            </w:r>
          </w:p>
        </w:tc>
        <w:tc>
          <w:tcPr>
            <w:tcW w:w="4579" w:type="dxa"/>
            <w:tcBorders>
              <w:left w:val="nil"/>
              <w:right w:val="nil"/>
            </w:tcBorders>
          </w:tcPr>
          <w:p w14:paraId="7281F34E" w14:textId="67071C4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10B72F9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3FA5DD8A"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Iowa</w:t>
            </w:r>
          </w:p>
        </w:tc>
        <w:tc>
          <w:tcPr>
            <w:tcW w:w="3003" w:type="dxa"/>
            <w:tcBorders>
              <w:left w:val="nil"/>
              <w:right w:val="nil"/>
            </w:tcBorders>
          </w:tcPr>
          <w:p w14:paraId="5930CF7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Polk</w:t>
            </w:r>
          </w:p>
        </w:tc>
        <w:tc>
          <w:tcPr>
            <w:tcW w:w="4579" w:type="dxa"/>
            <w:tcBorders>
              <w:left w:val="nil"/>
              <w:right w:val="nil"/>
            </w:tcBorders>
          </w:tcPr>
          <w:p w14:paraId="409434B7" w14:textId="16D3EF9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B1FBD7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5EA89468"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Kansas</w:t>
            </w:r>
          </w:p>
        </w:tc>
        <w:tc>
          <w:tcPr>
            <w:tcW w:w="3003" w:type="dxa"/>
            <w:tcBorders>
              <w:left w:val="nil"/>
              <w:right w:val="nil"/>
            </w:tcBorders>
          </w:tcPr>
          <w:p w14:paraId="0452459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Sedgwick</w:t>
            </w:r>
          </w:p>
        </w:tc>
        <w:tc>
          <w:tcPr>
            <w:tcW w:w="4579" w:type="dxa"/>
            <w:tcBorders>
              <w:left w:val="nil"/>
              <w:right w:val="nil"/>
            </w:tcBorders>
          </w:tcPr>
          <w:p w14:paraId="63450D65" w14:textId="13B0DDA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4ADA67D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3BB4A65F"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Kentucky</w:t>
            </w:r>
          </w:p>
        </w:tc>
        <w:tc>
          <w:tcPr>
            <w:tcW w:w="3003" w:type="dxa"/>
            <w:tcBorders>
              <w:left w:val="nil"/>
              <w:right w:val="nil"/>
            </w:tcBorders>
          </w:tcPr>
          <w:p w14:paraId="1C5F551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Jefferson</w:t>
            </w:r>
          </w:p>
        </w:tc>
        <w:tc>
          <w:tcPr>
            <w:tcW w:w="4579" w:type="dxa"/>
            <w:tcBorders>
              <w:left w:val="nil"/>
              <w:right w:val="nil"/>
            </w:tcBorders>
          </w:tcPr>
          <w:p w14:paraId="104F3CC1" w14:textId="0333474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38E5D587"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37CE97FF"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Louisiana</w:t>
            </w:r>
          </w:p>
        </w:tc>
        <w:tc>
          <w:tcPr>
            <w:tcW w:w="3003" w:type="dxa"/>
            <w:tcBorders>
              <w:left w:val="nil"/>
              <w:right w:val="nil"/>
            </w:tcBorders>
          </w:tcPr>
          <w:p w14:paraId="0BA9D2E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Caddo</w:t>
            </w:r>
          </w:p>
        </w:tc>
        <w:tc>
          <w:tcPr>
            <w:tcW w:w="4579" w:type="dxa"/>
            <w:tcBorders>
              <w:left w:val="nil"/>
              <w:right w:val="nil"/>
            </w:tcBorders>
          </w:tcPr>
          <w:p w14:paraId="0D0CA36A" w14:textId="6143185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A89F48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43D627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1F7B24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East Baton Rouge</w:t>
            </w:r>
          </w:p>
        </w:tc>
        <w:tc>
          <w:tcPr>
            <w:tcW w:w="4579" w:type="dxa"/>
            <w:tcBorders>
              <w:left w:val="nil"/>
              <w:right w:val="nil"/>
            </w:tcBorders>
          </w:tcPr>
          <w:p w14:paraId="367ED3A3" w14:textId="2428CBD1"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3C7FA3D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97595A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EFA5E7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Jefferson</w:t>
            </w:r>
          </w:p>
        </w:tc>
        <w:tc>
          <w:tcPr>
            <w:tcW w:w="4579" w:type="dxa"/>
            <w:tcBorders>
              <w:left w:val="nil"/>
              <w:right w:val="nil"/>
            </w:tcBorders>
          </w:tcPr>
          <w:p w14:paraId="3606C350" w14:textId="4C1FD94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3B87DD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7BE19E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2F534E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Orleans</w:t>
            </w:r>
          </w:p>
        </w:tc>
        <w:tc>
          <w:tcPr>
            <w:tcW w:w="4579" w:type="dxa"/>
            <w:tcBorders>
              <w:left w:val="nil"/>
              <w:right w:val="nil"/>
            </w:tcBorders>
          </w:tcPr>
          <w:p w14:paraId="33FB1DF1" w14:textId="43495C2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62C0C1CA"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7C09266"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Maryland</w:t>
            </w:r>
          </w:p>
        </w:tc>
        <w:tc>
          <w:tcPr>
            <w:tcW w:w="3003" w:type="dxa"/>
            <w:tcBorders>
              <w:left w:val="nil"/>
              <w:right w:val="nil"/>
            </w:tcBorders>
          </w:tcPr>
          <w:p w14:paraId="51BD1F1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Anne Arundel</w:t>
            </w:r>
          </w:p>
        </w:tc>
        <w:tc>
          <w:tcPr>
            <w:tcW w:w="4579" w:type="dxa"/>
            <w:tcBorders>
              <w:left w:val="nil"/>
              <w:right w:val="nil"/>
            </w:tcBorders>
          </w:tcPr>
          <w:p w14:paraId="5F5F36A8" w14:textId="7062433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3D55E3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7D75EC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C5B4CC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Baltimore</w:t>
            </w:r>
          </w:p>
        </w:tc>
        <w:tc>
          <w:tcPr>
            <w:tcW w:w="4579" w:type="dxa"/>
            <w:tcBorders>
              <w:left w:val="nil"/>
              <w:right w:val="nil"/>
            </w:tcBorders>
          </w:tcPr>
          <w:p w14:paraId="159C9A3A" w14:textId="782AAC9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2E81AA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B8B3D5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7BD0DA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Baltimore City</w:t>
            </w:r>
          </w:p>
        </w:tc>
        <w:tc>
          <w:tcPr>
            <w:tcW w:w="4579" w:type="dxa"/>
            <w:tcBorders>
              <w:left w:val="nil"/>
              <w:right w:val="nil"/>
            </w:tcBorders>
          </w:tcPr>
          <w:p w14:paraId="3AC14104" w14:textId="182B92B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47EBE1D9"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D528D1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2FACBA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Montgomery/Prince George's</w:t>
            </w:r>
          </w:p>
        </w:tc>
        <w:tc>
          <w:tcPr>
            <w:tcW w:w="4579" w:type="dxa"/>
            <w:tcBorders>
              <w:left w:val="nil"/>
              <w:right w:val="nil"/>
            </w:tcBorders>
          </w:tcPr>
          <w:p w14:paraId="0A64610D" w14:textId="5AA948E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10E32BB2"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3F442F87"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Massachusetts</w:t>
            </w:r>
          </w:p>
        </w:tc>
        <w:tc>
          <w:tcPr>
            <w:tcW w:w="3003" w:type="dxa"/>
            <w:tcBorders>
              <w:left w:val="nil"/>
              <w:right w:val="nil"/>
            </w:tcBorders>
          </w:tcPr>
          <w:p w14:paraId="35E024E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Bristol</w:t>
            </w:r>
          </w:p>
        </w:tc>
        <w:tc>
          <w:tcPr>
            <w:tcW w:w="4579" w:type="dxa"/>
            <w:tcBorders>
              <w:left w:val="nil"/>
              <w:right w:val="nil"/>
            </w:tcBorders>
          </w:tcPr>
          <w:p w14:paraId="72F3DFF2" w14:textId="2B5FBE5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796D75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6100AF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082055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Essex</w:t>
            </w:r>
          </w:p>
        </w:tc>
        <w:tc>
          <w:tcPr>
            <w:tcW w:w="4579" w:type="dxa"/>
            <w:tcBorders>
              <w:left w:val="nil"/>
              <w:right w:val="nil"/>
            </w:tcBorders>
          </w:tcPr>
          <w:p w14:paraId="7712CEDC" w14:textId="1316987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941919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0D0038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724A44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Hampden</w:t>
            </w:r>
          </w:p>
        </w:tc>
        <w:tc>
          <w:tcPr>
            <w:tcW w:w="4579" w:type="dxa"/>
            <w:tcBorders>
              <w:left w:val="nil"/>
              <w:right w:val="nil"/>
            </w:tcBorders>
          </w:tcPr>
          <w:p w14:paraId="43BF9EF2" w14:textId="17D06E21"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5AF298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37C1CD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B6C022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Middlesex</w:t>
            </w:r>
          </w:p>
        </w:tc>
        <w:tc>
          <w:tcPr>
            <w:tcW w:w="4579" w:type="dxa"/>
            <w:tcBorders>
              <w:left w:val="nil"/>
              <w:right w:val="nil"/>
            </w:tcBorders>
          </w:tcPr>
          <w:p w14:paraId="599C8BE1" w14:textId="321DACD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6FA4896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BD9046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F8992A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Suffolk</w:t>
            </w:r>
          </w:p>
        </w:tc>
        <w:tc>
          <w:tcPr>
            <w:tcW w:w="4579" w:type="dxa"/>
            <w:tcBorders>
              <w:left w:val="nil"/>
              <w:right w:val="nil"/>
            </w:tcBorders>
          </w:tcPr>
          <w:p w14:paraId="7BCC8202" w14:textId="377CD7E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5B2663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63805DE"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E45DA3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Worcester</w:t>
            </w:r>
          </w:p>
        </w:tc>
        <w:tc>
          <w:tcPr>
            <w:tcW w:w="4579" w:type="dxa"/>
            <w:tcBorders>
              <w:left w:val="nil"/>
              <w:right w:val="nil"/>
            </w:tcBorders>
          </w:tcPr>
          <w:p w14:paraId="58D104CF" w14:textId="7768133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D6A7E53"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0808573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Michigan</w:t>
            </w:r>
          </w:p>
        </w:tc>
        <w:tc>
          <w:tcPr>
            <w:tcW w:w="3003" w:type="dxa"/>
            <w:tcBorders>
              <w:left w:val="nil"/>
              <w:right w:val="nil"/>
            </w:tcBorders>
          </w:tcPr>
          <w:p w14:paraId="430605B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Genesee</w:t>
            </w:r>
          </w:p>
        </w:tc>
        <w:tc>
          <w:tcPr>
            <w:tcW w:w="4579" w:type="dxa"/>
            <w:tcBorders>
              <w:left w:val="nil"/>
              <w:right w:val="nil"/>
            </w:tcBorders>
          </w:tcPr>
          <w:p w14:paraId="5916DEB4" w14:textId="183B3D4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AA139F5"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97D154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EA76BC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Kent</w:t>
            </w:r>
          </w:p>
        </w:tc>
        <w:tc>
          <w:tcPr>
            <w:tcW w:w="4579" w:type="dxa"/>
            <w:tcBorders>
              <w:left w:val="nil"/>
              <w:right w:val="nil"/>
            </w:tcBorders>
          </w:tcPr>
          <w:p w14:paraId="67DDFF8A" w14:textId="6ECD653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77AD4C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6394A4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EE2D98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Macomb</w:t>
            </w:r>
          </w:p>
        </w:tc>
        <w:tc>
          <w:tcPr>
            <w:tcW w:w="4579" w:type="dxa"/>
            <w:tcBorders>
              <w:left w:val="nil"/>
              <w:right w:val="nil"/>
            </w:tcBorders>
          </w:tcPr>
          <w:p w14:paraId="5FBF4304" w14:textId="5128BAF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9CD6A9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E41DED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00DA97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Oakland</w:t>
            </w:r>
          </w:p>
        </w:tc>
        <w:tc>
          <w:tcPr>
            <w:tcW w:w="4579" w:type="dxa"/>
            <w:tcBorders>
              <w:left w:val="nil"/>
              <w:right w:val="nil"/>
            </w:tcBorders>
          </w:tcPr>
          <w:p w14:paraId="372AA374" w14:textId="2DF36C1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560C51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87EE757"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77DCF5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Wayne</w:t>
            </w:r>
          </w:p>
        </w:tc>
        <w:tc>
          <w:tcPr>
            <w:tcW w:w="4579" w:type="dxa"/>
            <w:tcBorders>
              <w:left w:val="nil"/>
              <w:right w:val="nil"/>
            </w:tcBorders>
          </w:tcPr>
          <w:p w14:paraId="50883B89" w14:textId="35EEC6E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0D0BD363"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3C75164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Minnesota</w:t>
            </w:r>
          </w:p>
        </w:tc>
        <w:tc>
          <w:tcPr>
            <w:tcW w:w="3003" w:type="dxa"/>
            <w:tcBorders>
              <w:left w:val="nil"/>
              <w:right w:val="nil"/>
            </w:tcBorders>
          </w:tcPr>
          <w:p w14:paraId="72E3D03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Hennepin</w:t>
            </w:r>
          </w:p>
        </w:tc>
        <w:tc>
          <w:tcPr>
            <w:tcW w:w="4579" w:type="dxa"/>
            <w:tcBorders>
              <w:left w:val="nil"/>
              <w:right w:val="nil"/>
            </w:tcBorders>
          </w:tcPr>
          <w:p w14:paraId="28B6EF6C" w14:textId="245242A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5F8D086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9B9259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EE3637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Ramsey</w:t>
            </w:r>
          </w:p>
        </w:tc>
        <w:tc>
          <w:tcPr>
            <w:tcW w:w="4579" w:type="dxa"/>
            <w:tcBorders>
              <w:left w:val="nil"/>
              <w:right w:val="nil"/>
            </w:tcBorders>
          </w:tcPr>
          <w:p w14:paraId="246C0874" w14:textId="02D397E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9B313D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40885573"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Mississippi</w:t>
            </w:r>
          </w:p>
        </w:tc>
        <w:tc>
          <w:tcPr>
            <w:tcW w:w="3003" w:type="dxa"/>
            <w:tcBorders>
              <w:left w:val="nil"/>
              <w:right w:val="nil"/>
            </w:tcBorders>
          </w:tcPr>
          <w:p w14:paraId="4942E42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Hinds</w:t>
            </w:r>
          </w:p>
        </w:tc>
        <w:tc>
          <w:tcPr>
            <w:tcW w:w="4579" w:type="dxa"/>
            <w:tcBorders>
              <w:left w:val="nil"/>
              <w:right w:val="nil"/>
            </w:tcBorders>
          </w:tcPr>
          <w:p w14:paraId="2638BCE3" w14:textId="41CBBCA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7DE2D7AD"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60C6ACF"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Missouri</w:t>
            </w:r>
          </w:p>
        </w:tc>
        <w:tc>
          <w:tcPr>
            <w:tcW w:w="3003" w:type="dxa"/>
            <w:tcBorders>
              <w:left w:val="nil"/>
              <w:right w:val="nil"/>
            </w:tcBorders>
          </w:tcPr>
          <w:p w14:paraId="756A42E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Jackson</w:t>
            </w:r>
          </w:p>
        </w:tc>
        <w:tc>
          <w:tcPr>
            <w:tcW w:w="4579" w:type="dxa"/>
            <w:tcBorders>
              <w:left w:val="nil"/>
              <w:right w:val="nil"/>
            </w:tcBorders>
          </w:tcPr>
          <w:p w14:paraId="0896024C" w14:textId="30A5AD5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0A37CEF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278FF4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6E65BA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Saint Louis</w:t>
            </w:r>
          </w:p>
        </w:tc>
        <w:tc>
          <w:tcPr>
            <w:tcW w:w="4579" w:type="dxa"/>
            <w:tcBorders>
              <w:left w:val="nil"/>
              <w:right w:val="nil"/>
            </w:tcBorders>
          </w:tcPr>
          <w:p w14:paraId="7E57D29D" w14:textId="5EF8619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27A8BFB5"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1A0CA6CA"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Nebraska</w:t>
            </w:r>
          </w:p>
        </w:tc>
        <w:tc>
          <w:tcPr>
            <w:tcW w:w="3003" w:type="dxa"/>
            <w:tcBorders>
              <w:left w:val="nil"/>
              <w:right w:val="nil"/>
            </w:tcBorders>
          </w:tcPr>
          <w:p w14:paraId="726755E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Douglas</w:t>
            </w:r>
          </w:p>
        </w:tc>
        <w:tc>
          <w:tcPr>
            <w:tcW w:w="4579" w:type="dxa"/>
            <w:tcBorders>
              <w:left w:val="nil"/>
              <w:right w:val="nil"/>
            </w:tcBorders>
          </w:tcPr>
          <w:p w14:paraId="0157FD9A" w14:textId="4ADEA75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AEBE85D"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0FCF5687"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Nevada</w:t>
            </w:r>
          </w:p>
        </w:tc>
        <w:tc>
          <w:tcPr>
            <w:tcW w:w="3003" w:type="dxa"/>
            <w:tcBorders>
              <w:left w:val="nil"/>
              <w:right w:val="nil"/>
            </w:tcBorders>
          </w:tcPr>
          <w:p w14:paraId="20373AD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Clark</w:t>
            </w:r>
          </w:p>
        </w:tc>
        <w:tc>
          <w:tcPr>
            <w:tcW w:w="4579" w:type="dxa"/>
            <w:tcBorders>
              <w:left w:val="nil"/>
              <w:right w:val="nil"/>
            </w:tcBorders>
          </w:tcPr>
          <w:p w14:paraId="01DA333A" w14:textId="5AC672D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12F0BB5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73E010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0BA5C7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Washoe</w:t>
            </w:r>
          </w:p>
        </w:tc>
        <w:tc>
          <w:tcPr>
            <w:tcW w:w="4579" w:type="dxa"/>
            <w:tcBorders>
              <w:left w:val="nil"/>
              <w:right w:val="nil"/>
            </w:tcBorders>
          </w:tcPr>
          <w:p w14:paraId="68795CF9" w14:textId="26A6770F"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D172F07"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384EB365"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New Jersey</w:t>
            </w:r>
          </w:p>
        </w:tc>
        <w:tc>
          <w:tcPr>
            <w:tcW w:w="3003" w:type="dxa"/>
            <w:tcBorders>
              <w:left w:val="nil"/>
              <w:right w:val="nil"/>
            </w:tcBorders>
          </w:tcPr>
          <w:p w14:paraId="3E45008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Bergen</w:t>
            </w:r>
          </w:p>
        </w:tc>
        <w:tc>
          <w:tcPr>
            <w:tcW w:w="4579" w:type="dxa"/>
            <w:tcBorders>
              <w:left w:val="nil"/>
              <w:right w:val="nil"/>
            </w:tcBorders>
          </w:tcPr>
          <w:p w14:paraId="78324F3F" w14:textId="5B32348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51252A8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D74053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6F921D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Burlington</w:t>
            </w:r>
          </w:p>
        </w:tc>
        <w:tc>
          <w:tcPr>
            <w:tcW w:w="4579" w:type="dxa"/>
            <w:tcBorders>
              <w:left w:val="nil"/>
              <w:right w:val="nil"/>
            </w:tcBorders>
          </w:tcPr>
          <w:p w14:paraId="3E940F8B" w14:textId="3015A36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5159A5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9DE420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E9717F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Camden</w:t>
            </w:r>
          </w:p>
        </w:tc>
        <w:tc>
          <w:tcPr>
            <w:tcW w:w="4579" w:type="dxa"/>
            <w:tcBorders>
              <w:left w:val="nil"/>
              <w:right w:val="nil"/>
            </w:tcBorders>
          </w:tcPr>
          <w:p w14:paraId="057E9B39" w14:textId="063D505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6AE8C0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8CFFEFD"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E75E68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Essex</w:t>
            </w:r>
          </w:p>
        </w:tc>
        <w:tc>
          <w:tcPr>
            <w:tcW w:w="4579" w:type="dxa"/>
            <w:tcBorders>
              <w:left w:val="nil"/>
              <w:right w:val="nil"/>
            </w:tcBorders>
          </w:tcPr>
          <w:p w14:paraId="7C19D934" w14:textId="0414A03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393F436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13E2D1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955FCE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Hudson</w:t>
            </w:r>
          </w:p>
        </w:tc>
        <w:tc>
          <w:tcPr>
            <w:tcW w:w="4579" w:type="dxa"/>
            <w:tcBorders>
              <w:left w:val="nil"/>
              <w:right w:val="nil"/>
            </w:tcBorders>
          </w:tcPr>
          <w:p w14:paraId="72D38FC4" w14:textId="265388A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DD27C0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B0A4B6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4FB2E4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Mercer</w:t>
            </w:r>
          </w:p>
        </w:tc>
        <w:tc>
          <w:tcPr>
            <w:tcW w:w="4579" w:type="dxa"/>
            <w:tcBorders>
              <w:left w:val="nil"/>
              <w:right w:val="nil"/>
            </w:tcBorders>
          </w:tcPr>
          <w:p w14:paraId="132AD8F9" w14:textId="170F67A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B4FE71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EEC315E"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62EB87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Middlesex</w:t>
            </w:r>
          </w:p>
        </w:tc>
        <w:tc>
          <w:tcPr>
            <w:tcW w:w="4579" w:type="dxa"/>
            <w:tcBorders>
              <w:left w:val="nil"/>
              <w:right w:val="nil"/>
            </w:tcBorders>
          </w:tcPr>
          <w:p w14:paraId="49688F57" w14:textId="45089F5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28503B0"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360C86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2F3EA1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Monmouth</w:t>
            </w:r>
          </w:p>
        </w:tc>
        <w:tc>
          <w:tcPr>
            <w:tcW w:w="4579" w:type="dxa"/>
            <w:tcBorders>
              <w:left w:val="nil"/>
              <w:right w:val="nil"/>
            </w:tcBorders>
          </w:tcPr>
          <w:p w14:paraId="226908D8" w14:textId="76D61B2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2462193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3EB39C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2143BA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Ocean</w:t>
            </w:r>
          </w:p>
        </w:tc>
        <w:tc>
          <w:tcPr>
            <w:tcW w:w="4579" w:type="dxa"/>
            <w:tcBorders>
              <w:left w:val="nil"/>
              <w:right w:val="nil"/>
            </w:tcBorders>
          </w:tcPr>
          <w:p w14:paraId="3D41E7B0" w14:textId="0EDDAB9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8DED75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26F0BE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927A4F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Passaic</w:t>
            </w:r>
          </w:p>
        </w:tc>
        <w:tc>
          <w:tcPr>
            <w:tcW w:w="4579" w:type="dxa"/>
            <w:tcBorders>
              <w:left w:val="nil"/>
              <w:right w:val="nil"/>
            </w:tcBorders>
          </w:tcPr>
          <w:p w14:paraId="60F02C42" w14:textId="690CD80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91890B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7F7E5A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C31B7E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Union</w:t>
            </w:r>
          </w:p>
        </w:tc>
        <w:tc>
          <w:tcPr>
            <w:tcW w:w="4579" w:type="dxa"/>
            <w:tcBorders>
              <w:left w:val="nil"/>
              <w:right w:val="nil"/>
            </w:tcBorders>
          </w:tcPr>
          <w:p w14:paraId="3A689493" w14:textId="179F20E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688A55C"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E7470A2"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New Mexico</w:t>
            </w:r>
          </w:p>
        </w:tc>
        <w:tc>
          <w:tcPr>
            <w:tcW w:w="3003" w:type="dxa"/>
            <w:tcBorders>
              <w:left w:val="nil"/>
              <w:right w:val="nil"/>
            </w:tcBorders>
          </w:tcPr>
          <w:p w14:paraId="7411BA8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Bernalillo</w:t>
            </w:r>
          </w:p>
        </w:tc>
        <w:tc>
          <w:tcPr>
            <w:tcW w:w="4579" w:type="dxa"/>
            <w:tcBorders>
              <w:left w:val="nil"/>
              <w:right w:val="nil"/>
            </w:tcBorders>
          </w:tcPr>
          <w:p w14:paraId="672D0E40" w14:textId="3A4A202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3058D18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33C9AC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70AB4C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Dona Ana</w:t>
            </w:r>
          </w:p>
        </w:tc>
        <w:tc>
          <w:tcPr>
            <w:tcW w:w="4579" w:type="dxa"/>
            <w:tcBorders>
              <w:left w:val="nil"/>
              <w:right w:val="nil"/>
            </w:tcBorders>
          </w:tcPr>
          <w:p w14:paraId="00C568F9" w14:textId="48BFF50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0961CE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A6BF7C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B0E2FD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San Juan</w:t>
            </w:r>
          </w:p>
        </w:tc>
        <w:tc>
          <w:tcPr>
            <w:tcW w:w="4579" w:type="dxa"/>
            <w:tcBorders>
              <w:left w:val="nil"/>
              <w:right w:val="nil"/>
            </w:tcBorders>
          </w:tcPr>
          <w:p w14:paraId="6A4DAA96" w14:textId="1F08400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242C590"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59E0812B"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New York</w:t>
            </w:r>
          </w:p>
        </w:tc>
        <w:tc>
          <w:tcPr>
            <w:tcW w:w="3003" w:type="dxa"/>
            <w:tcBorders>
              <w:left w:val="nil"/>
              <w:right w:val="nil"/>
            </w:tcBorders>
          </w:tcPr>
          <w:p w14:paraId="14C83CF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Bronx</w:t>
            </w:r>
          </w:p>
        </w:tc>
        <w:tc>
          <w:tcPr>
            <w:tcW w:w="4579" w:type="dxa"/>
            <w:tcBorders>
              <w:left w:val="nil"/>
              <w:right w:val="nil"/>
            </w:tcBorders>
          </w:tcPr>
          <w:p w14:paraId="60D8A51A" w14:textId="3FDA62E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w:t>
            </w:r>
          </w:p>
        </w:tc>
      </w:tr>
      <w:tr w:rsidR="00D914E8" w:rsidRPr="008F7048" w14:paraId="7A4F59D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6A20D77"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1EB544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Erie</w:t>
            </w:r>
          </w:p>
        </w:tc>
        <w:tc>
          <w:tcPr>
            <w:tcW w:w="4579" w:type="dxa"/>
            <w:tcBorders>
              <w:left w:val="nil"/>
              <w:right w:val="nil"/>
            </w:tcBorders>
          </w:tcPr>
          <w:p w14:paraId="0C0D6E5B" w14:textId="381115A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2C52A93A"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1379E6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DC569F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Kings</w:t>
            </w:r>
          </w:p>
        </w:tc>
        <w:tc>
          <w:tcPr>
            <w:tcW w:w="4579" w:type="dxa"/>
            <w:tcBorders>
              <w:left w:val="nil"/>
              <w:right w:val="nil"/>
            </w:tcBorders>
          </w:tcPr>
          <w:p w14:paraId="797F865D" w14:textId="02788A6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690296C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A32F14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F5E4CF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Monroe</w:t>
            </w:r>
          </w:p>
        </w:tc>
        <w:tc>
          <w:tcPr>
            <w:tcW w:w="4579" w:type="dxa"/>
            <w:tcBorders>
              <w:left w:val="nil"/>
              <w:right w:val="nil"/>
            </w:tcBorders>
          </w:tcPr>
          <w:p w14:paraId="2FBC61D9" w14:textId="65633A8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24C0EB2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3600F9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741E00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Nassau</w:t>
            </w:r>
          </w:p>
        </w:tc>
        <w:tc>
          <w:tcPr>
            <w:tcW w:w="4579" w:type="dxa"/>
            <w:tcBorders>
              <w:left w:val="nil"/>
              <w:right w:val="nil"/>
            </w:tcBorders>
          </w:tcPr>
          <w:p w14:paraId="753C48C7" w14:textId="131CF56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5D6132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809667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BACF1B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New York</w:t>
            </w:r>
          </w:p>
        </w:tc>
        <w:tc>
          <w:tcPr>
            <w:tcW w:w="4579" w:type="dxa"/>
            <w:tcBorders>
              <w:left w:val="nil"/>
              <w:right w:val="nil"/>
            </w:tcBorders>
          </w:tcPr>
          <w:p w14:paraId="74C2F24B" w14:textId="58FF3D2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57EC357A"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0A93B7F"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75C54D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Onondaga</w:t>
            </w:r>
          </w:p>
        </w:tc>
        <w:tc>
          <w:tcPr>
            <w:tcW w:w="4579" w:type="dxa"/>
            <w:tcBorders>
              <w:left w:val="nil"/>
              <w:right w:val="nil"/>
            </w:tcBorders>
          </w:tcPr>
          <w:p w14:paraId="5C30D1C4" w14:textId="52D98E4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FBB18B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BCC6B0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C32BFF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Queens</w:t>
            </w:r>
          </w:p>
        </w:tc>
        <w:tc>
          <w:tcPr>
            <w:tcW w:w="4579" w:type="dxa"/>
            <w:tcBorders>
              <w:left w:val="nil"/>
              <w:right w:val="nil"/>
            </w:tcBorders>
          </w:tcPr>
          <w:p w14:paraId="11FC1B97" w14:textId="7F3431D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Asian, Black, Latino</w:t>
            </w:r>
          </w:p>
        </w:tc>
      </w:tr>
      <w:tr w:rsidR="00D914E8" w:rsidRPr="008F7048" w14:paraId="233BE3B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7AF17E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3354F2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Suffolk</w:t>
            </w:r>
          </w:p>
        </w:tc>
        <w:tc>
          <w:tcPr>
            <w:tcW w:w="4579" w:type="dxa"/>
            <w:tcBorders>
              <w:left w:val="nil"/>
              <w:right w:val="nil"/>
            </w:tcBorders>
          </w:tcPr>
          <w:p w14:paraId="1F29D778" w14:textId="10686B6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48913D9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B9AF9F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374F59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Westchester</w:t>
            </w:r>
          </w:p>
        </w:tc>
        <w:tc>
          <w:tcPr>
            <w:tcW w:w="4579" w:type="dxa"/>
            <w:tcBorders>
              <w:left w:val="nil"/>
              <w:right w:val="nil"/>
            </w:tcBorders>
          </w:tcPr>
          <w:p w14:paraId="08FF634D" w14:textId="10ED431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038108C2"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06F4A1AD"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North Carolina</w:t>
            </w:r>
          </w:p>
        </w:tc>
        <w:tc>
          <w:tcPr>
            <w:tcW w:w="3003" w:type="dxa"/>
            <w:tcBorders>
              <w:left w:val="nil"/>
              <w:right w:val="nil"/>
            </w:tcBorders>
          </w:tcPr>
          <w:p w14:paraId="71EB18D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Durham</w:t>
            </w:r>
          </w:p>
        </w:tc>
        <w:tc>
          <w:tcPr>
            <w:tcW w:w="4579" w:type="dxa"/>
            <w:tcBorders>
              <w:left w:val="nil"/>
              <w:right w:val="nil"/>
            </w:tcBorders>
          </w:tcPr>
          <w:p w14:paraId="63245295" w14:textId="1E60629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681FFAD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83999CD"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4CDFE1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Forsyth</w:t>
            </w:r>
          </w:p>
        </w:tc>
        <w:tc>
          <w:tcPr>
            <w:tcW w:w="4579" w:type="dxa"/>
            <w:tcBorders>
              <w:left w:val="nil"/>
              <w:right w:val="nil"/>
            </w:tcBorders>
          </w:tcPr>
          <w:p w14:paraId="0D9A00DE" w14:textId="239DD1C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1E10A1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DE630A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2E4E20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Mecklenburg</w:t>
            </w:r>
          </w:p>
        </w:tc>
        <w:tc>
          <w:tcPr>
            <w:tcW w:w="4579" w:type="dxa"/>
            <w:tcBorders>
              <w:left w:val="nil"/>
              <w:right w:val="nil"/>
            </w:tcBorders>
          </w:tcPr>
          <w:p w14:paraId="51C15B86" w14:textId="4C36A4F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723999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14D934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81748F0"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Wake</w:t>
            </w:r>
          </w:p>
        </w:tc>
        <w:tc>
          <w:tcPr>
            <w:tcW w:w="4579" w:type="dxa"/>
            <w:tcBorders>
              <w:left w:val="nil"/>
              <w:right w:val="nil"/>
            </w:tcBorders>
          </w:tcPr>
          <w:p w14:paraId="0055D045" w14:textId="6763B9B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235E4C48"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2BC739DA"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Ohio</w:t>
            </w:r>
          </w:p>
        </w:tc>
        <w:tc>
          <w:tcPr>
            <w:tcW w:w="3003" w:type="dxa"/>
            <w:tcBorders>
              <w:left w:val="nil"/>
              <w:right w:val="nil"/>
            </w:tcBorders>
          </w:tcPr>
          <w:p w14:paraId="150330E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Cuyahoga</w:t>
            </w:r>
          </w:p>
        </w:tc>
        <w:tc>
          <w:tcPr>
            <w:tcW w:w="4579" w:type="dxa"/>
            <w:tcBorders>
              <w:left w:val="nil"/>
              <w:right w:val="nil"/>
            </w:tcBorders>
          </w:tcPr>
          <w:p w14:paraId="36778CB8" w14:textId="77D8E32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0317502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3A12D0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949AC0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Franklin</w:t>
            </w:r>
          </w:p>
        </w:tc>
        <w:tc>
          <w:tcPr>
            <w:tcW w:w="4579" w:type="dxa"/>
            <w:tcBorders>
              <w:left w:val="nil"/>
              <w:right w:val="nil"/>
            </w:tcBorders>
          </w:tcPr>
          <w:p w14:paraId="6A5968D3" w14:textId="568FD73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0CC4F3F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06AB86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931A8F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Hamilton</w:t>
            </w:r>
          </w:p>
        </w:tc>
        <w:tc>
          <w:tcPr>
            <w:tcW w:w="4579" w:type="dxa"/>
            <w:tcBorders>
              <w:left w:val="nil"/>
              <w:right w:val="nil"/>
            </w:tcBorders>
          </w:tcPr>
          <w:p w14:paraId="512B7F71" w14:textId="674036B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625F5B8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AD0CD8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769C31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Lucas</w:t>
            </w:r>
          </w:p>
        </w:tc>
        <w:tc>
          <w:tcPr>
            <w:tcW w:w="4579" w:type="dxa"/>
            <w:tcBorders>
              <w:left w:val="nil"/>
              <w:right w:val="nil"/>
            </w:tcBorders>
          </w:tcPr>
          <w:p w14:paraId="6F6DCD06" w14:textId="257FED3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ACC73A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F486ADE"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838B26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Montgomery</w:t>
            </w:r>
          </w:p>
        </w:tc>
        <w:tc>
          <w:tcPr>
            <w:tcW w:w="4579" w:type="dxa"/>
            <w:tcBorders>
              <w:left w:val="nil"/>
              <w:right w:val="nil"/>
            </w:tcBorders>
          </w:tcPr>
          <w:p w14:paraId="5220AE52" w14:textId="142C97F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01DD2F43"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207CBA49"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Oklahoma</w:t>
            </w:r>
          </w:p>
        </w:tc>
        <w:tc>
          <w:tcPr>
            <w:tcW w:w="3003" w:type="dxa"/>
            <w:tcBorders>
              <w:left w:val="nil"/>
              <w:right w:val="nil"/>
            </w:tcBorders>
          </w:tcPr>
          <w:p w14:paraId="6C03515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Oklahoma</w:t>
            </w:r>
          </w:p>
        </w:tc>
        <w:tc>
          <w:tcPr>
            <w:tcW w:w="4579" w:type="dxa"/>
            <w:tcBorders>
              <w:left w:val="nil"/>
              <w:right w:val="nil"/>
            </w:tcBorders>
          </w:tcPr>
          <w:p w14:paraId="56547A1B" w14:textId="0DCF5E0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1C26C63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D6ABB77"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2A6787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Tulsa</w:t>
            </w:r>
          </w:p>
        </w:tc>
        <w:tc>
          <w:tcPr>
            <w:tcW w:w="4579" w:type="dxa"/>
            <w:tcBorders>
              <w:left w:val="nil"/>
              <w:right w:val="nil"/>
            </w:tcBorders>
          </w:tcPr>
          <w:p w14:paraId="67680222" w14:textId="67566D2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5DD286B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168E1899"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Oregon</w:t>
            </w:r>
          </w:p>
        </w:tc>
        <w:tc>
          <w:tcPr>
            <w:tcW w:w="3003" w:type="dxa"/>
            <w:tcBorders>
              <w:left w:val="nil"/>
              <w:right w:val="nil"/>
            </w:tcBorders>
          </w:tcPr>
          <w:p w14:paraId="6452746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Multnomah</w:t>
            </w:r>
          </w:p>
        </w:tc>
        <w:tc>
          <w:tcPr>
            <w:tcW w:w="4579" w:type="dxa"/>
            <w:tcBorders>
              <w:left w:val="nil"/>
              <w:right w:val="nil"/>
            </w:tcBorders>
          </w:tcPr>
          <w:p w14:paraId="4A4896EB" w14:textId="79A6901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59AE317"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70880AE6"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Pennsylvania</w:t>
            </w:r>
          </w:p>
        </w:tc>
        <w:tc>
          <w:tcPr>
            <w:tcW w:w="3003" w:type="dxa"/>
            <w:tcBorders>
              <w:left w:val="nil"/>
              <w:right w:val="nil"/>
            </w:tcBorders>
          </w:tcPr>
          <w:p w14:paraId="2E171EA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Allegheny</w:t>
            </w:r>
          </w:p>
        </w:tc>
        <w:tc>
          <w:tcPr>
            <w:tcW w:w="4579" w:type="dxa"/>
            <w:tcBorders>
              <w:left w:val="nil"/>
              <w:right w:val="nil"/>
            </w:tcBorders>
          </w:tcPr>
          <w:p w14:paraId="47FED0BE" w14:textId="3D75279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2B10F63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206A99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4A4131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Chester</w:t>
            </w:r>
          </w:p>
        </w:tc>
        <w:tc>
          <w:tcPr>
            <w:tcW w:w="4579" w:type="dxa"/>
            <w:tcBorders>
              <w:left w:val="nil"/>
              <w:right w:val="nil"/>
            </w:tcBorders>
          </w:tcPr>
          <w:p w14:paraId="257C4287" w14:textId="54031B9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1EC99AC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4C31052"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A56004B"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Delaware</w:t>
            </w:r>
          </w:p>
        </w:tc>
        <w:tc>
          <w:tcPr>
            <w:tcW w:w="4579" w:type="dxa"/>
            <w:tcBorders>
              <w:left w:val="nil"/>
              <w:right w:val="nil"/>
            </w:tcBorders>
          </w:tcPr>
          <w:p w14:paraId="2056034E" w14:textId="5D23B3E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23827D1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744B80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254297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Lancaster</w:t>
            </w:r>
          </w:p>
        </w:tc>
        <w:tc>
          <w:tcPr>
            <w:tcW w:w="4579" w:type="dxa"/>
            <w:tcBorders>
              <w:left w:val="nil"/>
              <w:right w:val="nil"/>
            </w:tcBorders>
          </w:tcPr>
          <w:p w14:paraId="51C8E83E" w14:textId="00C9FD6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4FA3CCE9"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005009E"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AF5888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Montgomery</w:t>
            </w:r>
          </w:p>
        </w:tc>
        <w:tc>
          <w:tcPr>
            <w:tcW w:w="4579" w:type="dxa"/>
            <w:tcBorders>
              <w:left w:val="nil"/>
              <w:right w:val="nil"/>
            </w:tcBorders>
          </w:tcPr>
          <w:p w14:paraId="7882DEA1" w14:textId="203C291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D59303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9F8DB6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B054F8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Philadelphia</w:t>
            </w:r>
          </w:p>
        </w:tc>
        <w:tc>
          <w:tcPr>
            <w:tcW w:w="4579" w:type="dxa"/>
            <w:tcBorders>
              <w:left w:val="nil"/>
              <w:right w:val="nil"/>
            </w:tcBorders>
          </w:tcPr>
          <w:p w14:paraId="55C839AB" w14:textId="1132FC5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20BD56B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tcBorders>
              <w:left w:val="nil"/>
              <w:right w:val="nil"/>
            </w:tcBorders>
          </w:tcPr>
          <w:p w14:paraId="619C42D7"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Rhode Island</w:t>
            </w:r>
          </w:p>
        </w:tc>
        <w:tc>
          <w:tcPr>
            <w:tcW w:w="3003" w:type="dxa"/>
            <w:tcBorders>
              <w:left w:val="nil"/>
              <w:right w:val="nil"/>
            </w:tcBorders>
          </w:tcPr>
          <w:p w14:paraId="42BD123D"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Providence</w:t>
            </w:r>
          </w:p>
        </w:tc>
        <w:tc>
          <w:tcPr>
            <w:tcW w:w="4579" w:type="dxa"/>
            <w:tcBorders>
              <w:left w:val="nil"/>
              <w:right w:val="nil"/>
            </w:tcBorders>
          </w:tcPr>
          <w:p w14:paraId="6A7189B8" w14:textId="1762627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3986DFDB"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AB3D85D"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South Carolina</w:t>
            </w:r>
          </w:p>
        </w:tc>
        <w:tc>
          <w:tcPr>
            <w:tcW w:w="3003" w:type="dxa"/>
            <w:tcBorders>
              <w:left w:val="nil"/>
              <w:right w:val="nil"/>
            </w:tcBorders>
          </w:tcPr>
          <w:p w14:paraId="0080184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Greenville</w:t>
            </w:r>
          </w:p>
        </w:tc>
        <w:tc>
          <w:tcPr>
            <w:tcW w:w="4579" w:type="dxa"/>
            <w:tcBorders>
              <w:left w:val="nil"/>
              <w:right w:val="nil"/>
            </w:tcBorders>
          </w:tcPr>
          <w:p w14:paraId="4D2FB02F" w14:textId="3467F22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19A90AA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6469F4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E58AAD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Spartanburg</w:t>
            </w:r>
          </w:p>
        </w:tc>
        <w:tc>
          <w:tcPr>
            <w:tcW w:w="4579" w:type="dxa"/>
            <w:tcBorders>
              <w:left w:val="nil"/>
              <w:right w:val="nil"/>
            </w:tcBorders>
          </w:tcPr>
          <w:p w14:paraId="0A9F3B0D" w14:textId="12C19F3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C2F834E"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0509C970"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Tennessee</w:t>
            </w:r>
          </w:p>
        </w:tc>
        <w:tc>
          <w:tcPr>
            <w:tcW w:w="3003" w:type="dxa"/>
            <w:tcBorders>
              <w:left w:val="nil"/>
              <w:right w:val="nil"/>
            </w:tcBorders>
          </w:tcPr>
          <w:p w14:paraId="6381865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Davidson</w:t>
            </w:r>
          </w:p>
        </w:tc>
        <w:tc>
          <w:tcPr>
            <w:tcW w:w="4579" w:type="dxa"/>
            <w:tcBorders>
              <w:left w:val="nil"/>
              <w:right w:val="nil"/>
            </w:tcBorders>
          </w:tcPr>
          <w:p w14:paraId="7B0B5101" w14:textId="14E4F37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50B39A73"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5CD2F9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BA6744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Knox</w:t>
            </w:r>
          </w:p>
        </w:tc>
        <w:tc>
          <w:tcPr>
            <w:tcW w:w="4579" w:type="dxa"/>
            <w:tcBorders>
              <w:left w:val="nil"/>
              <w:right w:val="nil"/>
            </w:tcBorders>
          </w:tcPr>
          <w:p w14:paraId="6BC71D15" w14:textId="2E5D025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3E5396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539164E"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A1970B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Montgomery</w:t>
            </w:r>
          </w:p>
        </w:tc>
        <w:tc>
          <w:tcPr>
            <w:tcW w:w="4579" w:type="dxa"/>
            <w:tcBorders>
              <w:left w:val="nil"/>
              <w:right w:val="nil"/>
            </w:tcBorders>
          </w:tcPr>
          <w:p w14:paraId="4D06407F" w14:textId="588AB24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45F7F44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BD8FD0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E6F43F1"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Shelby</w:t>
            </w:r>
          </w:p>
        </w:tc>
        <w:tc>
          <w:tcPr>
            <w:tcW w:w="4579" w:type="dxa"/>
            <w:tcBorders>
              <w:left w:val="nil"/>
              <w:right w:val="nil"/>
            </w:tcBorders>
          </w:tcPr>
          <w:p w14:paraId="2D8E44F3" w14:textId="5BE5EC9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w:t>
            </w:r>
          </w:p>
        </w:tc>
      </w:tr>
      <w:tr w:rsidR="00D914E8" w:rsidRPr="008F7048" w14:paraId="154F0960"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5463CF2A"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Texas</w:t>
            </w:r>
          </w:p>
        </w:tc>
        <w:tc>
          <w:tcPr>
            <w:tcW w:w="3003" w:type="dxa"/>
            <w:tcBorders>
              <w:left w:val="nil"/>
              <w:right w:val="nil"/>
            </w:tcBorders>
          </w:tcPr>
          <w:p w14:paraId="140F6A0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Bell</w:t>
            </w:r>
          </w:p>
        </w:tc>
        <w:tc>
          <w:tcPr>
            <w:tcW w:w="4579" w:type="dxa"/>
            <w:tcBorders>
              <w:left w:val="nil"/>
              <w:right w:val="nil"/>
            </w:tcBorders>
          </w:tcPr>
          <w:p w14:paraId="2E6289D9" w14:textId="20CC244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243579A"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4275C8D"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5165B4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Bexar</w:t>
            </w:r>
          </w:p>
        </w:tc>
        <w:tc>
          <w:tcPr>
            <w:tcW w:w="4579" w:type="dxa"/>
            <w:tcBorders>
              <w:left w:val="nil"/>
              <w:right w:val="nil"/>
            </w:tcBorders>
          </w:tcPr>
          <w:p w14:paraId="05B956CB" w14:textId="5299089E"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6E56408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C848F1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471CDD3"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Cameron</w:t>
            </w:r>
          </w:p>
        </w:tc>
        <w:tc>
          <w:tcPr>
            <w:tcW w:w="4579" w:type="dxa"/>
            <w:tcBorders>
              <w:left w:val="nil"/>
              <w:right w:val="nil"/>
            </w:tcBorders>
          </w:tcPr>
          <w:p w14:paraId="7CF21681" w14:textId="53EC782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7BF3743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DF784C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BAE274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Collin</w:t>
            </w:r>
          </w:p>
        </w:tc>
        <w:tc>
          <w:tcPr>
            <w:tcW w:w="4579" w:type="dxa"/>
            <w:tcBorders>
              <w:left w:val="nil"/>
              <w:right w:val="nil"/>
            </w:tcBorders>
          </w:tcPr>
          <w:p w14:paraId="0326A0CC" w14:textId="7A728241"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189EA18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5BD83F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27BCD55"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Dallas</w:t>
            </w:r>
          </w:p>
        </w:tc>
        <w:tc>
          <w:tcPr>
            <w:tcW w:w="4579" w:type="dxa"/>
            <w:tcBorders>
              <w:left w:val="nil"/>
              <w:right w:val="nil"/>
            </w:tcBorders>
          </w:tcPr>
          <w:p w14:paraId="3280F75E" w14:textId="15FC03B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639FB1C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8A84DE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BC0784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Denton</w:t>
            </w:r>
          </w:p>
        </w:tc>
        <w:tc>
          <w:tcPr>
            <w:tcW w:w="4579" w:type="dxa"/>
            <w:tcBorders>
              <w:left w:val="nil"/>
              <w:right w:val="nil"/>
            </w:tcBorders>
          </w:tcPr>
          <w:p w14:paraId="71D3C0FE" w14:textId="0027EA3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64A206AD"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0731F18"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B7C975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El Paso</w:t>
            </w:r>
          </w:p>
        </w:tc>
        <w:tc>
          <w:tcPr>
            <w:tcW w:w="4579" w:type="dxa"/>
            <w:tcBorders>
              <w:left w:val="nil"/>
              <w:right w:val="nil"/>
            </w:tcBorders>
          </w:tcPr>
          <w:p w14:paraId="55C794BD" w14:textId="164FF15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6A462C6B"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6E709E4"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8735102"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Fort Bend</w:t>
            </w:r>
          </w:p>
        </w:tc>
        <w:tc>
          <w:tcPr>
            <w:tcW w:w="4579" w:type="dxa"/>
            <w:tcBorders>
              <w:left w:val="nil"/>
              <w:right w:val="nil"/>
            </w:tcBorders>
          </w:tcPr>
          <w:p w14:paraId="5AF7AA1E" w14:textId="13E9FEB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2B8B915"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122F7D0"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589B27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Galveston</w:t>
            </w:r>
          </w:p>
        </w:tc>
        <w:tc>
          <w:tcPr>
            <w:tcW w:w="4579" w:type="dxa"/>
            <w:tcBorders>
              <w:left w:val="nil"/>
              <w:right w:val="nil"/>
            </w:tcBorders>
          </w:tcPr>
          <w:p w14:paraId="1E905926" w14:textId="0A893528"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F09E594"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3A12FE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9B7592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Harris</w:t>
            </w:r>
          </w:p>
        </w:tc>
        <w:tc>
          <w:tcPr>
            <w:tcW w:w="4579" w:type="dxa"/>
            <w:tcBorders>
              <w:left w:val="nil"/>
              <w:right w:val="nil"/>
            </w:tcBorders>
          </w:tcPr>
          <w:p w14:paraId="09E41BC4" w14:textId="4CC906D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Latino, White</w:t>
            </w:r>
          </w:p>
        </w:tc>
      </w:tr>
      <w:tr w:rsidR="00D914E8" w:rsidRPr="008F7048" w14:paraId="169E4EF1"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9B91B2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D53B6C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Hidalgo</w:t>
            </w:r>
          </w:p>
        </w:tc>
        <w:tc>
          <w:tcPr>
            <w:tcW w:w="4579" w:type="dxa"/>
            <w:tcBorders>
              <w:left w:val="nil"/>
              <w:right w:val="nil"/>
            </w:tcBorders>
          </w:tcPr>
          <w:p w14:paraId="2F98DE8B" w14:textId="57192320"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3409305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247423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2C47A4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Jefferson</w:t>
            </w:r>
          </w:p>
        </w:tc>
        <w:tc>
          <w:tcPr>
            <w:tcW w:w="4579" w:type="dxa"/>
            <w:tcBorders>
              <w:left w:val="nil"/>
              <w:right w:val="nil"/>
            </w:tcBorders>
          </w:tcPr>
          <w:p w14:paraId="169382AF" w14:textId="7A6570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08BBD12"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F905F5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0A7198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McLennan</w:t>
            </w:r>
          </w:p>
        </w:tc>
        <w:tc>
          <w:tcPr>
            <w:tcW w:w="4579" w:type="dxa"/>
            <w:tcBorders>
              <w:left w:val="nil"/>
              <w:right w:val="nil"/>
            </w:tcBorders>
          </w:tcPr>
          <w:p w14:paraId="658AFFFF" w14:textId="0809198C"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4439A8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2BE11071"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74407BA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Montgomery</w:t>
            </w:r>
          </w:p>
        </w:tc>
        <w:tc>
          <w:tcPr>
            <w:tcW w:w="4579" w:type="dxa"/>
            <w:tcBorders>
              <w:left w:val="nil"/>
              <w:right w:val="nil"/>
            </w:tcBorders>
          </w:tcPr>
          <w:p w14:paraId="68D526EF" w14:textId="41AFF39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F327A4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408C28F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C0CC2E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Tarrant</w:t>
            </w:r>
          </w:p>
        </w:tc>
        <w:tc>
          <w:tcPr>
            <w:tcW w:w="4579" w:type="dxa"/>
            <w:tcBorders>
              <w:left w:val="nil"/>
              <w:right w:val="nil"/>
            </w:tcBorders>
          </w:tcPr>
          <w:p w14:paraId="709F0291" w14:textId="55BC145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 White</w:t>
            </w:r>
          </w:p>
        </w:tc>
      </w:tr>
      <w:tr w:rsidR="00D914E8" w:rsidRPr="008F7048" w14:paraId="6ABAE3E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E89A42C"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316C1689"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Travis</w:t>
            </w:r>
          </w:p>
        </w:tc>
        <w:tc>
          <w:tcPr>
            <w:tcW w:w="4579" w:type="dxa"/>
            <w:tcBorders>
              <w:left w:val="nil"/>
              <w:right w:val="nil"/>
            </w:tcBorders>
          </w:tcPr>
          <w:p w14:paraId="1AA944A3" w14:textId="7BE87DA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3699F21C"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EC5E1B9"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287130A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Webb</w:t>
            </w:r>
          </w:p>
        </w:tc>
        <w:tc>
          <w:tcPr>
            <w:tcW w:w="4579" w:type="dxa"/>
            <w:tcBorders>
              <w:left w:val="nil"/>
              <w:right w:val="nil"/>
            </w:tcBorders>
          </w:tcPr>
          <w:p w14:paraId="19644439" w14:textId="1F0E8356"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Latino</w:t>
            </w:r>
          </w:p>
        </w:tc>
      </w:tr>
      <w:tr w:rsidR="00D914E8" w:rsidRPr="008F7048" w14:paraId="633318B3"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4AE9E6E0"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Utah</w:t>
            </w:r>
          </w:p>
        </w:tc>
        <w:tc>
          <w:tcPr>
            <w:tcW w:w="3003" w:type="dxa"/>
            <w:tcBorders>
              <w:left w:val="nil"/>
              <w:right w:val="nil"/>
            </w:tcBorders>
          </w:tcPr>
          <w:p w14:paraId="0A4AFCE4"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Salt Lake</w:t>
            </w:r>
          </w:p>
        </w:tc>
        <w:tc>
          <w:tcPr>
            <w:tcW w:w="4579" w:type="dxa"/>
            <w:tcBorders>
              <w:left w:val="nil"/>
              <w:right w:val="nil"/>
            </w:tcBorders>
          </w:tcPr>
          <w:p w14:paraId="79D45E50" w14:textId="06958F9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7AC67696"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3A476BC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0FDDE6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Utah</w:t>
            </w:r>
          </w:p>
        </w:tc>
        <w:tc>
          <w:tcPr>
            <w:tcW w:w="4579" w:type="dxa"/>
            <w:tcBorders>
              <w:left w:val="nil"/>
              <w:right w:val="nil"/>
            </w:tcBorders>
          </w:tcPr>
          <w:p w14:paraId="064AB320" w14:textId="32B24F5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0ED48470"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2AC05FE4"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Virginia</w:t>
            </w:r>
          </w:p>
        </w:tc>
        <w:tc>
          <w:tcPr>
            <w:tcW w:w="3003" w:type="dxa"/>
            <w:tcBorders>
              <w:left w:val="nil"/>
              <w:right w:val="nil"/>
            </w:tcBorders>
          </w:tcPr>
          <w:p w14:paraId="312B69FF"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Chesapeake City</w:t>
            </w:r>
          </w:p>
        </w:tc>
        <w:tc>
          <w:tcPr>
            <w:tcW w:w="4579" w:type="dxa"/>
            <w:tcBorders>
              <w:left w:val="nil"/>
              <w:right w:val="nil"/>
            </w:tcBorders>
          </w:tcPr>
          <w:p w14:paraId="698E3001" w14:textId="2DA0892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330BFAC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9E969A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A86B82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Fairfax/Fairfax City</w:t>
            </w:r>
          </w:p>
        </w:tc>
        <w:tc>
          <w:tcPr>
            <w:tcW w:w="4579" w:type="dxa"/>
            <w:tcBorders>
              <w:left w:val="nil"/>
              <w:right w:val="nil"/>
            </w:tcBorders>
          </w:tcPr>
          <w:p w14:paraId="7D54A35C" w14:textId="5F129115"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03ABE2BF"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DA095F5"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44A5C6E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Norfolk City</w:t>
            </w:r>
          </w:p>
        </w:tc>
        <w:tc>
          <w:tcPr>
            <w:tcW w:w="4579" w:type="dxa"/>
            <w:tcBorders>
              <w:left w:val="nil"/>
              <w:right w:val="nil"/>
            </w:tcBorders>
          </w:tcPr>
          <w:p w14:paraId="26CC38CD" w14:textId="27B2846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1F7FD1B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74267DCB"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3B4CEBC"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York/Newport News City</w:t>
            </w:r>
          </w:p>
        </w:tc>
        <w:tc>
          <w:tcPr>
            <w:tcW w:w="4579" w:type="dxa"/>
            <w:tcBorders>
              <w:left w:val="nil"/>
              <w:right w:val="nil"/>
            </w:tcBorders>
          </w:tcPr>
          <w:p w14:paraId="4A6BAAAF" w14:textId="068EC51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5405F728"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059E3B85"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Washington</w:t>
            </w:r>
          </w:p>
        </w:tc>
        <w:tc>
          <w:tcPr>
            <w:tcW w:w="3003" w:type="dxa"/>
            <w:tcBorders>
              <w:left w:val="nil"/>
              <w:right w:val="nil"/>
            </w:tcBorders>
          </w:tcPr>
          <w:p w14:paraId="225E1A76"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Clark</w:t>
            </w:r>
          </w:p>
        </w:tc>
        <w:tc>
          <w:tcPr>
            <w:tcW w:w="4579" w:type="dxa"/>
            <w:tcBorders>
              <w:left w:val="nil"/>
              <w:right w:val="nil"/>
            </w:tcBorders>
          </w:tcPr>
          <w:p w14:paraId="0F29DCBD" w14:textId="14D2879D"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7936FF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03E791BA"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65CE380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King</w:t>
            </w:r>
          </w:p>
        </w:tc>
        <w:tc>
          <w:tcPr>
            <w:tcW w:w="4579" w:type="dxa"/>
            <w:tcBorders>
              <w:left w:val="nil"/>
              <w:right w:val="nil"/>
            </w:tcBorders>
          </w:tcPr>
          <w:p w14:paraId="33484BDF" w14:textId="6BA941C3"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03DA02A8"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E3C5623"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1BC16817"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Pierce</w:t>
            </w:r>
          </w:p>
        </w:tc>
        <w:tc>
          <w:tcPr>
            <w:tcW w:w="4579" w:type="dxa"/>
            <w:tcBorders>
              <w:left w:val="nil"/>
              <w:right w:val="nil"/>
            </w:tcBorders>
          </w:tcPr>
          <w:p w14:paraId="65C2F912" w14:textId="574CCABA"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White</w:t>
            </w:r>
          </w:p>
        </w:tc>
      </w:tr>
      <w:tr w:rsidR="00D914E8" w:rsidRPr="008F7048" w14:paraId="612BC329"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5DA495B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0E10472E"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Spokane</w:t>
            </w:r>
          </w:p>
        </w:tc>
        <w:tc>
          <w:tcPr>
            <w:tcW w:w="4579" w:type="dxa"/>
            <w:tcBorders>
              <w:left w:val="nil"/>
              <w:right w:val="nil"/>
            </w:tcBorders>
          </w:tcPr>
          <w:p w14:paraId="21875DF2" w14:textId="380A2932"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2333BCFE"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66EAE936" w14:textId="77777777" w:rsidR="00D914E8" w:rsidRPr="008F7048" w:rsidRDefault="00D914E8" w:rsidP="007F5028">
            <w:pPr>
              <w:rPr>
                <w:rFonts w:asciiTheme="majorHAnsi" w:hAnsiTheme="majorHAnsi" w:cstheme="majorHAnsi"/>
                <w:b w:val="0"/>
                <w:bCs w:val="0"/>
              </w:rPr>
            </w:pPr>
          </w:p>
        </w:tc>
        <w:tc>
          <w:tcPr>
            <w:tcW w:w="3003" w:type="dxa"/>
            <w:tcBorders>
              <w:left w:val="nil"/>
              <w:right w:val="nil"/>
            </w:tcBorders>
          </w:tcPr>
          <w:p w14:paraId="5D01BD5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Yakima</w:t>
            </w:r>
          </w:p>
        </w:tc>
        <w:tc>
          <w:tcPr>
            <w:tcW w:w="4579" w:type="dxa"/>
            <w:tcBorders>
              <w:left w:val="nil"/>
              <w:right w:val="nil"/>
            </w:tcBorders>
          </w:tcPr>
          <w:p w14:paraId="26C9B50F" w14:textId="109EF564"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r w:rsidR="00D914E8" w:rsidRPr="008F7048" w14:paraId="791459D5" w14:textId="77777777" w:rsidTr="00082DA3">
        <w:trPr>
          <w:trHeight w:val="300"/>
        </w:trPr>
        <w:tc>
          <w:tcPr>
            <w:cnfStyle w:val="001000000000" w:firstRow="0" w:lastRow="0" w:firstColumn="1" w:lastColumn="0" w:oddVBand="0" w:evenVBand="0" w:oddHBand="0" w:evenHBand="0" w:firstRowFirstColumn="0" w:firstRowLastColumn="0" w:lastRowFirstColumn="0" w:lastRowLastColumn="0"/>
            <w:tcW w:w="1942" w:type="dxa"/>
            <w:vMerge w:val="restart"/>
            <w:tcBorders>
              <w:left w:val="nil"/>
              <w:right w:val="nil"/>
            </w:tcBorders>
          </w:tcPr>
          <w:p w14:paraId="12E62D20" w14:textId="77777777" w:rsidR="00D914E8" w:rsidRPr="008F7048" w:rsidRDefault="00D914E8" w:rsidP="007F5028">
            <w:pPr>
              <w:rPr>
                <w:rFonts w:asciiTheme="majorHAnsi" w:eastAsiaTheme="majorEastAsia" w:hAnsiTheme="majorHAnsi" w:cstheme="majorHAnsi"/>
                <w:b w:val="0"/>
                <w:bCs w:val="0"/>
                <w:color w:val="000000" w:themeColor="text1"/>
                <w:sz w:val="20"/>
                <w:szCs w:val="20"/>
              </w:rPr>
            </w:pPr>
            <w:r w:rsidRPr="008F7048">
              <w:rPr>
                <w:rFonts w:asciiTheme="majorHAnsi" w:eastAsiaTheme="majorEastAsia" w:hAnsiTheme="majorHAnsi" w:cstheme="majorHAnsi"/>
                <w:b w:val="0"/>
                <w:bCs w:val="0"/>
                <w:color w:val="000000" w:themeColor="text1"/>
                <w:sz w:val="20"/>
                <w:szCs w:val="20"/>
              </w:rPr>
              <w:t xml:space="preserve"> Wisconsin</w:t>
            </w:r>
          </w:p>
        </w:tc>
        <w:tc>
          <w:tcPr>
            <w:tcW w:w="3003" w:type="dxa"/>
            <w:tcBorders>
              <w:left w:val="nil"/>
              <w:bottom w:val="single" w:sz="4" w:space="0" w:color="BFBFBF" w:themeColor="background1" w:themeShade="BF"/>
              <w:right w:val="nil"/>
            </w:tcBorders>
          </w:tcPr>
          <w:p w14:paraId="235DD7BA"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Milwaukee</w:t>
            </w:r>
          </w:p>
        </w:tc>
        <w:tc>
          <w:tcPr>
            <w:tcW w:w="4579" w:type="dxa"/>
            <w:tcBorders>
              <w:left w:val="nil"/>
              <w:bottom w:val="single" w:sz="4" w:space="0" w:color="BFBFBF" w:themeColor="background1" w:themeShade="BF"/>
              <w:right w:val="nil"/>
            </w:tcBorders>
          </w:tcPr>
          <w:p w14:paraId="6229CFC3" w14:textId="3D38C6E9"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r w:rsidRPr="008F7048">
              <w:rPr>
                <w:rFonts w:asciiTheme="majorHAnsi" w:eastAsiaTheme="majorEastAsia" w:hAnsiTheme="majorHAnsi" w:cstheme="majorHAnsi"/>
                <w:color w:val="000000" w:themeColor="text1"/>
                <w:sz w:val="20"/>
                <w:szCs w:val="20"/>
              </w:rPr>
              <w:t>, Black, White</w:t>
            </w:r>
          </w:p>
        </w:tc>
      </w:tr>
      <w:tr w:rsidR="00D914E8" w:rsidRPr="008F7048" w14:paraId="63F2EBE7" w14:textId="77777777" w:rsidTr="00082DA3">
        <w:trPr>
          <w:trHeight w:val="315"/>
        </w:trPr>
        <w:tc>
          <w:tcPr>
            <w:cnfStyle w:val="001000000000" w:firstRow="0" w:lastRow="0" w:firstColumn="1" w:lastColumn="0" w:oddVBand="0" w:evenVBand="0" w:oddHBand="0" w:evenHBand="0" w:firstRowFirstColumn="0" w:firstRowLastColumn="0" w:lastRowFirstColumn="0" w:lastRowLastColumn="0"/>
            <w:tcW w:w="1942" w:type="dxa"/>
            <w:vMerge/>
            <w:tcBorders>
              <w:left w:val="nil"/>
              <w:right w:val="nil"/>
            </w:tcBorders>
          </w:tcPr>
          <w:p w14:paraId="1CC73319" w14:textId="77777777" w:rsidR="00D914E8" w:rsidRPr="008F7048" w:rsidRDefault="00D914E8" w:rsidP="007F5028">
            <w:pPr>
              <w:rPr>
                <w:rFonts w:asciiTheme="majorHAnsi" w:hAnsiTheme="majorHAnsi" w:cstheme="majorHAnsi"/>
              </w:rPr>
            </w:pPr>
          </w:p>
        </w:tc>
        <w:tc>
          <w:tcPr>
            <w:tcW w:w="3003" w:type="dxa"/>
            <w:tcBorders>
              <w:left w:val="nil"/>
              <w:bottom w:val="single" w:sz="4" w:space="0" w:color="BFBFBF" w:themeColor="background1" w:themeShade="BF"/>
              <w:right w:val="nil"/>
            </w:tcBorders>
          </w:tcPr>
          <w:p w14:paraId="20FFFD28" w14:textId="77777777"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Rock</w:t>
            </w:r>
          </w:p>
        </w:tc>
        <w:tc>
          <w:tcPr>
            <w:tcW w:w="4579" w:type="dxa"/>
            <w:tcBorders>
              <w:left w:val="nil"/>
              <w:bottom w:val="single" w:sz="4" w:space="0" w:color="BFBFBF" w:themeColor="background1" w:themeShade="BF"/>
              <w:right w:val="nil"/>
            </w:tcBorders>
          </w:tcPr>
          <w:p w14:paraId="179FAE6B" w14:textId="46339A5B" w:rsidR="00D914E8" w:rsidRPr="008F7048" w:rsidRDefault="00D914E8" w:rsidP="007F5028">
            <w:pPr>
              <w:cnfStyle w:val="000000000000" w:firstRow="0" w:lastRow="0" w:firstColumn="0" w:lastColumn="0" w:oddVBand="0" w:evenVBand="0" w:oddHBand="0" w:evenHBand="0" w:firstRowFirstColumn="0" w:firstRowLastColumn="0" w:lastRowFirstColumn="0" w:lastRowLastColumn="0"/>
              <w:rPr>
                <w:rFonts w:asciiTheme="majorHAnsi" w:eastAsiaTheme="majorEastAsia" w:hAnsiTheme="majorHAnsi" w:cstheme="majorHAnsi"/>
                <w:color w:val="000000" w:themeColor="text1"/>
                <w:sz w:val="20"/>
                <w:szCs w:val="20"/>
              </w:rPr>
            </w:pPr>
            <w:r w:rsidRPr="008F7048">
              <w:rPr>
                <w:rFonts w:asciiTheme="majorHAnsi" w:eastAsiaTheme="majorEastAsia" w:hAnsiTheme="majorHAnsi" w:cstheme="majorHAnsi"/>
                <w:color w:val="000000" w:themeColor="text1"/>
                <w:sz w:val="20"/>
                <w:szCs w:val="20"/>
              </w:rPr>
              <w:t xml:space="preserve">All </w:t>
            </w:r>
            <w:r w:rsidR="00370CF1" w:rsidRPr="008F7048">
              <w:rPr>
                <w:rFonts w:asciiTheme="majorHAnsi" w:eastAsiaTheme="majorEastAsia" w:hAnsiTheme="majorHAnsi" w:cstheme="majorHAnsi"/>
                <w:color w:val="000000" w:themeColor="text1"/>
                <w:sz w:val="20"/>
                <w:szCs w:val="20"/>
              </w:rPr>
              <w:t>racial and ethnic populations</w:t>
            </w:r>
          </w:p>
        </w:tc>
      </w:tr>
    </w:tbl>
    <w:p w14:paraId="5A48A73E" w14:textId="64C522D9" w:rsidR="00515E7C" w:rsidRPr="004C277A" w:rsidRDefault="007C6258" w:rsidP="00515E7C">
      <w:pPr>
        <w:rPr>
          <w:rFonts w:asciiTheme="majorHAnsi" w:hAnsiTheme="majorHAnsi" w:cstheme="majorHAnsi"/>
          <w:lang w:val="en-GB"/>
        </w:rPr>
        <w:sectPr w:rsidR="00515E7C" w:rsidRPr="004C277A" w:rsidSect="00615140">
          <w:pgSz w:w="12240" w:h="15840"/>
          <w:pgMar w:top="1440" w:right="1440" w:bottom="1440" w:left="1440" w:header="720" w:footer="720" w:gutter="0"/>
          <w:cols w:space="720"/>
          <w:docGrid w:linePitch="360"/>
        </w:sectPr>
      </w:pPr>
      <w:proofErr w:type="gramStart"/>
      <w:r w:rsidRPr="00A04876">
        <w:rPr>
          <w:rFonts w:asciiTheme="majorHAnsi" w:hAnsiTheme="majorHAnsi" w:cstheme="majorHAnsi"/>
          <w:lang w:val="en-GB"/>
        </w:rPr>
        <w:t>*</w:t>
      </w:r>
      <w:r w:rsidR="00370CF1">
        <w:rPr>
          <w:rFonts w:asciiTheme="majorHAnsi" w:hAnsiTheme="majorHAnsi" w:cstheme="majorHAnsi"/>
          <w:lang w:val="en-GB"/>
        </w:rPr>
        <w:t>”</w:t>
      </w:r>
      <w:r w:rsidRPr="00A04876">
        <w:rPr>
          <w:rFonts w:asciiTheme="majorHAnsi" w:hAnsiTheme="majorHAnsi" w:cstheme="majorHAnsi"/>
        </w:rPr>
        <w:t>All</w:t>
      </w:r>
      <w:proofErr w:type="gramEnd"/>
      <w:r w:rsidRPr="00A04876">
        <w:rPr>
          <w:rFonts w:asciiTheme="majorHAnsi" w:hAnsiTheme="majorHAnsi" w:cstheme="majorHAnsi"/>
        </w:rPr>
        <w:t xml:space="preserve"> racial</w:t>
      </w:r>
      <w:r w:rsidR="00370CF1">
        <w:rPr>
          <w:rFonts w:asciiTheme="majorHAnsi" w:hAnsiTheme="majorHAnsi" w:cstheme="majorHAnsi"/>
        </w:rPr>
        <w:t xml:space="preserve"> and </w:t>
      </w:r>
      <w:r w:rsidRPr="00A04876">
        <w:rPr>
          <w:rFonts w:asciiTheme="majorHAnsi" w:hAnsiTheme="majorHAnsi" w:cstheme="majorHAnsi"/>
        </w:rPr>
        <w:t xml:space="preserve">ethnic </w:t>
      </w:r>
      <w:r w:rsidR="00370CF1">
        <w:rPr>
          <w:rFonts w:asciiTheme="majorHAnsi" w:hAnsiTheme="majorHAnsi" w:cstheme="majorHAnsi"/>
        </w:rPr>
        <w:t>population</w:t>
      </w:r>
      <w:r w:rsidRPr="00A04876">
        <w:rPr>
          <w:rFonts w:asciiTheme="majorHAnsi" w:hAnsiTheme="majorHAnsi" w:cstheme="majorHAnsi"/>
        </w:rPr>
        <w:t>s</w:t>
      </w:r>
      <w:r w:rsidR="00370CF1">
        <w:rPr>
          <w:rFonts w:asciiTheme="majorHAnsi" w:hAnsiTheme="majorHAnsi" w:cstheme="majorHAnsi"/>
        </w:rPr>
        <w:t>”</w:t>
      </w:r>
      <w:r w:rsidRPr="00A04876">
        <w:rPr>
          <w:rFonts w:asciiTheme="majorHAnsi" w:hAnsiTheme="majorHAnsi" w:cstheme="majorHAnsi"/>
        </w:rPr>
        <w:t xml:space="preserve"> </w:t>
      </w:r>
      <w:r w:rsidRPr="00A04876">
        <w:rPr>
          <w:rFonts w:asciiTheme="majorHAnsi" w:hAnsiTheme="majorHAnsi" w:cstheme="majorHAnsi"/>
          <w:lang w:val="en-GB"/>
        </w:rPr>
        <w:t>was validated separately from individual racial</w:t>
      </w:r>
      <w:r w:rsidR="00370CF1">
        <w:rPr>
          <w:rFonts w:asciiTheme="majorHAnsi" w:hAnsiTheme="majorHAnsi" w:cstheme="majorHAnsi"/>
          <w:lang w:val="en-GB"/>
        </w:rPr>
        <w:t xml:space="preserve"> and </w:t>
      </w:r>
      <w:r w:rsidRPr="00A04876">
        <w:rPr>
          <w:rFonts w:asciiTheme="majorHAnsi" w:hAnsiTheme="majorHAnsi" w:cstheme="majorHAnsi"/>
          <w:lang w:val="en-GB"/>
        </w:rPr>
        <w:t xml:space="preserve">ethnic </w:t>
      </w:r>
      <w:r w:rsidR="00370CF1">
        <w:rPr>
          <w:rFonts w:asciiTheme="majorHAnsi" w:hAnsiTheme="majorHAnsi" w:cstheme="majorHAnsi"/>
          <w:lang w:val="en-GB"/>
        </w:rPr>
        <w:t>population</w:t>
      </w:r>
      <w:r w:rsidRPr="00A04876">
        <w:rPr>
          <w:rFonts w:asciiTheme="majorHAnsi" w:hAnsiTheme="majorHAnsi" w:cstheme="majorHAnsi"/>
          <w:lang w:val="en-GB"/>
        </w:rPr>
        <w:t>s.</w:t>
      </w:r>
    </w:p>
    <w:p w14:paraId="73ACF17E" w14:textId="7C997997" w:rsidR="001A7FA1" w:rsidRDefault="00DF3268" w:rsidP="006D115B">
      <w:pPr>
        <w:pStyle w:val="Heading2"/>
        <w:rPr>
          <w:lang w:val="en-GB"/>
        </w:rPr>
      </w:pPr>
      <w:bookmarkStart w:id="61" w:name="_Toc1700210187"/>
      <w:bookmarkStart w:id="62" w:name="_Toc175308197"/>
      <w:r>
        <w:rPr>
          <w:lang w:val="en-GB"/>
        </w:rPr>
        <w:lastRenderedPageBreak/>
        <w:t>3.8</w:t>
      </w:r>
      <w:r w:rsidR="00FE6AFF" w:rsidRPr="3CAD5573">
        <w:rPr>
          <w:lang w:val="en-GB"/>
        </w:rPr>
        <w:t xml:space="preserve"> </w:t>
      </w:r>
      <w:r w:rsidR="00CF609A">
        <w:rPr>
          <w:lang w:val="en-GB"/>
        </w:rPr>
        <w:t>All-cause mortality m</w:t>
      </w:r>
      <w:r w:rsidR="00EB5C03" w:rsidRPr="3CAD5573">
        <w:rPr>
          <w:lang w:val="en-GB"/>
        </w:rPr>
        <w:t xml:space="preserve">odel </w:t>
      </w:r>
      <w:r w:rsidR="00B50187">
        <w:rPr>
          <w:lang w:val="en-GB"/>
        </w:rPr>
        <w:t>v</w:t>
      </w:r>
      <w:r w:rsidR="00EB5C03" w:rsidRPr="3CAD5573">
        <w:rPr>
          <w:lang w:val="en-GB"/>
        </w:rPr>
        <w:t xml:space="preserve">alidation </w:t>
      </w:r>
      <w:r w:rsidR="00B50187">
        <w:rPr>
          <w:lang w:val="en-GB"/>
        </w:rPr>
        <w:t>r</w:t>
      </w:r>
      <w:r w:rsidR="477885F3" w:rsidRPr="3CAD5573">
        <w:rPr>
          <w:lang w:val="en-GB"/>
        </w:rPr>
        <w:t>esults</w:t>
      </w:r>
      <w:bookmarkEnd w:id="61"/>
      <w:bookmarkEnd w:id="62"/>
    </w:p>
    <w:p w14:paraId="5696B8B9" w14:textId="77777777" w:rsidR="00357D02" w:rsidRPr="00357D02" w:rsidRDefault="00357D02" w:rsidP="00357D02">
      <w:pPr>
        <w:spacing w:after="0" w:line="240" w:lineRule="auto"/>
        <w:contextualSpacing/>
        <w:rPr>
          <w:lang w:val="en-GB"/>
        </w:rPr>
      </w:pPr>
    </w:p>
    <w:tbl>
      <w:tblPr>
        <w:tblStyle w:val="TableGridLight"/>
        <w:tblW w:w="0" w:type="auto"/>
        <w:tblLook w:val="04A0" w:firstRow="1" w:lastRow="0" w:firstColumn="1" w:lastColumn="0" w:noHBand="0" w:noVBand="1"/>
      </w:tblPr>
      <w:tblGrid>
        <w:gridCol w:w="1350"/>
        <w:gridCol w:w="1441"/>
        <w:gridCol w:w="1129"/>
        <w:gridCol w:w="1130"/>
        <w:gridCol w:w="1130"/>
        <w:gridCol w:w="1130"/>
        <w:gridCol w:w="1130"/>
        <w:gridCol w:w="1130"/>
        <w:gridCol w:w="1130"/>
        <w:gridCol w:w="1130"/>
        <w:gridCol w:w="1130"/>
      </w:tblGrid>
      <w:tr w:rsidR="00BF5C8B" w:rsidRPr="00434F77" w14:paraId="4147ABF7" w14:textId="77777777">
        <w:trPr>
          <w:trHeight w:val="295"/>
          <w:tblHeader/>
        </w:trPr>
        <w:tc>
          <w:tcPr>
            <w:tcW w:w="1350" w:type="dxa"/>
            <w:tcBorders>
              <w:top w:val="single" w:sz="8" w:space="0" w:color="auto"/>
              <w:left w:val="nil"/>
              <w:bottom w:val="nil"/>
              <w:right w:val="nil"/>
            </w:tcBorders>
            <w:noWrap/>
            <w:hideMark/>
          </w:tcPr>
          <w:p w14:paraId="73D42C41" w14:textId="77777777" w:rsidR="00BF5C8B" w:rsidRPr="00434F77" w:rsidRDefault="00BF5C8B">
            <w:pPr>
              <w:rPr>
                <w:rFonts w:asciiTheme="majorHAnsi" w:eastAsia="Times New Roman" w:hAnsiTheme="majorHAnsi" w:cstheme="majorHAnsi"/>
              </w:rPr>
            </w:pPr>
            <w:bookmarkStart w:id="63" w:name="_Hlk155263335"/>
          </w:p>
        </w:tc>
        <w:tc>
          <w:tcPr>
            <w:tcW w:w="4830" w:type="dxa"/>
            <w:gridSpan w:val="4"/>
            <w:tcBorders>
              <w:top w:val="single" w:sz="8" w:space="0" w:color="auto"/>
              <w:left w:val="nil"/>
              <w:bottom w:val="nil"/>
              <w:right w:val="nil"/>
            </w:tcBorders>
            <w:noWrap/>
            <w:hideMark/>
          </w:tcPr>
          <w:p w14:paraId="2DB2B698" w14:textId="77777777" w:rsidR="00BF5C8B" w:rsidRPr="00434F77" w:rsidRDefault="00BF5C8B">
            <w:pPr>
              <w:jc w:val="center"/>
              <w:rPr>
                <w:rFonts w:asciiTheme="majorHAnsi" w:eastAsia="Times New Roman" w:hAnsiTheme="majorHAnsi" w:cstheme="majorHAnsi"/>
                <w:b/>
              </w:rPr>
            </w:pPr>
            <w:r w:rsidRPr="00434F77">
              <w:rPr>
                <w:rFonts w:asciiTheme="majorHAnsi" w:eastAsia="Times New Roman" w:hAnsiTheme="majorHAnsi" w:cstheme="majorHAnsi"/>
                <w:b/>
                <w:color w:val="000000"/>
              </w:rPr>
              <w:t>Model 1</w:t>
            </w:r>
          </w:p>
        </w:tc>
        <w:tc>
          <w:tcPr>
            <w:tcW w:w="3390" w:type="dxa"/>
            <w:gridSpan w:val="3"/>
            <w:tcBorders>
              <w:top w:val="single" w:sz="8" w:space="0" w:color="auto"/>
              <w:left w:val="nil"/>
              <w:bottom w:val="single" w:sz="8" w:space="0" w:color="auto"/>
              <w:right w:val="nil"/>
            </w:tcBorders>
            <w:noWrap/>
            <w:hideMark/>
          </w:tcPr>
          <w:p w14:paraId="3C13BE29" w14:textId="77777777" w:rsidR="00BF5C8B" w:rsidRPr="00434F77" w:rsidRDefault="00BF5C8B">
            <w:pPr>
              <w:jc w:val="center"/>
              <w:rPr>
                <w:rFonts w:asciiTheme="majorHAnsi" w:eastAsia="Times New Roman" w:hAnsiTheme="majorHAnsi" w:cstheme="majorHAnsi"/>
                <w:b/>
              </w:rPr>
            </w:pPr>
            <w:r w:rsidRPr="00434F77">
              <w:rPr>
                <w:rFonts w:asciiTheme="majorHAnsi" w:eastAsia="Times New Roman" w:hAnsiTheme="majorHAnsi" w:cstheme="majorHAnsi"/>
                <w:b/>
                <w:color w:val="000000"/>
              </w:rPr>
              <w:t>Model 2</w:t>
            </w:r>
          </w:p>
        </w:tc>
        <w:tc>
          <w:tcPr>
            <w:tcW w:w="3390" w:type="dxa"/>
            <w:gridSpan w:val="3"/>
            <w:tcBorders>
              <w:top w:val="single" w:sz="8" w:space="0" w:color="auto"/>
              <w:left w:val="nil"/>
              <w:bottom w:val="single" w:sz="8" w:space="0" w:color="auto"/>
              <w:right w:val="nil"/>
            </w:tcBorders>
            <w:noWrap/>
            <w:hideMark/>
          </w:tcPr>
          <w:p w14:paraId="5C72F5AC" w14:textId="77777777" w:rsidR="00BF5C8B" w:rsidRPr="00434F77" w:rsidRDefault="00BF5C8B">
            <w:pPr>
              <w:jc w:val="center"/>
              <w:rPr>
                <w:rFonts w:asciiTheme="majorHAnsi" w:eastAsia="Times New Roman" w:hAnsiTheme="majorHAnsi" w:cstheme="majorHAnsi"/>
                <w:b/>
              </w:rPr>
            </w:pPr>
            <w:r w:rsidRPr="00434F77">
              <w:rPr>
                <w:rFonts w:asciiTheme="majorHAnsi" w:eastAsia="Times New Roman" w:hAnsiTheme="majorHAnsi" w:cstheme="majorHAnsi"/>
                <w:b/>
                <w:color w:val="000000"/>
              </w:rPr>
              <w:t>Model 3</w:t>
            </w:r>
          </w:p>
        </w:tc>
      </w:tr>
      <w:tr w:rsidR="00BF5C8B" w:rsidRPr="00434F77" w14:paraId="379C94E9" w14:textId="77777777">
        <w:trPr>
          <w:trHeight w:val="295"/>
          <w:tblHeader/>
        </w:trPr>
        <w:tc>
          <w:tcPr>
            <w:tcW w:w="1350" w:type="dxa"/>
            <w:tcBorders>
              <w:top w:val="nil"/>
              <w:left w:val="nil"/>
              <w:bottom w:val="single" w:sz="8" w:space="0" w:color="auto"/>
              <w:right w:val="nil"/>
            </w:tcBorders>
            <w:noWrap/>
            <w:vAlign w:val="center"/>
            <w:hideMark/>
          </w:tcPr>
          <w:p w14:paraId="759CEC75" w14:textId="1D24BAC0"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Racial and ethnic population</w:t>
            </w:r>
            <w:r w:rsidR="00723941">
              <w:rPr>
                <w:rFonts w:asciiTheme="majorHAnsi" w:eastAsia="Times New Roman" w:hAnsiTheme="majorHAnsi" w:cstheme="majorHAnsi"/>
                <w:b/>
                <w:bCs/>
                <w:color w:val="000000" w:themeColor="text1"/>
              </w:rPr>
              <w:t>*</w:t>
            </w:r>
          </w:p>
        </w:tc>
        <w:tc>
          <w:tcPr>
            <w:tcW w:w="1441" w:type="dxa"/>
            <w:tcBorders>
              <w:top w:val="nil"/>
              <w:left w:val="nil"/>
              <w:bottom w:val="single" w:sz="8" w:space="0" w:color="auto"/>
              <w:right w:val="nil"/>
            </w:tcBorders>
            <w:noWrap/>
            <w:vAlign w:val="center"/>
            <w:hideMark/>
          </w:tcPr>
          <w:p w14:paraId="20283A85"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Size</w:t>
            </w:r>
          </w:p>
        </w:tc>
        <w:tc>
          <w:tcPr>
            <w:tcW w:w="1129" w:type="dxa"/>
            <w:tcBorders>
              <w:top w:val="single" w:sz="8" w:space="0" w:color="auto"/>
              <w:left w:val="nil"/>
              <w:bottom w:val="single" w:sz="8" w:space="0" w:color="auto"/>
              <w:right w:val="nil"/>
            </w:tcBorders>
            <w:noWrap/>
            <w:vAlign w:val="center"/>
            <w:hideMark/>
          </w:tcPr>
          <w:p w14:paraId="4259B717"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06D1BEBB"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378EC973"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7BD31F7C"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6D6BC8A9"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absolute</w:t>
            </w:r>
          </w:p>
          <w:p w14:paraId="5AFDFBE5"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5CB56DCF"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37429470"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Coverage (%)</w:t>
            </w:r>
          </w:p>
        </w:tc>
        <w:tc>
          <w:tcPr>
            <w:tcW w:w="1130" w:type="dxa"/>
            <w:tcBorders>
              <w:top w:val="single" w:sz="8" w:space="0" w:color="auto"/>
              <w:left w:val="nil"/>
              <w:bottom w:val="single" w:sz="8" w:space="0" w:color="auto"/>
              <w:right w:val="nil"/>
            </w:tcBorders>
            <w:noWrap/>
            <w:vAlign w:val="center"/>
            <w:hideMark/>
          </w:tcPr>
          <w:p w14:paraId="1045584B"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4F58F349"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227A20A5"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42432DB6"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263D7BCE"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absolute</w:t>
            </w:r>
          </w:p>
          <w:p w14:paraId="1FC35BC3"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24A41E16"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4722E817"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Coverage (%)</w:t>
            </w:r>
          </w:p>
        </w:tc>
        <w:tc>
          <w:tcPr>
            <w:tcW w:w="1130" w:type="dxa"/>
            <w:tcBorders>
              <w:top w:val="single" w:sz="8" w:space="0" w:color="auto"/>
              <w:left w:val="nil"/>
              <w:bottom w:val="single" w:sz="8" w:space="0" w:color="auto"/>
              <w:right w:val="nil"/>
            </w:tcBorders>
            <w:noWrap/>
            <w:vAlign w:val="center"/>
            <w:hideMark/>
          </w:tcPr>
          <w:p w14:paraId="212E99BE"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13CCCA45"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32786E0B"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51225F95"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Mean</w:t>
            </w:r>
          </w:p>
          <w:p w14:paraId="2EB9AAD3"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absolute</w:t>
            </w:r>
          </w:p>
          <w:p w14:paraId="23DB365F"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relative</w:t>
            </w:r>
          </w:p>
          <w:p w14:paraId="2BC1AC8F" w14:textId="77777777" w:rsidR="00BF5C8B" w:rsidRPr="00434F77" w:rsidRDefault="00BF5C8B">
            <w:pPr>
              <w:jc w:val="center"/>
              <w:rPr>
                <w:rFonts w:asciiTheme="majorHAnsi" w:eastAsia="Times New Roman" w:hAnsiTheme="majorHAnsi" w:cstheme="majorHAnsi"/>
                <w:b/>
                <w:bCs/>
                <w:color w:val="000000"/>
              </w:rPr>
            </w:pPr>
            <w:r w:rsidRPr="00434F77">
              <w:rPr>
                <w:rFonts w:asciiTheme="majorHAnsi" w:eastAsia="Times New Roman" w:hAnsiTheme="majorHAnsi" w:cstheme="majorHAnsi"/>
                <w:b/>
                <w:bCs/>
                <w:color w:val="000000" w:themeColor="text1"/>
              </w:rPr>
              <w:t>error (%)</w:t>
            </w:r>
          </w:p>
        </w:tc>
        <w:tc>
          <w:tcPr>
            <w:tcW w:w="1130" w:type="dxa"/>
            <w:tcBorders>
              <w:top w:val="single" w:sz="8" w:space="0" w:color="auto"/>
              <w:left w:val="nil"/>
              <w:bottom w:val="single" w:sz="8" w:space="0" w:color="auto"/>
              <w:right w:val="nil"/>
            </w:tcBorders>
            <w:noWrap/>
            <w:vAlign w:val="center"/>
            <w:hideMark/>
          </w:tcPr>
          <w:p w14:paraId="4005BFD1" w14:textId="77777777" w:rsidR="00BF5C8B" w:rsidRPr="00434F77" w:rsidRDefault="00BF5C8B">
            <w:pPr>
              <w:jc w:val="center"/>
              <w:rPr>
                <w:rFonts w:asciiTheme="majorHAnsi" w:eastAsia="Times New Roman" w:hAnsiTheme="majorHAnsi" w:cstheme="majorHAnsi"/>
                <w:b/>
                <w:color w:val="000000"/>
              </w:rPr>
            </w:pPr>
            <w:r w:rsidRPr="00434F77">
              <w:rPr>
                <w:rFonts w:asciiTheme="majorHAnsi" w:eastAsia="Times New Roman" w:hAnsiTheme="majorHAnsi" w:cstheme="majorHAnsi"/>
                <w:b/>
                <w:color w:val="000000"/>
              </w:rPr>
              <w:t>Coverage (%)</w:t>
            </w:r>
          </w:p>
        </w:tc>
      </w:tr>
      <w:tr w:rsidR="00BF5C8B" w:rsidRPr="00434F77" w14:paraId="2B997A8F" w14:textId="77777777">
        <w:trPr>
          <w:trHeight w:val="295"/>
        </w:trPr>
        <w:tc>
          <w:tcPr>
            <w:tcW w:w="1350" w:type="dxa"/>
            <w:vMerge w:val="restart"/>
            <w:tcBorders>
              <w:top w:val="single" w:sz="8" w:space="0" w:color="auto"/>
              <w:left w:val="nil"/>
              <w:right w:val="nil"/>
            </w:tcBorders>
            <w:noWrap/>
            <w:hideMark/>
          </w:tcPr>
          <w:p w14:paraId="0D097C46" w14:textId="683D925C"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themeColor="text1"/>
              </w:rPr>
              <w:t>Across all racial and ethnic populations</w:t>
            </w:r>
          </w:p>
        </w:tc>
        <w:tc>
          <w:tcPr>
            <w:tcW w:w="1441" w:type="dxa"/>
            <w:tcBorders>
              <w:top w:val="single" w:sz="8" w:space="0" w:color="auto"/>
              <w:left w:val="nil"/>
              <w:right w:val="nil"/>
            </w:tcBorders>
            <w:noWrap/>
            <w:vAlign w:val="center"/>
            <w:hideMark/>
          </w:tcPr>
          <w:p w14:paraId="3FF143CD"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w:t>
            </w:r>
          </w:p>
        </w:tc>
        <w:tc>
          <w:tcPr>
            <w:tcW w:w="1129" w:type="dxa"/>
            <w:tcBorders>
              <w:top w:val="single" w:sz="8" w:space="0" w:color="auto"/>
              <w:left w:val="nil"/>
              <w:right w:val="nil"/>
            </w:tcBorders>
            <w:noWrap/>
            <w:vAlign w:val="center"/>
            <w:hideMark/>
          </w:tcPr>
          <w:p w14:paraId="25C2D60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top w:val="single" w:sz="8" w:space="0" w:color="auto"/>
              <w:left w:val="nil"/>
              <w:right w:val="nil"/>
            </w:tcBorders>
            <w:noWrap/>
            <w:vAlign w:val="center"/>
            <w:hideMark/>
          </w:tcPr>
          <w:p w14:paraId="3E9AB4F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73</w:t>
            </w:r>
          </w:p>
        </w:tc>
        <w:tc>
          <w:tcPr>
            <w:tcW w:w="1130" w:type="dxa"/>
            <w:tcBorders>
              <w:top w:val="single" w:sz="8" w:space="0" w:color="auto"/>
              <w:left w:val="nil"/>
              <w:right w:val="nil"/>
            </w:tcBorders>
            <w:noWrap/>
            <w:vAlign w:val="center"/>
            <w:hideMark/>
          </w:tcPr>
          <w:p w14:paraId="501D7EC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03</w:t>
            </w:r>
          </w:p>
        </w:tc>
        <w:tc>
          <w:tcPr>
            <w:tcW w:w="1130" w:type="dxa"/>
            <w:tcBorders>
              <w:top w:val="single" w:sz="8" w:space="0" w:color="auto"/>
              <w:left w:val="nil"/>
              <w:right w:val="nil"/>
            </w:tcBorders>
            <w:noWrap/>
            <w:vAlign w:val="center"/>
            <w:hideMark/>
          </w:tcPr>
          <w:p w14:paraId="1695C60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w:t>
            </w:r>
          </w:p>
        </w:tc>
        <w:tc>
          <w:tcPr>
            <w:tcW w:w="1130" w:type="dxa"/>
            <w:tcBorders>
              <w:top w:val="single" w:sz="8" w:space="0" w:color="auto"/>
              <w:left w:val="nil"/>
              <w:right w:val="nil"/>
            </w:tcBorders>
            <w:noWrap/>
            <w:vAlign w:val="center"/>
            <w:hideMark/>
          </w:tcPr>
          <w:p w14:paraId="0ADBC32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61</w:t>
            </w:r>
          </w:p>
        </w:tc>
        <w:tc>
          <w:tcPr>
            <w:tcW w:w="1130" w:type="dxa"/>
            <w:tcBorders>
              <w:top w:val="single" w:sz="8" w:space="0" w:color="auto"/>
              <w:left w:val="nil"/>
              <w:right w:val="nil"/>
            </w:tcBorders>
            <w:noWrap/>
            <w:vAlign w:val="center"/>
            <w:hideMark/>
          </w:tcPr>
          <w:p w14:paraId="2BDB891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top w:val="single" w:sz="8" w:space="0" w:color="auto"/>
              <w:left w:val="nil"/>
              <w:right w:val="nil"/>
            </w:tcBorders>
            <w:noWrap/>
            <w:vAlign w:val="center"/>
            <w:hideMark/>
          </w:tcPr>
          <w:p w14:paraId="2027E95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07</w:t>
            </w:r>
          </w:p>
        </w:tc>
        <w:tc>
          <w:tcPr>
            <w:tcW w:w="1130" w:type="dxa"/>
            <w:tcBorders>
              <w:top w:val="single" w:sz="8" w:space="0" w:color="auto"/>
              <w:left w:val="nil"/>
              <w:right w:val="nil"/>
            </w:tcBorders>
            <w:noWrap/>
            <w:vAlign w:val="center"/>
            <w:hideMark/>
          </w:tcPr>
          <w:p w14:paraId="363067B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65</w:t>
            </w:r>
          </w:p>
        </w:tc>
        <w:tc>
          <w:tcPr>
            <w:tcW w:w="1130" w:type="dxa"/>
            <w:tcBorders>
              <w:top w:val="single" w:sz="8" w:space="0" w:color="auto"/>
              <w:left w:val="nil"/>
              <w:right w:val="nil"/>
            </w:tcBorders>
            <w:noWrap/>
            <w:vAlign w:val="center"/>
            <w:hideMark/>
          </w:tcPr>
          <w:p w14:paraId="7A084DB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41</w:t>
            </w:r>
          </w:p>
        </w:tc>
      </w:tr>
      <w:tr w:rsidR="00BF5C8B" w:rsidRPr="00434F77" w14:paraId="4A65852F" w14:textId="77777777">
        <w:trPr>
          <w:trHeight w:val="295"/>
        </w:trPr>
        <w:tc>
          <w:tcPr>
            <w:tcW w:w="1350" w:type="dxa"/>
            <w:vMerge/>
            <w:tcBorders>
              <w:left w:val="nil"/>
              <w:right w:val="nil"/>
            </w:tcBorders>
            <w:noWrap/>
            <w:hideMark/>
          </w:tcPr>
          <w:p w14:paraId="39FF9225"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1C967940"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p>
        </w:tc>
        <w:tc>
          <w:tcPr>
            <w:tcW w:w="1129" w:type="dxa"/>
            <w:tcBorders>
              <w:left w:val="nil"/>
              <w:right w:val="nil"/>
            </w:tcBorders>
            <w:noWrap/>
            <w:vAlign w:val="center"/>
            <w:hideMark/>
          </w:tcPr>
          <w:p w14:paraId="53B63DA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116717D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3B0B52F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83</w:t>
            </w:r>
          </w:p>
        </w:tc>
        <w:tc>
          <w:tcPr>
            <w:tcW w:w="1130" w:type="dxa"/>
            <w:tcBorders>
              <w:left w:val="nil"/>
              <w:right w:val="nil"/>
            </w:tcBorders>
            <w:noWrap/>
            <w:vAlign w:val="center"/>
            <w:hideMark/>
          </w:tcPr>
          <w:p w14:paraId="3C7B048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02</w:t>
            </w:r>
          </w:p>
        </w:tc>
        <w:tc>
          <w:tcPr>
            <w:tcW w:w="1130" w:type="dxa"/>
            <w:tcBorders>
              <w:left w:val="nil"/>
              <w:right w:val="nil"/>
            </w:tcBorders>
            <w:noWrap/>
            <w:vAlign w:val="center"/>
            <w:hideMark/>
          </w:tcPr>
          <w:p w14:paraId="566A9D3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85</w:t>
            </w:r>
          </w:p>
        </w:tc>
        <w:tc>
          <w:tcPr>
            <w:tcW w:w="1130" w:type="dxa"/>
            <w:tcBorders>
              <w:left w:val="nil"/>
              <w:right w:val="nil"/>
            </w:tcBorders>
            <w:noWrap/>
            <w:vAlign w:val="center"/>
            <w:hideMark/>
          </w:tcPr>
          <w:p w14:paraId="531E3AD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62</w:t>
            </w:r>
          </w:p>
        </w:tc>
        <w:tc>
          <w:tcPr>
            <w:tcW w:w="1130" w:type="dxa"/>
            <w:tcBorders>
              <w:left w:val="nil"/>
              <w:right w:val="nil"/>
            </w:tcBorders>
            <w:noWrap/>
            <w:vAlign w:val="center"/>
            <w:hideMark/>
          </w:tcPr>
          <w:p w14:paraId="49C35D1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66D6E3D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74</w:t>
            </w:r>
          </w:p>
        </w:tc>
        <w:tc>
          <w:tcPr>
            <w:tcW w:w="1130" w:type="dxa"/>
            <w:tcBorders>
              <w:left w:val="nil"/>
              <w:right w:val="nil"/>
            </w:tcBorders>
            <w:noWrap/>
            <w:vAlign w:val="center"/>
            <w:hideMark/>
          </w:tcPr>
          <w:p w14:paraId="5CEEA60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18</w:t>
            </w:r>
          </w:p>
        </w:tc>
      </w:tr>
      <w:tr w:rsidR="00BF5C8B" w:rsidRPr="00434F77" w14:paraId="76EF9F14" w14:textId="77777777">
        <w:trPr>
          <w:trHeight w:val="295"/>
        </w:trPr>
        <w:tc>
          <w:tcPr>
            <w:tcW w:w="1350" w:type="dxa"/>
            <w:vMerge/>
            <w:tcBorders>
              <w:left w:val="nil"/>
              <w:right w:val="nil"/>
            </w:tcBorders>
            <w:noWrap/>
            <w:hideMark/>
          </w:tcPr>
          <w:p w14:paraId="33B33FF4"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EA95259"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1000</w:t>
            </w:r>
          </w:p>
        </w:tc>
        <w:tc>
          <w:tcPr>
            <w:tcW w:w="1129" w:type="dxa"/>
            <w:tcBorders>
              <w:left w:val="nil"/>
              <w:right w:val="nil"/>
            </w:tcBorders>
            <w:noWrap/>
            <w:vAlign w:val="center"/>
            <w:hideMark/>
          </w:tcPr>
          <w:p w14:paraId="40C910F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44</w:t>
            </w:r>
          </w:p>
        </w:tc>
        <w:tc>
          <w:tcPr>
            <w:tcW w:w="1130" w:type="dxa"/>
            <w:tcBorders>
              <w:left w:val="nil"/>
              <w:right w:val="nil"/>
            </w:tcBorders>
            <w:noWrap/>
            <w:vAlign w:val="center"/>
            <w:hideMark/>
          </w:tcPr>
          <w:p w14:paraId="7C9C146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AC8140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38B6262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3EE210B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01A8FE7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59</w:t>
            </w:r>
          </w:p>
        </w:tc>
        <w:tc>
          <w:tcPr>
            <w:tcW w:w="1130" w:type="dxa"/>
            <w:tcBorders>
              <w:left w:val="nil"/>
              <w:right w:val="nil"/>
            </w:tcBorders>
            <w:noWrap/>
            <w:vAlign w:val="center"/>
            <w:hideMark/>
          </w:tcPr>
          <w:p w14:paraId="4B3648C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02</w:t>
            </w:r>
          </w:p>
        </w:tc>
        <w:tc>
          <w:tcPr>
            <w:tcW w:w="1130" w:type="dxa"/>
            <w:tcBorders>
              <w:left w:val="nil"/>
              <w:right w:val="nil"/>
            </w:tcBorders>
            <w:noWrap/>
            <w:vAlign w:val="center"/>
            <w:hideMark/>
          </w:tcPr>
          <w:p w14:paraId="7C940E8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56FE5AD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45</w:t>
            </w:r>
          </w:p>
        </w:tc>
      </w:tr>
      <w:tr w:rsidR="00BF5C8B" w:rsidRPr="00434F77" w14:paraId="2219DE8F" w14:textId="77777777">
        <w:trPr>
          <w:trHeight w:val="295"/>
        </w:trPr>
        <w:tc>
          <w:tcPr>
            <w:tcW w:w="1350" w:type="dxa"/>
            <w:vMerge/>
            <w:tcBorders>
              <w:left w:val="nil"/>
              <w:right w:val="nil"/>
            </w:tcBorders>
            <w:noWrap/>
            <w:hideMark/>
          </w:tcPr>
          <w:p w14:paraId="61B6AC36"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37F98DD3"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3000</w:t>
            </w:r>
          </w:p>
        </w:tc>
        <w:tc>
          <w:tcPr>
            <w:tcW w:w="1129" w:type="dxa"/>
            <w:tcBorders>
              <w:left w:val="nil"/>
              <w:right w:val="nil"/>
            </w:tcBorders>
            <w:noWrap/>
            <w:vAlign w:val="center"/>
            <w:hideMark/>
          </w:tcPr>
          <w:p w14:paraId="7BC2BB4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69</w:t>
            </w:r>
          </w:p>
        </w:tc>
        <w:tc>
          <w:tcPr>
            <w:tcW w:w="1130" w:type="dxa"/>
            <w:tcBorders>
              <w:left w:val="nil"/>
              <w:right w:val="nil"/>
            </w:tcBorders>
            <w:noWrap/>
            <w:vAlign w:val="center"/>
            <w:hideMark/>
          </w:tcPr>
          <w:p w14:paraId="78988F8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FC61E8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94</w:t>
            </w:r>
          </w:p>
        </w:tc>
        <w:tc>
          <w:tcPr>
            <w:tcW w:w="1130" w:type="dxa"/>
            <w:tcBorders>
              <w:left w:val="nil"/>
              <w:right w:val="nil"/>
            </w:tcBorders>
            <w:noWrap/>
            <w:vAlign w:val="center"/>
            <w:hideMark/>
          </w:tcPr>
          <w:p w14:paraId="3E8F0D9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43</w:t>
            </w:r>
          </w:p>
        </w:tc>
        <w:tc>
          <w:tcPr>
            <w:tcW w:w="1130" w:type="dxa"/>
            <w:tcBorders>
              <w:left w:val="nil"/>
              <w:right w:val="nil"/>
            </w:tcBorders>
            <w:noWrap/>
            <w:vAlign w:val="center"/>
            <w:hideMark/>
          </w:tcPr>
          <w:p w14:paraId="110867A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0A7DC57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23</w:t>
            </w:r>
          </w:p>
        </w:tc>
        <w:tc>
          <w:tcPr>
            <w:tcW w:w="1130" w:type="dxa"/>
            <w:tcBorders>
              <w:left w:val="nil"/>
              <w:right w:val="nil"/>
            </w:tcBorders>
            <w:noWrap/>
            <w:vAlign w:val="center"/>
            <w:hideMark/>
          </w:tcPr>
          <w:p w14:paraId="160E395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46</w:t>
            </w:r>
          </w:p>
        </w:tc>
        <w:tc>
          <w:tcPr>
            <w:tcW w:w="1130" w:type="dxa"/>
            <w:tcBorders>
              <w:left w:val="nil"/>
              <w:right w:val="nil"/>
            </w:tcBorders>
            <w:noWrap/>
            <w:vAlign w:val="center"/>
            <w:hideMark/>
          </w:tcPr>
          <w:p w14:paraId="3ABB35F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27</w:t>
            </w:r>
          </w:p>
        </w:tc>
        <w:tc>
          <w:tcPr>
            <w:tcW w:w="1130" w:type="dxa"/>
            <w:tcBorders>
              <w:left w:val="nil"/>
              <w:right w:val="nil"/>
            </w:tcBorders>
            <w:noWrap/>
            <w:vAlign w:val="center"/>
            <w:hideMark/>
          </w:tcPr>
          <w:p w14:paraId="3B114F3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r>
      <w:tr w:rsidR="00BF5C8B" w:rsidRPr="00434F77" w14:paraId="79940885" w14:textId="77777777">
        <w:trPr>
          <w:trHeight w:val="295"/>
        </w:trPr>
        <w:tc>
          <w:tcPr>
            <w:tcW w:w="1350" w:type="dxa"/>
            <w:vMerge/>
            <w:tcBorders>
              <w:left w:val="nil"/>
              <w:right w:val="nil"/>
            </w:tcBorders>
            <w:noWrap/>
            <w:hideMark/>
          </w:tcPr>
          <w:p w14:paraId="557BD00A"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09E90367"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5000</w:t>
            </w:r>
          </w:p>
        </w:tc>
        <w:tc>
          <w:tcPr>
            <w:tcW w:w="1129" w:type="dxa"/>
            <w:tcBorders>
              <w:left w:val="nil"/>
              <w:right w:val="nil"/>
            </w:tcBorders>
            <w:noWrap/>
            <w:vAlign w:val="center"/>
            <w:hideMark/>
          </w:tcPr>
          <w:p w14:paraId="4B342BE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2B84500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55</w:t>
            </w:r>
          </w:p>
        </w:tc>
        <w:tc>
          <w:tcPr>
            <w:tcW w:w="1130" w:type="dxa"/>
            <w:tcBorders>
              <w:left w:val="nil"/>
              <w:right w:val="nil"/>
            </w:tcBorders>
            <w:noWrap/>
            <w:vAlign w:val="center"/>
            <w:hideMark/>
          </w:tcPr>
          <w:p w14:paraId="0DFFB92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266DAF2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c>
          <w:tcPr>
            <w:tcW w:w="1130" w:type="dxa"/>
            <w:tcBorders>
              <w:left w:val="nil"/>
              <w:right w:val="nil"/>
            </w:tcBorders>
            <w:noWrap/>
            <w:vAlign w:val="center"/>
            <w:hideMark/>
          </w:tcPr>
          <w:p w14:paraId="58E563A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732CDA8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88</w:t>
            </w:r>
          </w:p>
        </w:tc>
        <w:tc>
          <w:tcPr>
            <w:tcW w:w="1130" w:type="dxa"/>
            <w:tcBorders>
              <w:left w:val="nil"/>
              <w:right w:val="nil"/>
            </w:tcBorders>
            <w:noWrap/>
            <w:vAlign w:val="center"/>
            <w:hideMark/>
          </w:tcPr>
          <w:p w14:paraId="1AC762B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6E2347B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5A8348F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93</w:t>
            </w:r>
          </w:p>
        </w:tc>
      </w:tr>
      <w:tr w:rsidR="00BF5C8B" w:rsidRPr="00434F77" w14:paraId="61346D43" w14:textId="77777777">
        <w:trPr>
          <w:trHeight w:val="295"/>
        </w:trPr>
        <w:tc>
          <w:tcPr>
            <w:tcW w:w="1350" w:type="dxa"/>
            <w:vMerge/>
            <w:tcBorders>
              <w:left w:val="nil"/>
              <w:right w:val="nil"/>
            </w:tcBorders>
            <w:noWrap/>
            <w:hideMark/>
          </w:tcPr>
          <w:p w14:paraId="3F17C4C3"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0DE43CCB"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10 000</w:t>
            </w:r>
          </w:p>
        </w:tc>
        <w:tc>
          <w:tcPr>
            <w:tcW w:w="1129" w:type="dxa"/>
            <w:tcBorders>
              <w:left w:val="nil"/>
              <w:right w:val="nil"/>
            </w:tcBorders>
            <w:noWrap/>
            <w:vAlign w:val="center"/>
            <w:hideMark/>
          </w:tcPr>
          <w:p w14:paraId="07FCE3F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0BC1E7E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73</w:t>
            </w:r>
          </w:p>
        </w:tc>
        <w:tc>
          <w:tcPr>
            <w:tcW w:w="1130" w:type="dxa"/>
            <w:tcBorders>
              <w:left w:val="nil"/>
              <w:right w:val="nil"/>
            </w:tcBorders>
            <w:noWrap/>
            <w:vAlign w:val="center"/>
            <w:hideMark/>
          </w:tcPr>
          <w:p w14:paraId="28EB323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61F2F80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19</w:t>
            </w:r>
          </w:p>
        </w:tc>
        <w:tc>
          <w:tcPr>
            <w:tcW w:w="1130" w:type="dxa"/>
            <w:tcBorders>
              <w:left w:val="nil"/>
              <w:right w:val="nil"/>
            </w:tcBorders>
            <w:noWrap/>
            <w:vAlign w:val="center"/>
            <w:hideMark/>
          </w:tcPr>
          <w:p w14:paraId="4122AC7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6A3E3AD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55</w:t>
            </w:r>
          </w:p>
        </w:tc>
        <w:tc>
          <w:tcPr>
            <w:tcW w:w="1130" w:type="dxa"/>
            <w:tcBorders>
              <w:left w:val="nil"/>
              <w:right w:val="nil"/>
            </w:tcBorders>
            <w:noWrap/>
            <w:vAlign w:val="center"/>
            <w:hideMark/>
          </w:tcPr>
          <w:p w14:paraId="706481D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5AD58A8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83</w:t>
            </w:r>
          </w:p>
        </w:tc>
        <w:tc>
          <w:tcPr>
            <w:tcW w:w="1130" w:type="dxa"/>
            <w:tcBorders>
              <w:left w:val="nil"/>
              <w:right w:val="nil"/>
            </w:tcBorders>
            <w:noWrap/>
            <w:vAlign w:val="center"/>
            <w:hideMark/>
          </w:tcPr>
          <w:p w14:paraId="4D30B8F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68</w:t>
            </w:r>
          </w:p>
        </w:tc>
      </w:tr>
      <w:tr w:rsidR="00BF5C8B" w:rsidRPr="00434F77" w14:paraId="66FC42B3" w14:textId="77777777">
        <w:trPr>
          <w:trHeight w:val="295"/>
        </w:trPr>
        <w:tc>
          <w:tcPr>
            <w:tcW w:w="1350" w:type="dxa"/>
            <w:vMerge/>
            <w:tcBorders>
              <w:left w:val="nil"/>
              <w:right w:val="nil"/>
            </w:tcBorders>
            <w:noWrap/>
            <w:hideMark/>
          </w:tcPr>
          <w:p w14:paraId="33509083"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34C4BE05"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25 000</w:t>
            </w:r>
          </w:p>
        </w:tc>
        <w:tc>
          <w:tcPr>
            <w:tcW w:w="1129" w:type="dxa"/>
            <w:tcBorders>
              <w:left w:val="nil"/>
              <w:right w:val="nil"/>
            </w:tcBorders>
            <w:noWrap/>
            <w:vAlign w:val="center"/>
            <w:hideMark/>
          </w:tcPr>
          <w:p w14:paraId="7ABA83C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c>
          <w:tcPr>
            <w:tcW w:w="1130" w:type="dxa"/>
            <w:tcBorders>
              <w:left w:val="nil"/>
              <w:right w:val="nil"/>
            </w:tcBorders>
            <w:noWrap/>
            <w:vAlign w:val="center"/>
            <w:hideMark/>
          </w:tcPr>
          <w:p w14:paraId="605E71D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2241109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87</w:t>
            </w:r>
          </w:p>
        </w:tc>
        <w:tc>
          <w:tcPr>
            <w:tcW w:w="1130" w:type="dxa"/>
            <w:tcBorders>
              <w:left w:val="nil"/>
              <w:right w:val="nil"/>
            </w:tcBorders>
            <w:noWrap/>
            <w:vAlign w:val="center"/>
            <w:hideMark/>
          </w:tcPr>
          <w:p w14:paraId="3526CE3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2CC11D5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97</w:t>
            </w:r>
          </w:p>
        </w:tc>
        <w:tc>
          <w:tcPr>
            <w:tcW w:w="1130" w:type="dxa"/>
            <w:tcBorders>
              <w:left w:val="nil"/>
              <w:right w:val="nil"/>
            </w:tcBorders>
            <w:noWrap/>
            <w:vAlign w:val="center"/>
            <w:hideMark/>
          </w:tcPr>
          <w:p w14:paraId="07908AC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89</w:t>
            </w:r>
          </w:p>
        </w:tc>
        <w:tc>
          <w:tcPr>
            <w:tcW w:w="1130" w:type="dxa"/>
            <w:tcBorders>
              <w:left w:val="nil"/>
              <w:right w:val="nil"/>
            </w:tcBorders>
            <w:noWrap/>
            <w:vAlign w:val="center"/>
            <w:hideMark/>
          </w:tcPr>
          <w:p w14:paraId="4F2794E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3C895C9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97</w:t>
            </w:r>
          </w:p>
        </w:tc>
        <w:tc>
          <w:tcPr>
            <w:tcW w:w="1130" w:type="dxa"/>
            <w:tcBorders>
              <w:left w:val="nil"/>
              <w:right w:val="nil"/>
            </w:tcBorders>
            <w:noWrap/>
            <w:vAlign w:val="center"/>
            <w:hideMark/>
          </w:tcPr>
          <w:p w14:paraId="7CB2809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01</w:t>
            </w:r>
          </w:p>
        </w:tc>
      </w:tr>
      <w:tr w:rsidR="00BF5C8B" w:rsidRPr="00434F77" w14:paraId="04C20C3B" w14:textId="77777777">
        <w:trPr>
          <w:trHeight w:val="295"/>
        </w:trPr>
        <w:tc>
          <w:tcPr>
            <w:tcW w:w="1350" w:type="dxa"/>
            <w:vMerge/>
            <w:tcBorders>
              <w:left w:val="nil"/>
              <w:right w:val="nil"/>
            </w:tcBorders>
            <w:noWrap/>
            <w:hideMark/>
          </w:tcPr>
          <w:p w14:paraId="7697B40D"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34E34D8F"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100 000</w:t>
            </w:r>
          </w:p>
        </w:tc>
        <w:tc>
          <w:tcPr>
            <w:tcW w:w="1129" w:type="dxa"/>
            <w:tcBorders>
              <w:left w:val="nil"/>
              <w:right w:val="nil"/>
            </w:tcBorders>
            <w:noWrap/>
            <w:vAlign w:val="center"/>
            <w:hideMark/>
          </w:tcPr>
          <w:p w14:paraId="0F23441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56F7D15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7C27C0A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c>
          <w:tcPr>
            <w:tcW w:w="1130" w:type="dxa"/>
            <w:tcBorders>
              <w:left w:val="nil"/>
              <w:right w:val="nil"/>
            </w:tcBorders>
            <w:noWrap/>
            <w:vAlign w:val="center"/>
            <w:hideMark/>
          </w:tcPr>
          <w:p w14:paraId="1C17187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3D127DD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08</w:t>
            </w:r>
          </w:p>
        </w:tc>
        <w:tc>
          <w:tcPr>
            <w:tcW w:w="1130" w:type="dxa"/>
            <w:tcBorders>
              <w:left w:val="nil"/>
              <w:right w:val="nil"/>
            </w:tcBorders>
            <w:noWrap/>
            <w:vAlign w:val="center"/>
            <w:hideMark/>
          </w:tcPr>
          <w:p w14:paraId="0972C7E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136B82C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1E848C9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5E12729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23</w:t>
            </w:r>
          </w:p>
        </w:tc>
      </w:tr>
      <w:tr w:rsidR="00BF5C8B" w:rsidRPr="00434F77" w14:paraId="15DE4A5D" w14:textId="77777777">
        <w:trPr>
          <w:trHeight w:val="295"/>
        </w:trPr>
        <w:tc>
          <w:tcPr>
            <w:tcW w:w="1350" w:type="dxa"/>
            <w:vMerge w:val="restart"/>
            <w:tcBorders>
              <w:left w:val="nil"/>
              <w:right w:val="nil"/>
            </w:tcBorders>
            <w:noWrap/>
            <w:hideMark/>
          </w:tcPr>
          <w:p w14:paraId="235BE7F6"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Asian</w:t>
            </w:r>
          </w:p>
        </w:tc>
        <w:tc>
          <w:tcPr>
            <w:tcW w:w="1441" w:type="dxa"/>
            <w:tcBorders>
              <w:left w:val="nil"/>
              <w:right w:val="nil"/>
            </w:tcBorders>
            <w:noWrap/>
            <w:vAlign w:val="center"/>
            <w:hideMark/>
          </w:tcPr>
          <w:p w14:paraId="17DE8882"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w:t>
            </w:r>
          </w:p>
        </w:tc>
        <w:tc>
          <w:tcPr>
            <w:tcW w:w="1129" w:type="dxa"/>
            <w:tcBorders>
              <w:left w:val="nil"/>
              <w:right w:val="nil"/>
            </w:tcBorders>
            <w:noWrap/>
            <w:vAlign w:val="center"/>
            <w:hideMark/>
          </w:tcPr>
          <w:p w14:paraId="4F27A94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67</w:t>
            </w:r>
          </w:p>
        </w:tc>
        <w:tc>
          <w:tcPr>
            <w:tcW w:w="1130" w:type="dxa"/>
            <w:tcBorders>
              <w:left w:val="nil"/>
              <w:right w:val="nil"/>
            </w:tcBorders>
            <w:noWrap/>
            <w:vAlign w:val="center"/>
            <w:hideMark/>
          </w:tcPr>
          <w:p w14:paraId="3F9628F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7EAF591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27F97F6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77</w:t>
            </w:r>
          </w:p>
        </w:tc>
        <w:tc>
          <w:tcPr>
            <w:tcW w:w="1130" w:type="dxa"/>
            <w:tcBorders>
              <w:left w:val="nil"/>
              <w:right w:val="nil"/>
            </w:tcBorders>
            <w:noWrap/>
            <w:vAlign w:val="center"/>
            <w:hideMark/>
          </w:tcPr>
          <w:p w14:paraId="2999672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99</w:t>
            </w:r>
          </w:p>
        </w:tc>
        <w:tc>
          <w:tcPr>
            <w:tcW w:w="1130" w:type="dxa"/>
            <w:tcBorders>
              <w:left w:val="nil"/>
              <w:right w:val="nil"/>
            </w:tcBorders>
            <w:noWrap/>
            <w:vAlign w:val="center"/>
            <w:hideMark/>
          </w:tcPr>
          <w:p w14:paraId="7D177A7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8C1262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74E09B2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67ADE95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r>
      <w:tr w:rsidR="00BF5C8B" w:rsidRPr="00434F77" w14:paraId="4D94B1D6" w14:textId="77777777">
        <w:trPr>
          <w:trHeight w:val="295"/>
        </w:trPr>
        <w:tc>
          <w:tcPr>
            <w:tcW w:w="1350" w:type="dxa"/>
            <w:vMerge/>
            <w:tcBorders>
              <w:left w:val="nil"/>
              <w:right w:val="nil"/>
            </w:tcBorders>
            <w:noWrap/>
            <w:hideMark/>
          </w:tcPr>
          <w:p w14:paraId="0BD78065"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6565556A"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p>
        </w:tc>
        <w:tc>
          <w:tcPr>
            <w:tcW w:w="1129" w:type="dxa"/>
            <w:tcBorders>
              <w:left w:val="nil"/>
              <w:right w:val="nil"/>
            </w:tcBorders>
            <w:noWrap/>
            <w:vAlign w:val="center"/>
            <w:hideMark/>
          </w:tcPr>
          <w:p w14:paraId="7B8AC29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23</w:t>
            </w:r>
          </w:p>
        </w:tc>
        <w:tc>
          <w:tcPr>
            <w:tcW w:w="1130" w:type="dxa"/>
            <w:tcBorders>
              <w:left w:val="nil"/>
              <w:right w:val="nil"/>
            </w:tcBorders>
            <w:noWrap/>
            <w:vAlign w:val="center"/>
            <w:hideMark/>
          </w:tcPr>
          <w:p w14:paraId="1557D0B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64EF607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4E556AF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3DF61BA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57</w:t>
            </w:r>
          </w:p>
        </w:tc>
        <w:tc>
          <w:tcPr>
            <w:tcW w:w="1130" w:type="dxa"/>
            <w:tcBorders>
              <w:left w:val="nil"/>
              <w:right w:val="nil"/>
            </w:tcBorders>
            <w:noWrap/>
            <w:vAlign w:val="center"/>
            <w:hideMark/>
          </w:tcPr>
          <w:p w14:paraId="258F311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15B9A1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3232866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17</w:t>
            </w:r>
          </w:p>
        </w:tc>
        <w:tc>
          <w:tcPr>
            <w:tcW w:w="1130" w:type="dxa"/>
            <w:tcBorders>
              <w:left w:val="nil"/>
              <w:right w:val="nil"/>
            </w:tcBorders>
            <w:noWrap/>
            <w:vAlign w:val="center"/>
            <w:hideMark/>
          </w:tcPr>
          <w:p w14:paraId="575AB31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r>
      <w:tr w:rsidR="00BF5C8B" w:rsidRPr="00434F77" w14:paraId="55CCD327" w14:textId="77777777">
        <w:trPr>
          <w:trHeight w:val="295"/>
        </w:trPr>
        <w:tc>
          <w:tcPr>
            <w:tcW w:w="1350" w:type="dxa"/>
            <w:vMerge/>
            <w:tcBorders>
              <w:left w:val="nil"/>
              <w:right w:val="nil"/>
            </w:tcBorders>
            <w:noWrap/>
            <w:hideMark/>
          </w:tcPr>
          <w:p w14:paraId="5C773D4D"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657795A7"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1000</w:t>
            </w:r>
          </w:p>
        </w:tc>
        <w:tc>
          <w:tcPr>
            <w:tcW w:w="1129" w:type="dxa"/>
            <w:tcBorders>
              <w:left w:val="nil"/>
              <w:right w:val="nil"/>
            </w:tcBorders>
            <w:noWrap/>
            <w:vAlign w:val="center"/>
            <w:hideMark/>
          </w:tcPr>
          <w:p w14:paraId="37B509F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33</w:t>
            </w:r>
          </w:p>
        </w:tc>
        <w:tc>
          <w:tcPr>
            <w:tcW w:w="1130" w:type="dxa"/>
            <w:tcBorders>
              <w:left w:val="nil"/>
              <w:right w:val="nil"/>
            </w:tcBorders>
            <w:noWrap/>
            <w:vAlign w:val="center"/>
            <w:hideMark/>
          </w:tcPr>
          <w:p w14:paraId="374C7B4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0C22739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24</w:t>
            </w:r>
          </w:p>
        </w:tc>
        <w:tc>
          <w:tcPr>
            <w:tcW w:w="1130" w:type="dxa"/>
            <w:tcBorders>
              <w:left w:val="nil"/>
              <w:right w:val="nil"/>
            </w:tcBorders>
            <w:noWrap/>
            <w:vAlign w:val="center"/>
            <w:hideMark/>
          </w:tcPr>
          <w:p w14:paraId="20B93A0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7CF4E88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5A895AC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53</w:t>
            </w:r>
          </w:p>
        </w:tc>
        <w:tc>
          <w:tcPr>
            <w:tcW w:w="1130" w:type="dxa"/>
            <w:tcBorders>
              <w:left w:val="nil"/>
              <w:right w:val="nil"/>
            </w:tcBorders>
            <w:noWrap/>
            <w:vAlign w:val="center"/>
            <w:hideMark/>
          </w:tcPr>
          <w:p w14:paraId="626C9F7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7C2E9F3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23A0403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38</w:t>
            </w:r>
          </w:p>
        </w:tc>
      </w:tr>
      <w:tr w:rsidR="00BF5C8B" w:rsidRPr="00434F77" w14:paraId="17DAD8A0" w14:textId="77777777">
        <w:trPr>
          <w:trHeight w:val="295"/>
        </w:trPr>
        <w:tc>
          <w:tcPr>
            <w:tcW w:w="1350" w:type="dxa"/>
            <w:vMerge/>
            <w:tcBorders>
              <w:left w:val="nil"/>
              <w:right w:val="nil"/>
            </w:tcBorders>
            <w:noWrap/>
            <w:hideMark/>
          </w:tcPr>
          <w:p w14:paraId="2DCD5018"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388662CA"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3000</w:t>
            </w:r>
          </w:p>
        </w:tc>
        <w:tc>
          <w:tcPr>
            <w:tcW w:w="1129" w:type="dxa"/>
            <w:tcBorders>
              <w:left w:val="nil"/>
              <w:right w:val="nil"/>
            </w:tcBorders>
            <w:noWrap/>
            <w:vAlign w:val="center"/>
            <w:hideMark/>
          </w:tcPr>
          <w:p w14:paraId="1688B07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26</w:t>
            </w:r>
          </w:p>
        </w:tc>
        <w:tc>
          <w:tcPr>
            <w:tcW w:w="1130" w:type="dxa"/>
            <w:tcBorders>
              <w:left w:val="nil"/>
              <w:right w:val="nil"/>
            </w:tcBorders>
            <w:noWrap/>
            <w:vAlign w:val="center"/>
            <w:hideMark/>
          </w:tcPr>
          <w:p w14:paraId="14E6408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37</w:t>
            </w:r>
          </w:p>
        </w:tc>
        <w:tc>
          <w:tcPr>
            <w:tcW w:w="1130" w:type="dxa"/>
            <w:tcBorders>
              <w:left w:val="nil"/>
              <w:right w:val="nil"/>
            </w:tcBorders>
            <w:noWrap/>
            <w:vAlign w:val="center"/>
            <w:hideMark/>
          </w:tcPr>
          <w:p w14:paraId="6045AA6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94</w:t>
            </w:r>
          </w:p>
        </w:tc>
        <w:tc>
          <w:tcPr>
            <w:tcW w:w="1130" w:type="dxa"/>
            <w:tcBorders>
              <w:left w:val="nil"/>
              <w:right w:val="nil"/>
            </w:tcBorders>
            <w:noWrap/>
            <w:vAlign w:val="center"/>
            <w:hideMark/>
          </w:tcPr>
          <w:p w14:paraId="6BA7B9F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1C97071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33</w:t>
            </w:r>
          </w:p>
        </w:tc>
        <w:tc>
          <w:tcPr>
            <w:tcW w:w="1130" w:type="dxa"/>
            <w:tcBorders>
              <w:left w:val="nil"/>
              <w:right w:val="nil"/>
            </w:tcBorders>
            <w:noWrap/>
            <w:vAlign w:val="center"/>
            <w:hideMark/>
          </w:tcPr>
          <w:p w14:paraId="68F6B6D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5BD25C7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44</w:t>
            </w:r>
          </w:p>
        </w:tc>
        <w:tc>
          <w:tcPr>
            <w:tcW w:w="1130" w:type="dxa"/>
            <w:tcBorders>
              <w:left w:val="nil"/>
              <w:right w:val="nil"/>
            </w:tcBorders>
            <w:noWrap/>
            <w:vAlign w:val="center"/>
            <w:hideMark/>
          </w:tcPr>
          <w:p w14:paraId="3032C1D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2643F35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r>
      <w:tr w:rsidR="00BF5C8B" w:rsidRPr="00434F77" w14:paraId="60BC7A24" w14:textId="77777777">
        <w:trPr>
          <w:trHeight w:val="295"/>
        </w:trPr>
        <w:tc>
          <w:tcPr>
            <w:tcW w:w="1350" w:type="dxa"/>
            <w:vMerge/>
            <w:tcBorders>
              <w:left w:val="nil"/>
              <w:right w:val="nil"/>
            </w:tcBorders>
            <w:noWrap/>
            <w:hideMark/>
          </w:tcPr>
          <w:p w14:paraId="41B5364F"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5FF159C7"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5000</w:t>
            </w:r>
          </w:p>
        </w:tc>
        <w:tc>
          <w:tcPr>
            <w:tcW w:w="1129" w:type="dxa"/>
            <w:tcBorders>
              <w:left w:val="nil"/>
              <w:right w:val="nil"/>
            </w:tcBorders>
            <w:noWrap/>
            <w:vAlign w:val="center"/>
            <w:hideMark/>
          </w:tcPr>
          <w:p w14:paraId="490E026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66</w:t>
            </w:r>
          </w:p>
        </w:tc>
        <w:tc>
          <w:tcPr>
            <w:tcW w:w="1130" w:type="dxa"/>
            <w:tcBorders>
              <w:left w:val="nil"/>
              <w:right w:val="nil"/>
            </w:tcBorders>
            <w:noWrap/>
            <w:vAlign w:val="center"/>
            <w:hideMark/>
          </w:tcPr>
          <w:p w14:paraId="397F24D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5DB492B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79</w:t>
            </w:r>
          </w:p>
        </w:tc>
        <w:tc>
          <w:tcPr>
            <w:tcW w:w="1130" w:type="dxa"/>
            <w:tcBorders>
              <w:left w:val="nil"/>
              <w:right w:val="nil"/>
            </w:tcBorders>
            <w:noWrap/>
            <w:vAlign w:val="center"/>
            <w:hideMark/>
          </w:tcPr>
          <w:p w14:paraId="736D24B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79</w:t>
            </w:r>
          </w:p>
        </w:tc>
        <w:tc>
          <w:tcPr>
            <w:tcW w:w="1130" w:type="dxa"/>
            <w:tcBorders>
              <w:left w:val="nil"/>
              <w:right w:val="nil"/>
            </w:tcBorders>
            <w:noWrap/>
            <w:vAlign w:val="center"/>
            <w:hideMark/>
          </w:tcPr>
          <w:p w14:paraId="3D2636B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7E0E6AE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0A27873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297A3F0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c>
          <w:tcPr>
            <w:tcW w:w="1130" w:type="dxa"/>
            <w:tcBorders>
              <w:left w:val="nil"/>
              <w:right w:val="nil"/>
            </w:tcBorders>
            <w:noWrap/>
            <w:vAlign w:val="center"/>
            <w:hideMark/>
          </w:tcPr>
          <w:p w14:paraId="51D12D1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68</w:t>
            </w:r>
          </w:p>
        </w:tc>
      </w:tr>
      <w:tr w:rsidR="00BF5C8B" w:rsidRPr="00434F77" w14:paraId="490A09E6" w14:textId="77777777">
        <w:trPr>
          <w:trHeight w:val="295"/>
        </w:trPr>
        <w:tc>
          <w:tcPr>
            <w:tcW w:w="1350" w:type="dxa"/>
            <w:vMerge/>
            <w:tcBorders>
              <w:left w:val="nil"/>
              <w:right w:val="nil"/>
            </w:tcBorders>
            <w:noWrap/>
            <w:hideMark/>
          </w:tcPr>
          <w:p w14:paraId="39A6914B"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4620B865"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10 000</w:t>
            </w:r>
          </w:p>
        </w:tc>
        <w:tc>
          <w:tcPr>
            <w:tcW w:w="1129" w:type="dxa"/>
            <w:tcBorders>
              <w:left w:val="nil"/>
              <w:right w:val="nil"/>
            </w:tcBorders>
            <w:noWrap/>
            <w:vAlign w:val="center"/>
            <w:hideMark/>
          </w:tcPr>
          <w:p w14:paraId="704EE5D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71</w:t>
            </w:r>
          </w:p>
        </w:tc>
        <w:tc>
          <w:tcPr>
            <w:tcW w:w="1130" w:type="dxa"/>
            <w:tcBorders>
              <w:left w:val="nil"/>
              <w:right w:val="nil"/>
            </w:tcBorders>
            <w:noWrap/>
            <w:vAlign w:val="center"/>
            <w:hideMark/>
          </w:tcPr>
          <w:p w14:paraId="1DD4393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99</w:t>
            </w:r>
          </w:p>
        </w:tc>
        <w:tc>
          <w:tcPr>
            <w:tcW w:w="1130" w:type="dxa"/>
            <w:tcBorders>
              <w:left w:val="nil"/>
              <w:right w:val="nil"/>
            </w:tcBorders>
            <w:noWrap/>
            <w:vAlign w:val="center"/>
            <w:hideMark/>
          </w:tcPr>
          <w:p w14:paraId="71A3607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62</w:t>
            </w:r>
          </w:p>
        </w:tc>
        <w:tc>
          <w:tcPr>
            <w:tcW w:w="1130" w:type="dxa"/>
            <w:tcBorders>
              <w:left w:val="nil"/>
              <w:right w:val="nil"/>
            </w:tcBorders>
            <w:noWrap/>
            <w:vAlign w:val="center"/>
            <w:hideMark/>
          </w:tcPr>
          <w:p w14:paraId="23B8E0F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069B49D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0E6D468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91</w:t>
            </w:r>
          </w:p>
        </w:tc>
        <w:tc>
          <w:tcPr>
            <w:tcW w:w="1130" w:type="dxa"/>
            <w:tcBorders>
              <w:left w:val="nil"/>
              <w:right w:val="nil"/>
            </w:tcBorders>
            <w:noWrap/>
            <w:vAlign w:val="center"/>
            <w:hideMark/>
          </w:tcPr>
          <w:p w14:paraId="1136849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43</w:t>
            </w:r>
          </w:p>
        </w:tc>
        <w:tc>
          <w:tcPr>
            <w:tcW w:w="1130" w:type="dxa"/>
            <w:tcBorders>
              <w:left w:val="nil"/>
              <w:right w:val="nil"/>
            </w:tcBorders>
            <w:noWrap/>
            <w:vAlign w:val="center"/>
            <w:hideMark/>
          </w:tcPr>
          <w:p w14:paraId="7388E0B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18</w:t>
            </w:r>
          </w:p>
        </w:tc>
        <w:tc>
          <w:tcPr>
            <w:tcW w:w="1130" w:type="dxa"/>
            <w:tcBorders>
              <w:left w:val="nil"/>
              <w:right w:val="nil"/>
            </w:tcBorders>
            <w:noWrap/>
            <w:vAlign w:val="center"/>
            <w:hideMark/>
          </w:tcPr>
          <w:p w14:paraId="6521496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r>
      <w:tr w:rsidR="00BF5C8B" w:rsidRPr="00434F77" w14:paraId="673B7ABF" w14:textId="77777777">
        <w:trPr>
          <w:trHeight w:val="295"/>
        </w:trPr>
        <w:tc>
          <w:tcPr>
            <w:tcW w:w="1350" w:type="dxa"/>
            <w:vMerge/>
            <w:tcBorders>
              <w:left w:val="nil"/>
              <w:right w:val="nil"/>
            </w:tcBorders>
            <w:noWrap/>
            <w:hideMark/>
          </w:tcPr>
          <w:p w14:paraId="212AA4B5"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BFD79A9"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25 000</w:t>
            </w:r>
          </w:p>
        </w:tc>
        <w:tc>
          <w:tcPr>
            <w:tcW w:w="1129" w:type="dxa"/>
            <w:tcBorders>
              <w:left w:val="nil"/>
              <w:right w:val="nil"/>
            </w:tcBorders>
            <w:noWrap/>
            <w:vAlign w:val="center"/>
            <w:hideMark/>
          </w:tcPr>
          <w:p w14:paraId="4631344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59</w:t>
            </w:r>
          </w:p>
        </w:tc>
        <w:tc>
          <w:tcPr>
            <w:tcW w:w="1130" w:type="dxa"/>
            <w:tcBorders>
              <w:left w:val="nil"/>
              <w:right w:val="nil"/>
            </w:tcBorders>
            <w:noWrap/>
            <w:vAlign w:val="center"/>
            <w:hideMark/>
          </w:tcPr>
          <w:p w14:paraId="68AFEA4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3FBC69A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3A2D47A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7622259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1709B30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91</w:t>
            </w:r>
          </w:p>
        </w:tc>
        <w:tc>
          <w:tcPr>
            <w:tcW w:w="1130" w:type="dxa"/>
            <w:tcBorders>
              <w:left w:val="nil"/>
              <w:right w:val="nil"/>
            </w:tcBorders>
            <w:noWrap/>
            <w:vAlign w:val="center"/>
            <w:hideMark/>
          </w:tcPr>
          <w:p w14:paraId="6A25056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294D2AA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14</w:t>
            </w:r>
          </w:p>
        </w:tc>
        <w:tc>
          <w:tcPr>
            <w:tcW w:w="1130" w:type="dxa"/>
            <w:tcBorders>
              <w:left w:val="nil"/>
              <w:right w:val="nil"/>
            </w:tcBorders>
            <w:noWrap/>
            <w:vAlign w:val="center"/>
            <w:hideMark/>
          </w:tcPr>
          <w:p w14:paraId="106AAB5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r>
      <w:tr w:rsidR="00BF5C8B" w:rsidRPr="00434F77" w14:paraId="487544D8" w14:textId="77777777">
        <w:trPr>
          <w:trHeight w:val="295"/>
        </w:trPr>
        <w:tc>
          <w:tcPr>
            <w:tcW w:w="1350" w:type="dxa"/>
            <w:vMerge/>
            <w:tcBorders>
              <w:left w:val="nil"/>
              <w:right w:val="nil"/>
            </w:tcBorders>
            <w:noWrap/>
            <w:hideMark/>
          </w:tcPr>
          <w:p w14:paraId="6FE0EB4B"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22AF8A65"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100 000</w:t>
            </w:r>
          </w:p>
        </w:tc>
        <w:tc>
          <w:tcPr>
            <w:tcW w:w="1129" w:type="dxa"/>
            <w:tcBorders>
              <w:left w:val="nil"/>
              <w:right w:val="nil"/>
            </w:tcBorders>
            <w:noWrap/>
            <w:vAlign w:val="center"/>
            <w:hideMark/>
          </w:tcPr>
          <w:p w14:paraId="435CF8C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07</w:t>
            </w:r>
          </w:p>
        </w:tc>
        <w:tc>
          <w:tcPr>
            <w:tcW w:w="1130" w:type="dxa"/>
            <w:tcBorders>
              <w:left w:val="nil"/>
              <w:right w:val="nil"/>
            </w:tcBorders>
            <w:noWrap/>
            <w:vAlign w:val="center"/>
            <w:hideMark/>
          </w:tcPr>
          <w:p w14:paraId="60C05A4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28</w:t>
            </w:r>
          </w:p>
        </w:tc>
        <w:tc>
          <w:tcPr>
            <w:tcW w:w="1130" w:type="dxa"/>
            <w:tcBorders>
              <w:left w:val="nil"/>
              <w:right w:val="nil"/>
            </w:tcBorders>
            <w:noWrap/>
            <w:vAlign w:val="center"/>
            <w:hideMark/>
          </w:tcPr>
          <w:p w14:paraId="4E5374C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18</w:t>
            </w:r>
          </w:p>
        </w:tc>
        <w:tc>
          <w:tcPr>
            <w:tcW w:w="1130" w:type="dxa"/>
            <w:tcBorders>
              <w:left w:val="nil"/>
              <w:right w:val="nil"/>
            </w:tcBorders>
            <w:noWrap/>
            <w:vAlign w:val="center"/>
            <w:hideMark/>
          </w:tcPr>
          <w:p w14:paraId="72B32E0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5EFAF1C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5C19602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74</w:t>
            </w:r>
          </w:p>
        </w:tc>
        <w:tc>
          <w:tcPr>
            <w:tcW w:w="1130" w:type="dxa"/>
            <w:tcBorders>
              <w:left w:val="nil"/>
              <w:right w:val="nil"/>
            </w:tcBorders>
            <w:noWrap/>
            <w:vAlign w:val="center"/>
            <w:hideMark/>
          </w:tcPr>
          <w:p w14:paraId="548A158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50699F3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7F0D9E0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59</w:t>
            </w:r>
          </w:p>
        </w:tc>
      </w:tr>
      <w:tr w:rsidR="00BF5C8B" w:rsidRPr="00434F77" w14:paraId="2FAA375A" w14:textId="77777777">
        <w:trPr>
          <w:trHeight w:val="295"/>
        </w:trPr>
        <w:tc>
          <w:tcPr>
            <w:tcW w:w="1350" w:type="dxa"/>
            <w:vMerge w:val="restart"/>
            <w:tcBorders>
              <w:left w:val="nil"/>
              <w:right w:val="nil"/>
            </w:tcBorders>
            <w:noWrap/>
            <w:hideMark/>
          </w:tcPr>
          <w:p w14:paraId="55DEF081"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Black</w:t>
            </w:r>
          </w:p>
        </w:tc>
        <w:tc>
          <w:tcPr>
            <w:tcW w:w="1441" w:type="dxa"/>
            <w:tcBorders>
              <w:left w:val="nil"/>
              <w:right w:val="nil"/>
            </w:tcBorders>
            <w:noWrap/>
            <w:vAlign w:val="center"/>
            <w:hideMark/>
          </w:tcPr>
          <w:p w14:paraId="64BD5D20"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w:t>
            </w:r>
          </w:p>
        </w:tc>
        <w:tc>
          <w:tcPr>
            <w:tcW w:w="1129" w:type="dxa"/>
            <w:tcBorders>
              <w:left w:val="nil"/>
              <w:right w:val="nil"/>
            </w:tcBorders>
            <w:noWrap/>
            <w:vAlign w:val="center"/>
            <w:hideMark/>
          </w:tcPr>
          <w:p w14:paraId="4FAA93C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5DF41C7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78F620D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17</w:t>
            </w:r>
          </w:p>
        </w:tc>
        <w:tc>
          <w:tcPr>
            <w:tcW w:w="1130" w:type="dxa"/>
            <w:tcBorders>
              <w:left w:val="nil"/>
              <w:right w:val="nil"/>
            </w:tcBorders>
            <w:noWrap/>
            <w:vAlign w:val="center"/>
            <w:hideMark/>
          </w:tcPr>
          <w:p w14:paraId="155760E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58</w:t>
            </w:r>
          </w:p>
        </w:tc>
        <w:tc>
          <w:tcPr>
            <w:tcW w:w="1130" w:type="dxa"/>
            <w:tcBorders>
              <w:left w:val="nil"/>
              <w:right w:val="nil"/>
            </w:tcBorders>
            <w:noWrap/>
            <w:vAlign w:val="center"/>
            <w:hideMark/>
          </w:tcPr>
          <w:p w14:paraId="542D54C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63</w:t>
            </w:r>
          </w:p>
        </w:tc>
        <w:tc>
          <w:tcPr>
            <w:tcW w:w="1130" w:type="dxa"/>
            <w:tcBorders>
              <w:left w:val="nil"/>
              <w:right w:val="nil"/>
            </w:tcBorders>
            <w:noWrap/>
            <w:vAlign w:val="center"/>
            <w:hideMark/>
          </w:tcPr>
          <w:p w14:paraId="6A19845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95</w:t>
            </w:r>
          </w:p>
        </w:tc>
        <w:tc>
          <w:tcPr>
            <w:tcW w:w="1130" w:type="dxa"/>
            <w:tcBorders>
              <w:left w:val="nil"/>
              <w:right w:val="nil"/>
            </w:tcBorders>
            <w:noWrap/>
            <w:vAlign w:val="center"/>
            <w:hideMark/>
          </w:tcPr>
          <w:p w14:paraId="6FF6229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25</w:t>
            </w:r>
          </w:p>
        </w:tc>
        <w:tc>
          <w:tcPr>
            <w:tcW w:w="1130" w:type="dxa"/>
            <w:tcBorders>
              <w:left w:val="nil"/>
              <w:right w:val="nil"/>
            </w:tcBorders>
            <w:noWrap/>
            <w:vAlign w:val="center"/>
            <w:hideMark/>
          </w:tcPr>
          <w:p w14:paraId="5098FA4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17C65B5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64</w:t>
            </w:r>
          </w:p>
        </w:tc>
      </w:tr>
      <w:tr w:rsidR="00BF5C8B" w:rsidRPr="00434F77" w14:paraId="34DA75F2" w14:textId="77777777">
        <w:trPr>
          <w:trHeight w:val="295"/>
        </w:trPr>
        <w:tc>
          <w:tcPr>
            <w:tcW w:w="1350" w:type="dxa"/>
            <w:vMerge/>
            <w:tcBorders>
              <w:left w:val="nil"/>
              <w:right w:val="nil"/>
            </w:tcBorders>
            <w:noWrap/>
            <w:hideMark/>
          </w:tcPr>
          <w:p w14:paraId="301A3404"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84A3965"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p>
        </w:tc>
        <w:tc>
          <w:tcPr>
            <w:tcW w:w="1129" w:type="dxa"/>
            <w:tcBorders>
              <w:left w:val="nil"/>
              <w:right w:val="nil"/>
            </w:tcBorders>
            <w:noWrap/>
            <w:vAlign w:val="center"/>
            <w:hideMark/>
          </w:tcPr>
          <w:p w14:paraId="5288BD8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81</w:t>
            </w:r>
          </w:p>
        </w:tc>
        <w:tc>
          <w:tcPr>
            <w:tcW w:w="1130" w:type="dxa"/>
            <w:tcBorders>
              <w:left w:val="nil"/>
              <w:right w:val="nil"/>
            </w:tcBorders>
            <w:noWrap/>
            <w:vAlign w:val="center"/>
            <w:hideMark/>
          </w:tcPr>
          <w:p w14:paraId="62DB6B7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31</w:t>
            </w:r>
          </w:p>
        </w:tc>
        <w:tc>
          <w:tcPr>
            <w:tcW w:w="1130" w:type="dxa"/>
            <w:tcBorders>
              <w:left w:val="nil"/>
              <w:right w:val="nil"/>
            </w:tcBorders>
            <w:noWrap/>
            <w:vAlign w:val="center"/>
            <w:hideMark/>
          </w:tcPr>
          <w:p w14:paraId="16B6670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6E9B7D9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5E2DE1F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2142D85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77</w:t>
            </w:r>
          </w:p>
        </w:tc>
        <w:tc>
          <w:tcPr>
            <w:tcW w:w="1130" w:type="dxa"/>
            <w:tcBorders>
              <w:left w:val="nil"/>
              <w:right w:val="nil"/>
            </w:tcBorders>
            <w:noWrap/>
            <w:vAlign w:val="center"/>
            <w:hideMark/>
          </w:tcPr>
          <w:p w14:paraId="1C713A2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3ED0896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53</w:t>
            </w:r>
          </w:p>
        </w:tc>
        <w:tc>
          <w:tcPr>
            <w:tcW w:w="1130" w:type="dxa"/>
            <w:tcBorders>
              <w:left w:val="nil"/>
              <w:right w:val="nil"/>
            </w:tcBorders>
            <w:noWrap/>
            <w:vAlign w:val="center"/>
            <w:hideMark/>
          </w:tcPr>
          <w:p w14:paraId="6134778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r>
      <w:tr w:rsidR="00BF5C8B" w:rsidRPr="00434F77" w14:paraId="3AD1E3FD" w14:textId="77777777">
        <w:trPr>
          <w:trHeight w:val="295"/>
        </w:trPr>
        <w:tc>
          <w:tcPr>
            <w:tcW w:w="1350" w:type="dxa"/>
            <w:vMerge/>
            <w:tcBorders>
              <w:left w:val="nil"/>
              <w:right w:val="nil"/>
            </w:tcBorders>
            <w:noWrap/>
            <w:hideMark/>
          </w:tcPr>
          <w:p w14:paraId="3BEBA114"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598F3FC6"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1000</w:t>
            </w:r>
          </w:p>
        </w:tc>
        <w:tc>
          <w:tcPr>
            <w:tcW w:w="1129" w:type="dxa"/>
            <w:tcBorders>
              <w:left w:val="nil"/>
              <w:right w:val="nil"/>
            </w:tcBorders>
            <w:noWrap/>
            <w:vAlign w:val="center"/>
            <w:hideMark/>
          </w:tcPr>
          <w:p w14:paraId="678E820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31</w:t>
            </w:r>
          </w:p>
        </w:tc>
        <w:tc>
          <w:tcPr>
            <w:tcW w:w="1130" w:type="dxa"/>
            <w:tcBorders>
              <w:left w:val="nil"/>
              <w:right w:val="nil"/>
            </w:tcBorders>
            <w:noWrap/>
            <w:vAlign w:val="center"/>
            <w:hideMark/>
          </w:tcPr>
          <w:p w14:paraId="611ED3A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31</w:t>
            </w:r>
          </w:p>
        </w:tc>
        <w:tc>
          <w:tcPr>
            <w:tcW w:w="1130" w:type="dxa"/>
            <w:tcBorders>
              <w:left w:val="nil"/>
              <w:right w:val="nil"/>
            </w:tcBorders>
            <w:noWrap/>
            <w:vAlign w:val="center"/>
            <w:hideMark/>
          </w:tcPr>
          <w:p w14:paraId="76AAA5B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0BA3C3C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46</w:t>
            </w:r>
          </w:p>
        </w:tc>
        <w:tc>
          <w:tcPr>
            <w:tcW w:w="1130" w:type="dxa"/>
            <w:tcBorders>
              <w:left w:val="nil"/>
              <w:right w:val="nil"/>
            </w:tcBorders>
            <w:noWrap/>
            <w:vAlign w:val="center"/>
            <w:hideMark/>
          </w:tcPr>
          <w:p w14:paraId="249A9DF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43</w:t>
            </w:r>
          </w:p>
        </w:tc>
        <w:tc>
          <w:tcPr>
            <w:tcW w:w="1130" w:type="dxa"/>
            <w:tcBorders>
              <w:left w:val="nil"/>
              <w:right w:val="nil"/>
            </w:tcBorders>
            <w:noWrap/>
            <w:vAlign w:val="center"/>
            <w:hideMark/>
          </w:tcPr>
          <w:p w14:paraId="5AAA92B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w:t>
            </w:r>
          </w:p>
        </w:tc>
        <w:tc>
          <w:tcPr>
            <w:tcW w:w="1130" w:type="dxa"/>
            <w:tcBorders>
              <w:left w:val="nil"/>
              <w:right w:val="nil"/>
            </w:tcBorders>
            <w:noWrap/>
            <w:vAlign w:val="center"/>
            <w:hideMark/>
          </w:tcPr>
          <w:p w14:paraId="5CCBB16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48</w:t>
            </w:r>
          </w:p>
        </w:tc>
        <w:tc>
          <w:tcPr>
            <w:tcW w:w="1130" w:type="dxa"/>
            <w:tcBorders>
              <w:left w:val="nil"/>
              <w:right w:val="nil"/>
            </w:tcBorders>
            <w:noWrap/>
            <w:vAlign w:val="center"/>
            <w:hideMark/>
          </w:tcPr>
          <w:p w14:paraId="0D6283D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1769398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67</w:t>
            </w:r>
          </w:p>
        </w:tc>
      </w:tr>
      <w:tr w:rsidR="00BF5C8B" w:rsidRPr="00434F77" w14:paraId="261EAEB0" w14:textId="77777777">
        <w:trPr>
          <w:trHeight w:val="295"/>
        </w:trPr>
        <w:tc>
          <w:tcPr>
            <w:tcW w:w="1350" w:type="dxa"/>
            <w:vMerge/>
            <w:tcBorders>
              <w:left w:val="nil"/>
              <w:right w:val="nil"/>
            </w:tcBorders>
            <w:noWrap/>
            <w:hideMark/>
          </w:tcPr>
          <w:p w14:paraId="21242DDD"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04003FAB"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3000</w:t>
            </w:r>
          </w:p>
        </w:tc>
        <w:tc>
          <w:tcPr>
            <w:tcW w:w="1129" w:type="dxa"/>
            <w:tcBorders>
              <w:left w:val="nil"/>
              <w:right w:val="nil"/>
            </w:tcBorders>
            <w:noWrap/>
            <w:vAlign w:val="center"/>
            <w:hideMark/>
          </w:tcPr>
          <w:p w14:paraId="1897486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86</w:t>
            </w:r>
          </w:p>
        </w:tc>
        <w:tc>
          <w:tcPr>
            <w:tcW w:w="1130" w:type="dxa"/>
            <w:tcBorders>
              <w:left w:val="nil"/>
              <w:right w:val="nil"/>
            </w:tcBorders>
            <w:noWrap/>
            <w:vAlign w:val="center"/>
            <w:hideMark/>
          </w:tcPr>
          <w:p w14:paraId="7EC27E7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27</w:t>
            </w:r>
          </w:p>
        </w:tc>
        <w:tc>
          <w:tcPr>
            <w:tcW w:w="1130" w:type="dxa"/>
            <w:tcBorders>
              <w:left w:val="nil"/>
              <w:right w:val="nil"/>
            </w:tcBorders>
            <w:noWrap/>
            <w:vAlign w:val="center"/>
            <w:hideMark/>
          </w:tcPr>
          <w:p w14:paraId="067AD1F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57</w:t>
            </w:r>
          </w:p>
        </w:tc>
        <w:tc>
          <w:tcPr>
            <w:tcW w:w="1130" w:type="dxa"/>
            <w:tcBorders>
              <w:left w:val="nil"/>
              <w:right w:val="nil"/>
            </w:tcBorders>
            <w:noWrap/>
            <w:vAlign w:val="center"/>
            <w:hideMark/>
          </w:tcPr>
          <w:p w14:paraId="30D664E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24</w:t>
            </w:r>
          </w:p>
        </w:tc>
        <w:tc>
          <w:tcPr>
            <w:tcW w:w="1130" w:type="dxa"/>
            <w:tcBorders>
              <w:left w:val="nil"/>
              <w:right w:val="nil"/>
            </w:tcBorders>
            <w:noWrap/>
            <w:vAlign w:val="center"/>
            <w:hideMark/>
          </w:tcPr>
          <w:p w14:paraId="2BEA8A4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5FC87A4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52</w:t>
            </w:r>
          </w:p>
        </w:tc>
        <w:tc>
          <w:tcPr>
            <w:tcW w:w="1130" w:type="dxa"/>
            <w:tcBorders>
              <w:left w:val="nil"/>
              <w:right w:val="nil"/>
            </w:tcBorders>
            <w:noWrap/>
            <w:vAlign w:val="center"/>
            <w:hideMark/>
          </w:tcPr>
          <w:p w14:paraId="2907A22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24E47A0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6C2A196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08</w:t>
            </w:r>
          </w:p>
        </w:tc>
      </w:tr>
      <w:tr w:rsidR="00BF5C8B" w:rsidRPr="00434F77" w14:paraId="33A2A85A" w14:textId="77777777">
        <w:trPr>
          <w:trHeight w:val="295"/>
        </w:trPr>
        <w:tc>
          <w:tcPr>
            <w:tcW w:w="1350" w:type="dxa"/>
            <w:vMerge/>
            <w:tcBorders>
              <w:left w:val="nil"/>
              <w:right w:val="nil"/>
            </w:tcBorders>
            <w:noWrap/>
            <w:hideMark/>
          </w:tcPr>
          <w:p w14:paraId="0220570E"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2DB861A5"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5000</w:t>
            </w:r>
          </w:p>
        </w:tc>
        <w:tc>
          <w:tcPr>
            <w:tcW w:w="1129" w:type="dxa"/>
            <w:tcBorders>
              <w:left w:val="nil"/>
              <w:right w:val="nil"/>
            </w:tcBorders>
            <w:noWrap/>
            <w:vAlign w:val="center"/>
            <w:hideMark/>
          </w:tcPr>
          <w:p w14:paraId="1586BB3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c>
          <w:tcPr>
            <w:tcW w:w="1130" w:type="dxa"/>
            <w:tcBorders>
              <w:left w:val="nil"/>
              <w:right w:val="nil"/>
            </w:tcBorders>
            <w:noWrap/>
            <w:vAlign w:val="center"/>
            <w:hideMark/>
          </w:tcPr>
          <w:p w14:paraId="6CC8969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664579B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53</w:t>
            </w:r>
          </w:p>
        </w:tc>
        <w:tc>
          <w:tcPr>
            <w:tcW w:w="1130" w:type="dxa"/>
            <w:tcBorders>
              <w:left w:val="nil"/>
              <w:right w:val="nil"/>
            </w:tcBorders>
            <w:noWrap/>
            <w:vAlign w:val="center"/>
            <w:hideMark/>
          </w:tcPr>
          <w:p w14:paraId="125A518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c>
          <w:tcPr>
            <w:tcW w:w="1130" w:type="dxa"/>
            <w:tcBorders>
              <w:left w:val="nil"/>
              <w:right w:val="nil"/>
            </w:tcBorders>
            <w:noWrap/>
            <w:vAlign w:val="center"/>
            <w:hideMark/>
          </w:tcPr>
          <w:p w14:paraId="2DF71DF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48</w:t>
            </w:r>
          </w:p>
        </w:tc>
        <w:tc>
          <w:tcPr>
            <w:tcW w:w="1130" w:type="dxa"/>
            <w:tcBorders>
              <w:left w:val="nil"/>
              <w:right w:val="nil"/>
            </w:tcBorders>
            <w:noWrap/>
            <w:vAlign w:val="center"/>
            <w:hideMark/>
          </w:tcPr>
          <w:p w14:paraId="7C451F6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62</w:t>
            </w:r>
          </w:p>
        </w:tc>
        <w:tc>
          <w:tcPr>
            <w:tcW w:w="1130" w:type="dxa"/>
            <w:tcBorders>
              <w:left w:val="nil"/>
              <w:right w:val="nil"/>
            </w:tcBorders>
            <w:noWrap/>
            <w:vAlign w:val="center"/>
            <w:hideMark/>
          </w:tcPr>
          <w:p w14:paraId="02D1FB9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4CACEB6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49</w:t>
            </w:r>
          </w:p>
        </w:tc>
        <w:tc>
          <w:tcPr>
            <w:tcW w:w="1130" w:type="dxa"/>
            <w:tcBorders>
              <w:left w:val="nil"/>
              <w:right w:val="nil"/>
            </w:tcBorders>
            <w:noWrap/>
            <w:vAlign w:val="center"/>
            <w:hideMark/>
          </w:tcPr>
          <w:p w14:paraId="20CEABD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r>
      <w:tr w:rsidR="00BF5C8B" w:rsidRPr="00434F77" w14:paraId="62C1A430" w14:textId="77777777">
        <w:trPr>
          <w:trHeight w:val="295"/>
        </w:trPr>
        <w:tc>
          <w:tcPr>
            <w:tcW w:w="1350" w:type="dxa"/>
            <w:vMerge/>
            <w:tcBorders>
              <w:left w:val="nil"/>
              <w:right w:val="nil"/>
            </w:tcBorders>
            <w:noWrap/>
            <w:hideMark/>
          </w:tcPr>
          <w:p w14:paraId="0221515A"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533A9634"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10 000</w:t>
            </w:r>
          </w:p>
        </w:tc>
        <w:tc>
          <w:tcPr>
            <w:tcW w:w="1129" w:type="dxa"/>
            <w:tcBorders>
              <w:left w:val="nil"/>
              <w:right w:val="nil"/>
            </w:tcBorders>
            <w:noWrap/>
            <w:vAlign w:val="center"/>
            <w:hideMark/>
          </w:tcPr>
          <w:p w14:paraId="09A11EB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c>
          <w:tcPr>
            <w:tcW w:w="1130" w:type="dxa"/>
            <w:tcBorders>
              <w:left w:val="nil"/>
              <w:right w:val="nil"/>
            </w:tcBorders>
            <w:noWrap/>
            <w:vAlign w:val="center"/>
            <w:hideMark/>
          </w:tcPr>
          <w:p w14:paraId="05230F9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87</w:t>
            </w:r>
          </w:p>
        </w:tc>
        <w:tc>
          <w:tcPr>
            <w:tcW w:w="1130" w:type="dxa"/>
            <w:tcBorders>
              <w:left w:val="nil"/>
              <w:right w:val="nil"/>
            </w:tcBorders>
            <w:noWrap/>
            <w:vAlign w:val="center"/>
            <w:hideMark/>
          </w:tcPr>
          <w:p w14:paraId="2D1A02E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69</w:t>
            </w:r>
          </w:p>
        </w:tc>
        <w:tc>
          <w:tcPr>
            <w:tcW w:w="1130" w:type="dxa"/>
            <w:tcBorders>
              <w:left w:val="nil"/>
              <w:right w:val="nil"/>
            </w:tcBorders>
            <w:noWrap/>
            <w:vAlign w:val="center"/>
            <w:hideMark/>
          </w:tcPr>
          <w:p w14:paraId="59EE12B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34</w:t>
            </w:r>
          </w:p>
        </w:tc>
        <w:tc>
          <w:tcPr>
            <w:tcW w:w="1130" w:type="dxa"/>
            <w:tcBorders>
              <w:left w:val="nil"/>
              <w:right w:val="nil"/>
            </w:tcBorders>
            <w:noWrap/>
            <w:vAlign w:val="center"/>
            <w:hideMark/>
          </w:tcPr>
          <w:p w14:paraId="1D51A6B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77</w:t>
            </w:r>
          </w:p>
        </w:tc>
        <w:tc>
          <w:tcPr>
            <w:tcW w:w="1130" w:type="dxa"/>
            <w:tcBorders>
              <w:left w:val="nil"/>
              <w:right w:val="nil"/>
            </w:tcBorders>
            <w:noWrap/>
            <w:vAlign w:val="center"/>
            <w:hideMark/>
          </w:tcPr>
          <w:p w14:paraId="6074997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7430107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39</w:t>
            </w:r>
          </w:p>
        </w:tc>
        <w:tc>
          <w:tcPr>
            <w:tcW w:w="1130" w:type="dxa"/>
            <w:tcBorders>
              <w:left w:val="nil"/>
              <w:right w:val="nil"/>
            </w:tcBorders>
            <w:noWrap/>
            <w:vAlign w:val="center"/>
            <w:hideMark/>
          </w:tcPr>
          <w:p w14:paraId="72F3B15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85</w:t>
            </w:r>
          </w:p>
        </w:tc>
        <w:tc>
          <w:tcPr>
            <w:tcW w:w="1130" w:type="dxa"/>
            <w:tcBorders>
              <w:left w:val="nil"/>
              <w:right w:val="nil"/>
            </w:tcBorders>
            <w:noWrap/>
            <w:vAlign w:val="center"/>
            <w:hideMark/>
          </w:tcPr>
          <w:p w14:paraId="09E64A6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r>
      <w:tr w:rsidR="00BF5C8B" w:rsidRPr="00434F77" w14:paraId="16A891F6" w14:textId="77777777">
        <w:trPr>
          <w:trHeight w:val="295"/>
        </w:trPr>
        <w:tc>
          <w:tcPr>
            <w:tcW w:w="1350" w:type="dxa"/>
            <w:vMerge/>
            <w:tcBorders>
              <w:left w:val="nil"/>
              <w:right w:val="nil"/>
            </w:tcBorders>
            <w:noWrap/>
            <w:hideMark/>
          </w:tcPr>
          <w:p w14:paraId="39C4C3EB"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4C9CD939"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25 000</w:t>
            </w:r>
          </w:p>
        </w:tc>
        <w:tc>
          <w:tcPr>
            <w:tcW w:w="1129" w:type="dxa"/>
            <w:tcBorders>
              <w:left w:val="nil"/>
              <w:right w:val="nil"/>
            </w:tcBorders>
            <w:noWrap/>
            <w:vAlign w:val="center"/>
            <w:hideMark/>
          </w:tcPr>
          <w:p w14:paraId="38464B2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7BBE032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438B4C1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51F35AF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25</w:t>
            </w:r>
          </w:p>
        </w:tc>
        <w:tc>
          <w:tcPr>
            <w:tcW w:w="1130" w:type="dxa"/>
            <w:tcBorders>
              <w:left w:val="nil"/>
              <w:right w:val="nil"/>
            </w:tcBorders>
            <w:noWrap/>
            <w:vAlign w:val="center"/>
            <w:hideMark/>
          </w:tcPr>
          <w:p w14:paraId="7FF651B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91</w:t>
            </w:r>
          </w:p>
        </w:tc>
        <w:tc>
          <w:tcPr>
            <w:tcW w:w="1130" w:type="dxa"/>
            <w:tcBorders>
              <w:left w:val="nil"/>
              <w:right w:val="nil"/>
            </w:tcBorders>
            <w:noWrap/>
            <w:vAlign w:val="center"/>
            <w:hideMark/>
          </w:tcPr>
          <w:p w14:paraId="27A976A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96</w:t>
            </w:r>
          </w:p>
        </w:tc>
        <w:tc>
          <w:tcPr>
            <w:tcW w:w="1130" w:type="dxa"/>
            <w:tcBorders>
              <w:left w:val="nil"/>
              <w:right w:val="nil"/>
            </w:tcBorders>
            <w:noWrap/>
            <w:vAlign w:val="center"/>
            <w:hideMark/>
          </w:tcPr>
          <w:p w14:paraId="2B38CB4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3CDBB6B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96</w:t>
            </w:r>
          </w:p>
        </w:tc>
        <w:tc>
          <w:tcPr>
            <w:tcW w:w="1130" w:type="dxa"/>
            <w:tcBorders>
              <w:left w:val="nil"/>
              <w:right w:val="nil"/>
            </w:tcBorders>
            <w:noWrap/>
            <w:vAlign w:val="center"/>
            <w:hideMark/>
          </w:tcPr>
          <w:p w14:paraId="53FC71D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34</w:t>
            </w:r>
          </w:p>
        </w:tc>
      </w:tr>
      <w:tr w:rsidR="00BF5C8B" w:rsidRPr="00434F77" w14:paraId="2AFF43ED" w14:textId="77777777">
        <w:trPr>
          <w:trHeight w:val="295"/>
        </w:trPr>
        <w:tc>
          <w:tcPr>
            <w:tcW w:w="1350" w:type="dxa"/>
            <w:vMerge/>
            <w:tcBorders>
              <w:left w:val="nil"/>
              <w:right w:val="nil"/>
            </w:tcBorders>
            <w:noWrap/>
            <w:hideMark/>
          </w:tcPr>
          <w:p w14:paraId="5BF45512"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4770710D"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100 000</w:t>
            </w:r>
          </w:p>
        </w:tc>
        <w:tc>
          <w:tcPr>
            <w:tcW w:w="1129" w:type="dxa"/>
            <w:tcBorders>
              <w:left w:val="nil"/>
              <w:right w:val="nil"/>
            </w:tcBorders>
            <w:noWrap/>
            <w:vAlign w:val="center"/>
            <w:hideMark/>
          </w:tcPr>
          <w:p w14:paraId="3FADCD9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02</w:t>
            </w:r>
          </w:p>
        </w:tc>
        <w:tc>
          <w:tcPr>
            <w:tcW w:w="1130" w:type="dxa"/>
            <w:tcBorders>
              <w:left w:val="nil"/>
              <w:right w:val="nil"/>
            </w:tcBorders>
            <w:noWrap/>
            <w:vAlign w:val="center"/>
            <w:hideMark/>
          </w:tcPr>
          <w:p w14:paraId="09B44FA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99</w:t>
            </w:r>
          </w:p>
        </w:tc>
        <w:tc>
          <w:tcPr>
            <w:tcW w:w="1130" w:type="dxa"/>
            <w:tcBorders>
              <w:left w:val="nil"/>
              <w:right w:val="nil"/>
            </w:tcBorders>
            <w:noWrap/>
            <w:vAlign w:val="center"/>
            <w:hideMark/>
          </w:tcPr>
          <w:p w14:paraId="6561806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08</w:t>
            </w:r>
          </w:p>
        </w:tc>
        <w:tc>
          <w:tcPr>
            <w:tcW w:w="1130" w:type="dxa"/>
            <w:tcBorders>
              <w:left w:val="nil"/>
              <w:right w:val="nil"/>
            </w:tcBorders>
            <w:noWrap/>
            <w:vAlign w:val="center"/>
            <w:hideMark/>
          </w:tcPr>
          <w:p w14:paraId="6888DAF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01</w:t>
            </w:r>
          </w:p>
        </w:tc>
        <w:tc>
          <w:tcPr>
            <w:tcW w:w="1130" w:type="dxa"/>
            <w:tcBorders>
              <w:left w:val="nil"/>
              <w:right w:val="nil"/>
            </w:tcBorders>
            <w:noWrap/>
            <w:vAlign w:val="center"/>
            <w:hideMark/>
          </w:tcPr>
          <w:p w14:paraId="6545423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99</w:t>
            </w:r>
          </w:p>
        </w:tc>
        <w:tc>
          <w:tcPr>
            <w:tcW w:w="1130" w:type="dxa"/>
            <w:tcBorders>
              <w:left w:val="nil"/>
              <w:right w:val="nil"/>
            </w:tcBorders>
            <w:noWrap/>
            <w:vAlign w:val="center"/>
            <w:hideMark/>
          </w:tcPr>
          <w:p w14:paraId="2D0A4E4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26</w:t>
            </w:r>
          </w:p>
        </w:tc>
        <w:tc>
          <w:tcPr>
            <w:tcW w:w="1130" w:type="dxa"/>
            <w:tcBorders>
              <w:left w:val="nil"/>
              <w:right w:val="nil"/>
            </w:tcBorders>
            <w:noWrap/>
            <w:vAlign w:val="center"/>
            <w:hideMark/>
          </w:tcPr>
          <w:p w14:paraId="7F6A2E9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01</w:t>
            </w:r>
          </w:p>
        </w:tc>
        <w:tc>
          <w:tcPr>
            <w:tcW w:w="1130" w:type="dxa"/>
            <w:tcBorders>
              <w:left w:val="nil"/>
              <w:right w:val="nil"/>
            </w:tcBorders>
            <w:noWrap/>
            <w:vAlign w:val="center"/>
            <w:hideMark/>
          </w:tcPr>
          <w:p w14:paraId="278A628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2F2785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81</w:t>
            </w:r>
          </w:p>
        </w:tc>
      </w:tr>
      <w:tr w:rsidR="00BF5C8B" w:rsidRPr="00434F77" w14:paraId="2CC78593" w14:textId="77777777">
        <w:trPr>
          <w:trHeight w:val="295"/>
        </w:trPr>
        <w:tc>
          <w:tcPr>
            <w:tcW w:w="1350" w:type="dxa"/>
            <w:vMerge w:val="restart"/>
            <w:tcBorders>
              <w:left w:val="nil"/>
              <w:right w:val="nil"/>
            </w:tcBorders>
            <w:noWrap/>
            <w:hideMark/>
          </w:tcPr>
          <w:p w14:paraId="1DDD95EC"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Latino</w:t>
            </w:r>
          </w:p>
        </w:tc>
        <w:tc>
          <w:tcPr>
            <w:tcW w:w="1441" w:type="dxa"/>
            <w:tcBorders>
              <w:left w:val="nil"/>
              <w:right w:val="nil"/>
            </w:tcBorders>
            <w:noWrap/>
            <w:vAlign w:val="center"/>
            <w:hideMark/>
          </w:tcPr>
          <w:p w14:paraId="58CD3967"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w:t>
            </w:r>
          </w:p>
        </w:tc>
        <w:tc>
          <w:tcPr>
            <w:tcW w:w="1129" w:type="dxa"/>
            <w:tcBorders>
              <w:left w:val="nil"/>
              <w:right w:val="nil"/>
            </w:tcBorders>
            <w:noWrap/>
            <w:vAlign w:val="center"/>
            <w:hideMark/>
          </w:tcPr>
          <w:p w14:paraId="542006D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57</w:t>
            </w:r>
          </w:p>
        </w:tc>
        <w:tc>
          <w:tcPr>
            <w:tcW w:w="1130" w:type="dxa"/>
            <w:tcBorders>
              <w:left w:val="nil"/>
              <w:right w:val="nil"/>
            </w:tcBorders>
            <w:noWrap/>
            <w:vAlign w:val="center"/>
            <w:hideMark/>
          </w:tcPr>
          <w:p w14:paraId="6BB48CC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77</w:t>
            </w:r>
          </w:p>
        </w:tc>
        <w:tc>
          <w:tcPr>
            <w:tcW w:w="1130" w:type="dxa"/>
            <w:tcBorders>
              <w:left w:val="nil"/>
              <w:right w:val="nil"/>
            </w:tcBorders>
            <w:noWrap/>
            <w:vAlign w:val="center"/>
            <w:hideMark/>
          </w:tcPr>
          <w:p w14:paraId="08897A2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53</w:t>
            </w:r>
          </w:p>
        </w:tc>
        <w:tc>
          <w:tcPr>
            <w:tcW w:w="1130" w:type="dxa"/>
            <w:tcBorders>
              <w:left w:val="nil"/>
              <w:right w:val="nil"/>
            </w:tcBorders>
            <w:noWrap/>
            <w:vAlign w:val="center"/>
            <w:hideMark/>
          </w:tcPr>
          <w:p w14:paraId="1D1ECA3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4140300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66</w:t>
            </w:r>
          </w:p>
        </w:tc>
        <w:tc>
          <w:tcPr>
            <w:tcW w:w="1130" w:type="dxa"/>
            <w:tcBorders>
              <w:left w:val="nil"/>
              <w:right w:val="nil"/>
            </w:tcBorders>
            <w:noWrap/>
            <w:vAlign w:val="center"/>
            <w:hideMark/>
          </w:tcPr>
          <w:p w14:paraId="567EDE5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97</w:t>
            </w:r>
          </w:p>
        </w:tc>
        <w:tc>
          <w:tcPr>
            <w:tcW w:w="1130" w:type="dxa"/>
            <w:tcBorders>
              <w:left w:val="nil"/>
              <w:right w:val="nil"/>
            </w:tcBorders>
            <w:noWrap/>
            <w:vAlign w:val="center"/>
            <w:hideMark/>
          </w:tcPr>
          <w:p w14:paraId="5C24CE7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03</w:t>
            </w:r>
          </w:p>
        </w:tc>
        <w:tc>
          <w:tcPr>
            <w:tcW w:w="1130" w:type="dxa"/>
            <w:tcBorders>
              <w:left w:val="nil"/>
              <w:right w:val="nil"/>
            </w:tcBorders>
            <w:noWrap/>
            <w:vAlign w:val="center"/>
            <w:hideMark/>
          </w:tcPr>
          <w:p w14:paraId="0B1114F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62</w:t>
            </w:r>
          </w:p>
        </w:tc>
        <w:tc>
          <w:tcPr>
            <w:tcW w:w="1130" w:type="dxa"/>
            <w:tcBorders>
              <w:left w:val="nil"/>
              <w:right w:val="nil"/>
            </w:tcBorders>
            <w:noWrap/>
            <w:vAlign w:val="center"/>
            <w:hideMark/>
          </w:tcPr>
          <w:p w14:paraId="295E96A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r>
              <w:rPr>
                <w:rFonts w:asciiTheme="majorHAnsi" w:eastAsia="Times New Roman" w:hAnsiTheme="majorHAnsi" w:cstheme="majorHAnsi"/>
                <w:color w:val="000000"/>
              </w:rPr>
              <w:t>.00</w:t>
            </w:r>
          </w:p>
        </w:tc>
      </w:tr>
      <w:tr w:rsidR="00BF5C8B" w:rsidRPr="00434F77" w14:paraId="52E7C878" w14:textId="77777777">
        <w:trPr>
          <w:trHeight w:val="295"/>
        </w:trPr>
        <w:tc>
          <w:tcPr>
            <w:tcW w:w="1350" w:type="dxa"/>
            <w:vMerge/>
            <w:tcBorders>
              <w:left w:val="nil"/>
              <w:right w:val="nil"/>
            </w:tcBorders>
            <w:noWrap/>
            <w:hideMark/>
          </w:tcPr>
          <w:p w14:paraId="7D5C359C"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5581A060"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p>
        </w:tc>
        <w:tc>
          <w:tcPr>
            <w:tcW w:w="1129" w:type="dxa"/>
            <w:tcBorders>
              <w:left w:val="nil"/>
              <w:right w:val="nil"/>
            </w:tcBorders>
            <w:noWrap/>
            <w:vAlign w:val="center"/>
            <w:hideMark/>
          </w:tcPr>
          <w:p w14:paraId="68F262B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71</w:t>
            </w:r>
          </w:p>
        </w:tc>
        <w:tc>
          <w:tcPr>
            <w:tcW w:w="1130" w:type="dxa"/>
            <w:tcBorders>
              <w:left w:val="nil"/>
              <w:right w:val="nil"/>
            </w:tcBorders>
            <w:noWrap/>
            <w:vAlign w:val="center"/>
            <w:hideMark/>
          </w:tcPr>
          <w:p w14:paraId="35C19FC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78</w:t>
            </w:r>
          </w:p>
        </w:tc>
        <w:tc>
          <w:tcPr>
            <w:tcW w:w="1130" w:type="dxa"/>
            <w:tcBorders>
              <w:left w:val="nil"/>
              <w:right w:val="nil"/>
            </w:tcBorders>
            <w:noWrap/>
            <w:vAlign w:val="center"/>
            <w:hideMark/>
          </w:tcPr>
          <w:p w14:paraId="601C8AC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39</w:t>
            </w:r>
          </w:p>
        </w:tc>
        <w:tc>
          <w:tcPr>
            <w:tcW w:w="1130" w:type="dxa"/>
            <w:tcBorders>
              <w:left w:val="nil"/>
              <w:right w:val="nil"/>
            </w:tcBorders>
            <w:noWrap/>
            <w:vAlign w:val="center"/>
            <w:hideMark/>
          </w:tcPr>
          <w:p w14:paraId="4206136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7E22EE9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1D2916F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86</w:t>
            </w:r>
          </w:p>
        </w:tc>
        <w:tc>
          <w:tcPr>
            <w:tcW w:w="1130" w:type="dxa"/>
            <w:tcBorders>
              <w:left w:val="nil"/>
              <w:right w:val="nil"/>
            </w:tcBorders>
            <w:noWrap/>
            <w:vAlign w:val="center"/>
            <w:hideMark/>
          </w:tcPr>
          <w:p w14:paraId="4C61D29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5FDA0B0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88</w:t>
            </w:r>
          </w:p>
        </w:tc>
        <w:tc>
          <w:tcPr>
            <w:tcW w:w="1130" w:type="dxa"/>
            <w:tcBorders>
              <w:left w:val="nil"/>
              <w:right w:val="nil"/>
            </w:tcBorders>
            <w:noWrap/>
            <w:vAlign w:val="center"/>
            <w:hideMark/>
          </w:tcPr>
          <w:p w14:paraId="4AE51F1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r>
      <w:tr w:rsidR="00BF5C8B" w:rsidRPr="00434F77" w14:paraId="438313A4" w14:textId="77777777">
        <w:trPr>
          <w:trHeight w:val="295"/>
        </w:trPr>
        <w:tc>
          <w:tcPr>
            <w:tcW w:w="1350" w:type="dxa"/>
            <w:vMerge/>
            <w:tcBorders>
              <w:left w:val="nil"/>
              <w:right w:val="nil"/>
            </w:tcBorders>
            <w:noWrap/>
            <w:hideMark/>
          </w:tcPr>
          <w:p w14:paraId="21028620"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8E04DFE"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1000</w:t>
            </w:r>
          </w:p>
        </w:tc>
        <w:tc>
          <w:tcPr>
            <w:tcW w:w="1129" w:type="dxa"/>
            <w:tcBorders>
              <w:left w:val="nil"/>
              <w:right w:val="nil"/>
            </w:tcBorders>
            <w:noWrap/>
            <w:vAlign w:val="center"/>
            <w:hideMark/>
          </w:tcPr>
          <w:p w14:paraId="501CF75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12</w:t>
            </w:r>
          </w:p>
        </w:tc>
        <w:tc>
          <w:tcPr>
            <w:tcW w:w="1130" w:type="dxa"/>
            <w:tcBorders>
              <w:left w:val="nil"/>
              <w:right w:val="nil"/>
            </w:tcBorders>
            <w:noWrap/>
            <w:vAlign w:val="center"/>
            <w:hideMark/>
          </w:tcPr>
          <w:p w14:paraId="0249BE5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45</w:t>
            </w:r>
          </w:p>
        </w:tc>
        <w:tc>
          <w:tcPr>
            <w:tcW w:w="1130" w:type="dxa"/>
            <w:tcBorders>
              <w:left w:val="nil"/>
              <w:right w:val="nil"/>
            </w:tcBorders>
            <w:noWrap/>
            <w:vAlign w:val="center"/>
            <w:hideMark/>
          </w:tcPr>
          <w:p w14:paraId="6218D5F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66</w:t>
            </w:r>
          </w:p>
        </w:tc>
        <w:tc>
          <w:tcPr>
            <w:tcW w:w="1130" w:type="dxa"/>
            <w:tcBorders>
              <w:left w:val="nil"/>
              <w:right w:val="nil"/>
            </w:tcBorders>
            <w:noWrap/>
            <w:vAlign w:val="center"/>
            <w:hideMark/>
          </w:tcPr>
          <w:p w14:paraId="6DD653C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5259F13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21</w:t>
            </w:r>
          </w:p>
        </w:tc>
        <w:tc>
          <w:tcPr>
            <w:tcW w:w="1130" w:type="dxa"/>
            <w:tcBorders>
              <w:left w:val="nil"/>
              <w:right w:val="nil"/>
            </w:tcBorders>
            <w:noWrap/>
            <w:vAlign w:val="center"/>
            <w:hideMark/>
          </w:tcPr>
          <w:p w14:paraId="5F87635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67FA8EF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124C7B5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89</w:t>
            </w:r>
          </w:p>
        </w:tc>
        <w:tc>
          <w:tcPr>
            <w:tcW w:w="1130" w:type="dxa"/>
            <w:tcBorders>
              <w:left w:val="nil"/>
              <w:right w:val="nil"/>
            </w:tcBorders>
            <w:noWrap/>
            <w:vAlign w:val="center"/>
            <w:hideMark/>
          </w:tcPr>
          <w:p w14:paraId="1B23B27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74</w:t>
            </w:r>
          </w:p>
        </w:tc>
      </w:tr>
      <w:tr w:rsidR="00BF5C8B" w:rsidRPr="00434F77" w14:paraId="46D5506D" w14:textId="77777777">
        <w:trPr>
          <w:trHeight w:val="295"/>
        </w:trPr>
        <w:tc>
          <w:tcPr>
            <w:tcW w:w="1350" w:type="dxa"/>
            <w:vMerge/>
            <w:tcBorders>
              <w:left w:val="nil"/>
              <w:right w:val="nil"/>
            </w:tcBorders>
            <w:noWrap/>
            <w:hideMark/>
          </w:tcPr>
          <w:p w14:paraId="16955731"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A3EB9C1"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3000</w:t>
            </w:r>
          </w:p>
        </w:tc>
        <w:tc>
          <w:tcPr>
            <w:tcW w:w="1129" w:type="dxa"/>
            <w:tcBorders>
              <w:left w:val="nil"/>
              <w:right w:val="nil"/>
            </w:tcBorders>
            <w:noWrap/>
            <w:vAlign w:val="center"/>
            <w:hideMark/>
          </w:tcPr>
          <w:p w14:paraId="536921D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68</w:t>
            </w:r>
          </w:p>
        </w:tc>
        <w:tc>
          <w:tcPr>
            <w:tcW w:w="1130" w:type="dxa"/>
            <w:tcBorders>
              <w:left w:val="nil"/>
              <w:right w:val="nil"/>
            </w:tcBorders>
            <w:noWrap/>
            <w:vAlign w:val="center"/>
            <w:hideMark/>
          </w:tcPr>
          <w:p w14:paraId="0344115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655A277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92</w:t>
            </w:r>
          </w:p>
        </w:tc>
        <w:tc>
          <w:tcPr>
            <w:tcW w:w="1130" w:type="dxa"/>
            <w:tcBorders>
              <w:left w:val="nil"/>
              <w:right w:val="nil"/>
            </w:tcBorders>
            <w:noWrap/>
            <w:vAlign w:val="center"/>
            <w:hideMark/>
          </w:tcPr>
          <w:p w14:paraId="4EA82F6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252EB3D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78</w:t>
            </w:r>
          </w:p>
        </w:tc>
        <w:tc>
          <w:tcPr>
            <w:tcW w:w="1130" w:type="dxa"/>
            <w:tcBorders>
              <w:left w:val="nil"/>
              <w:right w:val="nil"/>
            </w:tcBorders>
            <w:noWrap/>
            <w:vAlign w:val="center"/>
            <w:hideMark/>
          </w:tcPr>
          <w:p w14:paraId="0BB5446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21</w:t>
            </w:r>
          </w:p>
        </w:tc>
        <w:tc>
          <w:tcPr>
            <w:tcW w:w="1130" w:type="dxa"/>
            <w:tcBorders>
              <w:left w:val="nil"/>
              <w:right w:val="nil"/>
            </w:tcBorders>
            <w:noWrap/>
            <w:vAlign w:val="center"/>
            <w:hideMark/>
          </w:tcPr>
          <w:p w14:paraId="440CDC7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49</w:t>
            </w:r>
          </w:p>
        </w:tc>
        <w:tc>
          <w:tcPr>
            <w:tcW w:w="1130" w:type="dxa"/>
            <w:tcBorders>
              <w:left w:val="nil"/>
              <w:right w:val="nil"/>
            </w:tcBorders>
            <w:noWrap/>
            <w:vAlign w:val="center"/>
            <w:hideMark/>
          </w:tcPr>
          <w:p w14:paraId="3C73511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c>
          <w:tcPr>
            <w:tcW w:w="1130" w:type="dxa"/>
            <w:tcBorders>
              <w:left w:val="nil"/>
              <w:right w:val="nil"/>
            </w:tcBorders>
            <w:noWrap/>
            <w:vAlign w:val="center"/>
            <w:hideMark/>
          </w:tcPr>
          <w:p w14:paraId="2EF9F91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r>
      <w:tr w:rsidR="00BF5C8B" w:rsidRPr="00434F77" w14:paraId="19990C38" w14:textId="77777777">
        <w:trPr>
          <w:trHeight w:val="295"/>
        </w:trPr>
        <w:tc>
          <w:tcPr>
            <w:tcW w:w="1350" w:type="dxa"/>
            <w:vMerge/>
            <w:tcBorders>
              <w:left w:val="nil"/>
              <w:right w:val="nil"/>
            </w:tcBorders>
            <w:noWrap/>
            <w:hideMark/>
          </w:tcPr>
          <w:p w14:paraId="007B4F7A"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15A4A1B0"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5000</w:t>
            </w:r>
          </w:p>
        </w:tc>
        <w:tc>
          <w:tcPr>
            <w:tcW w:w="1129" w:type="dxa"/>
            <w:tcBorders>
              <w:left w:val="nil"/>
              <w:right w:val="nil"/>
            </w:tcBorders>
            <w:noWrap/>
            <w:vAlign w:val="center"/>
            <w:hideMark/>
          </w:tcPr>
          <w:p w14:paraId="67DB906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94</w:t>
            </w:r>
          </w:p>
        </w:tc>
        <w:tc>
          <w:tcPr>
            <w:tcW w:w="1130" w:type="dxa"/>
            <w:tcBorders>
              <w:left w:val="nil"/>
              <w:right w:val="nil"/>
            </w:tcBorders>
            <w:noWrap/>
            <w:vAlign w:val="center"/>
            <w:hideMark/>
          </w:tcPr>
          <w:p w14:paraId="6D400FA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83</w:t>
            </w:r>
          </w:p>
        </w:tc>
        <w:tc>
          <w:tcPr>
            <w:tcW w:w="1130" w:type="dxa"/>
            <w:tcBorders>
              <w:left w:val="nil"/>
              <w:right w:val="nil"/>
            </w:tcBorders>
            <w:noWrap/>
            <w:vAlign w:val="center"/>
            <w:hideMark/>
          </w:tcPr>
          <w:p w14:paraId="4DA66E3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97</w:t>
            </w:r>
          </w:p>
        </w:tc>
        <w:tc>
          <w:tcPr>
            <w:tcW w:w="1130" w:type="dxa"/>
            <w:tcBorders>
              <w:left w:val="nil"/>
              <w:right w:val="nil"/>
            </w:tcBorders>
            <w:noWrap/>
            <w:vAlign w:val="center"/>
            <w:hideMark/>
          </w:tcPr>
          <w:p w14:paraId="04DEEBF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48</w:t>
            </w:r>
          </w:p>
        </w:tc>
        <w:tc>
          <w:tcPr>
            <w:tcW w:w="1130" w:type="dxa"/>
            <w:tcBorders>
              <w:left w:val="nil"/>
              <w:right w:val="nil"/>
            </w:tcBorders>
            <w:noWrap/>
            <w:vAlign w:val="center"/>
            <w:hideMark/>
          </w:tcPr>
          <w:p w14:paraId="770EBD6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95</w:t>
            </w:r>
          </w:p>
        </w:tc>
        <w:tc>
          <w:tcPr>
            <w:tcW w:w="1130" w:type="dxa"/>
            <w:tcBorders>
              <w:left w:val="nil"/>
              <w:right w:val="nil"/>
            </w:tcBorders>
            <w:noWrap/>
            <w:vAlign w:val="center"/>
            <w:hideMark/>
          </w:tcPr>
          <w:p w14:paraId="0B857A2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1AACF52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79</w:t>
            </w:r>
          </w:p>
        </w:tc>
        <w:tc>
          <w:tcPr>
            <w:tcW w:w="1130" w:type="dxa"/>
            <w:tcBorders>
              <w:left w:val="nil"/>
              <w:right w:val="nil"/>
            </w:tcBorders>
            <w:noWrap/>
            <w:vAlign w:val="center"/>
            <w:hideMark/>
          </w:tcPr>
          <w:p w14:paraId="7844B23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7E76409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96</w:t>
            </w:r>
          </w:p>
        </w:tc>
      </w:tr>
      <w:tr w:rsidR="00BF5C8B" w:rsidRPr="00434F77" w14:paraId="1462858A" w14:textId="77777777">
        <w:trPr>
          <w:trHeight w:val="295"/>
        </w:trPr>
        <w:tc>
          <w:tcPr>
            <w:tcW w:w="1350" w:type="dxa"/>
            <w:vMerge/>
            <w:tcBorders>
              <w:left w:val="nil"/>
              <w:right w:val="nil"/>
            </w:tcBorders>
            <w:noWrap/>
            <w:hideMark/>
          </w:tcPr>
          <w:p w14:paraId="1F7683B5"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20A7758C"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10 000</w:t>
            </w:r>
          </w:p>
        </w:tc>
        <w:tc>
          <w:tcPr>
            <w:tcW w:w="1129" w:type="dxa"/>
            <w:tcBorders>
              <w:left w:val="nil"/>
              <w:right w:val="nil"/>
            </w:tcBorders>
            <w:noWrap/>
            <w:vAlign w:val="center"/>
            <w:hideMark/>
          </w:tcPr>
          <w:p w14:paraId="5355379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17</w:t>
            </w:r>
          </w:p>
        </w:tc>
        <w:tc>
          <w:tcPr>
            <w:tcW w:w="1130" w:type="dxa"/>
            <w:tcBorders>
              <w:left w:val="nil"/>
              <w:right w:val="nil"/>
            </w:tcBorders>
            <w:noWrap/>
            <w:vAlign w:val="center"/>
            <w:hideMark/>
          </w:tcPr>
          <w:p w14:paraId="0741F9B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84</w:t>
            </w:r>
          </w:p>
        </w:tc>
        <w:tc>
          <w:tcPr>
            <w:tcW w:w="1130" w:type="dxa"/>
            <w:tcBorders>
              <w:left w:val="nil"/>
              <w:right w:val="nil"/>
            </w:tcBorders>
            <w:noWrap/>
            <w:vAlign w:val="center"/>
            <w:hideMark/>
          </w:tcPr>
          <w:p w14:paraId="0914B56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37</w:t>
            </w:r>
          </w:p>
        </w:tc>
        <w:tc>
          <w:tcPr>
            <w:tcW w:w="1130" w:type="dxa"/>
            <w:tcBorders>
              <w:left w:val="nil"/>
              <w:right w:val="nil"/>
            </w:tcBorders>
            <w:noWrap/>
            <w:vAlign w:val="center"/>
            <w:hideMark/>
          </w:tcPr>
          <w:p w14:paraId="7A7ECE9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12</w:t>
            </w:r>
          </w:p>
        </w:tc>
        <w:tc>
          <w:tcPr>
            <w:tcW w:w="1130" w:type="dxa"/>
            <w:tcBorders>
              <w:left w:val="nil"/>
              <w:right w:val="nil"/>
            </w:tcBorders>
            <w:noWrap/>
            <w:vAlign w:val="center"/>
            <w:hideMark/>
          </w:tcPr>
          <w:p w14:paraId="6DC8187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87</w:t>
            </w:r>
          </w:p>
        </w:tc>
        <w:tc>
          <w:tcPr>
            <w:tcW w:w="1130" w:type="dxa"/>
            <w:tcBorders>
              <w:left w:val="nil"/>
              <w:right w:val="nil"/>
            </w:tcBorders>
            <w:noWrap/>
            <w:vAlign w:val="center"/>
            <w:hideMark/>
          </w:tcPr>
          <w:p w14:paraId="3060AF6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c>
          <w:tcPr>
            <w:tcW w:w="1130" w:type="dxa"/>
            <w:tcBorders>
              <w:left w:val="nil"/>
              <w:right w:val="nil"/>
            </w:tcBorders>
            <w:noWrap/>
            <w:vAlign w:val="center"/>
            <w:hideMark/>
          </w:tcPr>
          <w:p w14:paraId="0835F89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198E30C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06</w:t>
            </w:r>
          </w:p>
        </w:tc>
        <w:tc>
          <w:tcPr>
            <w:tcW w:w="1130" w:type="dxa"/>
            <w:tcBorders>
              <w:left w:val="nil"/>
              <w:right w:val="nil"/>
            </w:tcBorders>
            <w:noWrap/>
            <w:vAlign w:val="center"/>
            <w:hideMark/>
          </w:tcPr>
          <w:p w14:paraId="7EF1915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81</w:t>
            </w:r>
          </w:p>
        </w:tc>
      </w:tr>
      <w:tr w:rsidR="00BF5C8B" w:rsidRPr="00434F77" w14:paraId="2A25B7A3" w14:textId="77777777">
        <w:trPr>
          <w:trHeight w:val="295"/>
        </w:trPr>
        <w:tc>
          <w:tcPr>
            <w:tcW w:w="1350" w:type="dxa"/>
            <w:vMerge/>
            <w:tcBorders>
              <w:left w:val="nil"/>
              <w:right w:val="nil"/>
            </w:tcBorders>
            <w:noWrap/>
            <w:hideMark/>
          </w:tcPr>
          <w:p w14:paraId="22A9B037"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62D9E07B"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25 000</w:t>
            </w:r>
          </w:p>
        </w:tc>
        <w:tc>
          <w:tcPr>
            <w:tcW w:w="1129" w:type="dxa"/>
            <w:tcBorders>
              <w:left w:val="nil"/>
              <w:right w:val="nil"/>
            </w:tcBorders>
            <w:noWrap/>
            <w:vAlign w:val="center"/>
            <w:hideMark/>
          </w:tcPr>
          <w:p w14:paraId="5B85B8D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18</w:t>
            </w:r>
          </w:p>
        </w:tc>
        <w:tc>
          <w:tcPr>
            <w:tcW w:w="1130" w:type="dxa"/>
            <w:tcBorders>
              <w:left w:val="nil"/>
              <w:right w:val="nil"/>
            </w:tcBorders>
            <w:noWrap/>
            <w:vAlign w:val="center"/>
            <w:hideMark/>
          </w:tcPr>
          <w:p w14:paraId="3411922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79</w:t>
            </w:r>
          </w:p>
        </w:tc>
        <w:tc>
          <w:tcPr>
            <w:tcW w:w="1130" w:type="dxa"/>
            <w:tcBorders>
              <w:left w:val="nil"/>
              <w:right w:val="nil"/>
            </w:tcBorders>
            <w:noWrap/>
            <w:vAlign w:val="center"/>
            <w:hideMark/>
          </w:tcPr>
          <w:p w14:paraId="2120F84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86</w:t>
            </w:r>
          </w:p>
        </w:tc>
        <w:tc>
          <w:tcPr>
            <w:tcW w:w="1130" w:type="dxa"/>
            <w:tcBorders>
              <w:left w:val="nil"/>
              <w:right w:val="nil"/>
            </w:tcBorders>
            <w:noWrap/>
            <w:vAlign w:val="center"/>
            <w:hideMark/>
          </w:tcPr>
          <w:p w14:paraId="08E0826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27F8348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01</w:t>
            </w:r>
          </w:p>
        </w:tc>
        <w:tc>
          <w:tcPr>
            <w:tcW w:w="1130" w:type="dxa"/>
            <w:tcBorders>
              <w:left w:val="nil"/>
              <w:right w:val="nil"/>
            </w:tcBorders>
            <w:noWrap/>
            <w:vAlign w:val="center"/>
            <w:hideMark/>
          </w:tcPr>
          <w:p w14:paraId="78045AA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84</w:t>
            </w:r>
          </w:p>
        </w:tc>
        <w:tc>
          <w:tcPr>
            <w:tcW w:w="1130" w:type="dxa"/>
            <w:tcBorders>
              <w:left w:val="nil"/>
              <w:right w:val="nil"/>
            </w:tcBorders>
            <w:noWrap/>
            <w:vAlign w:val="center"/>
            <w:hideMark/>
          </w:tcPr>
          <w:p w14:paraId="5A16FF0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14</w:t>
            </w:r>
          </w:p>
        </w:tc>
        <w:tc>
          <w:tcPr>
            <w:tcW w:w="1130" w:type="dxa"/>
            <w:tcBorders>
              <w:left w:val="nil"/>
              <w:right w:val="nil"/>
            </w:tcBorders>
            <w:noWrap/>
            <w:vAlign w:val="center"/>
            <w:hideMark/>
          </w:tcPr>
          <w:p w14:paraId="3F419BB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52FF607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46</w:t>
            </w:r>
          </w:p>
        </w:tc>
      </w:tr>
      <w:tr w:rsidR="00BF5C8B" w:rsidRPr="00434F77" w14:paraId="321EC6EF" w14:textId="77777777">
        <w:trPr>
          <w:trHeight w:val="295"/>
        </w:trPr>
        <w:tc>
          <w:tcPr>
            <w:tcW w:w="1350" w:type="dxa"/>
            <w:vMerge/>
            <w:tcBorders>
              <w:left w:val="nil"/>
              <w:right w:val="nil"/>
            </w:tcBorders>
            <w:noWrap/>
            <w:hideMark/>
          </w:tcPr>
          <w:p w14:paraId="0402B758"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77405740"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100 000</w:t>
            </w:r>
          </w:p>
        </w:tc>
        <w:tc>
          <w:tcPr>
            <w:tcW w:w="1129" w:type="dxa"/>
            <w:tcBorders>
              <w:left w:val="nil"/>
              <w:right w:val="nil"/>
            </w:tcBorders>
            <w:noWrap/>
            <w:vAlign w:val="center"/>
            <w:hideMark/>
          </w:tcPr>
          <w:p w14:paraId="7A60197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53BF290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78</w:t>
            </w:r>
          </w:p>
        </w:tc>
        <w:tc>
          <w:tcPr>
            <w:tcW w:w="1130" w:type="dxa"/>
            <w:tcBorders>
              <w:left w:val="nil"/>
              <w:right w:val="nil"/>
            </w:tcBorders>
            <w:noWrap/>
            <w:vAlign w:val="center"/>
            <w:hideMark/>
          </w:tcPr>
          <w:p w14:paraId="6795D02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78</w:t>
            </w:r>
          </w:p>
        </w:tc>
        <w:tc>
          <w:tcPr>
            <w:tcW w:w="1130" w:type="dxa"/>
            <w:tcBorders>
              <w:left w:val="nil"/>
              <w:right w:val="nil"/>
            </w:tcBorders>
            <w:noWrap/>
            <w:vAlign w:val="center"/>
            <w:hideMark/>
          </w:tcPr>
          <w:p w14:paraId="796037F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7B510FD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82</w:t>
            </w:r>
          </w:p>
        </w:tc>
        <w:tc>
          <w:tcPr>
            <w:tcW w:w="1130" w:type="dxa"/>
            <w:tcBorders>
              <w:left w:val="nil"/>
              <w:right w:val="nil"/>
            </w:tcBorders>
            <w:noWrap/>
            <w:vAlign w:val="center"/>
            <w:hideMark/>
          </w:tcPr>
          <w:p w14:paraId="6FD8D19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6BEC7F4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c>
          <w:tcPr>
            <w:tcW w:w="1130" w:type="dxa"/>
            <w:tcBorders>
              <w:left w:val="nil"/>
              <w:right w:val="nil"/>
            </w:tcBorders>
            <w:noWrap/>
            <w:vAlign w:val="center"/>
            <w:hideMark/>
          </w:tcPr>
          <w:p w14:paraId="6ADB3A9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85</w:t>
            </w:r>
          </w:p>
        </w:tc>
        <w:tc>
          <w:tcPr>
            <w:tcW w:w="1130" w:type="dxa"/>
            <w:tcBorders>
              <w:left w:val="nil"/>
              <w:right w:val="nil"/>
            </w:tcBorders>
            <w:noWrap/>
            <w:vAlign w:val="center"/>
            <w:hideMark/>
          </w:tcPr>
          <w:p w14:paraId="776328B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33</w:t>
            </w:r>
          </w:p>
        </w:tc>
      </w:tr>
      <w:tr w:rsidR="00BF5C8B" w:rsidRPr="00434F77" w14:paraId="7146840E" w14:textId="77777777">
        <w:trPr>
          <w:trHeight w:val="295"/>
        </w:trPr>
        <w:tc>
          <w:tcPr>
            <w:tcW w:w="1350" w:type="dxa"/>
            <w:vMerge w:val="restart"/>
            <w:tcBorders>
              <w:left w:val="nil"/>
              <w:right w:val="nil"/>
            </w:tcBorders>
            <w:noWrap/>
            <w:hideMark/>
          </w:tcPr>
          <w:p w14:paraId="61C2846E"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White</w:t>
            </w:r>
          </w:p>
        </w:tc>
        <w:tc>
          <w:tcPr>
            <w:tcW w:w="1441" w:type="dxa"/>
            <w:tcBorders>
              <w:left w:val="nil"/>
              <w:right w:val="nil"/>
            </w:tcBorders>
            <w:noWrap/>
            <w:vAlign w:val="center"/>
            <w:hideMark/>
          </w:tcPr>
          <w:p w14:paraId="7E5F6658"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w:t>
            </w:r>
          </w:p>
        </w:tc>
        <w:tc>
          <w:tcPr>
            <w:tcW w:w="1129" w:type="dxa"/>
            <w:tcBorders>
              <w:left w:val="nil"/>
              <w:right w:val="nil"/>
            </w:tcBorders>
            <w:noWrap/>
            <w:vAlign w:val="center"/>
            <w:hideMark/>
          </w:tcPr>
          <w:p w14:paraId="2CE63DD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07</w:t>
            </w:r>
          </w:p>
        </w:tc>
        <w:tc>
          <w:tcPr>
            <w:tcW w:w="1130" w:type="dxa"/>
            <w:tcBorders>
              <w:left w:val="nil"/>
              <w:right w:val="nil"/>
            </w:tcBorders>
            <w:noWrap/>
            <w:vAlign w:val="center"/>
            <w:hideMark/>
          </w:tcPr>
          <w:p w14:paraId="17E0704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19</w:t>
            </w:r>
          </w:p>
        </w:tc>
        <w:tc>
          <w:tcPr>
            <w:tcW w:w="1130" w:type="dxa"/>
            <w:tcBorders>
              <w:left w:val="nil"/>
              <w:right w:val="nil"/>
            </w:tcBorders>
            <w:noWrap/>
            <w:vAlign w:val="center"/>
            <w:hideMark/>
          </w:tcPr>
          <w:p w14:paraId="183F11B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63</w:t>
            </w:r>
          </w:p>
        </w:tc>
        <w:tc>
          <w:tcPr>
            <w:tcW w:w="1130" w:type="dxa"/>
            <w:tcBorders>
              <w:left w:val="nil"/>
              <w:right w:val="nil"/>
            </w:tcBorders>
            <w:noWrap/>
            <w:vAlign w:val="center"/>
            <w:hideMark/>
          </w:tcPr>
          <w:p w14:paraId="4697FB8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76</w:t>
            </w:r>
          </w:p>
        </w:tc>
        <w:tc>
          <w:tcPr>
            <w:tcW w:w="1130" w:type="dxa"/>
            <w:tcBorders>
              <w:left w:val="nil"/>
              <w:right w:val="nil"/>
            </w:tcBorders>
            <w:noWrap/>
            <w:vAlign w:val="center"/>
            <w:hideMark/>
          </w:tcPr>
          <w:p w14:paraId="4F99B75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95</w:t>
            </w:r>
          </w:p>
        </w:tc>
        <w:tc>
          <w:tcPr>
            <w:tcW w:w="1130" w:type="dxa"/>
            <w:tcBorders>
              <w:left w:val="nil"/>
              <w:right w:val="nil"/>
            </w:tcBorders>
            <w:noWrap/>
            <w:vAlign w:val="center"/>
            <w:hideMark/>
          </w:tcPr>
          <w:p w14:paraId="571B9F7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44</w:t>
            </w:r>
          </w:p>
        </w:tc>
        <w:tc>
          <w:tcPr>
            <w:tcW w:w="1130" w:type="dxa"/>
            <w:tcBorders>
              <w:left w:val="nil"/>
              <w:right w:val="nil"/>
            </w:tcBorders>
            <w:noWrap/>
            <w:vAlign w:val="center"/>
            <w:hideMark/>
          </w:tcPr>
          <w:p w14:paraId="59C21CD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54</w:t>
            </w:r>
          </w:p>
        </w:tc>
        <w:tc>
          <w:tcPr>
            <w:tcW w:w="1130" w:type="dxa"/>
            <w:tcBorders>
              <w:left w:val="nil"/>
              <w:right w:val="nil"/>
            </w:tcBorders>
            <w:noWrap/>
            <w:vAlign w:val="center"/>
            <w:hideMark/>
          </w:tcPr>
          <w:p w14:paraId="06D8E77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4A3513D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93</w:t>
            </w:r>
          </w:p>
        </w:tc>
      </w:tr>
      <w:tr w:rsidR="00BF5C8B" w:rsidRPr="00434F77" w14:paraId="0D3713EA" w14:textId="77777777">
        <w:trPr>
          <w:trHeight w:val="295"/>
        </w:trPr>
        <w:tc>
          <w:tcPr>
            <w:tcW w:w="1350" w:type="dxa"/>
            <w:vMerge/>
            <w:tcBorders>
              <w:left w:val="nil"/>
              <w:right w:val="nil"/>
            </w:tcBorders>
            <w:noWrap/>
            <w:hideMark/>
          </w:tcPr>
          <w:p w14:paraId="3944F756"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25D16799"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w:t>
            </w:r>
          </w:p>
        </w:tc>
        <w:tc>
          <w:tcPr>
            <w:tcW w:w="1129" w:type="dxa"/>
            <w:tcBorders>
              <w:left w:val="nil"/>
              <w:right w:val="nil"/>
            </w:tcBorders>
            <w:noWrap/>
            <w:vAlign w:val="center"/>
            <w:hideMark/>
          </w:tcPr>
          <w:p w14:paraId="6D802BC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09</w:t>
            </w:r>
          </w:p>
        </w:tc>
        <w:tc>
          <w:tcPr>
            <w:tcW w:w="1130" w:type="dxa"/>
            <w:tcBorders>
              <w:left w:val="nil"/>
              <w:right w:val="nil"/>
            </w:tcBorders>
            <w:noWrap/>
            <w:vAlign w:val="center"/>
            <w:hideMark/>
          </w:tcPr>
          <w:p w14:paraId="691B566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58CF0F7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24</w:t>
            </w:r>
          </w:p>
        </w:tc>
        <w:tc>
          <w:tcPr>
            <w:tcW w:w="1130" w:type="dxa"/>
            <w:tcBorders>
              <w:left w:val="nil"/>
              <w:right w:val="nil"/>
            </w:tcBorders>
            <w:noWrap/>
            <w:vAlign w:val="center"/>
            <w:hideMark/>
          </w:tcPr>
          <w:p w14:paraId="1A919589"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87</w:t>
            </w:r>
          </w:p>
        </w:tc>
        <w:tc>
          <w:tcPr>
            <w:tcW w:w="1130" w:type="dxa"/>
            <w:tcBorders>
              <w:left w:val="nil"/>
              <w:right w:val="nil"/>
            </w:tcBorders>
            <w:noWrap/>
            <w:vAlign w:val="center"/>
            <w:hideMark/>
          </w:tcPr>
          <w:p w14:paraId="5E2276E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29</w:t>
            </w:r>
          </w:p>
        </w:tc>
        <w:tc>
          <w:tcPr>
            <w:tcW w:w="1130" w:type="dxa"/>
            <w:tcBorders>
              <w:left w:val="nil"/>
              <w:right w:val="nil"/>
            </w:tcBorders>
            <w:noWrap/>
            <w:vAlign w:val="center"/>
            <w:hideMark/>
          </w:tcPr>
          <w:p w14:paraId="6B39008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99</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38</w:t>
            </w:r>
          </w:p>
        </w:tc>
        <w:tc>
          <w:tcPr>
            <w:tcW w:w="1130" w:type="dxa"/>
            <w:tcBorders>
              <w:left w:val="nil"/>
              <w:right w:val="nil"/>
            </w:tcBorders>
            <w:noWrap/>
            <w:vAlign w:val="center"/>
            <w:hideMark/>
          </w:tcPr>
          <w:p w14:paraId="04D5BE6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c>
          <w:tcPr>
            <w:tcW w:w="1130" w:type="dxa"/>
            <w:tcBorders>
              <w:left w:val="nil"/>
              <w:right w:val="nil"/>
            </w:tcBorders>
            <w:noWrap/>
            <w:vAlign w:val="center"/>
            <w:hideMark/>
          </w:tcPr>
          <w:p w14:paraId="16F6C91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66</w:t>
            </w:r>
          </w:p>
        </w:tc>
        <w:tc>
          <w:tcPr>
            <w:tcW w:w="1130" w:type="dxa"/>
            <w:tcBorders>
              <w:left w:val="nil"/>
              <w:right w:val="nil"/>
            </w:tcBorders>
            <w:noWrap/>
            <w:vAlign w:val="center"/>
            <w:hideMark/>
          </w:tcPr>
          <w:p w14:paraId="148D565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98</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48</w:t>
            </w:r>
          </w:p>
        </w:tc>
      </w:tr>
      <w:tr w:rsidR="00BF5C8B" w:rsidRPr="00434F77" w14:paraId="0D42E908" w14:textId="77777777">
        <w:trPr>
          <w:trHeight w:val="295"/>
        </w:trPr>
        <w:tc>
          <w:tcPr>
            <w:tcW w:w="1350" w:type="dxa"/>
            <w:vMerge/>
            <w:tcBorders>
              <w:left w:val="nil"/>
              <w:right w:val="nil"/>
            </w:tcBorders>
            <w:noWrap/>
            <w:hideMark/>
          </w:tcPr>
          <w:p w14:paraId="1503C197"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4C267F91"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1000</w:t>
            </w:r>
          </w:p>
        </w:tc>
        <w:tc>
          <w:tcPr>
            <w:tcW w:w="1129" w:type="dxa"/>
            <w:tcBorders>
              <w:left w:val="nil"/>
              <w:right w:val="nil"/>
            </w:tcBorders>
            <w:noWrap/>
            <w:vAlign w:val="center"/>
            <w:hideMark/>
          </w:tcPr>
          <w:p w14:paraId="7BF8C2F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71</w:t>
            </w:r>
          </w:p>
        </w:tc>
        <w:tc>
          <w:tcPr>
            <w:tcW w:w="1130" w:type="dxa"/>
            <w:tcBorders>
              <w:left w:val="nil"/>
              <w:right w:val="nil"/>
            </w:tcBorders>
            <w:noWrap/>
            <w:vAlign w:val="center"/>
            <w:hideMark/>
          </w:tcPr>
          <w:p w14:paraId="115CE0D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04</w:t>
            </w:r>
          </w:p>
        </w:tc>
        <w:tc>
          <w:tcPr>
            <w:tcW w:w="1130" w:type="dxa"/>
            <w:tcBorders>
              <w:left w:val="nil"/>
              <w:right w:val="nil"/>
            </w:tcBorders>
            <w:noWrap/>
            <w:vAlign w:val="center"/>
            <w:hideMark/>
          </w:tcPr>
          <w:p w14:paraId="332A60D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03</w:t>
            </w:r>
          </w:p>
        </w:tc>
        <w:tc>
          <w:tcPr>
            <w:tcW w:w="1130" w:type="dxa"/>
            <w:tcBorders>
              <w:left w:val="nil"/>
              <w:right w:val="nil"/>
            </w:tcBorders>
            <w:noWrap/>
            <w:vAlign w:val="center"/>
            <w:hideMark/>
          </w:tcPr>
          <w:p w14:paraId="7BD2C01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5F1F5EC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92</w:t>
            </w:r>
          </w:p>
        </w:tc>
        <w:tc>
          <w:tcPr>
            <w:tcW w:w="1130" w:type="dxa"/>
            <w:tcBorders>
              <w:left w:val="nil"/>
              <w:right w:val="nil"/>
            </w:tcBorders>
            <w:noWrap/>
            <w:vAlign w:val="center"/>
            <w:hideMark/>
          </w:tcPr>
          <w:p w14:paraId="5185172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79D6C30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86</w:t>
            </w:r>
          </w:p>
        </w:tc>
        <w:tc>
          <w:tcPr>
            <w:tcW w:w="1130" w:type="dxa"/>
            <w:tcBorders>
              <w:left w:val="nil"/>
              <w:right w:val="nil"/>
            </w:tcBorders>
            <w:noWrap/>
            <w:vAlign w:val="center"/>
            <w:hideMark/>
          </w:tcPr>
          <w:p w14:paraId="3F03FD4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c>
          <w:tcPr>
            <w:tcW w:w="1130" w:type="dxa"/>
            <w:tcBorders>
              <w:left w:val="nil"/>
              <w:right w:val="nil"/>
            </w:tcBorders>
            <w:noWrap/>
            <w:vAlign w:val="center"/>
            <w:hideMark/>
          </w:tcPr>
          <w:p w14:paraId="1717F5F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97</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r>
      <w:tr w:rsidR="00BF5C8B" w:rsidRPr="00434F77" w14:paraId="3E61320F" w14:textId="77777777">
        <w:trPr>
          <w:trHeight w:val="295"/>
        </w:trPr>
        <w:tc>
          <w:tcPr>
            <w:tcW w:w="1350" w:type="dxa"/>
            <w:vMerge/>
            <w:tcBorders>
              <w:left w:val="nil"/>
              <w:right w:val="nil"/>
            </w:tcBorders>
            <w:noWrap/>
            <w:hideMark/>
          </w:tcPr>
          <w:p w14:paraId="5AF2A083"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29049BCE"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3000</w:t>
            </w:r>
          </w:p>
        </w:tc>
        <w:tc>
          <w:tcPr>
            <w:tcW w:w="1129" w:type="dxa"/>
            <w:tcBorders>
              <w:left w:val="nil"/>
              <w:right w:val="nil"/>
            </w:tcBorders>
            <w:noWrap/>
            <w:vAlign w:val="center"/>
            <w:hideMark/>
          </w:tcPr>
          <w:p w14:paraId="30D9FBF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35A4DDB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08</w:t>
            </w:r>
          </w:p>
        </w:tc>
        <w:tc>
          <w:tcPr>
            <w:tcW w:w="1130" w:type="dxa"/>
            <w:tcBorders>
              <w:left w:val="nil"/>
              <w:right w:val="nil"/>
            </w:tcBorders>
            <w:noWrap/>
            <w:vAlign w:val="center"/>
            <w:hideMark/>
          </w:tcPr>
          <w:p w14:paraId="10D9C5C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97</w:t>
            </w:r>
          </w:p>
        </w:tc>
        <w:tc>
          <w:tcPr>
            <w:tcW w:w="1130" w:type="dxa"/>
            <w:tcBorders>
              <w:left w:val="nil"/>
              <w:right w:val="nil"/>
            </w:tcBorders>
            <w:noWrap/>
            <w:vAlign w:val="center"/>
            <w:hideMark/>
          </w:tcPr>
          <w:p w14:paraId="0D84AA5A"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3587F06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56</w:t>
            </w:r>
          </w:p>
        </w:tc>
        <w:tc>
          <w:tcPr>
            <w:tcW w:w="1130" w:type="dxa"/>
            <w:tcBorders>
              <w:left w:val="nil"/>
              <w:right w:val="nil"/>
            </w:tcBorders>
            <w:noWrap/>
            <w:vAlign w:val="center"/>
            <w:hideMark/>
          </w:tcPr>
          <w:p w14:paraId="3B1D56C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98</w:t>
            </w:r>
          </w:p>
        </w:tc>
        <w:tc>
          <w:tcPr>
            <w:tcW w:w="1130" w:type="dxa"/>
            <w:tcBorders>
              <w:left w:val="nil"/>
              <w:right w:val="nil"/>
            </w:tcBorders>
            <w:noWrap/>
            <w:vAlign w:val="center"/>
            <w:hideMark/>
          </w:tcPr>
          <w:p w14:paraId="6F96400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c>
          <w:tcPr>
            <w:tcW w:w="1130" w:type="dxa"/>
            <w:tcBorders>
              <w:left w:val="nil"/>
              <w:right w:val="nil"/>
            </w:tcBorders>
            <w:noWrap/>
            <w:vAlign w:val="center"/>
            <w:hideMark/>
          </w:tcPr>
          <w:p w14:paraId="7223D19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632C87C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95</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38</w:t>
            </w:r>
          </w:p>
        </w:tc>
      </w:tr>
      <w:tr w:rsidR="00BF5C8B" w:rsidRPr="00434F77" w14:paraId="3FA39D75" w14:textId="77777777">
        <w:trPr>
          <w:trHeight w:val="295"/>
        </w:trPr>
        <w:tc>
          <w:tcPr>
            <w:tcW w:w="1350" w:type="dxa"/>
            <w:vMerge/>
            <w:tcBorders>
              <w:left w:val="nil"/>
              <w:right w:val="nil"/>
            </w:tcBorders>
            <w:noWrap/>
            <w:hideMark/>
          </w:tcPr>
          <w:p w14:paraId="31CA4AB5"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38A0D2C1"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5000</w:t>
            </w:r>
          </w:p>
        </w:tc>
        <w:tc>
          <w:tcPr>
            <w:tcW w:w="1129" w:type="dxa"/>
            <w:tcBorders>
              <w:left w:val="nil"/>
              <w:right w:val="nil"/>
            </w:tcBorders>
            <w:noWrap/>
            <w:vAlign w:val="center"/>
            <w:hideMark/>
          </w:tcPr>
          <w:p w14:paraId="0CC1F72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32</w:t>
            </w:r>
          </w:p>
        </w:tc>
        <w:tc>
          <w:tcPr>
            <w:tcW w:w="1130" w:type="dxa"/>
            <w:tcBorders>
              <w:left w:val="nil"/>
              <w:right w:val="nil"/>
            </w:tcBorders>
            <w:noWrap/>
            <w:vAlign w:val="center"/>
            <w:hideMark/>
          </w:tcPr>
          <w:p w14:paraId="0833602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86</w:t>
            </w:r>
          </w:p>
        </w:tc>
        <w:tc>
          <w:tcPr>
            <w:tcW w:w="1130" w:type="dxa"/>
            <w:tcBorders>
              <w:left w:val="nil"/>
              <w:right w:val="nil"/>
            </w:tcBorders>
            <w:noWrap/>
            <w:vAlign w:val="center"/>
            <w:hideMark/>
          </w:tcPr>
          <w:p w14:paraId="35FB4DA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62</w:t>
            </w:r>
          </w:p>
        </w:tc>
        <w:tc>
          <w:tcPr>
            <w:tcW w:w="1130" w:type="dxa"/>
            <w:tcBorders>
              <w:left w:val="nil"/>
              <w:right w:val="nil"/>
            </w:tcBorders>
            <w:noWrap/>
            <w:vAlign w:val="center"/>
            <w:hideMark/>
          </w:tcPr>
          <w:p w14:paraId="04DE784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18</w:t>
            </w:r>
          </w:p>
        </w:tc>
        <w:tc>
          <w:tcPr>
            <w:tcW w:w="1130" w:type="dxa"/>
            <w:tcBorders>
              <w:left w:val="nil"/>
              <w:right w:val="nil"/>
            </w:tcBorders>
            <w:noWrap/>
            <w:vAlign w:val="center"/>
            <w:hideMark/>
          </w:tcPr>
          <w:p w14:paraId="65B809C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15</w:t>
            </w:r>
          </w:p>
        </w:tc>
        <w:tc>
          <w:tcPr>
            <w:tcW w:w="1130" w:type="dxa"/>
            <w:tcBorders>
              <w:left w:val="nil"/>
              <w:right w:val="nil"/>
            </w:tcBorders>
            <w:noWrap/>
            <w:vAlign w:val="center"/>
            <w:hideMark/>
          </w:tcPr>
          <w:p w14:paraId="605B67D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06</w:t>
            </w:r>
          </w:p>
        </w:tc>
        <w:tc>
          <w:tcPr>
            <w:tcW w:w="1130" w:type="dxa"/>
            <w:tcBorders>
              <w:left w:val="nil"/>
              <w:right w:val="nil"/>
            </w:tcBorders>
            <w:noWrap/>
            <w:vAlign w:val="center"/>
            <w:hideMark/>
          </w:tcPr>
          <w:p w14:paraId="2DAC63F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498332E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03</w:t>
            </w:r>
          </w:p>
        </w:tc>
        <w:tc>
          <w:tcPr>
            <w:tcW w:w="1130" w:type="dxa"/>
            <w:tcBorders>
              <w:left w:val="nil"/>
              <w:right w:val="nil"/>
            </w:tcBorders>
            <w:noWrap/>
            <w:vAlign w:val="center"/>
            <w:hideMark/>
          </w:tcPr>
          <w:p w14:paraId="49438DC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51</w:t>
            </w:r>
          </w:p>
        </w:tc>
      </w:tr>
      <w:tr w:rsidR="00BF5C8B" w:rsidRPr="00434F77" w14:paraId="75B1C646" w14:textId="77777777">
        <w:trPr>
          <w:trHeight w:val="295"/>
        </w:trPr>
        <w:tc>
          <w:tcPr>
            <w:tcW w:w="1350" w:type="dxa"/>
            <w:vMerge/>
            <w:tcBorders>
              <w:left w:val="nil"/>
              <w:right w:val="nil"/>
            </w:tcBorders>
            <w:noWrap/>
            <w:hideMark/>
          </w:tcPr>
          <w:p w14:paraId="02DC5CE3"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5AE41999"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10 000</w:t>
            </w:r>
          </w:p>
        </w:tc>
        <w:tc>
          <w:tcPr>
            <w:tcW w:w="1129" w:type="dxa"/>
            <w:tcBorders>
              <w:left w:val="nil"/>
              <w:right w:val="nil"/>
            </w:tcBorders>
            <w:noWrap/>
            <w:vAlign w:val="center"/>
            <w:hideMark/>
          </w:tcPr>
          <w:p w14:paraId="7BB6F81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c>
          <w:tcPr>
            <w:tcW w:w="1130" w:type="dxa"/>
            <w:tcBorders>
              <w:left w:val="nil"/>
              <w:right w:val="nil"/>
            </w:tcBorders>
            <w:noWrap/>
            <w:vAlign w:val="center"/>
            <w:hideMark/>
          </w:tcPr>
          <w:p w14:paraId="3557B43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00A873C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65</w:t>
            </w:r>
          </w:p>
        </w:tc>
        <w:tc>
          <w:tcPr>
            <w:tcW w:w="1130" w:type="dxa"/>
            <w:tcBorders>
              <w:left w:val="nil"/>
              <w:right w:val="nil"/>
            </w:tcBorders>
            <w:noWrap/>
            <w:vAlign w:val="center"/>
            <w:hideMark/>
          </w:tcPr>
          <w:p w14:paraId="596E40B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22</w:t>
            </w:r>
          </w:p>
        </w:tc>
        <w:tc>
          <w:tcPr>
            <w:tcW w:w="1130" w:type="dxa"/>
            <w:tcBorders>
              <w:left w:val="nil"/>
              <w:right w:val="nil"/>
            </w:tcBorders>
            <w:noWrap/>
            <w:vAlign w:val="center"/>
            <w:hideMark/>
          </w:tcPr>
          <w:p w14:paraId="75B5280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23</w:t>
            </w:r>
          </w:p>
        </w:tc>
        <w:tc>
          <w:tcPr>
            <w:tcW w:w="1130" w:type="dxa"/>
            <w:tcBorders>
              <w:left w:val="nil"/>
              <w:right w:val="nil"/>
            </w:tcBorders>
            <w:noWrap/>
            <w:vAlign w:val="center"/>
            <w:hideMark/>
          </w:tcPr>
          <w:p w14:paraId="41CEB79E"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34</w:t>
            </w:r>
          </w:p>
        </w:tc>
        <w:tc>
          <w:tcPr>
            <w:tcW w:w="1130" w:type="dxa"/>
            <w:tcBorders>
              <w:left w:val="nil"/>
              <w:right w:val="nil"/>
            </w:tcBorders>
            <w:noWrap/>
            <w:vAlign w:val="center"/>
            <w:hideMark/>
          </w:tcPr>
          <w:p w14:paraId="3266FF1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11</w:t>
            </w:r>
          </w:p>
        </w:tc>
        <w:tc>
          <w:tcPr>
            <w:tcW w:w="1130" w:type="dxa"/>
            <w:tcBorders>
              <w:left w:val="nil"/>
              <w:right w:val="nil"/>
            </w:tcBorders>
            <w:noWrap/>
            <w:vAlign w:val="center"/>
            <w:hideMark/>
          </w:tcPr>
          <w:p w14:paraId="3454F544"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16</w:t>
            </w:r>
          </w:p>
        </w:tc>
        <w:tc>
          <w:tcPr>
            <w:tcW w:w="1130" w:type="dxa"/>
            <w:tcBorders>
              <w:left w:val="nil"/>
              <w:right w:val="nil"/>
            </w:tcBorders>
            <w:noWrap/>
            <w:vAlign w:val="center"/>
            <w:hideMark/>
          </w:tcPr>
          <w:p w14:paraId="3A51F85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94</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06</w:t>
            </w:r>
          </w:p>
        </w:tc>
      </w:tr>
      <w:tr w:rsidR="00BF5C8B" w:rsidRPr="00434F77" w14:paraId="7234C784" w14:textId="77777777">
        <w:trPr>
          <w:trHeight w:val="295"/>
        </w:trPr>
        <w:tc>
          <w:tcPr>
            <w:tcW w:w="1350" w:type="dxa"/>
            <w:vMerge/>
            <w:tcBorders>
              <w:left w:val="nil"/>
              <w:right w:val="nil"/>
            </w:tcBorders>
            <w:noWrap/>
            <w:hideMark/>
          </w:tcPr>
          <w:p w14:paraId="40105800"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4E0CD97B"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25 000</w:t>
            </w:r>
          </w:p>
        </w:tc>
        <w:tc>
          <w:tcPr>
            <w:tcW w:w="1129" w:type="dxa"/>
            <w:tcBorders>
              <w:left w:val="nil"/>
              <w:right w:val="nil"/>
            </w:tcBorders>
            <w:noWrap/>
            <w:vAlign w:val="center"/>
            <w:hideMark/>
          </w:tcPr>
          <w:p w14:paraId="5E00299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01</w:t>
            </w:r>
          </w:p>
        </w:tc>
        <w:tc>
          <w:tcPr>
            <w:tcW w:w="1130" w:type="dxa"/>
            <w:tcBorders>
              <w:left w:val="nil"/>
              <w:right w:val="nil"/>
            </w:tcBorders>
            <w:noWrap/>
            <w:vAlign w:val="center"/>
            <w:hideMark/>
          </w:tcPr>
          <w:p w14:paraId="47483A8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38</w:t>
            </w:r>
          </w:p>
        </w:tc>
        <w:tc>
          <w:tcPr>
            <w:tcW w:w="1130" w:type="dxa"/>
            <w:tcBorders>
              <w:left w:val="nil"/>
              <w:right w:val="nil"/>
            </w:tcBorders>
            <w:noWrap/>
            <w:vAlign w:val="center"/>
            <w:hideMark/>
          </w:tcPr>
          <w:p w14:paraId="38FA417B"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35</w:t>
            </w:r>
          </w:p>
        </w:tc>
        <w:tc>
          <w:tcPr>
            <w:tcW w:w="1130" w:type="dxa"/>
            <w:tcBorders>
              <w:left w:val="nil"/>
              <w:right w:val="nil"/>
            </w:tcBorders>
            <w:noWrap/>
            <w:vAlign w:val="center"/>
            <w:hideMark/>
          </w:tcPr>
          <w:p w14:paraId="73AEEFD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06</w:t>
            </w:r>
          </w:p>
        </w:tc>
        <w:tc>
          <w:tcPr>
            <w:tcW w:w="1130" w:type="dxa"/>
            <w:tcBorders>
              <w:left w:val="nil"/>
              <w:right w:val="nil"/>
            </w:tcBorders>
            <w:noWrap/>
            <w:vAlign w:val="center"/>
            <w:hideMark/>
          </w:tcPr>
          <w:p w14:paraId="1934C58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44</w:t>
            </w:r>
          </w:p>
        </w:tc>
        <w:tc>
          <w:tcPr>
            <w:tcW w:w="1130" w:type="dxa"/>
            <w:tcBorders>
              <w:left w:val="nil"/>
              <w:right w:val="nil"/>
            </w:tcBorders>
            <w:noWrap/>
            <w:vAlign w:val="center"/>
            <w:hideMark/>
          </w:tcPr>
          <w:p w14:paraId="1889C600"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93</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0</w:t>
            </w:r>
          </w:p>
        </w:tc>
        <w:tc>
          <w:tcPr>
            <w:tcW w:w="1130" w:type="dxa"/>
            <w:tcBorders>
              <w:left w:val="nil"/>
              <w:right w:val="nil"/>
            </w:tcBorders>
            <w:noWrap/>
            <w:vAlign w:val="center"/>
            <w:hideMark/>
          </w:tcPr>
          <w:p w14:paraId="787DA332"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.00</w:t>
            </w:r>
          </w:p>
        </w:tc>
        <w:tc>
          <w:tcPr>
            <w:tcW w:w="1130" w:type="dxa"/>
            <w:tcBorders>
              <w:left w:val="nil"/>
              <w:right w:val="nil"/>
            </w:tcBorders>
            <w:noWrap/>
            <w:vAlign w:val="center"/>
            <w:hideMark/>
          </w:tcPr>
          <w:p w14:paraId="06EAB40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43</w:t>
            </w:r>
          </w:p>
        </w:tc>
        <w:tc>
          <w:tcPr>
            <w:tcW w:w="1130" w:type="dxa"/>
            <w:tcBorders>
              <w:left w:val="nil"/>
              <w:right w:val="nil"/>
            </w:tcBorders>
            <w:noWrap/>
            <w:vAlign w:val="center"/>
            <w:hideMark/>
          </w:tcPr>
          <w:p w14:paraId="7508EB38"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92</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41</w:t>
            </w:r>
          </w:p>
        </w:tc>
      </w:tr>
      <w:tr w:rsidR="00BF5C8B" w:rsidRPr="00434F77" w14:paraId="3662B02D" w14:textId="77777777">
        <w:trPr>
          <w:trHeight w:val="295"/>
        </w:trPr>
        <w:tc>
          <w:tcPr>
            <w:tcW w:w="1350" w:type="dxa"/>
            <w:vMerge/>
            <w:tcBorders>
              <w:left w:val="nil"/>
              <w:right w:val="nil"/>
            </w:tcBorders>
            <w:noWrap/>
            <w:hideMark/>
          </w:tcPr>
          <w:p w14:paraId="6DD6FCAD" w14:textId="77777777" w:rsidR="00BF5C8B" w:rsidRPr="00434F77" w:rsidRDefault="00BF5C8B">
            <w:pPr>
              <w:jc w:val="right"/>
              <w:rPr>
                <w:rFonts w:asciiTheme="majorHAnsi" w:eastAsia="Times New Roman" w:hAnsiTheme="majorHAnsi" w:cstheme="majorHAnsi"/>
                <w:color w:val="000000"/>
              </w:rPr>
            </w:pPr>
          </w:p>
        </w:tc>
        <w:tc>
          <w:tcPr>
            <w:tcW w:w="1441" w:type="dxa"/>
            <w:tcBorders>
              <w:left w:val="nil"/>
              <w:right w:val="nil"/>
            </w:tcBorders>
            <w:noWrap/>
            <w:vAlign w:val="center"/>
            <w:hideMark/>
          </w:tcPr>
          <w:p w14:paraId="6BA85E13" w14:textId="77777777" w:rsidR="00BF5C8B" w:rsidRPr="00434F77" w:rsidRDefault="00BF5C8B">
            <w:pPr>
              <w:rPr>
                <w:rFonts w:asciiTheme="majorHAnsi" w:eastAsia="Times New Roman" w:hAnsiTheme="majorHAnsi" w:cstheme="majorHAnsi"/>
                <w:color w:val="000000"/>
              </w:rPr>
            </w:pPr>
            <w:r w:rsidRPr="00434F77">
              <w:rPr>
                <w:rFonts w:asciiTheme="majorHAnsi" w:eastAsia="Times New Roman" w:hAnsiTheme="majorHAnsi" w:cstheme="majorHAnsi"/>
                <w:color w:val="000000"/>
              </w:rPr>
              <w:t>100 000</w:t>
            </w:r>
          </w:p>
        </w:tc>
        <w:tc>
          <w:tcPr>
            <w:tcW w:w="1129" w:type="dxa"/>
            <w:tcBorders>
              <w:left w:val="nil"/>
              <w:right w:val="nil"/>
            </w:tcBorders>
            <w:noWrap/>
            <w:vAlign w:val="center"/>
            <w:hideMark/>
          </w:tcPr>
          <w:p w14:paraId="352DE807"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06</w:t>
            </w:r>
          </w:p>
        </w:tc>
        <w:tc>
          <w:tcPr>
            <w:tcW w:w="1130" w:type="dxa"/>
            <w:tcBorders>
              <w:left w:val="nil"/>
              <w:right w:val="nil"/>
            </w:tcBorders>
            <w:noWrap/>
            <w:vAlign w:val="center"/>
            <w:hideMark/>
          </w:tcPr>
          <w:p w14:paraId="3D2B2863"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69</w:t>
            </w:r>
          </w:p>
        </w:tc>
        <w:tc>
          <w:tcPr>
            <w:tcW w:w="1130" w:type="dxa"/>
            <w:tcBorders>
              <w:left w:val="nil"/>
              <w:right w:val="nil"/>
            </w:tcBorders>
            <w:noWrap/>
            <w:vAlign w:val="center"/>
            <w:hideMark/>
          </w:tcPr>
          <w:p w14:paraId="3BB9419F"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42</w:t>
            </w:r>
          </w:p>
        </w:tc>
        <w:tc>
          <w:tcPr>
            <w:tcW w:w="1130" w:type="dxa"/>
            <w:tcBorders>
              <w:left w:val="nil"/>
              <w:right w:val="nil"/>
            </w:tcBorders>
            <w:noWrap/>
            <w:vAlign w:val="center"/>
            <w:hideMark/>
          </w:tcPr>
          <w:p w14:paraId="4D173A9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0F2EA34C"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72</w:t>
            </w:r>
          </w:p>
        </w:tc>
        <w:tc>
          <w:tcPr>
            <w:tcW w:w="1130" w:type="dxa"/>
            <w:tcBorders>
              <w:left w:val="nil"/>
              <w:right w:val="nil"/>
            </w:tcBorders>
            <w:noWrap/>
            <w:vAlign w:val="center"/>
            <w:hideMark/>
          </w:tcPr>
          <w:p w14:paraId="0B3B4D31"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73</w:t>
            </w:r>
          </w:p>
        </w:tc>
        <w:tc>
          <w:tcPr>
            <w:tcW w:w="1130" w:type="dxa"/>
            <w:tcBorders>
              <w:left w:val="nil"/>
              <w:right w:val="nil"/>
            </w:tcBorders>
            <w:noWrap/>
            <w:vAlign w:val="center"/>
            <w:hideMark/>
          </w:tcPr>
          <w:p w14:paraId="7D0CF536"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-0</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05</w:t>
            </w:r>
          </w:p>
        </w:tc>
        <w:tc>
          <w:tcPr>
            <w:tcW w:w="1130" w:type="dxa"/>
            <w:tcBorders>
              <w:left w:val="nil"/>
              <w:right w:val="nil"/>
            </w:tcBorders>
            <w:noWrap/>
            <w:vAlign w:val="center"/>
            <w:hideMark/>
          </w:tcPr>
          <w:p w14:paraId="75282375"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1</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71</w:t>
            </w:r>
          </w:p>
        </w:tc>
        <w:tc>
          <w:tcPr>
            <w:tcW w:w="1130" w:type="dxa"/>
            <w:tcBorders>
              <w:left w:val="nil"/>
              <w:right w:val="nil"/>
            </w:tcBorders>
            <w:noWrap/>
            <w:vAlign w:val="center"/>
            <w:hideMark/>
          </w:tcPr>
          <w:p w14:paraId="1FE52FAD" w14:textId="77777777" w:rsidR="00BF5C8B" w:rsidRPr="00434F77" w:rsidRDefault="00BF5C8B">
            <w:pPr>
              <w:jc w:val="center"/>
              <w:rPr>
                <w:rFonts w:asciiTheme="majorHAnsi" w:eastAsia="Times New Roman" w:hAnsiTheme="majorHAnsi" w:cstheme="majorHAnsi"/>
                <w:color w:val="000000"/>
              </w:rPr>
            </w:pPr>
            <w:r w:rsidRPr="00434F77">
              <w:rPr>
                <w:rFonts w:asciiTheme="majorHAnsi" w:eastAsia="Times New Roman" w:hAnsiTheme="majorHAnsi" w:cstheme="majorHAnsi"/>
                <w:color w:val="000000"/>
              </w:rPr>
              <w:t>86</w:t>
            </w:r>
            <w:r>
              <w:rPr>
                <w:rFonts w:asciiTheme="majorHAnsi" w:eastAsia="Times New Roman" w:hAnsiTheme="majorHAnsi" w:cstheme="majorHAnsi"/>
                <w:color w:val="000000"/>
              </w:rPr>
              <w:t>.</w:t>
            </w:r>
            <w:r w:rsidRPr="00434F77">
              <w:rPr>
                <w:rFonts w:asciiTheme="majorHAnsi" w:eastAsia="Times New Roman" w:hAnsiTheme="majorHAnsi" w:cstheme="majorHAnsi"/>
                <w:color w:val="000000"/>
              </w:rPr>
              <w:t>13</w:t>
            </w:r>
          </w:p>
        </w:tc>
      </w:tr>
    </w:tbl>
    <w:bookmarkEnd w:id="63"/>
    <w:p w14:paraId="5270281A" w14:textId="371474AA" w:rsidR="00FC7390" w:rsidRDefault="00E32313" w:rsidP="00E32313">
      <w:pPr>
        <w:rPr>
          <w:rFonts w:asciiTheme="majorHAnsi" w:eastAsiaTheme="minorEastAsia" w:hAnsiTheme="majorHAnsi" w:cstheme="majorBidi"/>
          <w:lang w:val="en-GB"/>
        </w:rPr>
      </w:pPr>
      <w:r w:rsidRPr="136EDF08">
        <w:rPr>
          <w:rFonts w:asciiTheme="majorHAnsi" w:eastAsiaTheme="minorEastAsia" w:hAnsiTheme="majorHAnsi" w:cstheme="majorBidi"/>
          <w:lang w:val="en-GB"/>
        </w:rPr>
        <w:t>*“Across all racial</w:t>
      </w:r>
      <w:r w:rsidR="00885A70">
        <w:rPr>
          <w:rFonts w:asciiTheme="majorHAnsi" w:eastAsiaTheme="minorEastAsia" w:hAnsiTheme="majorHAnsi" w:cstheme="majorBidi"/>
          <w:lang w:val="en-GB"/>
        </w:rPr>
        <w:t xml:space="preserve"> and </w:t>
      </w:r>
      <w:r w:rsidRPr="136EDF08">
        <w:rPr>
          <w:rFonts w:asciiTheme="majorHAnsi" w:eastAsiaTheme="minorEastAsia" w:hAnsiTheme="majorHAnsi" w:cstheme="majorBidi"/>
          <w:lang w:val="en-GB"/>
        </w:rPr>
        <w:t xml:space="preserve">ethnic </w:t>
      </w:r>
      <w:r w:rsidR="00885A70">
        <w:rPr>
          <w:rFonts w:asciiTheme="majorHAnsi" w:eastAsiaTheme="minorEastAsia" w:hAnsiTheme="majorHAnsi" w:cstheme="majorBidi"/>
          <w:lang w:val="en-GB"/>
        </w:rPr>
        <w:t>population</w:t>
      </w:r>
      <w:r w:rsidRPr="136EDF08">
        <w:rPr>
          <w:rFonts w:asciiTheme="majorHAnsi" w:eastAsiaTheme="minorEastAsia" w:hAnsiTheme="majorHAnsi" w:cstheme="majorBidi"/>
          <w:lang w:val="en-GB"/>
        </w:rPr>
        <w:t>s” indicates that errors and coverage were calculated across all racial</w:t>
      </w:r>
      <w:r w:rsidR="00885A70">
        <w:rPr>
          <w:rFonts w:asciiTheme="majorHAnsi" w:eastAsiaTheme="minorEastAsia" w:hAnsiTheme="majorHAnsi" w:cstheme="majorBidi"/>
          <w:lang w:val="en-GB"/>
        </w:rPr>
        <w:t xml:space="preserve"> and </w:t>
      </w:r>
      <w:r w:rsidRPr="136EDF08">
        <w:rPr>
          <w:rFonts w:asciiTheme="majorHAnsi" w:eastAsiaTheme="minorEastAsia" w:hAnsiTheme="majorHAnsi" w:cstheme="majorBidi"/>
          <w:lang w:val="en-GB"/>
        </w:rPr>
        <w:t xml:space="preserve">ethnic </w:t>
      </w:r>
      <w:r w:rsidR="00885A70">
        <w:rPr>
          <w:rFonts w:asciiTheme="majorHAnsi" w:eastAsiaTheme="minorEastAsia" w:hAnsiTheme="majorHAnsi" w:cstheme="majorBidi"/>
          <w:lang w:val="en-GB"/>
        </w:rPr>
        <w:t>population</w:t>
      </w:r>
      <w:r w:rsidRPr="136EDF08">
        <w:rPr>
          <w:rFonts w:asciiTheme="majorHAnsi" w:eastAsiaTheme="minorEastAsia" w:hAnsiTheme="majorHAnsi" w:cstheme="majorBidi"/>
          <w:lang w:val="en-GB"/>
        </w:rPr>
        <w:t>s.</w:t>
      </w:r>
      <w:r w:rsidR="00723941">
        <w:rPr>
          <w:rFonts w:asciiTheme="majorHAnsi" w:eastAsiaTheme="minorEastAsia" w:hAnsiTheme="majorHAnsi" w:cstheme="majorBidi"/>
          <w:lang w:val="en-GB"/>
        </w:rPr>
        <w:t xml:space="preserve"> Results are not reported for the AIAN population as no counties met the </w:t>
      </w:r>
      <w:r w:rsidR="00B70EE4">
        <w:rPr>
          <w:rFonts w:asciiTheme="majorHAnsi" w:eastAsiaTheme="minorEastAsia" w:hAnsiTheme="majorHAnsi" w:cstheme="majorBidi"/>
          <w:lang w:val="en-GB"/>
        </w:rPr>
        <w:t xml:space="preserve">criteria for inclusion in the validation set for the AIAN population (see section 2.5). </w:t>
      </w:r>
    </w:p>
    <w:p w14:paraId="26CC7D71" w14:textId="77777777" w:rsidR="00FC7390" w:rsidRDefault="00FC7390">
      <w:pPr>
        <w:rPr>
          <w:rFonts w:asciiTheme="majorHAnsi" w:eastAsiaTheme="minorEastAsia" w:hAnsiTheme="majorHAnsi" w:cstheme="majorBidi"/>
          <w:lang w:val="en-GB"/>
        </w:rPr>
      </w:pPr>
      <w:r>
        <w:rPr>
          <w:rFonts w:asciiTheme="majorHAnsi" w:eastAsiaTheme="minorEastAsia" w:hAnsiTheme="majorHAnsi" w:cstheme="majorBidi"/>
          <w:lang w:val="en-GB"/>
        </w:rPr>
        <w:br w:type="page"/>
      </w:r>
    </w:p>
    <w:p w14:paraId="0706FECF" w14:textId="77777777" w:rsidR="00FC7390" w:rsidRDefault="00FC7390" w:rsidP="00E32313">
      <w:pPr>
        <w:rPr>
          <w:rFonts w:asciiTheme="majorHAnsi" w:eastAsiaTheme="majorEastAsia" w:hAnsiTheme="majorHAnsi" w:cstheme="majorBidi"/>
          <w:color w:val="2E74B5" w:themeColor="accent1" w:themeShade="BF"/>
          <w:sz w:val="26"/>
          <w:szCs w:val="26"/>
          <w:lang w:val="en-GB"/>
        </w:rPr>
        <w:sectPr w:rsidR="00FC7390" w:rsidSect="008B1C9A">
          <w:pgSz w:w="15840" w:h="12240" w:orient="landscape"/>
          <w:pgMar w:top="1440" w:right="1440" w:bottom="1440" w:left="1440" w:header="720" w:footer="720" w:gutter="0"/>
          <w:cols w:space="720"/>
          <w:docGrid w:linePitch="360"/>
        </w:sectPr>
      </w:pPr>
    </w:p>
    <w:p w14:paraId="291D04B8" w14:textId="77777777" w:rsidR="00FC7390" w:rsidRPr="00FC7390" w:rsidRDefault="00FC7390" w:rsidP="0069775F">
      <w:pPr>
        <w:pStyle w:val="Heading2"/>
        <w:rPr>
          <w:lang w:val="en-GB"/>
        </w:rPr>
      </w:pPr>
      <w:bookmarkStart w:id="64" w:name="_Toc175308198"/>
      <w:r w:rsidRPr="00FC7390">
        <w:rPr>
          <w:lang w:val="en-GB"/>
        </w:rPr>
        <w:lastRenderedPageBreak/>
        <w:t>3.9 Definitions of maternal mortality terms</w:t>
      </w:r>
      <w:bookmarkEnd w:id="64"/>
    </w:p>
    <w:tbl>
      <w:tblPr>
        <w:tblStyle w:val="TableGrid"/>
        <w:tblW w:w="9368" w:type="dxa"/>
        <w:tblInd w:w="-5" w:type="dxa"/>
        <w:tblLook w:val="04A0" w:firstRow="1" w:lastRow="0" w:firstColumn="1" w:lastColumn="0" w:noHBand="0" w:noVBand="1"/>
      </w:tblPr>
      <w:tblGrid>
        <w:gridCol w:w="3420"/>
        <w:gridCol w:w="5948"/>
      </w:tblGrid>
      <w:tr w:rsidR="00FC7390" w:rsidRPr="00E37114" w14:paraId="090D09E9" w14:textId="77777777" w:rsidTr="00FC7390">
        <w:trPr>
          <w:trHeight w:val="631"/>
        </w:trPr>
        <w:tc>
          <w:tcPr>
            <w:tcW w:w="3420" w:type="dxa"/>
            <w:vAlign w:val="center"/>
          </w:tcPr>
          <w:p w14:paraId="27A9FF67"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Maternal death</w:t>
            </w:r>
          </w:p>
        </w:tc>
        <w:tc>
          <w:tcPr>
            <w:tcW w:w="5948" w:type="dxa"/>
          </w:tcPr>
          <w:p w14:paraId="3FB7CBAA" w14:textId="77777777" w:rsidR="00FC7390" w:rsidRPr="00FC7390" w:rsidRDefault="00FC7390" w:rsidP="00BA5751">
            <w:pPr>
              <w:tabs>
                <w:tab w:val="left" w:pos="940"/>
              </w:tabs>
              <w:rPr>
                <w:rFonts w:asciiTheme="majorHAnsi" w:eastAsia="Times New Roman" w:hAnsiTheme="majorHAnsi" w:cstheme="majorHAnsi"/>
                <w:color w:val="000000"/>
              </w:rPr>
            </w:pPr>
            <w:r w:rsidRPr="00FC7390">
              <w:rPr>
                <w:rFonts w:asciiTheme="majorHAnsi" w:eastAsia="Times New Roman" w:hAnsiTheme="majorHAnsi" w:cstheme="majorHAnsi"/>
                <w:color w:val="000000"/>
              </w:rPr>
              <w:t>The death of a patient while pregnant or within 42 days of termination of pregnancy, irrespective of the duration and site of the pregnancy, from any cause related to or aggravated by the pregnancy or its management, but not from accidental or incidental causes</w:t>
            </w:r>
          </w:p>
        </w:tc>
      </w:tr>
      <w:tr w:rsidR="00FC7390" w:rsidRPr="00E37114" w14:paraId="3B7CC911" w14:textId="77777777" w:rsidTr="00FC7390">
        <w:trPr>
          <w:trHeight w:val="631"/>
        </w:trPr>
        <w:tc>
          <w:tcPr>
            <w:tcW w:w="3420" w:type="dxa"/>
            <w:vAlign w:val="center"/>
          </w:tcPr>
          <w:p w14:paraId="5441D841"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Late maternal death</w:t>
            </w:r>
          </w:p>
        </w:tc>
        <w:tc>
          <w:tcPr>
            <w:tcW w:w="5948" w:type="dxa"/>
          </w:tcPr>
          <w:p w14:paraId="7D1220AF" w14:textId="77777777" w:rsidR="00FC7390" w:rsidRPr="00FC7390" w:rsidRDefault="00FC7390" w:rsidP="00BA5751">
            <w:pPr>
              <w:tabs>
                <w:tab w:val="left" w:pos="1150"/>
              </w:tabs>
              <w:rPr>
                <w:rFonts w:asciiTheme="majorHAnsi" w:eastAsia="Times New Roman" w:hAnsiTheme="majorHAnsi" w:cstheme="majorHAnsi"/>
                <w:color w:val="000000"/>
              </w:rPr>
            </w:pPr>
            <w:r w:rsidRPr="00FC7390">
              <w:rPr>
                <w:rFonts w:asciiTheme="majorHAnsi" w:eastAsia="Times New Roman" w:hAnsiTheme="majorHAnsi" w:cstheme="majorHAnsi"/>
                <w:color w:val="000000"/>
              </w:rPr>
              <w:t>The death of a patient from direct or indirect obstetric causes more than 42 days, but less than one year, after the end of pregnancy</w:t>
            </w:r>
          </w:p>
        </w:tc>
      </w:tr>
      <w:tr w:rsidR="00FC7390" w:rsidRPr="00E37114" w14:paraId="7D4C1744" w14:textId="77777777" w:rsidTr="00FC7390">
        <w:trPr>
          <w:trHeight w:val="503"/>
        </w:trPr>
        <w:tc>
          <w:tcPr>
            <w:tcW w:w="3420" w:type="dxa"/>
            <w:vAlign w:val="center"/>
          </w:tcPr>
          <w:p w14:paraId="3D3A75CE"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Pregnancy-associated death</w:t>
            </w:r>
          </w:p>
        </w:tc>
        <w:tc>
          <w:tcPr>
            <w:tcW w:w="5948" w:type="dxa"/>
          </w:tcPr>
          <w:p w14:paraId="06C63781"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A death during or within one year of pregnancy, regardless of the cause</w:t>
            </w:r>
          </w:p>
        </w:tc>
      </w:tr>
      <w:tr w:rsidR="00FC7390" w:rsidRPr="00E37114" w14:paraId="6D459A4F" w14:textId="77777777" w:rsidTr="00FC7390">
        <w:trPr>
          <w:trHeight w:val="631"/>
        </w:trPr>
        <w:tc>
          <w:tcPr>
            <w:tcW w:w="3420" w:type="dxa"/>
            <w:vAlign w:val="center"/>
          </w:tcPr>
          <w:p w14:paraId="6B258FE0"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Pregnancy-related death</w:t>
            </w:r>
          </w:p>
        </w:tc>
        <w:tc>
          <w:tcPr>
            <w:tcW w:w="5948" w:type="dxa"/>
          </w:tcPr>
          <w:p w14:paraId="1B0D6E1A"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A death during or within one year of pregnancy from a pregnancy complication, a chain of events initiated by pregnancy, or the aggravation of an unrelated condition by the physiologic effects of pregnancy</w:t>
            </w:r>
          </w:p>
        </w:tc>
      </w:tr>
      <w:tr w:rsidR="00FC7390" w:rsidRPr="00E37114" w14:paraId="220AC4C6" w14:textId="77777777" w:rsidTr="00FC7390">
        <w:trPr>
          <w:trHeight w:val="631"/>
        </w:trPr>
        <w:tc>
          <w:tcPr>
            <w:tcW w:w="3420" w:type="dxa"/>
            <w:vAlign w:val="center"/>
          </w:tcPr>
          <w:p w14:paraId="223DB1C0"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Maternal mortality ratio (MMR)</w:t>
            </w:r>
          </w:p>
        </w:tc>
        <w:tc>
          <w:tcPr>
            <w:tcW w:w="5948" w:type="dxa"/>
          </w:tcPr>
          <w:p w14:paraId="33D8DFB4" w14:textId="77777777" w:rsidR="00FC7390" w:rsidRPr="00FC7390" w:rsidRDefault="00FC7390" w:rsidP="00BA5751">
            <w:pPr>
              <w:pStyle w:val="bulletindent1"/>
              <w:shd w:val="clear" w:color="auto" w:fill="FFFFFF"/>
              <w:spacing w:before="0" w:beforeAutospacing="0" w:after="0" w:afterAutospacing="0"/>
              <w:rPr>
                <w:rFonts w:asciiTheme="majorHAnsi" w:hAnsiTheme="majorHAnsi" w:cstheme="majorHAnsi"/>
                <w:color w:val="000000"/>
                <w:sz w:val="22"/>
                <w:szCs w:val="22"/>
              </w:rPr>
            </w:pPr>
            <w:r w:rsidRPr="00FC7390">
              <w:rPr>
                <w:rFonts w:asciiTheme="majorHAnsi" w:hAnsiTheme="majorHAnsi" w:cstheme="majorHAnsi"/>
                <w:color w:val="000000"/>
                <w:sz w:val="22"/>
                <w:szCs w:val="22"/>
              </w:rPr>
              <w:t xml:space="preserve">The number of maternal deaths during a given </w:t>
            </w:r>
            <w:proofErr w:type="gramStart"/>
            <w:r w:rsidRPr="00FC7390">
              <w:rPr>
                <w:rFonts w:asciiTheme="majorHAnsi" w:hAnsiTheme="majorHAnsi" w:cstheme="majorHAnsi"/>
                <w:color w:val="000000"/>
                <w:sz w:val="22"/>
                <w:szCs w:val="22"/>
              </w:rPr>
              <w:t>time period</w:t>
            </w:r>
            <w:proofErr w:type="gramEnd"/>
            <w:r w:rsidRPr="00FC7390">
              <w:rPr>
                <w:rFonts w:asciiTheme="majorHAnsi" w:hAnsiTheme="majorHAnsi" w:cstheme="majorHAnsi"/>
                <w:color w:val="000000"/>
                <w:sz w:val="22"/>
                <w:szCs w:val="22"/>
              </w:rPr>
              <w:t xml:space="preserve"> per 100,000 live births. Serves as an indicator of the risk for death once a patient has become pregnant</w:t>
            </w:r>
          </w:p>
        </w:tc>
      </w:tr>
      <w:tr w:rsidR="00FC7390" w:rsidRPr="00E37114" w14:paraId="4DED8382" w14:textId="77777777" w:rsidTr="00FC7390">
        <w:trPr>
          <w:trHeight w:val="631"/>
        </w:trPr>
        <w:tc>
          <w:tcPr>
            <w:tcW w:w="3420" w:type="dxa"/>
            <w:vAlign w:val="center"/>
          </w:tcPr>
          <w:p w14:paraId="122BA53E"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Maternal mortality rate</w:t>
            </w:r>
          </w:p>
        </w:tc>
        <w:tc>
          <w:tcPr>
            <w:tcW w:w="5948" w:type="dxa"/>
          </w:tcPr>
          <w:p w14:paraId="2F6EEFAD"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 xml:space="preserve">The number of maternal deaths in each period per 100,000 females of reproductive age during the same </w:t>
            </w:r>
            <w:proofErr w:type="gramStart"/>
            <w:r w:rsidRPr="00FC7390">
              <w:rPr>
                <w:rFonts w:asciiTheme="majorHAnsi" w:eastAsia="Times New Roman" w:hAnsiTheme="majorHAnsi" w:cstheme="majorHAnsi"/>
                <w:color w:val="000000"/>
              </w:rPr>
              <w:t>time period</w:t>
            </w:r>
            <w:proofErr w:type="gramEnd"/>
          </w:p>
        </w:tc>
      </w:tr>
      <w:tr w:rsidR="00FC7390" w:rsidRPr="00E37114" w14:paraId="17B60006" w14:textId="77777777" w:rsidTr="00FC7390">
        <w:trPr>
          <w:trHeight w:val="631"/>
        </w:trPr>
        <w:tc>
          <w:tcPr>
            <w:tcW w:w="3420" w:type="dxa"/>
            <w:tcBorders>
              <w:bottom w:val="single" w:sz="4" w:space="0" w:color="auto"/>
            </w:tcBorders>
            <w:vAlign w:val="center"/>
          </w:tcPr>
          <w:p w14:paraId="2BDAECE4" w14:textId="77777777" w:rsidR="00FC7390" w:rsidRPr="00FC7390" w:rsidRDefault="00FC7390" w:rsidP="00BA5751">
            <w:pPr>
              <w:rPr>
                <w:rFonts w:asciiTheme="majorHAnsi" w:eastAsia="Times New Roman" w:hAnsiTheme="majorHAnsi" w:cstheme="majorHAnsi"/>
                <w:color w:val="000000"/>
              </w:rPr>
            </w:pPr>
            <w:r w:rsidRPr="00FC7390">
              <w:rPr>
                <w:rFonts w:asciiTheme="majorHAnsi" w:eastAsia="Times New Roman" w:hAnsiTheme="majorHAnsi" w:cstheme="majorHAnsi"/>
                <w:color w:val="000000"/>
              </w:rPr>
              <w:t>Pregnancy-related mortality ratio (PRMR)</w:t>
            </w:r>
          </w:p>
        </w:tc>
        <w:tc>
          <w:tcPr>
            <w:tcW w:w="5948" w:type="dxa"/>
            <w:tcBorders>
              <w:bottom w:val="single" w:sz="4" w:space="0" w:color="auto"/>
            </w:tcBorders>
          </w:tcPr>
          <w:p w14:paraId="08BEB86E" w14:textId="77777777" w:rsidR="00FC7390" w:rsidRPr="00FC7390" w:rsidRDefault="00FC7390" w:rsidP="00BA5751">
            <w:pPr>
              <w:pStyle w:val="bulletindent1"/>
              <w:shd w:val="clear" w:color="auto" w:fill="FFFFFF"/>
              <w:spacing w:before="0" w:beforeAutospacing="0" w:after="0" w:afterAutospacing="0"/>
              <w:rPr>
                <w:rFonts w:asciiTheme="majorHAnsi" w:hAnsiTheme="majorHAnsi" w:cstheme="majorHAnsi"/>
                <w:color w:val="000000"/>
                <w:sz w:val="22"/>
                <w:szCs w:val="22"/>
              </w:rPr>
            </w:pPr>
            <w:r w:rsidRPr="00FC7390">
              <w:rPr>
                <w:rFonts w:asciiTheme="majorHAnsi" w:hAnsiTheme="majorHAnsi" w:cstheme="majorHAnsi"/>
                <w:color w:val="000000"/>
                <w:sz w:val="22"/>
                <w:szCs w:val="22"/>
              </w:rPr>
              <w:t>The number of pregnancy-related deaths for every 100,000 live births where a pregnancy-related death is defined as the death of a patient while pregnant or within 1 year of the end of a pregnancy (regardless of the outcome, duration, or site of the pregnancy) from any cause related to or aggravated by the pregnancy or its management, but not from accidental or incidental causes</w:t>
            </w:r>
          </w:p>
        </w:tc>
      </w:tr>
      <w:tr w:rsidR="00FC7390" w:rsidRPr="00E37114" w14:paraId="6E9320A2" w14:textId="77777777" w:rsidTr="00FC7390">
        <w:trPr>
          <w:trHeight w:val="631"/>
        </w:trPr>
        <w:tc>
          <w:tcPr>
            <w:tcW w:w="9368" w:type="dxa"/>
            <w:gridSpan w:val="2"/>
            <w:tcBorders>
              <w:left w:val="nil"/>
              <w:bottom w:val="nil"/>
              <w:right w:val="nil"/>
            </w:tcBorders>
            <w:vAlign w:val="center"/>
          </w:tcPr>
          <w:p w14:paraId="3C2B922A" w14:textId="77777777" w:rsidR="00FC7390" w:rsidRPr="00E37114" w:rsidRDefault="00FC7390" w:rsidP="00BA5751">
            <w:pPr>
              <w:pStyle w:val="bulletindent1"/>
              <w:shd w:val="clear" w:color="auto" w:fill="FFFFFF"/>
              <w:spacing w:before="0" w:beforeAutospacing="0" w:after="0" w:afterAutospacing="0"/>
              <w:rPr>
                <w:rFonts w:ascii="Arial" w:hAnsi="Arial" w:cs="Arial"/>
                <w:color w:val="232323"/>
                <w:sz w:val="22"/>
                <w:szCs w:val="22"/>
              </w:rPr>
            </w:pPr>
            <w:r w:rsidRPr="00FC7390">
              <w:rPr>
                <w:rFonts w:asciiTheme="majorHAnsi" w:hAnsiTheme="majorHAnsi" w:cstheme="majorHAnsi"/>
                <w:color w:val="000000"/>
                <w:sz w:val="22"/>
                <w:szCs w:val="22"/>
              </w:rPr>
              <w:t>Source: The World Health Organization’s (WHO) International Classification of Diseases, 10th revision (ICD-10) and the Centers for Disease Control and Prevention’s (CDC) Pregnancy Mortality Surveillance System</w:t>
            </w:r>
          </w:p>
        </w:tc>
      </w:tr>
    </w:tbl>
    <w:p w14:paraId="3269FA08" w14:textId="77777777" w:rsidR="00FC7390" w:rsidRDefault="00FC7390" w:rsidP="00E32313">
      <w:pPr>
        <w:rPr>
          <w:rFonts w:asciiTheme="majorHAnsi" w:eastAsiaTheme="majorEastAsia" w:hAnsiTheme="majorHAnsi" w:cstheme="majorBidi"/>
          <w:color w:val="2E74B5" w:themeColor="accent1" w:themeShade="BF"/>
          <w:sz w:val="26"/>
          <w:szCs w:val="26"/>
          <w:lang w:val="en-GB"/>
        </w:rPr>
        <w:sectPr w:rsidR="00FC7390" w:rsidSect="00FC7390">
          <w:pgSz w:w="12240" w:h="15840"/>
          <w:pgMar w:top="1440" w:right="1440" w:bottom="1440" w:left="1440" w:header="720" w:footer="720" w:gutter="0"/>
          <w:cols w:space="720"/>
          <w:docGrid w:linePitch="360"/>
        </w:sectPr>
      </w:pPr>
    </w:p>
    <w:p w14:paraId="7295DF86" w14:textId="27607DB8" w:rsidR="009B006F" w:rsidRPr="004C277A" w:rsidRDefault="009664F9" w:rsidP="007A6422">
      <w:pPr>
        <w:pStyle w:val="Heading1"/>
        <w:spacing w:before="0" w:line="240" w:lineRule="auto"/>
        <w:contextualSpacing/>
        <w:rPr>
          <w:rFonts w:eastAsiaTheme="minorEastAsia"/>
          <w:lang w:val="en-GB"/>
        </w:rPr>
      </w:pPr>
      <w:bookmarkStart w:id="65" w:name="_Toc385008819"/>
      <w:bookmarkStart w:id="66" w:name="_Toc175308199"/>
      <w:r w:rsidRPr="004C277A">
        <w:rPr>
          <w:rFonts w:eastAsiaTheme="minorEastAsia"/>
          <w:lang w:val="en-GB"/>
        </w:rPr>
        <w:lastRenderedPageBreak/>
        <w:t xml:space="preserve">4 </w:t>
      </w:r>
      <w:r w:rsidR="009B006F" w:rsidRPr="004C277A">
        <w:rPr>
          <w:rFonts w:eastAsiaTheme="minorEastAsia"/>
          <w:lang w:val="en-GB"/>
        </w:rPr>
        <w:t xml:space="preserve">Supplemental </w:t>
      </w:r>
      <w:r w:rsidR="00B50187">
        <w:rPr>
          <w:rFonts w:eastAsiaTheme="minorEastAsia"/>
          <w:lang w:val="en-GB"/>
        </w:rPr>
        <w:t xml:space="preserve">Methods </w:t>
      </w:r>
      <w:r w:rsidR="009B006F" w:rsidRPr="004C277A">
        <w:rPr>
          <w:rFonts w:eastAsiaTheme="minorEastAsia"/>
          <w:lang w:val="en-GB"/>
        </w:rPr>
        <w:t>Figures</w:t>
      </w:r>
      <w:bookmarkEnd w:id="65"/>
      <w:bookmarkEnd w:id="66"/>
    </w:p>
    <w:p w14:paraId="65350831" w14:textId="3428BF6E" w:rsidR="00D754FB" w:rsidRPr="004C277A" w:rsidRDefault="009664F9" w:rsidP="000B5CA5">
      <w:pPr>
        <w:pStyle w:val="Heading2"/>
        <w:spacing w:before="0" w:line="240" w:lineRule="auto"/>
        <w:contextualSpacing/>
        <w:rPr>
          <w:rFonts w:eastAsiaTheme="minorEastAsia"/>
          <w:lang w:val="en-GB"/>
        </w:rPr>
      </w:pPr>
      <w:bookmarkStart w:id="67" w:name="_Toc647345488"/>
      <w:bookmarkStart w:id="68" w:name="_Toc175308200"/>
      <w:r w:rsidRPr="004C277A">
        <w:rPr>
          <w:rFonts w:eastAsiaTheme="minorEastAsia"/>
          <w:lang w:val="en-GB"/>
        </w:rPr>
        <w:t>4.1</w:t>
      </w:r>
      <w:r w:rsidR="00B50187">
        <w:rPr>
          <w:rFonts w:eastAsiaTheme="minorEastAsia"/>
          <w:lang w:val="en-GB"/>
        </w:rPr>
        <w:t xml:space="preserve"> Analysis flow c</w:t>
      </w:r>
      <w:r w:rsidR="00A02595" w:rsidRPr="004C277A">
        <w:rPr>
          <w:rFonts w:eastAsiaTheme="minorEastAsia"/>
          <w:lang w:val="en-GB"/>
        </w:rPr>
        <w:t>hart</w:t>
      </w:r>
      <w:bookmarkEnd w:id="67"/>
      <w:bookmarkEnd w:id="68"/>
    </w:p>
    <w:p w14:paraId="6DC1E8F8" w14:textId="77777777" w:rsidR="00605F7B" w:rsidRDefault="00605F7B" w:rsidP="007740E3"/>
    <w:p w14:paraId="3E442431" w14:textId="2986EC5E" w:rsidR="003A375F" w:rsidRDefault="0D4F4BC1" w:rsidP="5770C8C8">
      <w:r>
        <w:rPr>
          <w:noProof/>
        </w:rPr>
        <w:drawing>
          <wp:inline distT="0" distB="0" distL="0" distR="0" wp14:anchorId="64497B35" wp14:editId="2E80AFA6">
            <wp:extent cx="8119818" cy="4279820"/>
            <wp:effectExtent l="0" t="0" r="0" b="0"/>
            <wp:docPr id="1240183507" name="Picture 124018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119818" cy="4279820"/>
                    </a:xfrm>
                    <a:prstGeom prst="rect">
                      <a:avLst/>
                    </a:prstGeom>
                  </pic:spPr>
                </pic:pic>
              </a:graphicData>
            </a:graphic>
          </wp:inline>
        </w:drawing>
      </w:r>
    </w:p>
    <w:p w14:paraId="28ACC1DF" w14:textId="6CF292B2" w:rsidR="003A375F" w:rsidRPr="008F7048" w:rsidRDefault="003A375F" w:rsidP="007740E3">
      <w:pPr>
        <w:rPr>
          <w:rFonts w:asciiTheme="majorHAnsi" w:hAnsiTheme="majorHAnsi" w:cstheme="majorHAnsi"/>
        </w:rPr>
        <w:sectPr w:rsidR="003A375F" w:rsidRPr="008F7048" w:rsidSect="008B1C9A">
          <w:pgSz w:w="15840" w:h="12240" w:orient="landscape"/>
          <w:pgMar w:top="1440" w:right="1440" w:bottom="1440" w:left="1440" w:header="720" w:footer="720" w:gutter="0"/>
          <w:cols w:space="720"/>
          <w:docGrid w:linePitch="360"/>
        </w:sectPr>
      </w:pPr>
      <w:r w:rsidRPr="008F7048">
        <w:rPr>
          <w:rFonts w:asciiTheme="majorHAnsi" w:eastAsia="Calibri" w:hAnsiTheme="majorHAnsi" w:cstheme="majorHAnsi"/>
          <w:color w:val="000000" w:themeColor="text1"/>
        </w:rPr>
        <w:t xml:space="preserve">ACS = American Community Survey; </w:t>
      </w:r>
      <w:proofErr w:type="spellStart"/>
      <w:r w:rsidRPr="008F7048">
        <w:rPr>
          <w:rFonts w:asciiTheme="majorHAnsi" w:eastAsia="Calibri" w:hAnsiTheme="majorHAnsi" w:cstheme="majorHAnsi"/>
          <w:color w:val="000000" w:themeColor="text1"/>
        </w:rPr>
        <w:t>cnty</w:t>
      </w:r>
      <w:proofErr w:type="spellEnd"/>
      <w:r w:rsidRPr="008F7048">
        <w:rPr>
          <w:rFonts w:asciiTheme="majorHAnsi" w:eastAsia="Calibri" w:hAnsiTheme="majorHAnsi" w:cstheme="majorHAnsi"/>
          <w:color w:val="000000" w:themeColor="text1"/>
        </w:rPr>
        <w:t xml:space="preserve"> = county; NCHS = National Center for Health Statistics; NVSS = National Vital Statistics System; </w:t>
      </w:r>
      <w:proofErr w:type="spellStart"/>
      <w:r w:rsidRPr="008F7048">
        <w:rPr>
          <w:rFonts w:asciiTheme="majorHAnsi" w:eastAsia="Calibri" w:hAnsiTheme="majorHAnsi" w:cstheme="majorHAnsi"/>
          <w:color w:val="000000" w:themeColor="text1"/>
        </w:rPr>
        <w:t>r</w:t>
      </w:r>
      <w:r w:rsidR="0921E936" w:rsidRPr="008F7048">
        <w:rPr>
          <w:rFonts w:asciiTheme="majorHAnsi" w:eastAsia="Calibri" w:hAnsiTheme="majorHAnsi" w:cstheme="majorHAnsi"/>
          <w:color w:val="000000" w:themeColor="text1"/>
        </w:rPr>
        <w:t>&amp;</w:t>
      </w:r>
      <w:r w:rsidRPr="008F7048">
        <w:rPr>
          <w:rFonts w:asciiTheme="majorHAnsi" w:eastAsia="Calibri" w:hAnsiTheme="majorHAnsi" w:cstheme="majorHAnsi"/>
          <w:color w:val="000000" w:themeColor="text1"/>
        </w:rPr>
        <w:t>e</w:t>
      </w:r>
      <w:proofErr w:type="spellEnd"/>
      <w:r w:rsidRPr="008F7048">
        <w:rPr>
          <w:rFonts w:asciiTheme="majorHAnsi" w:eastAsia="Calibri" w:hAnsiTheme="majorHAnsi" w:cstheme="majorHAnsi"/>
          <w:color w:val="000000" w:themeColor="text1"/>
        </w:rPr>
        <w:t xml:space="preserve"> = race</w:t>
      </w:r>
      <w:r w:rsidR="25E5E4EA" w:rsidRPr="008F7048">
        <w:rPr>
          <w:rFonts w:asciiTheme="majorHAnsi" w:eastAsia="Calibri" w:hAnsiTheme="majorHAnsi" w:cstheme="majorHAnsi"/>
          <w:color w:val="000000" w:themeColor="text1"/>
        </w:rPr>
        <w:t xml:space="preserve"> and e</w:t>
      </w:r>
      <w:r w:rsidRPr="008F7048">
        <w:rPr>
          <w:rFonts w:asciiTheme="majorHAnsi" w:eastAsia="Calibri" w:hAnsiTheme="majorHAnsi" w:cstheme="majorHAnsi"/>
          <w:color w:val="000000" w:themeColor="text1"/>
        </w:rPr>
        <w:t>thnicity; UI = uncertainty interval; yr = year.</w:t>
      </w:r>
    </w:p>
    <w:p w14:paraId="1FB9A412" w14:textId="6B2585FD" w:rsidR="006B3A29" w:rsidRDefault="006B3A29" w:rsidP="006B3A29">
      <w:pPr>
        <w:pStyle w:val="Heading2"/>
        <w:spacing w:before="0" w:line="240" w:lineRule="auto"/>
        <w:contextualSpacing/>
        <w:rPr>
          <w:rFonts w:eastAsiaTheme="minorEastAsia" w:cstheme="majorHAnsi"/>
          <w:lang w:val="en-GB"/>
        </w:rPr>
      </w:pPr>
      <w:bookmarkStart w:id="69" w:name="_Toc99615592"/>
      <w:bookmarkStart w:id="70" w:name="_Toc175308201"/>
      <w:r w:rsidRPr="00A04876">
        <w:rPr>
          <w:rFonts w:eastAsiaTheme="minorEastAsia" w:cstheme="majorHAnsi"/>
          <w:lang w:val="en-GB"/>
        </w:rPr>
        <w:lastRenderedPageBreak/>
        <w:t>4.2 Hyperprior sensitivity analysis results</w:t>
      </w:r>
      <w:bookmarkEnd w:id="69"/>
      <w:r w:rsidRPr="00A04876">
        <w:rPr>
          <w:rFonts w:eastAsiaTheme="minorEastAsia" w:cstheme="majorHAnsi"/>
          <w:lang w:val="en-GB"/>
        </w:rPr>
        <w:t xml:space="preserve"> </w:t>
      </w:r>
      <w:r w:rsidR="00CF609A">
        <w:rPr>
          <w:rFonts w:eastAsiaTheme="minorEastAsia" w:cstheme="majorHAnsi"/>
          <w:lang w:val="en-GB"/>
        </w:rPr>
        <w:t xml:space="preserve">for selected </w:t>
      </w:r>
      <w:r w:rsidR="00DC5AE1">
        <w:rPr>
          <w:rFonts w:eastAsiaTheme="minorEastAsia" w:cstheme="majorHAnsi"/>
          <w:lang w:val="en-GB"/>
        </w:rPr>
        <w:t>L</w:t>
      </w:r>
      <w:r w:rsidR="00CF609A">
        <w:rPr>
          <w:rFonts w:eastAsiaTheme="minorEastAsia" w:cstheme="majorHAnsi"/>
          <w:lang w:val="en-GB"/>
        </w:rPr>
        <w:t>evel 2 causes of death</w:t>
      </w:r>
      <w:bookmarkEnd w:id="70"/>
    </w:p>
    <w:p w14:paraId="2933FE61" w14:textId="216DF736" w:rsidR="006B3A29" w:rsidRDefault="00C47860" w:rsidP="006B3A29">
      <w:pPr>
        <w:jc w:val="center"/>
        <w:rPr>
          <w:lang w:val="en-GB"/>
        </w:rPr>
      </w:pPr>
      <w:r>
        <w:rPr>
          <w:noProof/>
        </w:rPr>
        <w:drawing>
          <wp:inline distT="0" distB="0" distL="0" distR="0" wp14:anchorId="12B1A711" wp14:editId="142A026C">
            <wp:extent cx="5943600" cy="5923280"/>
            <wp:effectExtent l="0" t="0" r="0" b="127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30">
                      <a:extLst>
                        <a:ext uri="{28A0092B-C50C-407E-A947-70E740481C1C}">
                          <a14:useLocalDpi xmlns:a14="http://schemas.microsoft.com/office/drawing/2010/main" val="0"/>
                        </a:ext>
                      </a:extLst>
                    </a:blip>
                    <a:stretch>
                      <a:fillRect/>
                    </a:stretch>
                  </pic:blipFill>
                  <pic:spPr>
                    <a:xfrm>
                      <a:off x="0" y="0"/>
                      <a:ext cx="5943600" cy="5923280"/>
                    </a:xfrm>
                    <a:prstGeom prst="rect">
                      <a:avLst/>
                    </a:prstGeom>
                  </pic:spPr>
                </pic:pic>
              </a:graphicData>
            </a:graphic>
          </wp:inline>
        </w:drawing>
      </w:r>
    </w:p>
    <w:p w14:paraId="74219851" w14:textId="44D69B1F" w:rsidR="00755548" w:rsidRDefault="00755548" w:rsidP="00755548">
      <w:pPr>
        <w:rPr>
          <w:rFonts w:ascii="Calibri Light" w:eastAsia="Calibri Light" w:hAnsi="Calibri Light" w:cs="Calibri Light"/>
          <w:color w:val="000000" w:themeColor="text1"/>
          <w:lang w:val="en-GB"/>
        </w:rPr>
      </w:pPr>
      <w:r w:rsidRPr="6E772899">
        <w:rPr>
          <w:rFonts w:ascii="Calibri Light" w:eastAsia="Calibri Light" w:hAnsi="Calibri Light" w:cs="Calibri Light"/>
          <w:color w:val="000000" w:themeColor="text1"/>
          <w:lang w:val="en-GB"/>
        </w:rPr>
        <w:t>Population-weighted summary of differences (</w:t>
      </w:r>
      <w:proofErr w:type="gramStart"/>
      <w:r w:rsidRPr="6E772899">
        <w:rPr>
          <w:rFonts w:ascii="Calibri Light" w:eastAsia="Calibri Light" w:hAnsi="Calibri Light" w:cs="Calibri Light"/>
          <w:color w:val="000000" w:themeColor="text1"/>
          <w:lang w:val="en-GB"/>
        </w:rPr>
        <w:t>left:</w:t>
      </w:r>
      <w:proofErr w:type="gramEnd"/>
      <w:r w:rsidRPr="6E772899">
        <w:rPr>
          <w:rFonts w:ascii="Calibri Light" w:eastAsia="Calibri Light" w:hAnsi="Calibri Light" w:cs="Calibri Light"/>
          <w:color w:val="000000" w:themeColor="text1"/>
          <w:lang w:val="en-GB"/>
        </w:rPr>
        <w:t xml:space="preserve"> absolute differences; right: percent difference) in age-standardised mortality by county and racial</w:t>
      </w:r>
      <w:r>
        <w:rPr>
          <w:rFonts w:ascii="Calibri Light" w:eastAsia="Calibri Light" w:hAnsi="Calibri Light" w:cs="Calibri Light"/>
          <w:color w:val="000000" w:themeColor="text1"/>
          <w:lang w:val="en-GB"/>
        </w:rPr>
        <w:t xml:space="preserve"> and </w:t>
      </w:r>
      <w:r w:rsidRPr="6E772899">
        <w:rPr>
          <w:rFonts w:ascii="Calibri Light" w:eastAsia="Calibri Light" w:hAnsi="Calibri Light" w:cs="Calibri Light"/>
          <w:color w:val="000000" w:themeColor="text1"/>
          <w:lang w:val="en-GB"/>
        </w:rPr>
        <w:t xml:space="preserve">ethnic </w:t>
      </w:r>
      <w:r>
        <w:rPr>
          <w:rFonts w:ascii="Calibri Light" w:eastAsia="Calibri Light" w:hAnsi="Calibri Light" w:cs="Calibri Light"/>
          <w:color w:val="000000" w:themeColor="text1"/>
          <w:lang w:val="en-GB"/>
        </w:rPr>
        <w:t>population</w:t>
      </w:r>
      <w:r w:rsidRPr="6E772899">
        <w:rPr>
          <w:rFonts w:ascii="Calibri Light" w:eastAsia="Calibri Light" w:hAnsi="Calibri Light" w:cs="Calibri Light"/>
          <w:color w:val="000000" w:themeColor="text1"/>
          <w:lang w:val="en-GB"/>
        </w:rPr>
        <w:t xml:space="preserve"> for males and females combined in 2000, 2010, and 2019 compared with that of the model used in this paper (penalised complexity models,</w:t>
      </w:r>
      <w:r w:rsidRPr="6E772899">
        <w:rPr>
          <w:rFonts w:asciiTheme="majorHAnsi" w:eastAsiaTheme="minorEastAsia" w:hAnsiTheme="majorHAnsi" w:cstheme="majorBidi"/>
          <w:lang w:val="en-GB"/>
        </w:rPr>
        <w:t xml:space="preserve">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oMath>
      <w:r w:rsidRPr="6E772899">
        <w:rPr>
          <w:rFonts w:asciiTheme="majorHAnsi" w:eastAsiaTheme="minorEastAsia" w:hAnsiTheme="majorHAnsi" w:cstheme="majorBidi"/>
          <w:lang w:val="en-GB"/>
        </w:rPr>
        <w:t xml:space="preserve">). </w:t>
      </w:r>
      <w:r w:rsidRPr="3C417A9F">
        <w:rPr>
          <w:rFonts w:ascii="Calibri Light" w:eastAsia="Calibri Light" w:hAnsi="Calibri Light" w:cs="Calibri Light"/>
          <w:color w:val="000000" w:themeColor="text1"/>
          <w:lang w:val="en-GB"/>
        </w:rPr>
        <w:t>Boxes show the IQR, while the whiskers extend to 1</w:t>
      </w:r>
      <w:r w:rsidRPr="3C417A9F">
        <w:rPr>
          <w:rFonts w:ascii="Calibri Light" w:eastAsia="Calibri Light" w:hAnsi="Calibri Light" w:cs="Calibri Light"/>
          <w:color w:val="000000" w:themeColor="text1"/>
          <w:vertAlign w:val="superscript"/>
          <w:lang w:val="en-GB"/>
        </w:rPr>
        <w:t>st</w:t>
      </w:r>
      <w:r w:rsidRPr="3C417A9F">
        <w:rPr>
          <w:rFonts w:ascii="Calibri Light" w:eastAsia="Calibri Light" w:hAnsi="Calibri Light" w:cs="Calibri Light"/>
          <w:color w:val="000000" w:themeColor="text1"/>
          <w:lang w:val="en-GB"/>
        </w:rPr>
        <w:t xml:space="preserve"> and 99</w:t>
      </w:r>
      <w:r w:rsidRPr="3C417A9F">
        <w:rPr>
          <w:rFonts w:ascii="Calibri Light" w:eastAsia="Calibri Light" w:hAnsi="Calibri Light" w:cs="Calibri Light"/>
          <w:color w:val="000000" w:themeColor="text1"/>
          <w:vertAlign w:val="superscript"/>
          <w:lang w:val="en-GB"/>
        </w:rPr>
        <w:t>th</w:t>
      </w:r>
      <w:r w:rsidRPr="3C417A9F">
        <w:rPr>
          <w:rFonts w:ascii="Calibri Light" w:eastAsia="Calibri Light" w:hAnsi="Calibri Light" w:cs="Calibri Light"/>
          <w:color w:val="000000" w:themeColor="text1"/>
          <w:lang w:val="en-GB"/>
        </w:rPr>
        <w:t xml:space="preserve"> percentiles, weighted by </w:t>
      </w:r>
      <w:r w:rsidRPr="009C5C89">
        <w:rPr>
          <w:rFonts w:ascii="Calibri Light" w:eastAsia="Calibri Light" w:hAnsi="Calibri Light" w:cs="Calibri Light"/>
          <w:color w:val="000000" w:themeColor="text1"/>
        </w:rPr>
        <w:t>the average population across all years in each county and racial</w:t>
      </w:r>
      <w:r>
        <w:rPr>
          <w:rFonts w:ascii="Calibri Light" w:eastAsia="Calibri Light" w:hAnsi="Calibri Light" w:cs="Calibri Light"/>
          <w:color w:val="000000" w:themeColor="text1"/>
        </w:rPr>
        <w:t xml:space="preserve"> and </w:t>
      </w:r>
      <w:r w:rsidRPr="009C5C89">
        <w:rPr>
          <w:rFonts w:ascii="Calibri Light" w:eastAsia="Calibri Light" w:hAnsi="Calibri Light" w:cs="Calibri Light"/>
          <w:color w:val="000000" w:themeColor="text1"/>
        </w:rPr>
        <w:t xml:space="preserve">ethnic population combination. </w:t>
      </w:r>
      <w:r w:rsidR="00DA6CD0" w:rsidRPr="009C5C89">
        <w:rPr>
          <w:rFonts w:ascii="Calibri Light" w:eastAsia="Calibri Light" w:hAnsi="Calibri Light" w:cs="Calibri Light"/>
          <w:color w:val="000000" w:themeColor="text1"/>
        </w:rPr>
        <w:t>Outliers (&lt;1</w:t>
      </w:r>
      <w:r w:rsidR="00DA6CD0" w:rsidRPr="009C5C89">
        <w:rPr>
          <w:rFonts w:ascii="Calibri Light" w:eastAsia="Calibri Light" w:hAnsi="Calibri Light" w:cs="Calibri Light"/>
          <w:color w:val="000000" w:themeColor="text1"/>
          <w:vertAlign w:val="superscript"/>
        </w:rPr>
        <w:t xml:space="preserve">st </w:t>
      </w:r>
      <w:r w:rsidR="00DA6CD0" w:rsidRPr="009C5C89">
        <w:rPr>
          <w:rFonts w:ascii="Calibri Light" w:eastAsia="Calibri Light" w:hAnsi="Calibri Light" w:cs="Calibri Light"/>
          <w:color w:val="000000" w:themeColor="text1"/>
        </w:rPr>
        <w:t>percentile and &gt;99</w:t>
      </w:r>
      <w:r w:rsidR="00DA6CD0" w:rsidRPr="009C5C89">
        <w:rPr>
          <w:rFonts w:ascii="Calibri Light" w:eastAsia="Calibri Light" w:hAnsi="Calibri Light" w:cs="Calibri Light"/>
          <w:color w:val="000000" w:themeColor="text1"/>
          <w:vertAlign w:val="superscript"/>
        </w:rPr>
        <w:t>th</w:t>
      </w:r>
      <w:r w:rsidR="00DA6CD0" w:rsidRPr="009C5C89">
        <w:rPr>
          <w:rFonts w:ascii="Calibri Light" w:eastAsia="Calibri Light" w:hAnsi="Calibri Light" w:cs="Calibri Light"/>
          <w:color w:val="000000" w:themeColor="text1"/>
        </w:rPr>
        <w:t xml:space="preserve"> percentile) are not shown. </w:t>
      </w:r>
      <w:r w:rsidRPr="009C5C89">
        <w:rPr>
          <w:rFonts w:ascii="Calibri Light" w:eastAsia="Calibri Light" w:hAnsi="Calibri Light" w:cs="Calibri Light"/>
          <w:color w:val="000000" w:themeColor="text1"/>
        </w:rPr>
        <w:t>The</w:t>
      </w:r>
      <w:r w:rsidRPr="3C417A9F">
        <w:rPr>
          <w:rFonts w:ascii="Calibri Light" w:eastAsia="Calibri Light" w:hAnsi="Calibri Light" w:cs="Calibri Light"/>
          <w:color w:val="000000" w:themeColor="text1"/>
          <w:lang w:val="en-GB"/>
        </w:rPr>
        <w:t xml:space="preserve"> data shown are for both masked and unmasked data. AIAN = American Indian or Alaska Native.</w:t>
      </w:r>
    </w:p>
    <w:p w14:paraId="47DD4A8B" w14:textId="77777777" w:rsidR="00755548" w:rsidRDefault="00755548" w:rsidP="00755548">
      <w:pPr>
        <w:rPr>
          <w:rFonts w:asciiTheme="majorHAnsi" w:eastAsiaTheme="minorEastAsia" w:hAnsiTheme="majorHAnsi" w:cstheme="majorHAnsi"/>
          <w:lang w:val="en-GB"/>
        </w:rPr>
      </w:pPr>
    </w:p>
    <w:p w14:paraId="0F819EBA" w14:textId="77777777" w:rsidR="00755548" w:rsidRDefault="00755548" w:rsidP="00755548">
      <w:pPr>
        <w:jc w:val="both"/>
        <w:rPr>
          <w:rFonts w:asciiTheme="majorHAnsi" w:eastAsiaTheme="minorEastAsia" w:hAnsiTheme="majorHAnsi" w:cstheme="majorBidi"/>
          <w:lang w:val="en-GB"/>
        </w:rPr>
      </w:pPr>
      <w:r>
        <w:rPr>
          <w:noProof/>
        </w:rPr>
        <w:lastRenderedPageBreak/>
        <w:drawing>
          <wp:inline distT="0" distB="0" distL="0" distR="0" wp14:anchorId="3D17C968" wp14:editId="54966449">
            <wp:extent cx="5943600" cy="5916296"/>
            <wp:effectExtent l="0" t="0" r="0" b="8255"/>
            <wp:docPr id="5" name="Picture 5"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1">
                      <a:extLst>
                        <a:ext uri="{28A0092B-C50C-407E-A947-70E740481C1C}">
                          <a14:useLocalDpi xmlns:a14="http://schemas.microsoft.com/office/drawing/2010/main" val="0"/>
                        </a:ext>
                      </a:extLst>
                    </a:blip>
                    <a:stretch>
                      <a:fillRect/>
                    </a:stretch>
                  </pic:blipFill>
                  <pic:spPr>
                    <a:xfrm>
                      <a:off x="0" y="0"/>
                      <a:ext cx="5943600" cy="5916296"/>
                    </a:xfrm>
                    <a:prstGeom prst="rect">
                      <a:avLst/>
                    </a:prstGeom>
                  </pic:spPr>
                </pic:pic>
              </a:graphicData>
            </a:graphic>
          </wp:inline>
        </w:drawing>
      </w:r>
    </w:p>
    <w:p w14:paraId="6C7AFA25" w14:textId="005C21BF" w:rsidR="006B3A29" w:rsidRPr="00A04876" w:rsidRDefault="00755548" w:rsidP="00DF32F7">
      <w:pPr>
        <w:rPr>
          <w:rFonts w:asciiTheme="majorHAnsi" w:eastAsiaTheme="minorEastAsia" w:hAnsiTheme="majorHAnsi" w:cstheme="majorHAnsi"/>
          <w:lang w:val="en-GB"/>
        </w:rPr>
        <w:sectPr w:rsidR="006B3A29" w:rsidRPr="00A04876" w:rsidSect="008B1C9A">
          <w:pgSz w:w="12240" w:h="15840"/>
          <w:pgMar w:top="1440" w:right="1440" w:bottom="1440" w:left="1440" w:header="720" w:footer="720" w:gutter="0"/>
          <w:cols w:space="720"/>
          <w:docGrid w:linePitch="360"/>
        </w:sectPr>
      </w:pPr>
      <w:r w:rsidRPr="3C417A9F">
        <w:rPr>
          <w:rFonts w:ascii="Calibri Light" w:eastAsia="Calibri Light" w:hAnsi="Calibri Light" w:cs="Calibri Light"/>
          <w:color w:val="000000" w:themeColor="text1"/>
          <w:lang w:val="en-GB"/>
        </w:rPr>
        <w:t>Population-weighted summary of the uncertainty intervals (UI) of differences (left: absolute differences in UI; right: percent difference in UI) in age-standardised mortality by county and racial</w:t>
      </w:r>
      <w:r>
        <w:rPr>
          <w:rFonts w:ascii="Calibri Light" w:eastAsia="Calibri Light" w:hAnsi="Calibri Light" w:cs="Calibri Light"/>
          <w:color w:val="000000" w:themeColor="text1"/>
        </w:rPr>
        <w:t xml:space="preserve"> and </w:t>
      </w:r>
      <w:r w:rsidRPr="3C417A9F">
        <w:rPr>
          <w:rFonts w:ascii="Calibri Light" w:eastAsia="Calibri Light" w:hAnsi="Calibri Light" w:cs="Calibri Light"/>
          <w:color w:val="000000" w:themeColor="text1"/>
          <w:lang w:val="en-GB"/>
        </w:rPr>
        <w:t xml:space="preserve">ethnic </w:t>
      </w:r>
      <w:r>
        <w:rPr>
          <w:rFonts w:ascii="Calibri Light" w:eastAsia="Calibri Light" w:hAnsi="Calibri Light" w:cs="Calibri Light"/>
          <w:color w:val="000000" w:themeColor="text1"/>
          <w:lang w:val="en-GB"/>
        </w:rPr>
        <w:t>population</w:t>
      </w:r>
      <w:r w:rsidRPr="3C417A9F">
        <w:rPr>
          <w:rFonts w:ascii="Calibri Light" w:eastAsia="Calibri Light" w:hAnsi="Calibri Light" w:cs="Calibri Light"/>
          <w:color w:val="000000" w:themeColor="text1"/>
          <w:lang w:val="en-GB"/>
        </w:rPr>
        <w:t xml:space="preserve"> for males and females combined in 2000, 2010, and 2019 compared with</w:t>
      </w:r>
      <w:r>
        <w:rPr>
          <w:rFonts w:ascii="Calibri Light" w:eastAsia="Calibri Light" w:hAnsi="Calibri Light" w:cs="Calibri Light"/>
          <w:color w:val="000000" w:themeColor="text1"/>
          <w:lang w:val="en-GB"/>
        </w:rPr>
        <w:t xml:space="preserve"> </w:t>
      </w:r>
      <w:r w:rsidRPr="3C417A9F">
        <w:rPr>
          <w:rFonts w:ascii="Calibri Light" w:eastAsia="Calibri Light" w:hAnsi="Calibri Light" w:cs="Calibri Light"/>
          <w:color w:val="000000" w:themeColor="text1"/>
          <w:lang w:val="en-GB"/>
        </w:rPr>
        <w:t>that of the model used in this paper (penalised complexity models,</w:t>
      </w:r>
      <w:r w:rsidRPr="3C417A9F">
        <w:rPr>
          <w:rFonts w:asciiTheme="majorHAnsi" w:eastAsiaTheme="minorEastAsia" w:hAnsiTheme="majorHAnsi" w:cstheme="majorBidi"/>
          <w:lang w:val="en-GB"/>
        </w:rPr>
        <w:t xml:space="preserve"> </w:t>
      </w:r>
      <m:oMath>
        <m:sSub>
          <m:sSubPr>
            <m:ctrlPr>
              <w:rPr>
                <w:rFonts w:ascii="Cambria Math" w:eastAsiaTheme="minorEastAsia" w:hAnsi="Cambria Math" w:cstheme="majorHAnsi"/>
                <w:i/>
                <w:lang w:val="en-GB"/>
              </w:rPr>
            </m:ctrlPr>
          </m:sSubPr>
          <m:e>
            <m:r>
              <w:rPr>
                <w:rFonts w:ascii="Cambria Math" w:eastAsiaTheme="minorEastAsia" w:hAnsi="Cambria Math" w:cstheme="majorHAnsi"/>
                <w:lang w:val="en-GB"/>
              </w:rPr>
              <m:t>σ</m:t>
            </m:r>
          </m:e>
          <m:sub>
            <m:r>
              <w:rPr>
                <w:rFonts w:ascii="Cambria Math" w:eastAsiaTheme="minorEastAsia" w:hAnsi="Cambria Math" w:cstheme="majorHAnsi"/>
                <w:lang w:val="en-GB"/>
              </w:rPr>
              <m:t>0</m:t>
            </m:r>
          </m:sub>
        </m:sSub>
        <m:r>
          <w:rPr>
            <w:rFonts w:ascii="Cambria Math" w:eastAsiaTheme="minorEastAsia" w:hAnsi="Cambria Math" w:cstheme="majorHAnsi"/>
            <w:lang w:val="en-GB"/>
          </w:rPr>
          <m:t>=5, α=0.05</m:t>
        </m:r>
      </m:oMath>
      <w:r w:rsidRPr="3C417A9F">
        <w:rPr>
          <w:rFonts w:asciiTheme="majorHAnsi" w:eastAsiaTheme="minorEastAsia" w:hAnsiTheme="majorHAnsi" w:cstheme="majorBidi"/>
          <w:lang w:val="en-GB"/>
        </w:rPr>
        <w:t xml:space="preserve">). </w:t>
      </w:r>
      <w:r w:rsidRPr="3C417A9F">
        <w:rPr>
          <w:rFonts w:ascii="Calibri Light" w:eastAsia="Calibri Light" w:hAnsi="Calibri Light" w:cs="Calibri Light"/>
          <w:color w:val="000000" w:themeColor="text1"/>
          <w:lang w:val="en-GB"/>
        </w:rPr>
        <w:t>Boxes show the IQR, while the whiskers extend to 1</w:t>
      </w:r>
      <w:r w:rsidRPr="3C417A9F">
        <w:rPr>
          <w:rFonts w:ascii="Calibri Light" w:eastAsia="Calibri Light" w:hAnsi="Calibri Light" w:cs="Calibri Light"/>
          <w:color w:val="000000" w:themeColor="text1"/>
          <w:vertAlign w:val="superscript"/>
          <w:lang w:val="en-GB"/>
        </w:rPr>
        <w:t>st</w:t>
      </w:r>
      <w:r w:rsidRPr="3C417A9F">
        <w:rPr>
          <w:rFonts w:ascii="Calibri Light" w:eastAsia="Calibri Light" w:hAnsi="Calibri Light" w:cs="Calibri Light"/>
          <w:color w:val="000000" w:themeColor="text1"/>
          <w:lang w:val="en-GB"/>
        </w:rPr>
        <w:t xml:space="preserve"> and 99</w:t>
      </w:r>
      <w:r w:rsidRPr="3C417A9F">
        <w:rPr>
          <w:rFonts w:ascii="Calibri Light" w:eastAsia="Calibri Light" w:hAnsi="Calibri Light" w:cs="Calibri Light"/>
          <w:color w:val="000000" w:themeColor="text1"/>
          <w:vertAlign w:val="superscript"/>
          <w:lang w:val="en-GB"/>
        </w:rPr>
        <w:t>th</w:t>
      </w:r>
      <w:r w:rsidRPr="3C417A9F">
        <w:rPr>
          <w:rFonts w:ascii="Calibri Light" w:eastAsia="Calibri Light" w:hAnsi="Calibri Light" w:cs="Calibri Light"/>
          <w:color w:val="000000" w:themeColor="text1"/>
          <w:lang w:val="en-GB"/>
        </w:rPr>
        <w:t xml:space="preserve"> percentiles, weighted by the average population across all years in each county and racial</w:t>
      </w:r>
      <w:r>
        <w:rPr>
          <w:rFonts w:ascii="Calibri Light" w:eastAsia="Calibri Light" w:hAnsi="Calibri Light" w:cs="Calibri Light"/>
          <w:color w:val="000000" w:themeColor="text1"/>
        </w:rPr>
        <w:t xml:space="preserve"> and </w:t>
      </w:r>
      <w:r w:rsidRPr="3C417A9F">
        <w:rPr>
          <w:rFonts w:ascii="Calibri Light" w:eastAsia="Calibri Light" w:hAnsi="Calibri Light" w:cs="Calibri Light"/>
          <w:color w:val="000000" w:themeColor="text1"/>
          <w:lang w:val="en-GB"/>
        </w:rPr>
        <w:t xml:space="preserve">ethnic </w:t>
      </w:r>
      <w:r>
        <w:rPr>
          <w:rFonts w:ascii="Calibri Light" w:eastAsia="Calibri Light" w:hAnsi="Calibri Light" w:cs="Calibri Light"/>
          <w:color w:val="000000" w:themeColor="text1"/>
          <w:lang w:val="en-GB"/>
        </w:rPr>
        <w:t>population</w:t>
      </w:r>
      <w:r w:rsidRPr="3C417A9F">
        <w:rPr>
          <w:rFonts w:ascii="Calibri Light" w:eastAsia="Calibri Light" w:hAnsi="Calibri Light" w:cs="Calibri Light"/>
          <w:color w:val="000000" w:themeColor="text1"/>
          <w:lang w:val="en-GB"/>
        </w:rPr>
        <w:t xml:space="preserve"> combination.</w:t>
      </w:r>
      <w:r w:rsidR="00DA6CD0">
        <w:rPr>
          <w:rFonts w:ascii="Calibri Light" w:eastAsia="Calibri Light" w:hAnsi="Calibri Light" w:cs="Calibri Light"/>
          <w:color w:val="000000" w:themeColor="text1"/>
          <w:lang w:val="en-GB"/>
        </w:rPr>
        <w:t xml:space="preserve"> </w:t>
      </w:r>
      <w:r w:rsidR="00DA6CD0" w:rsidRPr="00DA6CD0">
        <w:rPr>
          <w:rFonts w:ascii="Calibri Light" w:eastAsia="Calibri Light" w:hAnsi="Calibri Light" w:cs="Calibri Light"/>
          <w:color w:val="000000" w:themeColor="text1"/>
          <w:lang w:val="en-GB"/>
        </w:rPr>
        <w:t>Outliers (&lt;1</w:t>
      </w:r>
      <w:r w:rsidR="00DA6CD0" w:rsidRPr="009C5C89">
        <w:rPr>
          <w:rFonts w:ascii="Calibri Light" w:eastAsia="Calibri Light" w:hAnsi="Calibri Light" w:cs="Calibri Light"/>
          <w:color w:val="000000" w:themeColor="text1"/>
          <w:vertAlign w:val="superscript"/>
          <w:lang w:val="en-GB"/>
        </w:rPr>
        <w:t>st</w:t>
      </w:r>
      <w:r w:rsidR="00DA6CD0" w:rsidRPr="00DA6CD0">
        <w:rPr>
          <w:rFonts w:ascii="Calibri Light" w:eastAsia="Calibri Light" w:hAnsi="Calibri Light" w:cs="Calibri Light"/>
          <w:color w:val="000000" w:themeColor="text1"/>
          <w:lang w:val="en-GB"/>
        </w:rPr>
        <w:t xml:space="preserve"> percentile and &gt;99</w:t>
      </w:r>
      <w:r w:rsidR="00DA6CD0" w:rsidRPr="009C5C89">
        <w:rPr>
          <w:rFonts w:ascii="Calibri Light" w:eastAsia="Calibri Light" w:hAnsi="Calibri Light" w:cs="Calibri Light"/>
          <w:color w:val="000000" w:themeColor="text1"/>
          <w:vertAlign w:val="superscript"/>
          <w:lang w:val="en-GB"/>
        </w:rPr>
        <w:t>th</w:t>
      </w:r>
      <w:r w:rsidR="00DA6CD0" w:rsidRPr="00DA6CD0">
        <w:rPr>
          <w:rFonts w:ascii="Calibri Light" w:eastAsia="Calibri Light" w:hAnsi="Calibri Light" w:cs="Calibri Light"/>
          <w:color w:val="000000" w:themeColor="text1"/>
          <w:lang w:val="en-GB"/>
        </w:rPr>
        <w:t xml:space="preserve"> percentile) are not shown.</w:t>
      </w:r>
      <w:r w:rsidRPr="3C417A9F">
        <w:rPr>
          <w:rFonts w:ascii="Calibri Light" w:eastAsia="Calibri Light" w:hAnsi="Calibri Light" w:cs="Calibri Light"/>
          <w:color w:val="000000" w:themeColor="text1"/>
          <w:lang w:val="en-GB"/>
        </w:rPr>
        <w:t xml:space="preserve"> The data shown are for both masked and unmasked data. AIAN = American Indian or Alaska Native</w:t>
      </w:r>
      <w:r>
        <w:rPr>
          <w:rFonts w:ascii="Calibri Light" w:eastAsia="Calibri Light" w:hAnsi="Calibri Light" w:cs="Calibri Light"/>
          <w:color w:val="000000" w:themeColor="text1"/>
          <w:lang w:val="en-GB"/>
        </w:rPr>
        <w:t>.</w:t>
      </w:r>
    </w:p>
    <w:p w14:paraId="4C90ED97" w14:textId="696E5556" w:rsidR="003A5BBD" w:rsidRDefault="009664F9" w:rsidP="003A5BBD">
      <w:pPr>
        <w:pStyle w:val="Heading2"/>
        <w:spacing w:before="0" w:line="240" w:lineRule="auto"/>
        <w:contextualSpacing/>
        <w:rPr>
          <w:rFonts w:eastAsiaTheme="minorEastAsia"/>
          <w:lang w:val="en-GB"/>
        </w:rPr>
      </w:pPr>
      <w:bookmarkStart w:id="71" w:name="_Toc1257340309"/>
      <w:bookmarkStart w:id="72" w:name="_Toc175308202"/>
      <w:r w:rsidRPr="004C277A">
        <w:rPr>
          <w:rFonts w:eastAsiaTheme="minorEastAsia"/>
          <w:lang w:val="en-GB"/>
        </w:rPr>
        <w:lastRenderedPageBreak/>
        <w:t>4.</w:t>
      </w:r>
      <w:r w:rsidR="00651DBA">
        <w:rPr>
          <w:rFonts w:eastAsiaTheme="minorEastAsia"/>
          <w:lang w:val="en-GB"/>
        </w:rPr>
        <w:t>3</w:t>
      </w:r>
      <w:r w:rsidR="00E16F0F" w:rsidRPr="004C277A">
        <w:rPr>
          <w:rFonts w:eastAsiaTheme="minorEastAsia"/>
          <w:lang w:val="en-GB"/>
        </w:rPr>
        <w:t xml:space="preserve"> </w:t>
      </w:r>
      <w:r w:rsidR="00DB29B3">
        <w:rPr>
          <w:rFonts w:eastAsiaTheme="minorEastAsia"/>
          <w:lang w:val="en-GB"/>
        </w:rPr>
        <w:t>All-cause mortality m</w:t>
      </w:r>
      <w:r w:rsidR="00E16F0F" w:rsidRPr="004C277A">
        <w:rPr>
          <w:rFonts w:eastAsiaTheme="minorEastAsia"/>
          <w:lang w:val="en-GB"/>
        </w:rPr>
        <w:t>odel</w:t>
      </w:r>
      <w:r w:rsidR="04A56A67" w:rsidRPr="004C277A">
        <w:rPr>
          <w:rFonts w:eastAsiaTheme="minorEastAsia"/>
          <w:lang w:val="en-GB"/>
        </w:rPr>
        <w:t xml:space="preserve"> </w:t>
      </w:r>
      <w:r w:rsidR="00B50187">
        <w:rPr>
          <w:rFonts w:eastAsiaTheme="minorEastAsia"/>
          <w:lang w:val="en-GB"/>
        </w:rPr>
        <w:t>v</w:t>
      </w:r>
      <w:r w:rsidR="04A56A67" w:rsidRPr="004C277A">
        <w:rPr>
          <w:rFonts w:eastAsiaTheme="minorEastAsia"/>
          <w:lang w:val="en-GB"/>
        </w:rPr>
        <w:t xml:space="preserve">alidation </w:t>
      </w:r>
      <w:r w:rsidR="00B50187">
        <w:rPr>
          <w:rFonts w:eastAsiaTheme="minorEastAsia"/>
          <w:lang w:val="en-GB"/>
        </w:rPr>
        <w:t>r</w:t>
      </w:r>
      <w:r w:rsidR="04A56A67" w:rsidRPr="004C277A">
        <w:rPr>
          <w:rFonts w:eastAsiaTheme="minorEastAsia"/>
          <w:lang w:val="en-GB"/>
        </w:rPr>
        <w:t>esult</w:t>
      </w:r>
      <w:bookmarkEnd w:id="71"/>
      <w:r w:rsidR="001B3D4B">
        <w:rPr>
          <w:rFonts w:eastAsiaTheme="minorEastAsia"/>
          <w:lang w:val="en-GB"/>
        </w:rPr>
        <w:t>s</w:t>
      </w:r>
      <w:bookmarkEnd w:id="72"/>
    </w:p>
    <w:p w14:paraId="4E2CA41E" w14:textId="77777777" w:rsidR="008C6A3E" w:rsidRPr="008C6A3E" w:rsidRDefault="008C6A3E" w:rsidP="008C6A3E">
      <w:pPr>
        <w:rPr>
          <w:lang w:val="en-GB"/>
        </w:rPr>
      </w:pPr>
    </w:p>
    <w:p w14:paraId="6F9ECF64" w14:textId="107AC94E" w:rsidR="003A5BBD" w:rsidRDefault="1C657317" w:rsidP="587A6DCD">
      <w:pPr>
        <w:rPr>
          <w:rFonts w:ascii="Calibri" w:eastAsia="Calibri" w:hAnsi="Calibri" w:cs="Calibri"/>
          <w:lang w:val="en-GB"/>
        </w:rPr>
      </w:pPr>
      <w:r>
        <w:rPr>
          <w:noProof/>
        </w:rPr>
        <w:drawing>
          <wp:inline distT="0" distB="0" distL="0" distR="0" wp14:anchorId="1025A53D" wp14:editId="432B6420">
            <wp:extent cx="8229600" cy="5029200"/>
            <wp:effectExtent l="0" t="0" r="0" b="0"/>
            <wp:docPr id="764237018" name="Picture 764237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8229600" cy="5029200"/>
                    </a:xfrm>
                    <a:prstGeom prst="rect">
                      <a:avLst/>
                    </a:prstGeom>
                  </pic:spPr>
                </pic:pic>
              </a:graphicData>
            </a:graphic>
          </wp:inline>
        </w:drawing>
      </w:r>
      <w:r w:rsidR="003A5BBD" w:rsidRPr="587A6DCD">
        <w:rPr>
          <w:rFonts w:ascii="Calibri" w:eastAsia="Calibri" w:hAnsi="Calibri" w:cs="Calibri"/>
          <w:color w:val="000000" w:themeColor="text1"/>
          <w:lang w:val="en-GB"/>
        </w:rPr>
        <w:t xml:space="preserve"> </w:t>
      </w:r>
      <w:r w:rsidR="003A5BBD" w:rsidRPr="008F7048">
        <w:rPr>
          <w:rFonts w:asciiTheme="majorHAnsi" w:eastAsia="Calibri" w:hAnsiTheme="majorHAnsi" w:cstheme="majorHAnsi"/>
          <w:color w:val="000000" w:themeColor="text1"/>
          <w:lang w:val="en-GB"/>
        </w:rPr>
        <w:t>*“Across all racial</w:t>
      </w:r>
      <w:r w:rsidR="003A5BBD" w:rsidRPr="008F7048">
        <w:rPr>
          <w:rFonts w:asciiTheme="majorHAnsi" w:eastAsia="Calibri" w:hAnsiTheme="majorHAnsi" w:cstheme="majorHAnsi"/>
          <w:color w:val="000000" w:themeColor="text1"/>
        </w:rPr>
        <w:t xml:space="preserve"> and </w:t>
      </w:r>
      <w:r w:rsidR="003A5BBD" w:rsidRPr="008F7048">
        <w:rPr>
          <w:rFonts w:asciiTheme="majorHAnsi" w:eastAsia="Calibri" w:hAnsiTheme="majorHAnsi" w:cstheme="majorHAnsi"/>
          <w:color w:val="000000" w:themeColor="text1"/>
          <w:lang w:val="en-GB"/>
        </w:rPr>
        <w:t>ethnic populations” means that errors and coverage were calculated across all racial and ethnic populations</w:t>
      </w:r>
      <w:r w:rsidR="008F7048" w:rsidRPr="008F7048">
        <w:rPr>
          <w:rFonts w:asciiTheme="majorHAnsi" w:eastAsia="Calibri" w:hAnsiTheme="majorHAnsi" w:cstheme="majorHAnsi"/>
          <w:color w:val="000000" w:themeColor="text1"/>
          <w:lang w:val="en-GB"/>
        </w:rPr>
        <w:t>.</w:t>
      </w:r>
    </w:p>
    <w:p w14:paraId="34C11DF7" w14:textId="4CA8F6A5" w:rsidR="007F72E5" w:rsidRDefault="007F72E5" w:rsidP="007F72E5">
      <w:pPr>
        <w:pStyle w:val="Heading2"/>
        <w:rPr>
          <w:lang w:val="en-GB"/>
        </w:rPr>
      </w:pPr>
      <w:bookmarkStart w:id="73" w:name="_Toc175308203"/>
      <w:r w:rsidRPr="587A6DCD">
        <w:rPr>
          <w:lang w:val="en-GB"/>
        </w:rPr>
        <w:lastRenderedPageBreak/>
        <w:t>4.4 Impact of misclassification adjustment on national age-standardi</w:t>
      </w:r>
      <w:r w:rsidR="00891C84" w:rsidRPr="587A6DCD">
        <w:rPr>
          <w:lang w:val="en-GB"/>
        </w:rPr>
        <w:t>s</w:t>
      </w:r>
      <w:r w:rsidRPr="587A6DCD">
        <w:rPr>
          <w:lang w:val="en-GB"/>
        </w:rPr>
        <w:t>ed</w:t>
      </w:r>
      <w:r w:rsidR="00DB29B3" w:rsidRPr="587A6DCD">
        <w:rPr>
          <w:lang w:val="en-GB"/>
        </w:rPr>
        <w:t xml:space="preserve"> all-cause</w:t>
      </w:r>
      <w:r w:rsidRPr="587A6DCD">
        <w:rPr>
          <w:lang w:val="en-GB"/>
        </w:rPr>
        <w:t xml:space="preserve"> mortality</w:t>
      </w:r>
      <w:bookmarkEnd w:id="73"/>
    </w:p>
    <w:p w14:paraId="21E7B1B8" w14:textId="55FF8EE3" w:rsidR="007F72E5" w:rsidRPr="00A04876" w:rsidRDefault="16830ED5" w:rsidP="587A6DCD">
      <w:pPr>
        <w:rPr>
          <w:rFonts w:asciiTheme="majorHAnsi" w:hAnsiTheme="majorHAnsi" w:cstheme="majorBidi"/>
          <w:lang w:val="en-GB"/>
        </w:rPr>
        <w:sectPr w:rsidR="007F72E5" w:rsidRPr="00A04876" w:rsidSect="008B1C9A">
          <w:pgSz w:w="15840" w:h="12240" w:orient="landscape"/>
          <w:pgMar w:top="1440" w:right="1440" w:bottom="1440" w:left="1440" w:header="720" w:footer="720" w:gutter="0"/>
          <w:cols w:space="720"/>
          <w:docGrid w:linePitch="360"/>
        </w:sectPr>
      </w:pPr>
      <w:r>
        <w:rPr>
          <w:noProof/>
        </w:rPr>
        <w:drawing>
          <wp:inline distT="0" distB="0" distL="0" distR="0" wp14:anchorId="4AB41602" wp14:editId="414CF1DC">
            <wp:extent cx="8239126" cy="5073164"/>
            <wp:effectExtent l="0" t="0" r="0" b="0"/>
            <wp:docPr id="476467293" name="Picture 47646729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8239126" cy="5073164"/>
                    </a:xfrm>
                    <a:prstGeom prst="rect">
                      <a:avLst/>
                    </a:prstGeom>
                  </pic:spPr>
                </pic:pic>
              </a:graphicData>
            </a:graphic>
          </wp:inline>
        </w:drawing>
      </w:r>
      <w:r w:rsidR="007F72E5">
        <w:br/>
      </w:r>
      <w:r w:rsidR="007F72E5" w:rsidRPr="587A6DCD">
        <w:rPr>
          <w:rFonts w:asciiTheme="majorHAnsi" w:hAnsiTheme="majorHAnsi" w:cstheme="majorBidi"/>
          <w:lang w:val="en-GB"/>
        </w:rPr>
        <w:t xml:space="preserve">National </w:t>
      </w:r>
      <w:r w:rsidR="001B3D4B" w:rsidRPr="587A6DCD">
        <w:rPr>
          <w:rFonts w:asciiTheme="majorHAnsi" w:hAnsiTheme="majorHAnsi" w:cstheme="majorBidi"/>
          <w:lang w:val="en-GB"/>
        </w:rPr>
        <w:t>age-standardi</w:t>
      </w:r>
      <w:r w:rsidR="00891C84" w:rsidRPr="587A6DCD">
        <w:rPr>
          <w:rFonts w:asciiTheme="majorHAnsi" w:hAnsiTheme="majorHAnsi" w:cstheme="majorBidi"/>
          <w:lang w:val="en-GB"/>
        </w:rPr>
        <w:t>s</w:t>
      </w:r>
      <w:r w:rsidR="001B3D4B" w:rsidRPr="587A6DCD">
        <w:rPr>
          <w:rFonts w:asciiTheme="majorHAnsi" w:hAnsiTheme="majorHAnsi" w:cstheme="majorBidi"/>
          <w:lang w:val="en-GB"/>
        </w:rPr>
        <w:t>ed mortality</w:t>
      </w:r>
      <w:r w:rsidR="007F72E5" w:rsidRPr="587A6DCD">
        <w:rPr>
          <w:rFonts w:asciiTheme="majorHAnsi" w:hAnsiTheme="majorHAnsi" w:cstheme="majorBidi"/>
          <w:lang w:val="en-GB"/>
        </w:rPr>
        <w:t xml:space="preserve"> estimates before adjustment for misclassification (“Modelled”) and after adjustment and calibration (“Adjusted &amp; Calibrated”)</w:t>
      </w:r>
      <w:r w:rsidR="00857EBE" w:rsidRPr="587A6DCD">
        <w:rPr>
          <w:rFonts w:ascii="Calibri Light" w:eastAsia="Calibri Light" w:hAnsi="Calibri Light" w:cs="Calibri Light"/>
          <w:color w:val="000000" w:themeColor="text1"/>
          <w:lang w:val="en-GB"/>
        </w:rPr>
        <w:t>—</w:t>
      </w:r>
      <w:proofErr w:type="spellStart"/>
      <w:r w:rsidR="007F72E5" w:rsidRPr="587A6DCD">
        <w:rPr>
          <w:rFonts w:asciiTheme="majorHAnsi" w:hAnsiTheme="majorHAnsi" w:cstheme="majorBidi"/>
          <w:lang w:val="en-GB"/>
        </w:rPr>
        <w:t>ie</w:t>
      </w:r>
      <w:proofErr w:type="spellEnd"/>
      <w:r w:rsidR="007F72E5" w:rsidRPr="587A6DCD">
        <w:rPr>
          <w:rFonts w:asciiTheme="majorHAnsi" w:hAnsiTheme="majorHAnsi" w:cstheme="majorBidi"/>
          <w:lang w:val="en-GB"/>
        </w:rPr>
        <w:t xml:space="preserve">, the final estimates. </w:t>
      </w:r>
    </w:p>
    <w:p w14:paraId="549A5D51" w14:textId="2EA44D83" w:rsidR="007F72E5" w:rsidRDefault="007F72E5" w:rsidP="007F72E5">
      <w:pPr>
        <w:pStyle w:val="Heading2"/>
        <w:rPr>
          <w:lang w:val="en-GB"/>
        </w:rPr>
      </w:pPr>
      <w:bookmarkStart w:id="74" w:name="_Toc99615595"/>
      <w:bookmarkStart w:id="75" w:name="_Toc175308204"/>
      <w:r w:rsidRPr="00A04876">
        <w:rPr>
          <w:lang w:val="en-GB"/>
        </w:rPr>
        <w:lastRenderedPageBreak/>
        <w:t xml:space="preserve">4.5 Impact of misclassification adjustment on county </w:t>
      </w:r>
      <w:r>
        <w:rPr>
          <w:lang w:val="en-GB"/>
        </w:rPr>
        <w:t>age-standardi</w:t>
      </w:r>
      <w:r w:rsidR="00857EBE">
        <w:rPr>
          <w:lang w:val="en-GB"/>
        </w:rPr>
        <w:t>s</w:t>
      </w:r>
      <w:r>
        <w:rPr>
          <w:lang w:val="en-GB"/>
        </w:rPr>
        <w:t xml:space="preserve">ed </w:t>
      </w:r>
      <w:r w:rsidR="00DB29B3">
        <w:rPr>
          <w:lang w:val="en-GB"/>
        </w:rPr>
        <w:t xml:space="preserve">all-cause </w:t>
      </w:r>
      <w:r>
        <w:rPr>
          <w:lang w:val="en-GB"/>
        </w:rPr>
        <w:t>mortality</w:t>
      </w:r>
      <w:r w:rsidRPr="00A04876">
        <w:rPr>
          <w:lang w:val="en-GB"/>
        </w:rPr>
        <w:t xml:space="preserve"> estimates</w:t>
      </w:r>
      <w:bookmarkEnd w:id="74"/>
      <w:bookmarkEnd w:id="75"/>
    </w:p>
    <w:p w14:paraId="65C540DC" w14:textId="77777777" w:rsidR="00FD6126" w:rsidRDefault="00FD6126" w:rsidP="00FD6126">
      <w:pPr>
        <w:jc w:val="center"/>
      </w:pPr>
      <w:r>
        <w:rPr>
          <w:noProof/>
        </w:rPr>
        <w:drawing>
          <wp:inline distT="0" distB="0" distL="0" distR="0" wp14:anchorId="105BB2DC" wp14:editId="28E95A0B">
            <wp:extent cx="5200650" cy="6667498"/>
            <wp:effectExtent l="0" t="0" r="0" b="0"/>
            <wp:docPr id="87981886" name="Picture 87981886"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200650" cy="6667498"/>
                    </a:xfrm>
                    <a:prstGeom prst="rect">
                      <a:avLst/>
                    </a:prstGeom>
                  </pic:spPr>
                </pic:pic>
              </a:graphicData>
            </a:graphic>
          </wp:inline>
        </w:drawing>
      </w:r>
    </w:p>
    <w:p w14:paraId="5AB7085D" w14:textId="0BB20174" w:rsidR="00F54B2A" w:rsidRPr="00FC7390" w:rsidRDefault="00FD6126" w:rsidP="279F2A7E">
      <w:r w:rsidRPr="279F2A7E">
        <w:rPr>
          <w:rFonts w:ascii="Calibri Light" w:eastAsia="Calibri Light" w:hAnsi="Calibri Light" w:cs="Calibri Light"/>
          <w:color w:val="000000" w:themeColor="text1"/>
          <w:lang w:val="en-GB"/>
        </w:rPr>
        <w:t>County age-standardised all-cause mortality estimates before adjustment for misclassification (“Modelled”) and after adjustment and calibration (“Adjusted &amp; Calibrated”)</w:t>
      </w:r>
      <w:r w:rsidRPr="279F2A7E">
        <w:rPr>
          <w:rFonts w:ascii="Calibri Light" w:eastAsia="Calibri Light" w:hAnsi="Calibri Light" w:cs="Calibri Light"/>
          <w:color w:val="2B579A"/>
          <w:lang w:val="en-GB"/>
        </w:rPr>
        <w:t>—</w:t>
      </w:r>
      <w:proofErr w:type="spellStart"/>
      <w:r w:rsidRPr="279F2A7E">
        <w:rPr>
          <w:rFonts w:ascii="Calibri Light" w:eastAsia="Calibri Light" w:hAnsi="Calibri Light" w:cs="Calibri Light"/>
          <w:color w:val="000000" w:themeColor="text1"/>
          <w:lang w:val="en-GB"/>
        </w:rPr>
        <w:t>ie</w:t>
      </w:r>
      <w:proofErr w:type="spellEnd"/>
      <w:r w:rsidRPr="279F2A7E">
        <w:rPr>
          <w:rFonts w:ascii="Calibri Light" w:eastAsia="Calibri Light" w:hAnsi="Calibri Light" w:cs="Calibri Light"/>
          <w:color w:val="000000" w:themeColor="text1"/>
          <w:lang w:val="en-GB"/>
        </w:rPr>
        <w:t>, the final estimates. Estimates have been masked</w:t>
      </w:r>
      <w:r w:rsidR="00477E28" w:rsidRPr="279F2A7E">
        <w:rPr>
          <w:rFonts w:ascii="Calibri Light" w:eastAsia="Calibri Light" w:hAnsi="Calibri Light" w:cs="Calibri Light"/>
          <w:color w:val="000000" w:themeColor="text1"/>
          <w:lang w:val="en-GB"/>
        </w:rPr>
        <w:t xml:space="preserve"> (shown in grey)</w:t>
      </w:r>
      <w:r w:rsidRPr="279F2A7E">
        <w:rPr>
          <w:rFonts w:ascii="Calibri Light" w:eastAsia="Calibri Light" w:hAnsi="Calibri Light" w:cs="Calibri Light"/>
          <w:color w:val="000000" w:themeColor="text1"/>
          <w:lang w:val="en-GB"/>
        </w:rPr>
        <w:t xml:space="preserve"> for count</w:t>
      </w:r>
      <w:r w:rsidR="005607DF">
        <w:rPr>
          <w:rFonts w:ascii="Calibri Light" w:eastAsia="Calibri Light" w:hAnsi="Calibri Light" w:cs="Calibri Light"/>
          <w:color w:val="000000" w:themeColor="text1"/>
          <w:lang w:val="en-GB"/>
        </w:rPr>
        <w:t>ies</w:t>
      </w:r>
      <w:r w:rsidRPr="279F2A7E">
        <w:rPr>
          <w:rFonts w:ascii="Calibri Light" w:eastAsia="Calibri Light" w:hAnsi="Calibri Light" w:cs="Calibri Light"/>
          <w:color w:val="000000" w:themeColor="text1"/>
          <w:lang w:val="en-GB"/>
        </w:rPr>
        <w:t xml:space="preserve"> and racial and ethnic populations with a mean annual population fewer than 1000 people because model performance declined notably below this threshold. AIAN = American Indian or Alaska Native.</w:t>
      </w:r>
    </w:p>
    <w:sectPr w:rsidR="00F54B2A" w:rsidRPr="00FC7390" w:rsidSect="00FC73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E03E9" w14:textId="77777777" w:rsidR="00346131" w:rsidRDefault="00346131" w:rsidP="005A4FEB">
      <w:pPr>
        <w:spacing w:after="0" w:line="240" w:lineRule="auto"/>
      </w:pPr>
      <w:r>
        <w:separator/>
      </w:r>
    </w:p>
  </w:endnote>
  <w:endnote w:type="continuationSeparator" w:id="0">
    <w:p w14:paraId="3C6C7D7B" w14:textId="77777777" w:rsidR="00346131" w:rsidRDefault="00346131" w:rsidP="005A4FEB">
      <w:pPr>
        <w:spacing w:after="0" w:line="240" w:lineRule="auto"/>
      </w:pPr>
      <w:r>
        <w:continuationSeparator/>
      </w:r>
    </w:p>
  </w:endnote>
  <w:endnote w:type="continuationNotice" w:id="1">
    <w:p w14:paraId="636398DB" w14:textId="77777777" w:rsidR="00346131" w:rsidRDefault="003461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46750"/>
      <w:docPartObj>
        <w:docPartGallery w:val="Page Numbers (Bottom of Page)"/>
        <w:docPartUnique/>
      </w:docPartObj>
    </w:sdtPr>
    <w:sdtEndPr>
      <w:rPr>
        <w:noProof/>
      </w:rPr>
    </w:sdtEndPr>
    <w:sdtContent>
      <w:p w14:paraId="4A12D3E2" w14:textId="2E92348C" w:rsidR="00167ADD" w:rsidRDefault="00167ADD">
        <w:pPr>
          <w:pStyle w:val="Footer"/>
          <w:jc w:val="center"/>
        </w:pPr>
        <w:r>
          <w:fldChar w:fldCharType="begin"/>
        </w:r>
        <w:r>
          <w:instrText xml:space="preserve"> PAGE   \* MERGEFORMAT </w:instrText>
        </w:r>
        <w:r>
          <w:fldChar w:fldCharType="separate"/>
        </w:r>
        <w:r w:rsidR="00DA1FEE">
          <w:rPr>
            <w:noProof/>
          </w:rPr>
          <w:t>39</w:t>
        </w:r>
        <w:r>
          <w:rPr>
            <w:noProof/>
          </w:rPr>
          <w:fldChar w:fldCharType="end"/>
        </w:r>
      </w:p>
    </w:sdtContent>
  </w:sdt>
  <w:p w14:paraId="5597EEF5" w14:textId="37D1DF0E" w:rsidR="00167ADD" w:rsidRDefault="00167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76D94" w14:textId="77777777" w:rsidR="00346131" w:rsidRDefault="00346131" w:rsidP="005A4FEB">
      <w:pPr>
        <w:spacing w:after="0" w:line="240" w:lineRule="auto"/>
      </w:pPr>
      <w:r>
        <w:separator/>
      </w:r>
    </w:p>
  </w:footnote>
  <w:footnote w:type="continuationSeparator" w:id="0">
    <w:p w14:paraId="33AF8732" w14:textId="77777777" w:rsidR="00346131" w:rsidRDefault="00346131" w:rsidP="005A4FEB">
      <w:pPr>
        <w:spacing w:after="0" w:line="240" w:lineRule="auto"/>
      </w:pPr>
      <w:r>
        <w:continuationSeparator/>
      </w:r>
    </w:p>
  </w:footnote>
  <w:footnote w:type="continuationNotice" w:id="1">
    <w:p w14:paraId="5B110E21" w14:textId="77777777" w:rsidR="00346131" w:rsidRDefault="003461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167ADD" w14:paraId="2EDDD5DB" w14:textId="77777777" w:rsidTr="2F2E0739">
      <w:tc>
        <w:tcPr>
          <w:tcW w:w="3120" w:type="dxa"/>
        </w:tcPr>
        <w:p w14:paraId="4A36B4D8" w14:textId="6ACA671C" w:rsidR="00167ADD" w:rsidRDefault="00167ADD" w:rsidP="2F2E0739">
          <w:pPr>
            <w:pStyle w:val="Header"/>
            <w:ind w:left="-115"/>
          </w:pPr>
        </w:p>
      </w:tc>
      <w:tc>
        <w:tcPr>
          <w:tcW w:w="3120" w:type="dxa"/>
        </w:tcPr>
        <w:p w14:paraId="1BA5A44A" w14:textId="19FF83B0" w:rsidR="00167ADD" w:rsidRDefault="00167ADD" w:rsidP="2F2E0739">
          <w:pPr>
            <w:pStyle w:val="Header"/>
            <w:jc w:val="center"/>
          </w:pPr>
        </w:p>
      </w:tc>
      <w:tc>
        <w:tcPr>
          <w:tcW w:w="3120" w:type="dxa"/>
        </w:tcPr>
        <w:p w14:paraId="44262E52" w14:textId="09473A71" w:rsidR="00167ADD" w:rsidRDefault="00167ADD" w:rsidP="2F2E0739">
          <w:pPr>
            <w:pStyle w:val="Header"/>
            <w:ind w:right="-115"/>
            <w:jc w:val="right"/>
          </w:pPr>
        </w:p>
      </w:tc>
    </w:tr>
  </w:tbl>
  <w:p w14:paraId="3D21D4FE" w14:textId="15109AC7" w:rsidR="00167ADD" w:rsidRDefault="0016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3A50"/>
    <w:multiLevelType w:val="hybridMultilevel"/>
    <w:tmpl w:val="82C4F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84ED5"/>
    <w:multiLevelType w:val="hybridMultilevel"/>
    <w:tmpl w:val="1B281172"/>
    <w:lvl w:ilvl="0" w:tplc="FE62AC72">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9F4751"/>
    <w:multiLevelType w:val="hybridMultilevel"/>
    <w:tmpl w:val="87346DE2"/>
    <w:lvl w:ilvl="0" w:tplc="14CC5406">
      <w:start w:val="1"/>
      <w:numFmt w:val="bullet"/>
      <w:lvlText w:val=""/>
      <w:lvlJc w:val="left"/>
      <w:pPr>
        <w:ind w:left="720" w:hanging="360"/>
      </w:pPr>
      <w:rPr>
        <w:rFonts w:ascii="Symbol" w:hAnsi="Symbol" w:hint="default"/>
      </w:rPr>
    </w:lvl>
    <w:lvl w:ilvl="1" w:tplc="DD9C2D32">
      <w:start w:val="1"/>
      <w:numFmt w:val="bullet"/>
      <w:lvlText w:val=""/>
      <w:lvlJc w:val="left"/>
      <w:pPr>
        <w:ind w:left="1440" w:hanging="360"/>
      </w:pPr>
      <w:rPr>
        <w:rFonts w:ascii="Symbol" w:hAnsi="Symbol" w:hint="default"/>
      </w:rPr>
    </w:lvl>
    <w:lvl w:ilvl="2" w:tplc="5E6CDBC6">
      <w:start w:val="1"/>
      <w:numFmt w:val="bullet"/>
      <w:lvlText w:val=""/>
      <w:lvlJc w:val="left"/>
      <w:pPr>
        <w:ind w:left="2160" w:hanging="360"/>
      </w:pPr>
      <w:rPr>
        <w:rFonts w:ascii="Wingdings" w:hAnsi="Wingdings" w:hint="default"/>
      </w:rPr>
    </w:lvl>
    <w:lvl w:ilvl="3" w:tplc="CA524BDE">
      <w:start w:val="1"/>
      <w:numFmt w:val="bullet"/>
      <w:lvlText w:val=""/>
      <w:lvlJc w:val="left"/>
      <w:pPr>
        <w:ind w:left="2880" w:hanging="360"/>
      </w:pPr>
      <w:rPr>
        <w:rFonts w:ascii="Symbol" w:hAnsi="Symbol" w:hint="default"/>
      </w:rPr>
    </w:lvl>
    <w:lvl w:ilvl="4" w:tplc="E62261C6">
      <w:start w:val="1"/>
      <w:numFmt w:val="bullet"/>
      <w:lvlText w:val="o"/>
      <w:lvlJc w:val="left"/>
      <w:pPr>
        <w:ind w:left="3600" w:hanging="360"/>
      </w:pPr>
      <w:rPr>
        <w:rFonts w:ascii="Courier New" w:hAnsi="Courier New" w:hint="default"/>
      </w:rPr>
    </w:lvl>
    <w:lvl w:ilvl="5" w:tplc="74229F9C">
      <w:start w:val="1"/>
      <w:numFmt w:val="bullet"/>
      <w:lvlText w:val=""/>
      <w:lvlJc w:val="left"/>
      <w:pPr>
        <w:ind w:left="4320" w:hanging="360"/>
      </w:pPr>
      <w:rPr>
        <w:rFonts w:ascii="Wingdings" w:hAnsi="Wingdings" w:hint="default"/>
      </w:rPr>
    </w:lvl>
    <w:lvl w:ilvl="6" w:tplc="99723142">
      <w:start w:val="1"/>
      <w:numFmt w:val="bullet"/>
      <w:lvlText w:val=""/>
      <w:lvlJc w:val="left"/>
      <w:pPr>
        <w:ind w:left="5040" w:hanging="360"/>
      </w:pPr>
      <w:rPr>
        <w:rFonts w:ascii="Symbol" w:hAnsi="Symbol" w:hint="default"/>
      </w:rPr>
    </w:lvl>
    <w:lvl w:ilvl="7" w:tplc="41F6C614">
      <w:start w:val="1"/>
      <w:numFmt w:val="bullet"/>
      <w:lvlText w:val="o"/>
      <w:lvlJc w:val="left"/>
      <w:pPr>
        <w:ind w:left="5760" w:hanging="360"/>
      </w:pPr>
      <w:rPr>
        <w:rFonts w:ascii="Courier New" w:hAnsi="Courier New" w:hint="default"/>
      </w:rPr>
    </w:lvl>
    <w:lvl w:ilvl="8" w:tplc="9FE23D84">
      <w:start w:val="1"/>
      <w:numFmt w:val="bullet"/>
      <w:lvlText w:val=""/>
      <w:lvlJc w:val="left"/>
      <w:pPr>
        <w:ind w:left="6480" w:hanging="360"/>
      </w:pPr>
      <w:rPr>
        <w:rFonts w:ascii="Wingdings" w:hAnsi="Wingdings" w:hint="default"/>
      </w:rPr>
    </w:lvl>
  </w:abstractNum>
  <w:abstractNum w:abstractNumId="3" w15:restartNumberingAfterBreak="0">
    <w:nsid w:val="1F55484D"/>
    <w:multiLevelType w:val="hybridMultilevel"/>
    <w:tmpl w:val="BEB2341A"/>
    <w:lvl w:ilvl="0" w:tplc="94F283DA">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7E3BB0"/>
    <w:multiLevelType w:val="hybridMultilevel"/>
    <w:tmpl w:val="FFFFFFFF"/>
    <w:lvl w:ilvl="0" w:tplc="43464F34">
      <w:start w:val="1"/>
      <w:numFmt w:val="decimal"/>
      <w:lvlText w:val="%1."/>
      <w:lvlJc w:val="left"/>
      <w:pPr>
        <w:ind w:left="720" w:hanging="360"/>
      </w:pPr>
    </w:lvl>
    <w:lvl w:ilvl="1" w:tplc="DD5006FA">
      <w:start w:val="1"/>
      <w:numFmt w:val="lowerLetter"/>
      <w:lvlText w:val="%2."/>
      <w:lvlJc w:val="left"/>
      <w:pPr>
        <w:ind w:left="1440" w:hanging="360"/>
      </w:pPr>
    </w:lvl>
    <w:lvl w:ilvl="2" w:tplc="FD821EAA">
      <w:start w:val="1"/>
      <w:numFmt w:val="lowerRoman"/>
      <w:lvlText w:val="%3."/>
      <w:lvlJc w:val="right"/>
      <w:pPr>
        <w:ind w:left="2160" w:hanging="180"/>
      </w:pPr>
    </w:lvl>
    <w:lvl w:ilvl="3" w:tplc="A1B88626">
      <w:start w:val="1"/>
      <w:numFmt w:val="decimal"/>
      <w:lvlText w:val="%4."/>
      <w:lvlJc w:val="left"/>
      <w:pPr>
        <w:ind w:left="2880" w:hanging="360"/>
      </w:pPr>
    </w:lvl>
    <w:lvl w:ilvl="4" w:tplc="EAE01DA0">
      <w:start w:val="1"/>
      <w:numFmt w:val="lowerLetter"/>
      <w:lvlText w:val="%5."/>
      <w:lvlJc w:val="left"/>
      <w:pPr>
        <w:ind w:left="3600" w:hanging="360"/>
      </w:pPr>
    </w:lvl>
    <w:lvl w:ilvl="5" w:tplc="E304AE48">
      <w:start w:val="1"/>
      <w:numFmt w:val="lowerRoman"/>
      <w:lvlText w:val="%6."/>
      <w:lvlJc w:val="right"/>
      <w:pPr>
        <w:ind w:left="4320" w:hanging="180"/>
      </w:pPr>
    </w:lvl>
    <w:lvl w:ilvl="6" w:tplc="A3FEDBBC">
      <w:start w:val="1"/>
      <w:numFmt w:val="decimal"/>
      <w:lvlText w:val="%7."/>
      <w:lvlJc w:val="left"/>
      <w:pPr>
        <w:ind w:left="5040" w:hanging="360"/>
      </w:pPr>
    </w:lvl>
    <w:lvl w:ilvl="7" w:tplc="4A62FAB0">
      <w:start w:val="1"/>
      <w:numFmt w:val="lowerLetter"/>
      <w:lvlText w:val="%8."/>
      <w:lvlJc w:val="left"/>
      <w:pPr>
        <w:ind w:left="5760" w:hanging="360"/>
      </w:pPr>
    </w:lvl>
    <w:lvl w:ilvl="8" w:tplc="BEB0EDFA">
      <w:start w:val="1"/>
      <w:numFmt w:val="lowerRoman"/>
      <w:lvlText w:val="%9."/>
      <w:lvlJc w:val="right"/>
      <w:pPr>
        <w:ind w:left="6480" w:hanging="180"/>
      </w:pPr>
    </w:lvl>
  </w:abstractNum>
  <w:abstractNum w:abstractNumId="5" w15:restartNumberingAfterBreak="0">
    <w:nsid w:val="21810266"/>
    <w:multiLevelType w:val="hybridMultilevel"/>
    <w:tmpl w:val="FFFFFFFF"/>
    <w:lvl w:ilvl="0" w:tplc="57E42382">
      <w:start w:val="1"/>
      <w:numFmt w:val="decimal"/>
      <w:lvlText w:val="%1."/>
      <w:lvlJc w:val="left"/>
      <w:pPr>
        <w:ind w:left="720" w:hanging="360"/>
      </w:pPr>
    </w:lvl>
    <w:lvl w:ilvl="1" w:tplc="99E43E76">
      <w:start w:val="1"/>
      <w:numFmt w:val="lowerLetter"/>
      <w:lvlText w:val="%2."/>
      <w:lvlJc w:val="left"/>
      <w:pPr>
        <w:ind w:left="1440" w:hanging="360"/>
      </w:pPr>
    </w:lvl>
    <w:lvl w:ilvl="2" w:tplc="A5CC1AF0">
      <w:start w:val="1"/>
      <w:numFmt w:val="lowerRoman"/>
      <w:lvlText w:val="%3."/>
      <w:lvlJc w:val="right"/>
      <w:pPr>
        <w:ind w:left="2160" w:hanging="180"/>
      </w:pPr>
    </w:lvl>
    <w:lvl w:ilvl="3" w:tplc="E5D6E630">
      <w:start w:val="1"/>
      <w:numFmt w:val="decimal"/>
      <w:lvlText w:val="%4."/>
      <w:lvlJc w:val="left"/>
      <w:pPr>
        <w:ind w:left="2880" w:hanging="360"/>
      </w:pPr>
    </w:lvl>
    <w:lvl w:ilvl="4" w:tplc="621E89B8">
      <w:start w:val="1"/>
      <w:numFmt w:val="lowerLetter"/>
      <w:lvlText w:val="%5."/>
      <w:lvlJc w:val="left"/>
      <w:pPr>
        <w:ind w:left="3600" w:hanging="360"/>
      </w:pPr>
    </w:lvl>
    <w:lvl w:ilvl="5" w:tplc="D3B2F9FE">
      <w:start w:val="1"/>
      <w:numFmt w:val="lowerRoman"/>
      <w:lvlText w:val="%6."/>
      <w:lvlJc w:val="right"/>
      <w:pPr>
        <w:ind w:left="4320" w:hanging="180"/>
      </w:pPr>
    </w:lvl>
    <w:lvl w:ilvl="6" w:tplc="0A2A5694">
      <w:start w:val="1"/>
      <w:numFmt w:val="decimal"/>
      <w:lvlText w:val="%7."/>
      <w:lvlJc w:val="left"/>
      <w:pPr>
        <w:ind w:left="5040" w:hanging="360"/>
      </w:pPr>
    </w:lvl>
    <w:lvl w:ilvl="7" w:tplc="FBD6E71E">
      <w:start w:val="1"/>
      <w:numFmt w:val="lowerLetter"/>
      <w:lvlText w:val="%8."/>
      <w:lvlJc w:val="left"/>
      <w:pPr>
        <w:ind w:left="5760" w:hanging="360"/>
      </w:pPr>
    </w:lvl>
    <w:lvl w:ilvl="8" w:tplc="1E96CF1C">
      <w:start w:val="1"/>
      <w:numFmt w:val="lowerRoman"/>
      <w:lvlText w:val="%9."/>
      <w:lvlJc w:val="right"/>
      <w:pPr>
        <w:ind w:left="6480" w:hanging="180"/>
      </w:pPr>
    </w:lvl>
  </w:abstractNum>
  <w:abstractNum w:abstractNumId="6" w15:restartNumberingAfterBreak="0">
    <w:nsid w:val="2A7D4B37"/>
    <w:multiLevelType w:val="hybridMultilevel"/>
    <w:tmpl w:val="8A183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873D94"/>
    <w:multiLevelType w:val="hybridMultilevel"/>
    <w:tmpl w:val="096492A4"/>
    <w:lvl w:ilvl="0" w:tplc="3E56DE62">
      <w:start w:val="1"/>
      <w:numFmt w:val="bullet"/>
      <w:lvlText w:val=""/>
      <w:lvlJc w:val="left"/>
      <w:pPr>
        <w:ind w:left="720" w:hanging="360"/>
      </w:pPr>
      <w:rPr>
        <w:rFonts w:ascii="Symbol" w:hAnsi="Symbol" w:hint="default"/>
      </w:rPr>
    </w:lvl>
    <w:lvl w:ilvl="1" w:tplc="14624EAC">
      <w:start w:val="1"/>
      <w:numFmt w:val="bullet"/>
      <w:lvlText w:val=""/>
      <w:lvlJc w:val="left"/>
      <w:pPr>
        <w:ind w:left="1440" w:hanging="360"/>
      </w:pPr>
      <w:rPr>
        <w:rFonts w:ascii="Symbol" w:hAnsi="Symbol" w:hint="default"/>
      </w:rPr>
    </w:lvl>
    <w:lvl w:ilvl="2" w:tplc="A8680F24">
      <w:start w:val="1"/>
      <w:numFmt w:val="bullet"/>
      <w:lvlText w:val=""/>
      <w:lvlJc w:val="left"/>
      <w:pPr>
        <w:ind w:left="2160" w:hanging="360"/>
      </w:pPr>
      <w:rPr>
        <w:rFonts w:ascii="Wingdings" w:hAnsi="Wingdings" w:hint="default"/>
      </w:rPr>
    </w:lvl>
    <w:lvl w:ilvl="3" w:tplc="28BE6472">
      <w:start w:val="1"/>
      <w:numFmt w:val="bullet"/>
      <w:lvlText w:val=""/>
      <w:lvlJc w:val="left"/>
      <w:pPr>
        <w:ind w:left="2880" w:hanging="360"/>
      </w:pPr>
      <w:rPr>
        <w:rFonts w:ascii="Symbol" w:hAnsi="Symbol" w:hint="default"/>
      </w:rPr>
    </w:lvl>
    <w:lvl w:ilvl="4" w:tplc="F2B0DF64">
      <w:start w:val="1"/>
      <w:numFmt w:val="bullet"/>
      <w:lvlText w:val="o"/>
      <w:lvlJc w:val="left"/>
      <w:pPr>
        <w:ind w:left="3600" w:hanging="360"/>
      </w:pPr>
      <w:rPr>
        <w:rFonts w:ascii="Courier New" w:hAnsi="Courier New" w:hint="default"/>
      </w:rPr>
    </w:lvl>
    <w:lvl w:ilvl="5" w:tplc="8D66E70E">
      <w:start w:val="1"/>
      <w:numFmt w:val="bullet"/>
      <w:lvlText w:val=""/>
      <w:lvlJc w:val="left"/>
      <w:pPr>
        <w:ind w:left="4320" w:hanging="360"/>
      </w:pPr>
      <w:rPr>
        <w:rFonts w:ascii="Wingdings" w:hAnsi="Wingdings" w:hint="default"/>
      </w:rPr>
    </w:lvl>
    <w:lvl w:ilvl="6" w:tplc="8EA277B2">
      <w:start w:val="1"/>
      <w:numFmt w:val="bullet"/>
      <w:lvlText w:val=""/>
      <w:lvlJc w:val="left"/>
      <w:pPr>
        <w:ind w:left="5040" w:hanging="360"/>
      </w:pPr>
      <w:rPr>
        <w:rFonts w:ascii="Symbol" w:hAnsi="Symbol" w:hint="default"/>
      </w:rPr>
    </w:lvl>
    <w:lvl w:ilvl="7" w:tplc="8C18F17E">
      <w:start w:val="1"/>
      <w:numFmt w:val="bullet"/>
      <w:lvlText w:val="o"/>
      <w:lvlJc w:val="left"/>
      <w:pPr>
        <w:ind w:left="5760" w:hanging="360"/>
      </w:pPr>
      <w:rPr>
        <w:rFonts w:ascii="Courier New" w:hAnsi="Courier New" w:hint="default"/>
      </w:rPr>
    </w:lvl>
    <w:lvl w:ilvl="8" w:tplc="22DA6F1A">
      <w:start w:val="1"/>
      <w:numFmt w:val="bullet"/>
      <w:lvlText w:val=""/>
      <w:lvlJc w:val="left"/>
      <w:pPr>
        <w:ind w:left="6480" w:hanging="360"/>
      </w:pPr>
      <w:rPr>
        <w:rFonts w:ascii="Wingdings" w:hAnsi="Wingdings" w:hint="default"/>
      </w:rPr>
    </w:lvl>
  </w:abstractNum>
  <w:abstractNum w:abstractNumId="8" w15:restartNumberingAfterBreak="0">
    <w:nsid w:val="33255E4E"/>
    <w:multiLevelType w:val="hybridMultilevel"/>
    <w:tmpl w:val="46EC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BA177F"/>
    <w:multiLevelType w:val="hybridMultilevel"/>
    <w:tmpl w:val="26EA412E"/>
    <w:lvl w:ilvl="0" w:tplc="00D89E92">
      <w:start w:val="1"/>
      <w:numFmt w:val="bullet"/>
      <w:lvlText w:val=""/>
      <w:lvlJc w:val="left"/>
      <w:pPr>
        <w:ind w:left="720" w:hanging="360"/>
      </w:pPr>
      <w:rPr>
        <w:rFonts w:ascii="Symbol" w:hAnsi="Symbol" w:hint="default"/>
      </w:rPr>
    </w:lvl>
    <w:lvl w:ilvl="1" w:tplc="C2D85CE2">
      <w:start w:val="1"/>
      <w:numFmt w:val="bullet"/>
      <w:lvlText w:val=""/>
      <w:lvlJc w:val="left"/>
      <w:pPr>
        <w:ind w:left="1440" w:hanging="360"/>
      </w:pPr>
      <w:rPr>
        <w:rFonts w:ascii="Symbol" w:hAnsi="Symbol" w:hint="default"/>
      </w:rPr>
    </w:lvl>
    <w:lvl w:ilvl="2" w:tplc="A202C46A">
      <w:start w:val="1"/>
      <w:numFmt w:val="bullet"/>
      <w:lvlText w:val=""/>
      <w:lvlJc w:val="left"/>
      <w:pPr>
        <w:ind w:left="2160" w:hanging="360"/>
      </w:pPr>
      <w:rPr>
        <w:rFonts w:ascii="Wingdings" w:hAnsi="Wingdings" w:hint="default"/>
      </w:rPr>
    </w:lvl>
    <w:lvl w:ilvl="3" w:tplc="91B8AC82">
      <w:start w:val="1"/>
      <w:numFmt w:val="bullet"/>
      <w:lvlText w:val=""/>
      <w:lvlJc w:val="left"/>
      <w:pPr>
        <w:ind w:left="2880" w:hanging="360"/>
      </w:pPr>
      <w:rPr>
        <w:rFonts w:ascii="Symbol" w:hAnsi="Symbol" w:hint="default"/>
      </w:rPr>
    </w:lvl>
    <w:lvl w:ilvl="4" w:tplc="7892F78C">
      <w:start w:val="1"/>
      <w:numFmt w:val="bullet"/>
      <w:lvlText w:val="o"/>
      <w:lvlJc w:val="left"/>
      <w:pPr>
        <w:ind w:left="3600" w:hanging="360"/>
      </w:pPr>
      <w:rPr>
        <w:rFonts w:ascii="Courier New" w:hAnsi="Courier New" w:hint="default"/>
      </w:rPr>
    </w:lvl>
    <w:lvl w:ilvl="5" w:tplc="5922DD8C">
      <w:start w:val="1"/>
      <w:numFmt w:val="bullet"/>
      <w:lvlText w:val=""/>
      <w:lvlJc w:val="left"/>
      <w:pPr>
        <w:ind w:left="4320" w:hanging="360"/>
      </w:pPr>
      <w:rPr>
        <w:rFonts w:ascii="Wingdings" w:hAnsi="Wingdings" w:hint="default"/>
      </w:rPr>
    </w:lvl>
    <w:lvl w:ilvl="6" w:tplc="ECDAFF44">
      <w:start w:val="1"/>
      <w:numFmt w:val="bullet"/>
      <w:lvlText w:val=""/>
      <w:lvlJc w:val="left"/>
      <w:pPr>
        <w:ind w:left="5040" w:hanging="360"/>
      </w:pPr>
      <w:rPr>
        <w:rFonts w:ascii="Symbol" w:hAnsi="Symbol" w:hint="default"/>
      </w:rPr>
    </w:lvl>
    <w:lvl w:ilvl="7" w:tplc="6D4A2A90">
      <w:start w:val="1"/>
      <w:numFmt w:val="bullet"/>
      <w:lvlText w:val="o"/>
      <w:lvlJc w:val="left"/>
      <w:pPr>
        <w:ind w:left="5760" w:hanging="360"/>
      </w:pPr>
      <w:rPr>
        <w:rFonts w:ascii="Courier New" w:hAnsi="Courier New" w:hint="default"/>
      </w:rPr>
    </w:lvl>
    <w:lvl w:ilvl="8" w:tplc="1F4AD520">
      <w:start w:val="1"/>
      <w:numFmt w:val="bullet"/>
      <w:lvlText w:val=""/>
      <w:lvlJc w:val="left"/>
      <w:pPr>
        <w:ind w:left="6480" w:hanging="360"/>
      </w:pPr>
      <w:rPr>
        <w:rFonts w:ascii="Wingdings" w:hAnsi="Wingdings" w:hint="default"/>
      </w:rPr>
    </w:lvl>
  </w:abstractNum>
  <w:abstractNum w:abstractNumId="10" w15:restartNumberingAfterBreak="0">
    <w:nsid w:val="3CAE22A4"/>
    <w:multiLevelType w:val="hybridMultilevel"/>
    <w:tmpl w:val="D27EDF1E"/>
    <w:lvl w:ilvl="0" w:tplc="58A40AEE">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5E5135"/>
    <w:multiLevelType w:val="hybridMultilevel"/>
    <w:tmpl w:val="79205422"/>
    <w:lvl w:ilvl="0" w:tplc="BE88FA22">
      <w:start w:val="1"/>
      <w:numFmt w:val="bullet"/>
      <w:lvlText w:val="-"/>
      <w:lvlJc w:val="left"/>
      <w:pPr>
        <w:ind w:left="1800" w:hanging="360"/>
      </w:pPr>
      <w:rPr>
        <w:rFonts w:ascii="Calibri" w:eastAsiaTheme="minorHAns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F8E7A46"/>
    <w:multiLevelType w:val="hybridMultilevel"/>
    <w:tmpl w:val="259EABB0"/>
    <w:lvl w:ilvl="0" w:tplc="ECBEB7FE">
      <w:start w:val="1"/>
      <w:numFmt w:val="bullet"/>
      <w:lvlText w:val=""/>
      <w:lvlJc w:val="left"/>
      <w:pPr>
        <w:ind w:left="720" w:hanging="360"/>
      </w:pPr>
      <w:rPr>
        <w:rFonts w:ascii="Symbol" w:hAnsi="Symbol" w:hint="default"/>
      </w:rPr>
    </w:lvl>
    <w:lvl w:ilvl="1" w:tplc="07581538">
      <w:start w:val="1"/>
      <w:numFmt w:val="bullet"/>
      <w:lvlText w:val=""/>
      <w:lvlJc w:val="left"/>
      <w:pPr>
        <w:ind w:left="1440" w:hanging="360"/>
      </w:pPr>
      <w:rPr>
        <w:rFonts w:ascii="Symbol" w:hAnsi="Symbol" w:hint="default"/>
      </w:rPr>
    </w:lvl>
    <w:lvl w:ilvl="2" w:tplc="77B6ED0C">
      <w:start w:val="1"/>
      <w:numFmt w:val="bullet"/>
      <w:lvlText w:val=""/>
      <w:lvlJc w:val="left"/>
      <w:pPr>
        <w:ind w:left="2160" w:hanging="360"/>
      </w:pPr>
      <w:rPr>
        <w:rFonts w:ascii="Wingdings" w:hAnsi="Wingdings" w:hint="default"/>
      </w:rPr>
    </w:lvl>
    <w:lvl w:ilvl="3" w:tplc="A764159C">
      <w:start w:val="1"/>
      <w:numFmt w:val="bullet"/>
      <w:lvlText w:val=""/>
      <w:lvlJc w:val="left"/>
      <w:pPr>
        <w:ind w:left="2880" w:hanging="360"/>
      </w:pPr>
      <w:rPr>
        <w:rFonts w:ascii="Symbol" w:hAnsi="Symbol" w:hint="default"/>
      </w:rPr>
    </w:lvl>
    <w:lvl w:ilvl="4" w:tplc="61C08858">
      <w:start w:val="1"/>
      <w:numFmt w:val="bullet"/>
      <w:lvlText w:val="o"/>
      <w:lvlJc w:val="left"/>
      <w:pPr>
        <w:ind w:left="3600" w:hanging="360"/>
      </w:pPr>
      <w:rPr>
        <w:rFonts w:ascii="Courier New" w:hAnsi="Courier New" w:hint="default"/>
      </w:rPr>
    </w:lvl>
    <w:lvl w:ilvl="5" w:tplc="01FEB222">
      <w:start w:val="1"/>
      <w:numFmt w:val="bullet"/>
      <w:lvlText w:val=""/>
      <w:lvlJc w:val="left"/>
      <w:pPr>
        <w:ind w:left="4320" w:hanging="360"/>
      </w:pPr>
      <w:rPr>
        <w:rFonts w:ascii="Wingdings" w:hAnsi="Wingdings" w:hint="default"/>
      </w:rPr>
    </w:lvl>
    <w:lvl w:ilvl="6" w:tplc="7A2C5CA8">
      <w:start w:val="1"/>
      <w:numFmt w:val="bullet"/>
      <w:lvlText w:val=""/>
      <w:lvlJc w:val="left"/>
      <w:pPr>
        <w:ind w:left="5040" w:hanging="360"/>
      </w:pPr>
      <w:rPr>
        <w:rFonts w:ascii="Symbol" w:hAnsi="Symbol" w:hint="default"/>
      </w:rPr>
    </w:lvl>
    <w:lvl w:ilvl="7" w:tplc="1B608534">
      <w:start w:val="1"/>
      <w:numFmt w:val="bullet"/>
      <w:lvlText w:val="o"/>
      <w:lvlJc w:val="left"/>
      <w:pPr>
        <w:ind w:left="5760" w:hanging="360"/>
      </w:pPr>
      <w:rPr>
        <w:rFonts w:ascii="Courier New" w:hAnsi="Courier New" w:hint="default"/>
      </w:rPr>
    </w:lvl>
    <w:lvl w:ilvl="8" w:tplc="AF5AB432">
      <w:start w:val="1"/>
      <w:numFmt w:val="bullet"/>
      <w:lvlText w:val=""/>
      <w:lvlJc w:val="left"/>
      <w:pPr>
        <w:ind w:left="6480" w:hanging="360"/>
      </w:pPr>
      <w:rPr>
        <w:rFonts w:ascii="Wingdings" w:hAnsi="Wingdings" w:hint="default"/>
      </w:rPr>
    </w:lvl>
  </w:abstractNum>
  <w:abstractNum w:abstractNumId="13" w15:restartNumberingAfterBreak="0">
    <w:nsid w:val="42627D8D"/>
    <w:multiLevelType w:val="hybridMultilevel"/>
    <w:tmpl w:val="3482B062"/>
    <w:lvl w:ilvl="0" w:tplc="D40C557E">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CE27F5"/>
    <w:multiLevelType w:val="hybridMultilevel"/>
    <w:tmpl w:val="33D25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775B80"/>
    <w:multiLevelType w:val="hybridMultilevel"/>
    <w:tmpl w:val="1AB8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CA40B3"/>
    <w:multiLevelType w:val="hybridMultilevel"/>
    <w:tmpl w:val="AF061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DE3352"/>
    <w:multiLevelType w:val="hybridMultilevel"/>
    <w:tmpl w:val="9A1A68F0"/>
    <w:lvl w:ilvl="0" w:tplc="DDA6C016">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11965"/>
    <w:multiLevelType w:val="hybridMultilevel"/>
    <w:tmpl w:val="C332C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3C5466"/>
    <w:multiLevelType w:val="hybridMultilevel"/>
    <w:tmpl w:val="68B46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D81690"/>
    <w:multiLevelType w:val="hybridMultilevel"/>
    <w:tmpl w:val="920A122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4F023898"/>
    <w:multiLevelType w:val="hybridMultilevel"/>
    <w:tmpl w:val="E7F41F4A"/>
    <w:lvl w:ilvl="0" w:tplc="CE82D452">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202D22"/>
    <w:multiLevelType w:val="hybridMultilevel"/>
    <w:tmpl w:val="65F2536E"/>
    <w:lvl w:ilvl="0" w:tplc="072A32DE">
      <w:start w:val="1"/>
      <w:numFmt w:val="bullet"/>
      <w:lvlText w:val=""/>
      <w:lvlJc w:val="left"/>
      <w:pPr>
        <w:ind w:left="720" w:hanging="360"/>
      </w:pPr>
      <w:rPr>
        <w:rFonts w:ascii="Symbol" w:hAnsi="Symbol" w:hint="default"/>
      </w:rPr>
    </w:lvl>
    <w:lvl w:ilvl="1" w:tplc="E010501E">
      <w:start w:val="1"/>
      <w:numFmt w:val="bullet"/>
      <w:lvlText w:val=""/>
      <w:lvlJc w:val="left"/>
      <w:pPr>
        <w:ind w:left="1440" w:hanging="360"/>
      </w:pPr>
      <w:rPr>
        <w:rFonts w:ascii="Symbol" w:hAnsi="Symbol" w:hint="default"/>
      </w:rPr>
    </w:lvl>
    <w:lvl w:ilvl="2" w:tplc="053AD626">
      <w:start w:val="1"/>
      <w:numFmt w:val="bullet"/>
      <w:lvlText w:val=""/>
      <w:lvlJc w:val="left"/>
      <w:pPr>
        <w:ind w:left="2160" w:hanging="360"/>
      </w:pPr>
      <w:rPr>
        <w:rFonts w:ascii="Wingdings" w:hAnsi="Wingdings" w:hint="default"/>
      </w:rPr>
    </w:lvl>
    <w:lvl w:ilvl="3" w:tplc="F4FE4F3C">
      <w:start w:val="1"/>
      <w:numFmt w:val="bullet"/>
      <w:lvlText w:val=""/>
      <w:lvlJc w:val="left"/>
      <w:pPr>
        <w:ind w:left="2880" w:hanging="360"/>
      </w:pPr>
      <w:rPr>
        <w:rFonts w:ascii="Symbol" w:hAnsi="Symbol" w:hint="default"/>
      </w:rPr>
    </w:lvl>
    <w:lvl w:ilvl="4" w:tplc="08227136">
      <w:start w:val="1"/>
      <w:numFmt w:val="bullet"/>
      <w:lvlText w:val="o"/>
      <w:lvlJc w:val="left"/>
      <w:pPr>
        <w:ind w:left="3600" w:hanging="360"/>
      </w:pPr>
      <w:rPr>
        <w:rFonts w:ascii="Courier New" w:hAnsi="Courier New" w:hint="default"/>
      </w:rPr>
    </w:lvl>
    <w:lvl w:ilvl="5" w:tplc="A04ADD22">
      <w:start w:val="1"/>
      <w:numFmt w:val="bullet"/>
      <w:lvlText w:val=""/>
      <w:lvlJc w:val="left"/>
      <w:pPr>
        <w:ind w:left="4320" w:hanging="360"/>
      </w:pPr>
      <w:rPr>
        <w:rFonts w:ascii="Wingdings" w:hAnsi="Wingdings" w:hint="default"/>
      </w:rPr>
    </w:lvl>
    <w:lvl w:ilvl="6" w:tplc="25802C42">
      <w:start w:val="1"/>
      <w:numFmt w:val="bullet"/>
      <w:lvlText w:val=""/>
      <w:lvlJc w:val="left"/>
      <w:pPr>
        <w:ind w:left="5040" w:hanging="360"/>
      </w:pPr>
      <w:rPr>
        <w:rFonts w:ascii="Symbol" w:hAnsi="Symbol" w:hint="default"/>
      </w:rPr>
    </w:lvl>
    <w:lvl w:ilvl="7" w:tplc="6BC2701A">
      <w:start w:val="1"/>
      <w:numFmt w:val="bullet"/>
      <w:lvlText w:val="o"/>
      <w:lvlJc w:val="left"/>
      <w:pPr>
        <w:ind w:left="5760" w:hanging="360"/>
      </w:pPr>
      <w:rPr>
        <w:rFonts w:ascii="Courier New" w:hAnsi="Courier New" w:hint="default"/>
      </w:rPr>
    </w:lvl>
    <w:lvl w:ilvl="8" w:tplc="FAC644B4">
      <w:start w:val="1"/>
      <w:numFmt w:val="bullet"/>
      <w:lvlText w:val=""/>
      <w:lvlJc w:val="left"/>
      <w:pPr>
        <w:ind w:left="6480" w:hanging="360"/>
      </w:pPr>
      <w:rPr>
        <w:rFonts w:ascii="Wingdings" w:hAnsi="Wingdings" w:hint="default"/>
      </w:rPr>
    </w:lvl>
  </w:abstractNum>
  <w:abstractNum w:abstractNumId="23" w15:restartNumberingAfterBreak="0">
    <w:nsid w:val="53FD5AA3"/>
    <w:multiLevelType w:val="hybridMultilevel"/>
    <w:tmpl w:val="D4E87D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E4D0E"/>
    <w:multiLevelType w:val="hybridMultilevel"/>
    <w:tmpl w:val="65AE3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D142D"/>
    <w:multiLevelType w:val="hybridMultilevel"/>
    <w:tmpl w:val="C87CB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8A0CC9"/>
    <w:multiLevelType w:val="hybridMultilevel"/>
    <w:tmpl w:val="7A6631CE"/>
    <w:lvl w:ilvl="0" w:tplc="1CE61312">
      <w:start w:val="1"/>
      <w:numFmt w:val="bullet"/>
      <w:lvlText w:val=""/>
      <w:lvlJc w:val="left"/>
      <w:pPr>
        <w:ind w:left="720" w:hanging="360"/>
      </w:pPr>
      <w:rPr>
        <w:rFonts w:ascii="Symbol" w:hAnsi="Symbol" w:hint="default"/>
      </w:rPr>
    </w:lvl>
    <w:lvl w:ilvl="1" w:tplc="FE664936">
      <w:start w:val="1"/>
      <w:numFmt w:val="bullet"/>
      <w:lvlText w:val=""/>
      <w:lvlJc w:val="left"/>
      <w:pPr>
        <w:ind w:left="1440" w:hanging="360"/>
      </w:pPr>
      <w:rPr>
        <w:rFonts w:ascii="Symbol" w:hAnsi="Symbol" w:hint="default"/>
      </w:rPr>
    </w:lvl>
    <w:lvl w:ilvl="2" w:tplc="074AE5EA">
      <w:start w:val="1"/>
      <w:numFmt w:val="bullet"/>
      <w:lvlText w:val=""/>
      <w:lvlJc w:val="left"/>
      <w:pPr>
        <w:ind w:left="2160" w:hanging="360"/>
      </w:pPr>
      <w:rPr>
        <w:rFonts w:ascii="Wingdings" w:hAnsi="Wingdings" w:hint="default"/>
      </w:rPr>
    </w:lvl>
    <w:lvl w:ilvl="3" w:tplc="0444F85C">
      <w:start w:val="1"/>
      <w:numFmt w:val="bullet"/>
      <w:lvlText w:val=""/>
      <w:lvlJc w:val="left"/>
      <w:pPr>
        <w:ind w:left="2880" w:hanging="360"/>
      </w:pPr>
      <w:rPr>
        <w:rFonts w:ascii="Symbol" w:hAnsi="Symbol" w:hint="default"/>
      </w:rPr>
    </w:lvl>
    <w:lvl w:ilvl="4" w:tplc="6B5074F2">
      <w:start w:val="1"/>
      <w:numFmt w:val="bullet"/>
      <w:lvlText w:val="o"/>
      <w:lvlJc w:val="left"/>
      <w:pPr>
        <w:ind w:left="3600" w:hanging="360"/>
      </w:pPr>
      <w:rPr>
        <w:rFonts w:ascii="Courier New" w:hAnsi="Courier New" w:hint="default"/>
      </w:rPr>
    </w:lvl>
    <w:lvl w:ilvl="5" w:tplc="DBDABC02">
      <w:start w:val="1"/>
      <w:numFmt w:val="bullet"/>
      <w:lvlText w:val=""/>
      <w:lvlJc w:val="left"/>
      <w:pPr>
        <w:ind w:left="4320" w:hanging="360"/>
      </w:pPr>
      <w:rPr>
        <w:rFonts w:ascii="Wingdings" w:hAnsi="Wingdings" w:hint="default"/>
      </w:rPr>
    </w:lvl>
    <w:lvl w:ilvl="6" w:tplc="4456E81E">
      <w:start w:val="1"/>
      <w:numFmt w:val="bullet"/>
      <w:lvlText w:val=""/>
      <w:lvlJc w:val="left"/>
      <w:pPr>
        <w:ind w:left="5040" w:hanging="360"/>
      </w:pPr>
      <w:rPr>
        <w:rFonts w:ascii="Symbol" w:hAnsi="Symbol" w:hint="default"/>
      </w:rPr>
    </w:lvl>
    <w:lvl w:ilvl="7" w:tplc="883CCB70">
      <w:start w:val="1"/>
      <w:numFmt w:val="bullet"/>
      <w:lvlText w:val="o"/>
      <w:lvlJc w:val="left"/>
      <w:pPr>
        <w:ind w:left="5760" w:hanging="360"/>
      </w:pPr>
      <w:rPr>
        <w:rFonts w:ascii="Courier New" w:hAnsi="Courier New" w:hint="default"/>
      </w:rPr>
    </w:lvl>
    <w:lvl w:ilvl="8" w:tplc="1292DC86">
      <w:start w:val="1"/>
      <w:numFmt w:val="bullet"/>
      <w:lvlText w:val=""/>
      <w:lvlJc w:val="left"/>
      <w:pPr>
        <w:ind w:left="6480" w:hanging="360"/>
      </w:pPr>
      <w:rPr>
        <w:rFonts w:ascii="Wingdings" w:hAnsi="Wingdings" w:hint="default"/>
      </w:rPr>
    </w:lvl>
  </w:abstractNum>
  <w:abstractNum w:abstractNumId="27" w15:restartNumberingAfterBreak="0">
    <w:nsid w:val="657455DC"/>
    <w:multiLevelType w:val="hybridMultilevel"/>
    <w:tmpl w:val="1D803E34"/>
    <w:lvl w:ilvl="0" w:tplc="A1FA664E">
      <w:start w:val="1"/>
      <w:numFmt w:val="bullet"/>
      <w:lvlText w:val=""/>
      <w:lvlJc w:val="left"/>
      <w:pPr>
        <w:ind w:left="720" w:hanging="360"/>
      </w:pPr>
      <w:rPr>
        <w:rFonts w:ascii="Symbol" w:hAnsi="Symbol" w:hint="default"/>
      </w:rPr>
    </w:lvl>
    <w:lvl w:ilvl="1" w:tplc="2794D192">
      <w:start w:val="1"/>
      <w:numFmt w:val="bullet"/>
      <w:lvlText w:val="o"/>
      <w:lvlJc w:val="left"/>
      <w:pPr>
        <w:ind w:left="1440" w:hanging="360"/>
      </w:pPr>
      <w:rPr>
        <w:rFonts w:ascii="Courier New" w:hAnsi="Courier New" w:hint="default"/>
      </w:rPr>
    </w:lvl>
    <w:lvl w:ilvl="2" w:tplc="76FACCA0">
      <w:start w:val="1"/>
      <w:numFmt w:val="bullet"/>
      <w:lvlText w:val=""/>
      <w:lvlJc w:val="left"/>
      <w:pPr>
        <w:ind w:left="2160" w:hanging="360"/>
      </w:pPr>
      <w:rPr>
        <w:rFonts w:ascii="Wingdings" w:hAnsi="Wingdings" w:hint="default"/>
      </w:rPr>
    </w:lvl>
    <w:lvl w:ilvl="3" w:tplc="AA8E8C08">
      <w:start w:val="1"/>
      <w:numFmt w:val="bullet"/>
      <w:lvlText w:val=""/>
      <w:lvlJc w:val="left"/>
      <w:pPr>
        <w:ind w:left="2880" w:hanging="360"/>
      </w:pPr>
      <w:rPr>
        <w:rFonts w:ascii="Symbol" w:hAnsi="Symbol" w:hint="default"/>
      </w:rPr>
    </w:lvl>
    <w:lvl w:ilvl="4" w:tplc="B66277A0">
      <w:start w:val="1"/>
      <w:numFmt w:val="bullet"/>
      <w:lvlText w:val="o"/>
      <w:lvlJc w:val="left"/>
      <w:pPr>
        <w:ind w:left="3600" w:hanging="360"/>
      </w:pPr>
      <w:rPr>
        <w:rFonts w:ascii="Courier New" w:hAnsi="Courier New" w:hint="default"/>
      </w:rPr>
    </w:lvl>
    <w:lvl w:ilvl="5" w:tplc="D3A29C70">
      <w:start w:val="1"/>
      <w:numFmt w:val="bullet"/>
      <w:lvlText w:val=""/>
      <w:lvlJc w:val="left"/>
      <w:pPr>
        <w:ind w:left="4320" w:hanging="360"/>
      </w:pPr>
      <w:rPr>
        <w:rFonts w:ascii="Wingdings" w:hAnsi="Wingdings" w:hint="default"/>
      </w:rPr>
    </w:lvl>
    <w:lvl w:ilvl="6" w:tplc="1A1CE860">
      <w:start w:val="1"/>
      <w:numFmt w:val="bullet"/>
      <w:lvlText w:val=""/>
      <w:lvlJc w:val="left"/>
      <w:pPr>
        <w:ind w:left="5040" w:hanging="360"/>
      </w:pPr>
      <w:rPr>
        <w:rFonts w:ascii="Symbol" w:hAnsi="Symbol" w:hint="default"/>
      </w:rPr>
    </w:lvl>
    <w:lvl w:ilvl="7" w:tplc="3478374E">
      <w:start w:val="1"/>
      <w:numFmt w:val="bullet"/>
      <w:lvlText w:val="o"/>
      <w:lvlJc w:val="left"/>
      <w:pPr>
        <w:ind w:left="5760" w:hanging="360"/>
      </w:pPr>
      <w:rPr>
        <w:rFonts w:ascii="Courier New" w:hAnsi="Courier New" w:hint="default"/>
      </w:rPr>
    </w:lvl>
    <w:lvl w:ilvl="8" w:tplc="FFBEC14C">
      <w:start w:val="1"/>
      <w:numFmt w:val="bullet"/>
      <w:lvlText w:val=""/>
      <w:lvlJc w:val="left"/>
      <w:pPr>
        <w:ind w:left="6480" w:hanging="360"/>
      </w:pPr>
      <w:rPr>
        <w:rFonts w:ascii="Wingdings" w:hAnsi="Wingdings" w:hint="default"/>
      </w:rPr>
    </w:lvl>
  </w:abstractNum>
  <w:abstractNum w:abstractNumId="28" w15:restartNumberingAfterBreak="0">
    <w:nsid w:val="75CD0080"/>
    <w:multiLevelType w:val="hybridMultilevel"/>
    <w:tmpl w:val="A57C0E34"/>
    <w:lvl w:ilvl="0" w:tplc="3D5AF21C">
      <w:start w:val="1"/>
      <w:numFmt w:val="bullet"/>
      <w:lvlText w:val=""/>
      <w:lvlJc w:val="left"/>
      <w:pPr>
        <w:ind w:left="720" w:hanging="360"/>
      </w:pPr>
      <w:rPr>
        <w:rFonts w:ascii="Symbol" w:hAnsi="Symbol" w:hint="default"/>
      </w:rPr>
    </w:lvl>
    <w:lvl w:ilvl="1" w:tplc="A692B3B0">
      <w:start w:val="1"/>
      <w:numFmt w:val="bullet"/>
      <w:lvlText w:val=""/>
      <w:lvlJc w:val="left"/>
      <w:pPr>
        <w:ind w:left="1440" w:hanging="360"/>
      </w:pPr>
      <w:rPr>
        <w:rFonts w:ascii="Symbol" w:hAnsi="Symbol" w:hint="default"/>
      </w:rPr>
    </w:lvl>
    <w:lvl w:ilvl="2" w:tplc="D5247E1E">
      <w:start w:val="1"/>
      <w:numFmt w:val="bullet"/>
      <w:lvlText w:val=""/>
      <w:lvlJc w:val="left"/>
      <w:pPr>
        <w:ind w:left="2160" w:hanging="360"/>
      </w:pPr>
      <w:rPr>
        <w:rFonts w:ascii="Wingdings" w:hAnsi="Wingdings" w:hint="default"/>
      </w:rPr>
    </w:lvl>
    <w:lvl w:ilvl="3" w:tplc="E9A637A8">
      <w:start w:val="1"/>
      <w:numFmt w:val="bullet"/>
      <w:lvlText w:val=""/>
      <w:lvlJc w:val="left"/>
      <w:pPr>
        <w:ind w:left="2880" w:hanging="360"/>
      </w:pPr>
      <w:rPr>
        <w:rFonts w:ascii="Symbol" w:hAnsi="Symbol" w:hint="default"/>
      </w:rPr>
    </w:lvl>
    <w:lvl w:ilvl="4" w:tplc="7E70F72E">
      <w:start w:val="1"/>
      <w:numFmt w:val="bullet"/>
      <w:lvlText w:val="o"/>
      <w:lvlJc w:val="left"/>
      <w:pPr>
        <w:ind w:left="3600" w:hanging="360"/>
      </w:pPr>
      <w:rPr>
        <w:rFonts w:ascii="Courier New" w:hAnsi="Courier New" w:hint="default"/>
      </w:rPr>
    </w:lvl>
    <w:lvl w:ilvl="5" w:tplc="21A87BE4">
      <w:start w:val="1"/>
      <w:numFmt w:val="bullet"/>
      <w:lvlText w:val=""/>
      <w:lvlJc w:val="left"/>
      <w:pPr>
        <w:ind w:left="4320" w:hanging="360"/>
      </w:pPr>
      <w:rPr>
        <w:rFonts w:ascii="Wingdings" w:hAnsi="Wingdings" w:hint="default"/>
      </w:rPr>
    </w:lvl>
    <w:lvl w:ilvl="6" w:tplc="71D43DC2">
      <w:start w:val="1"/>
      <w:numFmt w:val="bullet"/>
      <w:lvlText w:val=""/>
      <w:lvlJc w:val="left"/>
      <w:pPr>
        <w:ind w:left="5040" w:hanging="360"/>
      </w:pPr>
      <w:rPr>
        <w:rFonts w:ascii="Symbol" w:hAnsi="Symbol" w:hint="default"/>
      </w:rPr>
    </w:lvl>
    <w:lvl w:ilvl="7" w:tplc="8B3027F8">
      <w:start w:val="1"/>
      <w:numFmt w:val="bullet"/>
      <w:lvlText w:val="o"/>
      <w:lvlJc w:val="left"/>
      <w:pPr>
        <w:ind w:left="5760" w:hanging="360"/>
      </w:pPr>
      <w:rPr>
        <w:rFonts w:ascii="Courier New" w:hAnsi="Courier New" w:hint="default"/>
      </w:rPr>
    </w:lvl>
    <w:lvl w:ilvl="8" w:tplc="ADF87BEC">
      <w:start w:val="1"/>
      <w:numFmt w:val="bullet"/>
      <w:lvlText w:val=""/>
      <w:lvlJc w:val="left"/>
      <w:pPr>
        <w:ind w:left="6480" w:hanging="360"/>
      </w:pPr>
      <w:rPr>
        <w:rFonts w:ascii="Wingdings" w:hAnsi="Wingdings" w:hint="default"/>
      </w:rPr>
    </w:lvl>
  </w:abstractNum>
  <w:abstractNum w:abstractNumId="29" w15:restartNumberingAfterBreak="0">
    <w:nsid w:val="764919F9"/>
    <w:multiLevelType w:val="hybridMultilevel"/>
    <w:tmpl w:val="41303374"/>
    <w:lvl w:ilvl="0" w:tplc="6A92CE2E">
      <w:start w:val="1"/>
      <w:numFmt w:val="bullet"/>
      <w:lvlText w:val=""/>
      <w:lvlJc w:val="left"/>
      <w:pPr>
        <w:ind w:left="720" w:hanging="360"/>
      </w:pPr>
      <w:rPr>
        <w:rFonts w:ascii="Symbol" w:hAnsi="Symbol" w:hint="default"/>
      </w:rPr>
    </w:lvl>
    <w:lvl w:ilvl="1" w:tplc="33C68B80">
      <w:start w:val="1"/>
      <w:numFmt w:val="bullet"/>
      <w:lvlText w:val=""/>
      <w:lvlJc w:val="left"/>
      <w:pPr>
        <w:ind w:left="1440" w:hanging="360"/>
      </w:pPr>
      <w:rPr>
        <w:rFonts w:ascii="Symbol" w:hAnsi="Symbol" w:hint="default"/>
      </w:rPr>
    </w:lvl>
    <w:lvl w:ilvl="2" w:tplc="10388894">
      <w:start w:val="1"/>
      <w:numFmt w:val="bullet"/>
      <w:lvlText w:val=""/>
      <w:lvlJc w:val="left"/>
      <w:pPr>
        <w:ind w:left="2160" w:hanging="360"/>
      </w:pPr>
      <w:rPr>
        <w:rFonts w:ascii="Wingdings" w:hAnsi="Wingdings" w:hint="default"/>
      </w:rPr>
    </w:lvl>
    <w:lvl w:ilvl="3" w:tplc="07605C60">
      <w:start w:val="1"/>
      <w:numFmt w:val="bullet"/>
      <w:lvlText w:val=""/>
      <w:lvlJc w:val="left"/>
      <w:pPr>
        <w:ind w:left="2880" w:hanging="360"/>
      </w:pPr>
      <w:rPr>
        <w:rFonts w:ascii="Symbol" w:hAnsi="Symbol" w:hint="default"/>
      </w:rPr>
    </w:lvl>
    <w:lvl w:ilvl="4" w:tplc="6018F9D6">
      <w:start w:val="1"/>
      <w:numFmt w:val="bullet"/>
      <w:lvlText w:val="o"/>
      <w:lvlJc w:val="left"/>
      <w:pPr>
        <w:ind w:left="3600" w:hanging="360"/>
      </w:pPr>
      <w:rPr>
        <w:rFonts w:ascii="Courier New" w:hAnsi="Courier New" w:hint="default"/>
      </w:rPr>
    </w:lvl>
    <w:lvl w:ilvl="5" w:tplc="1472C9D4">
      <w:start w:val="1"/>
      <w:numFmt w:val="bullet"/>
      <w:lvlText w:val=""/>
      <w:lvlJc w:val="left"/>
      <w:pPr>
        <w:ind w:left="4320" w:hanging="360"/>
      </w:pPr>
      <w:rPr>
        <w:rFonts w:ascii="Wingdings" w:hAnsi="Wingdings" w:hint="default"/>
      </w:rPr>
    </w:lvl>
    <w:lvl w:ilvl="6" w:tplc="4A36723A">
      <w:start w:val="1"/>
      <w:numFmt w:val="bullet"/>
      <w:lvlText w:val=""/>
      <w:lvlJc w:val="left"/>
      <w:pPr>
        <w:ind w:left="5040" w:hanging="360"/>
      </w:pPr>
      <w:rPr>
        <w:rFonts w:ascii="Symbol" w:hAnsi="Symbol" w:hint="default"/>
      </w:rPr>
    </w:lvl>
    <w:lvl w:ilvl="7" w:tplc="A98E1A6C">
      <w:start w:val="1"/>
      <w:numFmt w:val="bullet"/>
      <w:lvlText w:val="o"/>
      <w:lvlJc w:val="left"/>
      <w:pPr>
        <w:ind w:left="5760" w:hanging="360"/>
      </w:pPr>
      <w:rPr>
        <w:rFonts w:ascii="Courier New" w:hAnsi="Courier New" w:hint="default"/>
      </w:rPr>
    </w:lvl>
    <w:lvl w:ilvl="8" w:tplc="EE467DA0">
      <w:start w:val="1"/>
      <w:numFmt w:val="bullet"/>
      <w:lvlText w:val=""/>
      <w:lvlJc w:val="left"/>
      <w:pPr>
        <w:ind w:left="6480" w:hanging="360"/>
      </w:pPr>
      <w:rPr>
        <w:rFonts w:ascii="Wingdings" w:hAnsi="Wingdings" w:hint="default"/>
      </w:rPr>
    </w:lvl>
  </w:abstractNum>
  <w:abstractNum w:abstractNumId="30" w15:restartNumberingAfterBreak="0">
    <w:nsid w:val="7B24693B"/>
    <w:multiLevelType w:val="hybridMultilevel"/>
    <w:tmpl w:val="9C8E6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167931">
    <w:abstractNumId w:val="7"/>
  </w:num>
  <w:num w:numId="2" w16cid:durableId="1753382790">
    <w:abstractNumId w:val="22"/>
  </w:num>
  <w:num w:numId="3" w16cid:durableId="95828158">
    <w:abstractNumId w:val="2"/>
  </w:num>
  <w:num w:numId="4" w16cid:durableId="438108957">
    <w:abstractNumId w:val="12"/>
  </w:num>
  <w:num w:numId="5" w16cid:durableId="440686728">
    <w:abstractNumId w:val="4"/>
  </w:num>
  <w:num w:numId="6" w16cid:durableId="849562264">
    <w:abstractNumId w:val="5"/>
  </w:num>
  <w:num w:numId="7" w16cid:durableId="1323663069">
    <w:abstractNumId w:val="11"/>
  </w:num>
  <w:num w:numId="8" w16cid:durableId="660698181">
    <w:abstractNumId w:val="19"/>
  </w:num>
  <w:num w:numId="9" w16cid:durableId="741291186">
    <w:abstractNumId w:val="21"/>
  </w:num>
  <w:num w:numId="10" w16cid:durableId="909533865">
    <w:abstractNumId w:val="14"/>
  </w:num>
  <w:num w:numId="11" w16cid:durableId="1597324210">
    <w:abstractNumId w:val="1"/>
  </w:num>
  <w:num w:numId="12" w16cid:durableId="1257327427">
    <w:abstractNumId w:val="18"/>
  </w:num>
  <w:num w:numId="13" w16cid:durableId="1318847142">
    <w:abstractNumId w:val="15"/>
  </w:num>
  <w:num w:numId="14" w16cid:durableId="171800854">
    <w:abstractNumId w:val="23"/>
  </w:num>
  <w:num w:numId="15" w16cid:durableId="748817017">
    <w:abstractNumId w:val="25"/>
  </w:num>
  <w:num w:numId="16" w16cid:durableId="308705358">
    <w:abstractNumId w:val="27"/>
  </w:num>
  <w:num w:numId="17" w16cid:durableId="645479087">
    <w:abstractNumId w:val="30"/>
  </w:num>
  <w:num w:numId="18" w16cid:durableId="704644490">
    <w:abstractNumId w:val="10"/>
  </w:num>
  <w:num w:numId="19" w16cid:durableId="1167556582">
    <w:abstractNumId w:val="20"/>
  </w:num>
  <w:num w:numId="20" w16cid:durableId="1697343860">
    <w:abstractNumId w:val="29"/>
  </w:num>
  <w:num w:numId="21" w16cid:durableId="435757150">
    <w:abstractNumId w:val="28"/>
  </w:num>
  <w:num w:numId="22" w16cid:durableId="991829115">
    <w:abstractNumId w:val="9"/>
  </w:num>
  <w:num w:numId="23" w16cid:durableId="2097898537">
    <w:abstractNumId w:val="26"/>
  </w:num>
  <w:num w:numId="24" w16cid:durableId="1505780297">
    <w:abstractNumId w:val="16"/>
  </w:num>
  <w:num w:numId="25" w16cid:durableId="29917014">
    <w:abstractNumId w:val="24"/>
  </w:num>
  <w:num w:numId="26" w16cid:durableId="1756199757">
    <w:abstractNumId w:val="8"/>
  </w:num>
  <w:num w:numId="27" w16cid:durableId="274991820">
    <w:abstractNumId w:val="6"/>
  </w:num>
  <w:num w:numId="28" w16cid:durableId="2044165425">
    <w:abstractNumId w:val="17"/>
  </w:num>
  <w:num w:numId="29" w16cid:durableId="1837455038">
    <w:abstractNumId w:val="3"/>
  </w:num>
  <w:num w:numId="30" w16cid:durableId="459880352">
    <w:abstractNumId w:val="0"/>
  </w:num>
  <w:num w:numId="31" w16cid:durableId="8479856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activeWritingStyle w:appName="MSWord" w:lang="es-419"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C5F"/>
    <w:rsid w:val="000008FF"/>
    <w:rsid w:val="000009C5"/>
    <w:rsid w:val="00000C33"/>
    <w:rsid w:val="000013CE"/>
    <w:rsid w:val="00001EA8"/>
    <w:rsid w:val="00001F76"/>
    <w:rsid w:val="0000302E"/>
    <w:rsid w:val="00004184"/>
    <w:rsid w:val="000042A7"/>
    <w:rsid w:val="000047FB"/>
    <w:rsid w:val="00004DC7"/>
    <w:rsid w:val="00005283"/>
    <w:rsid w:val="00005B7D"/>
    <w:rsid w:val="00006152"/>
    <w:rsid w:val="000065E3"/>
    <w:rsid w:val="000066A6"/>
    <w:rsid w:val="00007DA1"/>
    <w:rsid w:val="000105C5"/>
    <w:rsid w:val="00011143"/>
    <w:rsid w:val="00011170"/>
    <w:rsid w:val="000113DF"/>
    <w:rsid w:val="00011687"/>
    <w:rsid w:val="0001215D"/>
    <w:rsid w:val="00012830"/>
    <w:rsid w:val="00013319"/>
    <w:rsid w:val="00013DDF"/>
    <w:rsid w:val="000140B2"/>
    <w:rsid w:val="00014649"/>
    <w:rsid w:val="00015F37"/>
    <w:rsid w:val="000168B8"/>
    <w:rsid w:val="00016C68"/>
    <w:rsid w:val="00016CF4"/>
    <w:rsid w:val="00016F06"/>
    <w:rsid w:val="00017774"/>
    <w:rsid w:val="00017F9F"/>
    <w:rsid w:val="000201A2"/>
    <w:rsid w:val="0002077E"/>
    <w:rsid w:val="00020C05"/>
    <w:rsid w:val="00020CD9"/>
    <w:rsid w:val="00020FF8"/>
    <w:rsid w:val="000217E4"/>
    <w:rsid w:val="00021D19"/>
    <w:rsid w:val="00023C92"/>
    <w:rsid w:val="000240A0"/>
    <w:rsid w:val="000264CB"/>
    <w:rsid w:val="000265F1"/>
    <w:rsid w:val="00027D47"/>
    <w:rsid w:val="00030106"/>
    <w:rsid w:val="000307D3"/>
    <w:rsid w:val="00031BAA"/>
    <w:rsid w:val="00033B78"/>
    <w:rsid w:val="00035166"/>
    <w:rsid w:val="00035799"/>
    <w:rsid w:val="00035E66"/>
    <w:rsid w:val="00035E9A"/>
    <w:rsid w:val="000366B5"/>
    <w:rsid w:val="0003701A"/>
    <w:rsid w:val="0003752F"/>
    <w:rsid w:val="00040157"/>
    <w:rsid w:val="00040565"/>
    <w:rsid w:val="00040582"/>
    <w:rsid w:val="00041471"/>
    <w:rsid w:val="00041BB9"/>
    <w:rsid w:val="00042A9E"/>
    <w:rsid w:val="00042F3C"/>
    <w:rsid w:val="00044292"/>
    <w:rsid w:val="00045B0E"/>
    <w:rsid w:val="00046246"/>
    <w:rsid w:val="00046567"/>
    <w:rsid w:val="00046632"/>
    <w:rsid w:val="0004720A"/>
    <w:rsid w:val="00047966"/>
    <w:rsid w:val="00047F1A"/>
    <w:rsid w:val="00050484"/>
    <w:rsid w:val="00050A78"/>
    <w:rsid w:val="00050B34"/>
    <w:rsid w:val="00050B76"/>
    <w:rsid w:val="0005137D"/>
    <w:rsid w:val="000516D2"/>
    <w:rsid w:val="00052783"/>
    <w:rsid w:val="00052803"/>
    <w:rsid w:val="00052828"/>
    <w:rsid w:val="00052AF4"/>
    <w:rsid w:val="00053CD7"/>
    <w:rsid w:val="00053D3C"/>
    <w:rsid w:val="00053D56"/>
    <w:rsid w:val="00053FFF"/>
    <w:rsid w:val="0005428E"/>
    <w:rsid w:val="000549D7"/>
    <w:rsid w:val="000552DC"/>
    <w:rsid w:val="000558A5"/>
    <w:rsid w:val="00055E94"/>
    <w:rsid w:val="00056362"/>
    <w:rsid w:val="0005659B"/>
    <w:rsid w:val="00056A03"/>
    <w:rsid w:val="00056BAE"/>
    <w:rsid w:val="00056BB0"/>
    <w:rsid w:val="00056D28"/>
    <w:rsid w:val="00056D4F"/>
    <w:rsid w:val="000602FD"/>
    <w:rsid w:val="00063CC6"/>
    <w:rsid w:val="00065AE0"/>
    <w:rsid w:val="00065E02"/>
    <w:rsid w:val="00066CF8"/>
    <w:rsid w:val="000700BB"/>
    <w:rsid w:val="00070734"/>
    <w:rsid w:val="0007086B"/>
    <w:rsid w:val="000708D9"/>
    <w:rsid w:val="00070B65"/>
    <w:rsid w:val="00070E52"/>
    <w:rsid w:val="000713F5"/>
    <w:rsid w:val="000714A3"/>
    <w:rsid w:val="0007188B"/>
    <w:rsid w:val="00071B80"/>
    <w:rsid w:val="00071BA5"/>
    <w:rsid w:val="000722DF"/>
    <w:rsid w:val="000723DB"/>
    <w:rsid w:val="000726A9"/>
    <w:rsid w:val="00073A01"/>
    <w:rsid w:val="00074444"/>
    <w:rsid w:val="000754D1"/>
    <w:rsid w:val="00075A2C"/>
    <w:rsid w:val="00075FD0"/>
    <w:rsid w:val="000767CF"/>
    <w:rsid w:val="00076E80"/>
    <w:rsid w:val="00077570"/>
    <w:rsid w:val="00080139"/>
    <w:rsid w:val="000804DC"/>
    <w:rsid w:val="000805FA"/>
    <w:rsid w:val="000811A1"/>
    <w:rsid w:val="000817AE"/>
    <w:rsid w:val="0008274E"/>
    <w:rsid w:val="00082820"/>
    <w:rsid w:val="00082DA3"/>
    <w:rsid w:val="00082EA3"/>
    <w:rsid w:val="00083F6D"/>
    <w:rsid w:val="000850DD"/>
    <w:rsid w:val="00085444"/>
    <w:rsid w:val="000858D1"/>
    <w:rsid w:val="000858E7"/>
    <w:rsid w:val="00086DA1"/>
    <w:rsid w:val="0008756C"/>
    <w:rsid w:val="000879F6"/>
    <w:rsid w:val="00090247"/>
    <w:rsid w:val="00091289"/>
    <w:rsid w:val="00092742"/>
    <w:rsid w:val="000927DD"/>
    <w:rsid w:val="00092A09"/>
    <w:rsid w:val="00092B74"/>
    <w:rsid w:val="0009318D"/>
    <w:rsid w:val="00093589"/>
    <w:rsid w:val="00095D2D"/>
    <w:rsid w:val="00096361"/>
    <w:rsid w:val="00097128"/>
    <w:rsid w:val="0009749D"/>
    <w:rsid w:val="000975D0"/>
    <w:rsid w:val="000A06A6"/>
    <w:rsid w:val="000A169A"/>
    <w:rsid w:val="000A16E5"/>
    <w:rsid w:val="000A2788"/>
    <w:rsid w:val="000A2810"/>
    <w:rsid w:val="000A58BE"/>
    <w:rsid w:val="000A5D8B"/>
    <w:rsid w:val="000A6640"/>
    <w:rsid w:val="000A6A09"/>
    <w:rsid w:val="000A79FA"/>
    <w:rsid w:val="000A7BBA"/>
    <w:rsid w:val="000A7D02"/>
    <w:rsid w:val="000B077D"/>
    <w:rsid w:val="000B0BDF"/>
    <w:rsid w:val="000B1D41"/>
    <w:rsid w:val="000B22EE"/>
    <w:rsid w:val="000B2697"/>
    <w:rsid w:val="000B3626"/>
    <w:rsid w:val="000B3A63"/>
    <w:rsid w:val="000B4526"/>
    <w:rsid w:val="000B4850"/>
    <w:rsid w:val="000B4D71"/>
    <w:rsid w:val="000B5CA5"/>
    <w:rsid w:val="000B6525"/>
    <w:rsid w:val="000B6FD7"/>
    <w:rsid w:val="000B76BE"/>
    <w:rsid w:val="000C0A89"/>
    <w:rsid w:val="000C1004"/>
    <w:rsid w:val="000C12EF"/>
    <w:rsid w:val="000C1726"/>
    <w:rsid w:val="000C2484"/>
    <w:rsid w:val="000C2548"/>
    <w:rsid w:val="000C259E"/>
    <w:rsid w:val="000C282E"/>
    <w:rsid w:val="000C2F87"/>
    <w:rsid w:val="000C30C7"/>
    <w:rsid w:val="000C3193"/>
    <w:rsid w:val="000C351B"/>
    <w:rsid w:val="000C35A7"/>
    <w:rsid w:val="000C39A2"/>
    <w:rsid w:val="000C4621"/>
    <w:rsid w:val="000C56C0"/>
    <w:rsid w:val="000C571C"/>
    <w:rsid w:val="000C5766"/>
    <w:rsid w:val="000C5E77"/>
    <w:rsid w:val="000C6038"/>
    <w:rsid w:val="000C6149"/>
    <w:rsid w:val="000C6244"/>
    <w:rsid w:val="000C6373"/>
    <w:rsid w:val="000D0072"/>
    <w:rsid w:val="000D0A30"/>
    <w:rsid w:val="000D198E"/>
    <w:rsid w:val="000D2E2A"/>
    <w:rsid w:val="000D2E68"/>
    <w:rsid w:val="000D30B1"/>
    <w:rsid w:val="000D30E0"/>
    <w:rsid w:val="000D3403"/>
    <w:rsid w:val="000D3784"/>
    <w:rsid w:val="000D4A13"/>
    <w:rsid w:val="000D4C71"/>
    <w:rsid w:val="000D50A1"/>
    <w:rsid w:val="000D57A2"/>
    <w:rsid w:val="000D57FF"/>
    <w:rsid w:val="000D5CE7"/>
    <w:rsid w:val="000D61F1"/>
    <w:rsid w:val="000D6B95"/>
    <w:rsid w:val="000D6D1D"/>
    <w:rsid w:val="000D75F0"/>
    <w:rsid w:val="000E0BA3"/>
    <w:rsid w:val="000E1534"/>
    <w:rsid w:val="000E17DD"/>
    <w:rsid w:val="000E2233"/>
    <w:rsid w:val="000E22FC"/>
    <w:rsid w:val="000E2C6A"/>
    <w:rsid w:val="000E37E2"/>
    <w:rsid w:val="000E37FC"/>
    <w:rsid w:val="000E3ADC"/>
    <w:rsid w:val="000E3AFA"/>
    <w:rsid w:val="000E4579"/>
    <w:rsid w:val="000E4A57"/>
    <w:rsid w:val="000E5460"/>
    <w:rsid w:val="000E652D"/>
    <w:rsid w:val="000E7247"/>
    <w:rsid w:val="000E74AE"/>
    <w:rsid w:val="000E7F16"/>
    <w:rsid w:val="000E7FD4"/>
    <w:rsid w:val="000F0144"/>
    <w:rsid w:val="000F0850"/>
    <w:rsid w:val="000F0EED"/>
    <w:rsid w:val="000F172A"/>
    <w:rsid w:val="000F3253"/>
    <w:rsid w:val="000F34FF"/>
    <w:rsid w:val="000F3A18"/>
    <w:rsid w:val="000F402D"/>
    <w:rsid w:val="000F41CE"/>
    <w:rsid w:val="000F4927"/>
    <w:rsid w:val="000F5006"/>
    <w:rsid w:val="000F53FF"/>
    <w:rsid w:val="000F5D1B"/>
    <w:rsid w:val="000F6BFE"/>
    <w:rsid w:val="000F6D78"/>
    <w:rsid w:val="000F73A8"/>
    <w:rsid w:val="000F77E9"/>
    <w:rsid w:val="000F7F08"/>
    <w:rsid w:val="001007C1"/>
    <w:rsid w:val="001017AF"/>
    <w:rsid w:val="00101CAC"/>
    <w:rsid w:val="00102227"/>
    <w:rsid w:val="00103071"/>
    <w:rsid w:val="00103474"/>
    <w:rsid w:val="001036F0"/>
    <w:rsid w:val="0010435E"/>
    <w:rsid w:val="00104BB5"/>
    <w:rsid w:val="00104DB9"/>
    <w:rsid w:val="00104ED5"/>
    <w:rsid w:val="001050FA"/>
    <w:rsid w:val="001054EF"/>
    <w:rsid w:val="00105C71"/>
    <w:rsid w:val="001060B5"/>
    <w:rsid w:val="001061D5"/>
    <w:rsid w:val="00106CAB"/>
    <w:rsid w:val="00107D58"/>
    <w:rsid w:val="00107DF8"/>
    <w:rsid w:val="00107E8F"/>
    <w:rsid w:val="00110AD9"/>
    <w:rsid w:val="00110E4E"/>
    <w:rsid w:val="001110C0"/>
    <w:rsid w:val="001122B4"/>
    <w:rsid w:val="0011244F"/>
    <w:rsid w:val="00113C8E"/>
    <w:rsid w:val="00114162"/>
    <w:rsid w:val="00114A53"/>
    <w:rsid w:val="00114C46"/>
    <w:rsid w:val="0011514E"/>
    <w:rsid w:val="0011569B"/>
    <w:rsid w:val="001158A6"/>
    <w:rsid w:val="00116528"/>
    <w:rsid w:val="001165C7"/>
    <w:rsid w:val="001166A3"/>
    <w:rsid w:val="00117A9E"/>
    <w:rsid w:val="001200D4"/>
    <w:rsid w:val="00120C6F"/>
    <w:rsid w:val="00120E6A"/>
    <w:rsid w:val="0012108A"/>
    <w:rsid w:val="0012127A"/>
    <w:rsid w:val="001216AC"/>
    <w:rsid w:val="001220BE"/>
    <w:rsid w:val="0012280A"/>
    <w:rsid w:val="001228B2"/>
    <w:rsid w:val="00122B5E"/>
    <w:rsid w:val="00122F38"/>
    <w:rsid w:val="001231CD"/>
    <w:rsid w:val="00123A80"/>
    <w:rsid w:val="00123D24"/>
    <w:rsid w:val="00123ECD"/>
    <w:rsid w:val="00124204"/>
    <w:rsid w:val="001248A5"/>
    <w:rsid w:val="00124B54"/>
    <w:rsid w:val="00124E0D"/>
    <w:rsid w:val="00125092"/>
    <w:rsid w:val="0012550F"/>
    <w:rsid w:val="00125843"/>
    <w:rsid w:val="001258C4"/>
    <w:rsid w:val="00126EBB"/>
    <w:rsid w:val="00126F8B"/>
    <w:rsid w:val="001271FC"/>
    <w:rsid w:val="001272E6"/>
    <w:rsid w:val="00127786"/>
    <w:rsid w:val="001278E9"/>
    <w:rsid w:val="0013179D"/>
    <w:rsid w:val="001319FE"/>
    <w:rsid w:val="001324A0"/>
    <w:rsid w:val="00132D46"/>
    <w:rsid w:val="001332B9"/>
    <w:rsid w:val="001334E7"/>
    <w:rsid w:val="00133CED"/>
    <w:rsid w:val="001340B8"/>
    <w:rsid w:val="00134A5E"/>
    <w:rsid w:val="00134C61"/>
    <w:rsid w:val="001353EB"/>
    <w:rsid w:val="00135A8A"/>
    <w:rsid w:val="00135BAF"/>
    <w:rsid w:val="00137D08"/>
    <w:rsid w:val="00140BD6"/>
    <w:rsid w:val="00140C67"/>
    <w:rsid w:val="00140CE7"/>
    <w:rsid w:val="00141186"/>
    <w:rsid w:val="0014210A"/>
    <w:rsid w:val="00142203"/>
    <w:rsid w:val="00142511"/>
    <w:rsid w:val="001426ED"/>
    <w:rsid w:val="00142A32"/>
    <w:rsid w:val="00142EEE"/>
    <w:rsid w:val="00143C53"/>
    <w:rsid w:val="00143CB3"/>
    <w:rsid w:val="00144950"/>
    <w:rsid w:val="001456BD"/>
    <w:rsid w:val="00145778"/>
    <w:rsid w:val="001458A9"/>
    <w:rsid w:val="00151506"/>
    <w:rsid w:val="0015158D"/>
    <w:rsid w:val="00151994"/>
    <w:rsid w:val="00151BF3"/>
    <w:rsid w:val="00152747"/>
    <w:rsid w:val="0015320A"/>
    <w:rsid w:val="00153A71"/>
    <w:rsid w:val="00154B78"/>
    <w:rsid w:val="00155123"/>
    <w:rsid w:val="00155B53"/>
    <w:rsid w:val="00155ED2"/>
    <w:rsid w:val="001561F8"/>
    <w:rsid w:val="00156B94"/>
    <w:rsid w:val="00156E97"/>
    <w:rsid w:val="00156F42"/>
    <w:rsid w:val="0015776E"/>
    <w:rsid w:val="00157AA3"/>
    <w:rsid w:val="00160564"/>
    <w:rsid w:val="001608C2"/>
    <w:rsid w:val="00160907"/>
    <w:rsid w:val="00160E68"/>
    <w:rsid w:val="001616EC"/>
    <w:rsid w:val="00161743"/>
    <w:rsid w:val="001618E9"/>
    <w:rsid w:val="00161A8A"/>
    <w:rsid w:val="00162668"/>
    <w:rsid w:val="00162825"/>
    <w:rsid w:val="0016314A"/>
    <w:rsid w:val="00163D1A"/>
    <w:rsid w:val="00164010"/>
    <w:rsid w:val="001649EC"/>
    <w:rsid w:val="00164CD2"/>
    <w:rsid w:val="00167890"/>
    <w:rsid w:val="00167ADD"/>
    <w:rsid w:val="00167CBD"/>
    <w:rsid w:val="00167F76"/>
    <w:rsid w:val="00171049"/>
    <w:rsid w:val="00171A65"/>
    <w:rsid w:val="0017209D"/>
    <w:rsid w:val="00172A2E"/>
    <w:rsid w:val="0017324F"/>
    <w:rsid w:val="0017382C"/>
    <w:rsid w:val="00174DC6"/>
    <w:rsid w:val="0017514A"/>
    <w:rsid w:val="00175C27"/>
    <w:rsid w:val="001762A8"/>
    <w:rsid w:val="0017691A"/>
    <w:rsid w:val="001771A7"/>
    <w:rsid w:val="00177ED3"/>
    <w:rsid w:val="001807AC"/>
    <w:rsid w:val="00181623"/>
    <w:rsid w:val="00181852"/>
    <w:rsid w:val="001827EF"/>
    <w:rsid w:val="00182A29"/>
    <w:rsid w:val="00182BD3"/>
    <w:rsid w:val="00182E9F"/>
    <w:rsid w:val="00183D24"/>
    <w:rsid w:val="001842D2"/>
    <w:rsid w:val="001847A4"/>
    <w:rsid w:val="00184D4D"/>
    <w:rsid w:val="00184DE5"/>
    <w:rsid w:val="001851C1"/>
    <w:rsid w:val="00185674"/>
    <w:rsid w:val="0018591B"/>
    <w:rsid w:val="00185B03"/>
    <w:rsid w:val="00185C7C"/>
    <w:rsid w:val="001860A1"/>
    <w:rsid w:val="0018666D"/>
    <w:rsid w:val="001868D5"/>
    <w:rsid w:val="00186E5E"/>
    <w:rsid w:val="001870F2"/>
    <w:rsid w:val="00192409"/>
    <w:rsid w:val="00192B93"/>
    <w:rsid w:val="00192FAC"/>
    <w:rsid w:val="00193DF0"/>
    <w:rsid w:val="00193EE0"/>
    <w:rsid w:val="0019525F"/>
    <w:rsid w:val="00195431"/>
    <w:rsid w:val="00195ED2"/>
    <w:rsid w:val="00196547"/>
    <w:rsid w:val="00196822"/>
    <w:rsid w:val="001970B8"/>
    <w:rsid w:val="00197422"/>
    <w:rsid w:val="001A0381"/>
    <w:rsid w:val="001A05EE"/>
    <w:rsid w:val="001A1501"/>
    <w:rsid w:val="001A17CE"/>
    <w:rsid w:val="001A1FD2"/>
    <w:rsid w:val="001A20E8"/>
    <w:rsid w:val="001A2236"/>
    <w:rsid w:val="001A2ACA"/>
    <w:rsid w:val="001A2AFB"/>
    <w:rsid w:val="001A2EF2"/>
    <w:rsid w:val="001A40BC"/>
    <w:rsid w:val="001A4D6E"/>
    <w:rsid w:val="001A5468"/>
    <w:rsid w:val="001A5694"/>
    <w:rsid w:val="001A5D59"/>
    <w:rsid w:val="001A5FCA"/>
    <w:rsid w:val="001A607A"/>
    <w:rsid w:val="001A6148"/>
    <w:rsid w:val="001A6246"/>
    <w:rsid w:val="001A6492"/>
    <w:rsid w:val="001A7FA1"/>
    <w:rsid w:val="001B1CAB"/>
    <w:rsid w:val="001B29E8"/>
    <w:rsid w:val="001B332D"/>
    <w:rsid w:val="001B3D4B"/>
    <w:rsid w:val="001B40D2"/>
    <w:rsid w:val="001B42E2"/>
    <w:rsid w:val="001B4507"/>
    <w:rsid w:val="001B46DE"/>
    <w:rsid w:val="001B46F6"/>
    <w:rsid w:val="001B479C"/>
    <w:rsid w:val="001B48B1"/>
    <w:rsid w:val="001B54CF"/>
    <w:rsid w:val="001B5F85"/>
    <w:rsid w:val="001B68BF"/>
    <w:rsid w:val="001B6EE5"/>
    <w:rsid w:val="001B74A8"/>
    <w:rsid w:val="001B74AA"/>
    <w:rsid w:val="001B75D3"/>
    <w:rsid w:val="001C0918"/>
    <w:rsid w:val="001C0A29"/>
    <w:rsid w:val="001C0EAA"/>
    <w:rsid w:val="001C2144"/>
    <w:rsid w:val="001C415B"/>
    <w:rsid w:val="001C476A"/>
    <w:rsid w:val="001C4841"/>
    <w:rsid w:val="001C56AF"/>
    <w:rsid w:val="001C5A83"/>
    <w:rsid w:val="001C6FA5"/>
    <w:rsid w:val="001C7559"/>
    <w:rsid w:val="001C777C"/>
    <w:rsid w:val="001C7BC8"/>
    <w:rsid w:val="001C7C68"/>
    <w:rsid w:val="001CF8DA"/>
    <w:rsid w:val="001D01F1"/>
    <w:rsid w:val="001D1156"/>
    <w:rsid w:val="001D121A"/>
    <w:rsid w:val="001D14AD"/>
    <w:rsid w:val="001D1F33"/>
    <w:rsid w:val="001D365D"/>
    <w:rsid w:val="001D3849"/>
    <w:rsid w:val="001D3F57"/>
    <w:rsid w:val="001D4383"/>
    <w:rsid w:val="001D4BAC"/>
    <w:rsid w:val="001D4C3E"/>
    <w:rsid w:val="001D5578"/>
    <w:rsid w:val="001D60D6"/>
    <w:rsid w:val="001D656E"/>
    <w:rsid w:val="001D68A0"/>
    <w:rsid w:val="001D6D13"/>
    <w:rsid w:val="001D6E2A"/>
    <w:rsid w:val="001D71FC"/>
    <w:rsid w:val="001E0BAB"/>
    <w:rsid w:val="001E0E21"/>
    <w:rsid w:val="001E1BFD"/>
    <w:rsid w:val="001E1D23"/>
    <w:rsid w:val="001E22D3"/>
    <w:rsid w:val="001E2C53"/>
    <w:rsid w:val="001E2CDC"/>
    <w:rsid w:val="001E3918"/>
    <w:rsid w:val="001E3A18"/>
    <w:rsid w:val="001E3F3F"/>
    <w:rsid w:val="001E442A"/>
    <w:rsid w:val="001E4FF6"/>
    <w:rsid w:val="001E539C"/>
    <w:rsid w:val="001E54FA"/>
    <w:rsid w:val="001E6887"/>
    <w:rsid w:val="001E68FF"/>
    <w:rsid w:val="001F0180"/>
    <w:rsid w:val="001F16F0"/>
    <w:rsid w:val="001F1D20"/>
    <w:rsid w:val="001F26DC"/>
    <w:rsid w:val="001F3501"/>
    <w:rsid w:val="001F37CD"/>
    <w:rsid w:val="001F3BA5"/>
    <w:rsid w:val="001F5122"/>
    <w:rsid w:val="001F6A27"/>
    <w:rsid w:val="001F79CF"/>
    <w:rsid w:val="00201126"/>
    <w:rsid w:val="00201261"/>
    <w:rsid w:val="00201AB9"/>
    <w:rsid w:val="00201D8D"/>
    <w:rsid w:val="00204134"/>
    <w:rsid w:val="002043C9"/>
    <w:rsid w:val="00204882"/>
    <w:rsid w:val="002065DF"/>
    <w:rsid w:val="00206600"/>
    <w:rsid w:val="002069D0"/>
    <w:rsid w:val="002074D6"/>
    <w:rsid w:val="002077A8"/>
    <w:rsid w:val="00210529"/>
    <w:rsid w:val="00210809"/>
    <w:rsid w:val="00211026"/>
    <w:rsid w:val="00211056"/>
    <w:rsid w:val="0021151F"/>
    <w:rsid w:val="00211D1E"/>
    <w:rsid w:val="0021263C"/>
    <w:rsid w:val="00212E62"/>
    <w:rsid w:val="0021372A"/>
    <w:rsid w:val="002138D7"/>
    <w:rsid w:val="00214DB7"/>
    <w:rsid w:val="002155CB"/>
    <w:rsid w:val="002156A6"/>
    <w:rsid w:val="00215807"/>
    <w:rsid w:val="00215CBB"/>
    <w:rsid w:val="0021653C"/>
    <w:rsid w:val="00216E1E"/>
    <w:rsid w:val="00217723"/>
    <w:rsid w:val="002177CF"/>
    <w:rsid w:val="00217E5B"/>
    <w:rsid w:val="00220AA6"/>
    <w:rsid w:val="002212E8"/>
    <w:rsid w:val="002217E8"/>
    <w:rsid w:val="00221E0E"/>
    <w:rsid w:val="00222845"/>
    <w:rsid w:val="00222A17"/>
    <w:rsid w:val="00223532"/>
    <w:rsid w:val="00224C2F"/>
    <w:rsid w:val="00224FB8"/>
    <w:rsid w:val="00225B54"/>
    <w:rsid w:val="00225E3F"/>
    <w:rsid w:val="00226784"/>
    <w:rsid w:val="00227197"/>
    <w:rsid w:val="00227BC3"/>
    <w:rsid w:val="00230693"/>
    <w:rsid w:val="00231245"/>
    <w:rsid w:val="002327D9"/>
    <w:rsid w:val="002333B2"/>
    <w:rsid w:val="00233983"/>
    <w:rsid w:val="00233AFB"/>
    <w:rsid w:val="0023565F"/>
    <w:rsid w:val="00235849"/>
    <w:rsid w:val="0023723A"/>
    <w:rsid w:val="00240AD0"/>
    <w:rsid w:val="00240E3B"/>
    <w:rsid w:val="00241967"/>
    <w:rsid w:val="00241C2D"/>
    <w:rsid w:val="002422B1"/>
    <w:rsid w:val="002425DC"/>
    <w:rsid w:val="00242D9C"/>
    <w:rsid w:val="00242DFC"/>
    <w:rsid w:val="002437F3"/>
    <w:rsid w:val="002439D3"/>
    <w:rsid w:val="00243D1B"/>
    <w:rsid w:val="00244426"/>
    <w:rsid w:val="002446A0"/>
    <w:rsid w:val="00244B8E"/>
    <w:rsid w:val="00244D19"/>
    <w:rsid w:val="00244E28"/>
    <w:rsid w:val="00246522"/>
    <w:rsid w:val="002467E7"/>
    <w:rsid w:val="00247632"/>
    <w:rsid w:val="00247F85"/>
    <w:rsid w:val="00250089"/>
    <w:rsid w:val="0025044A"/>
    <w:rsid w:val="0025097E"/>
    <w:rsid w:val="00250CF8"/>
    <w:rsid w:val="002517B4"/>
    <w:rsid w:val="002521E7"/>
    <w:rsid w:val="00252381"/>
    <w:rsid w:val="00252CEC"/>
    <w:rsid w:val="002544AD"/>
    <w:rsid w:val="00255209"/>
    <w:rsid w:val="0025624F"/>
    <w:rsid w:val="002567A5"/>
    <w:rsid w:val="002575FC"/>
    <w:rsid w:val="00257D36"/>
    <w:rsid w:val="00257F4E"/>
    <w:rsid w:val="002605ED"/>
    <w:rsid w:val="0026266F"/>
    <w:rsid w:val="00262F5D"/>
    <w:rsid w:val="0026365E"/>
    <w:rsid w:val="00263B09"/>
    <w:rsid w:val="0026416E"/>
    <w:rsid w:val="00264393"/>
    <w:rsid w:val="00264396"/>
    <w:rsid w:val="00266450"/>
    <w:rsid w:val="00266923"/>
    <w:rsid w:val="002676FA"/>
    <w:rsid w:val="00267F22"/>
    <w:rsid w:val="00270346"/>
    <w:rsid w:val="0027060F"/>
    <w:rsid w:val="0027113A"/>
    <w:rsid w:val="00271980"/>
    <w:rsid w:val="00272C9C"/>
    <w:rsid w:val="0027305D"/>
    <w:rsid w:val="0027350B"/>
    <w:rsid w:val="00273A2D"/>
    <w:rsid w:val="00273CB3"/>
    <w:rsid w:val="0027457B"/>
    <w:rsid w:val="00274AA7"/>
    <w:rsid w:val="0027506E"/>
    <w:rsid w:val="00275340"/>
    <w:rsid w:val="00275B9D"/>
    <w:rsid w:val="00275F08"/>
    <w:rsid w:val="0027629D"/>
    <w:rsid w:val="00276436"/>
    <w:rsid w:val="0027647E"/>
    <w:rsid w:val="00276943"/>
    <w:rsid w:val="00276E4C"/>
    <w:rsid w:val="00277068"/>
    <w:rsid w:val="0027789E"/>
    <w:rsid w:val="00277BD3"/>
    <w:rsid w:val="00277DA8"/>
    <w:rsid w:val="002804F0"/>
    <w:rsid w:val="00280B89"/>
    <w:rsid w:val="00280EF5"/>
    <w:rsid w:val="0028115C"/>
    <w:rsid w:val="00281DBF"/>
    <w:rsid w:val="002822A1"/>
    <w:rsid w:val="002833CA"/>
    <w:rsid w:val="002833EE"/>
    <w:rsid w:val="00284167"/>
    <w:rsid w:val="00284313"/>
    <w:rsid w:val="0028476C"/>
    <w:rsid w:val="00284CB7"/>
    <w:rsid w:val="00285FC5"/>
    <w:rsid w:val="00286F69"/>
    <w:rsid w:val="002871FA"/>
    <w:rsid w:val="002877D9"/>
    <w:rsid w:val="002878C3"/>
    <w:rsid w:val="00290D7F"/>
    <w:rsid w:val="00290E70"/>
    <w:rsid w:val="00291555"/>
    <w:rsid w:val="002918C1"/>
    <w:rsid w:val="00292C5F"/>
    <w:rsid w:val="00292D0A"/>
    <w:rsid w:val="0029460F"/>
    <w:rsid w:val="00294BC6"/>
    <w:rsid w:val="00294EF2"/>
    <w:rsid w:val="00295C89"/>
    <w:rsid w:val="002961E3"/>
    <w:rsid w:val="00296374"/>
    <w:rsid w:val="00296723"/>
    <w:rsid w:val="00297F87"/>
    <w:rsid w:val="002A01AC"/>
    <w:rsid w:val="002A14AB"/>
    <w:rsid w:val="002A29B7"/>
    <w:rsid w:val="002A3851"/>
    <w:rsid w:val="002A3B60"/>
    <w:rsid w:val="002A4642"/>
    <w:rsid w:val="002A5D2C"/>
    <w:rsid w:val="002A5DCA"/>
    <w:rsid w:val="002A5FBE"/>
    <w:rsid w:val="002A77A5"/>
    <w:rsid w:val="002A78C1"/>
    <w:rsid w:val="002A7C24"/>
    <w:rsid w:val="002B01FF"/>
    <w:rsid w:val="002B05CD"/>
    <w:rsid w:val="002B069E"/>
    <w:rsid w:val="002B0F76"/>
    <w:rsid w:val="002B2EA1"/>
    <w:rsid w:val="002B3E2D"/>
    <w:rsid w:val="002B42CC"/>
    <w:rsid w:val="002B43F5"/>
    <w:rsid w:val="002B4852"/>
    <w:rsid w:val="002B5252"/>
    <w:rsid w:val="002B5779"/>
    <w:rsid w:val="002B6FDC"/>
    <w:rsid w:val="002BE1D2"/>
    <w:rsid w:val="002C0222"/>
    <w:rsid w:val="002C02C4"/>
    <w:rsid w:val="002C0335"/>
    <w:rsid w:val="002C0A69"/>
    <w:rsid w:val="002C0F56"/>
    <w:rsid w:val="002C15FC"/>
    <w:rsid w:val="002C1F8F"/>
    <w:rsid w:val="002C22FE"/>
    <w:rsid w:val="002C3684"/>
    <w:rsid w:val="002C47BC"/>
    <w:rsid w:val="002C4E1C"/>
    <w:rsid w:val="002C65BC"/>
    <w:rsid w:val="002D0352"/>
    <w:rsid w:val="002D03F7"/>
    <w:rsid w:val="002D1EB8"/>
    <w:rsid w:val="002D329A"/>
    <w:rsid w:val="002D3892"/>
    <w:rsid w:val="002D464D"/>
    <w:rsid w:val="002D4B74"/>
    <w:rsid w:val="002D5769"/>
    <w:rsid w:val="002D579A"/>
    <w:rsid w:val="002D59F0"/>
    <w:rsid w:val="002D5B76"/>
    <w:rsid w:val="002D5CB8"/>
    <w:rsid w:val="002D5CF5"/>
    <w:rsid w:val="002D6A13"/>
    <w:rsid w:val="002D6E01"/>
    <w:rsid w:val="002D6ED7"/>
    <w:rsid w:val="002D7542"/>
    <w:rsid w:val="002E0D9A"/>
    <w:rsid w:val="002E130E"/>
    <w:rsid w:val="002E1E6C"/>
    <w:rsid w:val="002E20CD"/>
    <w:rsid w:val="002E220C"/>
    <w:rsid w:val="002E2442"/>
    <w:rsid w:val="002E25A1"/>
    <w:rsid w:val="002E34D3"/>
    <w:rsid w:val="002E3C80"/>
    <w:rsid w:val="002E3E61"/>
    <w:rsid w:val="002E4F83"/>
    <w:rsid w:val="002E52C4"/>
    <w:rsid w:val="002E5732"/>
    <w:rsid w:val="002E5F3C"/>
    <w:rsid w:val="002E6463"/>
    <w:rsid w:val="002E74BC"/>
    <w:rsid w:val="002E76B1"/>
    <w:rsid w:val="002E7BD4"/>
    <w:rsid w:val="002E7E72"/>
    <w:rsid w:val="002F0332"/>
    <w:rsid w:val="002F08B0"/>
    <w:rsid w:val="002F0BDE"/>
    <w:rsid w:val="002F0DB2"/>
    <w:rsid w:val="002F121E"/>
    <w:rsid w:val="002F15C5"/>
    <w:rsid w:val="002F1725"/>
    <w:rsid w:val="002F232A"/>
    <w:rsid w:val="002F2E79"/>
    <w:rsid w:val="002F2FE5"/>
    <w:rsid w:val="002F3000"/>
    <w:rsid w:val="002F3BE4"/>
    <w:rsid w:val="002F3F8A"/>
    <w:rsid w:val="002F4DAC"/>
    <w:rsid w:val="002F6364"/>
    <w:rsid w:val="002F6687"/>
    <w:rsid w:val="002F68C8"/>
    <w:rsid w:val="002F6F69"/>
    <w:rsid w:val="002F777B"/>
    <w:rsid w:val="002F7CDD"/>
    <w:rsid w:val="00300046"/>
    <w:rsid w:val="0030029D"/>
    <w:rsid w:val="00300316"/>
    <w:rsid w:val="00300AE2"/>
    <w:rsid w:val="00301FA1"/>
    <w:rsid w:val="003028CC"/>
    <w:rsid w:val="00302EAA"/>
    <w:rsid w:val="00302F34"/>
    <w:rsid w:val="003033BC"/>
    <w:rsid w:val="00304213"/>
    <w:rsid w:val="00305922"/>
    <w:rsid w:val="00305AB5"/>
    <w:rsid w:val="00305C02"/>
    <w:rsid w:val="0030635C"/>
    <w:rsid w:val="00306C26"/>
    <w:rsid w:val="00306F2F"/>
    <w:rsid w:val="0030712E"/>
    <w:rsid w:val="00307AC3"/>
    <w:rsid w:val="00310068"/>
    <w:rsid w:val="00311768"/>
    <w:rsid w:val="003122AC"/>
    <w:rsid w:val="00312360"/>
    <w:rsid w:val="003127CE"/>
    <w:rsid w:val="00312A8F"/>
    <w:rsid w:val="003133D7"/>
    <w:rsid w:val="003135E5"/>
    <w:rsid w:val="00313FDD"/>
    <w:rsid w:val="00314207"/>
    <w:rsid w:val="00314343"/>
    <w:rsid w:val="003156C8"/>
    <w:rsid w:val="0031572A"/>
    <w:rsid w:val="00316537"/>
    <w:rsid w:val="00316F44"/>
    <w:rsid w:val="00316FD5"/>
    <w:rsid w:val="00317423"/>
    <w:rsid w:val="00317444"/>
    <w:rsid w:val="0031751C"/>
    <w:rsid w:val="00317FD3"/>
    <w:rsid w:val="00320CDE"/>
    <w:rsid w:val="00320E91"/>
    <w:rsid w:val="00320EEB"/>
    <w:rsid w:val="0032118C"/>
    <w:rsid w:val="003211D0"/>
    <w:rsid w:val="003217A3"/>
    <w:rsid w:val="00321A28"/>
    <w:rsid w:val="00321D3A"/>
    <w:rsid w:val="00322C03"/>
    <w:rsid w:val="0032348C"/>
    <w:rsid w:val="00325A1D"/>
    <w:rsid w:val="00326AE8"/>
    <w:rsid w:val="00326F13"/>
    <w:rsid w:val="003270D4"/>
    <w:rsid w:val="00327391"/>
    <w:rsid w:val="00327C4D"/>
    <w:rsid w:val="00330598"/>
    <w:rsid w:val="00330FF2"/>
    <w:rsid w:val="00331226"/>
    <w:rsid w:val="0033280E"/>
    <w:rsid w:val="00332AFF"/>
    <w:rsid w:val="0033335F"/>
    <w:rsid w:val="0033354C"/>
    <w:rsid w:val="00333F21"/>
    <w:rsid w:val="003345BC"/>
    <w:rsid w:val="0033466A"/>
    <w:rsid w:val="00334B5E"/>
    <w:rsid w:val="00334BC5"/>
    <w:rsid w:val="00334DFA"/>
    <w:rsid w:val="00334ED2"/>
    <w:rsid w:val="0033510F"/>
    <w:rsid w:val="00337FDA"/>
    <w:rsid w:val="00341748"/>
    <w:rsid w:val="0034198C"/>
    <w:rsid w:val="00342FC9"/>
    <w:rsid w:val="00344151"/>
    <w:rsid w:val="003446D7"/>
    <w:rsid w:val="0034592B"/>
    <w:rsid w:val="00345968"/>
    <w:rsid w:val="00345A22"/>
    <w:rsid w:val="00345AF3"/>
    <w:rsid w:val="00345CBE"/>
    <w:rsid w:val="00346131"/>
    <w:rsid w:val="003465A4"/>
    <w:rsid w:val="00346AB6"/>
    <w:rsid w:val="00347237"/>
    <w:rsid w:val="00347E0E"/>
    <w:rsid w:val="00347F63"/>
    <w:rsid w:val="0035016B"/>
    <w:rsid w:val="003501F0"/>
    <w:rsid w:val="00350B40"/>
    <w:rsid w:val="00350DA9"/>
    <w:rsid w:val="003511A7"/>
    <w:rsid w:val="00351A27"/>
    <w:rsid w:val="00351E62"/>
    <w:rsid w:val="00352269"/>
    <w:rsid w:val="003522FB"/>
    <w:rsid w:val="00352990"/>
    <w:rsid w:val="00352A3A"/>
    <w:rsid w:val="00353467"/>
    <w:rsid w:val="00353C04"/>
    <w:rsid w:val="003544B4"/>
    <w:rsid w:val="003553A2"/>
    <w:rsid w:val="0035609E"/>
    <w:rsid w:val="00356231"/>
    <w:rsid w:val="003562F0"/>
    <w:rsid w:val="003565F2"/>
    <w:rsid w:val="0035668A"/>
    <w:rsid w:val="00356AD3"/>
    <w:rsid w:val="00356C63"/>
    <w:rsid w:val="00357D02"/>
    <w:rsid w:val="00357FE4"/>
    <w:rsid w:val="003601A2"/>
    <w:rsid w:val="00360215"/>
    <w:rsid w:val="00360447"/>
    <w:rsid w:val="00360CE3"/>
    <w:rsid w:val="003610FF"/>
    <w:rsid w:val="003616E2"/>
    <w:rsid w:val="00361768"/>
    <w:rsid w:val="0036295B"/>
    <w:rsid w:val="003630B9"/>
    <w:rsid w:val="0036380D"/>
    <w:rsid w:val="00363A2C"/>
    <w:rsid w:val="00364A16"/>
    <w:rsid w:val="00364C8D"/>
    <w:rsid w:val="00364F21"/>
    <w:rsid w:val="00366E84"/>
    <w:rsid w:val="00367892"/>
    <w:rsid w:val="003707D2"/>
    <w:rsid w:val="00370B4B"/>
    <w:rsid w:val="00370CF1"/>
    <w:rsid w:val="0037153B"/>
    <w:rsid w:val="00371977"/>
    <w:rsid w:val="00371B7A"/>
    <w:rsid w:val="003725B8"/>
    <w:rsid w:val="00372700"/>
    <w:rsid w:val="003729A5"/>
    <w:rsid w:val="00372DEA"/>
    <w:rsid w:val="003743FF"/>
    <w:rsid w:val="00374443"/>
    <w:rsid w:val="00374A45"/>
    <w:rsid w:val="00374A56"/>
    <w:rsid w:val="00375D90"/>
    <w:rsid w:val="00376188"/>
    <w:rsid w:val="0037691C"/>
    <w:rsid w:val="00377E42"/>
    <w:rsid w:val="003801CE"/>
    <w:rsid w:val="003809D2"/>
    <w:rsid w:val="0038189C"/>
    <w:rsid w:val="00381A49"/>
    <w:rsid w:val="003820F3"/>
    <w:rsid w:val="00383B76"/>
    <w:rsid w:val="00384A9E"/>
    <w:rsid w:val="003853B1"/>
    <w:rsid w:val="003860DE"/>
    <w:rsid w:val="0038669D"/>
    <w:rsid w:val="00386CDC"/>
    <w:rsid w:val="00386FA5"/>
    <w:rsid w:val="003876C8"/>
    <w:rsid w:val="00390563"/>
    <w:rsid w:val="00390D74"/>
    <w:rsid w:val="0039101F"/>
    <w:rsid w:val="003911A2"/>
    <w:rsid w:val="003911A8"/>
    <w:rsid w:val="003919A6"/>
    <w:rsid w:val="00391BA8"/>
    <w:rsid w:val="00391DDA"/>
    <w:rsid w:val="00392C0F"/>
    <w:rsid w:val="003932F8"/>
    <w:rsid w:val="00393637"/>
    <w:rsid w:val="0039389F"/>
    <w:rsid w:val="00393FD2"/>
    <w:rsid w:val="00394F36"/>
    <w:rsid w:val="00397214"/>
    <w:rsid w:val="003978DC"/>
    <w:rsid w:val="003A02AA"/>
    <w:rsid w:val="003A0911"/>
    <w:rsid w:val="003A255E"/>
    <w:rsid w:val="003A2572"/>
    <w:rsid w:val="003A375F"/>
    <w:rsid w:val="003A3999"/>
    <w:rsid w:val="003A3B35"/>
    <w:rsid w:val="003A446E"/>
    <w:rsid w:val="003A51A3"/>
    <w:rsid w:val="003A5234"/>
    <w:rsid w:val="003A5BBD"/>
    <w:rsid w:val="003A5FB0"/>
    <w:rsid w:val="003A6D37"/>
    <w:rsid w:val="003A7859"/>
    <w:rsid w:val="003B026C"/>
    <w:rsid w:val="003B032D"/>
    <w:rsid w:val="003B13C0"/>
    <w:rsid w:val="003B1747"/>
    <w:rsid w:val="003B1920"/>
    <w:rsid w:val="003B1F75"/>
    <w:rsid w:val="003B243B"/>
    <w:rsid w:val="003B2580"/>
    <w:rsid w:val="003B2BB5"/>
    <w:rsid w:val="003B3147"/>
    <w:rsid w:val="003B3C2A"/>
    <w:rsid w:val="003B3FBC"/>
    <w:rsid w:val="003B55DF"/>
    <w:rsid w:val="003B57BC"/>
    <w:rsid w:val="003B60F6"/>
    <w:rsid w:val="003B6509"/>
    <w:rsid w:val="003B6ABA"/>
    <w:rsid w:val="003B7E59"/>
    <w:rsid w:val="003C0381"/>
    <w:rsid w:val="003C0873"/>
    <w:rsid w:val="003C0D6E"/>
    <w:rsid w:val="003C0EAB"/>
    <w:rsid w:val="003C1011"/>
    <w:rsid w:val="003C15E9"/>
    <w:rsid w:val="003C21EB"/>
    <w:rsid w:val="003C4498"/>
    <w:rsid w:val="003C4613"/>
    <w:rsid w:val="003C47E5"/>
    <w:rsid w:val="003C51F1"/>
    <w:rsid w:val="003C5341"/>
    <w:rsid w:val="003C5C90"/>
    <w:rsid w:val="003C5E31"/>
    <w:rsid w:val="003C69B3"/>
    <w:rsid w:val="003C6EEF"/>
    <w:rsid w:val="003C726D"/>
    <w:rsid w:val="003D1A8D"/>
    <w:rsid w:val="003D2319"/>
    <w:rsid w:val="003D2544"/>
    <w:rsid w:val="003D28B4"/>
    <w:rsid w:val="003D2CC0"/>
    <w:rsid w:val="003D3BDA"/>
    <w:rsid w:val="003D40D0"/>
    <w:rsid w:val="003D40EB"/>
    <w:rsid w:val="003D425C"/>
    <w:rsid w:val="003D43C3"/>
    <w:rsid w:val="003D4931"/>
    <w:rsid w:val="003D6436"/>
    <w:rsid w:val="003D6984"/>
    <w:rsid w:val="003D7182"/>
    <w:rsid w:val="003D76C6"/>
    <w:rsid w:val="003D78D8"/>
    <w:rsid w:val="003D795E"/>
    <w:rsid w:val="003D7A43"/>
    <w:rsid w:val="003D7FEA"/>
    <w:rsid w:val="003E04A1"/>
    <w:rsid w:val="003E06C4"/>
    <w:rsid w:val="003E0F31"/>
    <w:rsid w:val="003E18C4"/>
    <w:rsid w:val="003E18D6"/>
    <w:rsid w:val="003E1B37"/>
    <w:rsid w:val="003E25C5"/>
    <w:rsid w:val="003E2C48"/>
    <w:rsid w:val="003E30B2"/>
    <w:rsid w:val="003E318A"/>
    <w:rsid w:val="003E346C"/>
    <w:rsid w:val="003E4001"/>
    <w:rsid w:val="003E4890"/>
    <w:rsid w:val="003E56C8"/>
    <w:rsid w:val="003E5EA2"/>
    <w:rsid w:val="003E6289"/>
    <w:rsid w:val="003E62E0"/>
    <w:rsid w:val="003E695D"/>
    <w:rsid w:val="003F0BB2"/>
    <w:rsid w:val="003F1CF2"/>
    <w:rsid w:val="003F1F43"/>
    <w:rsid w:val="003F2295"/>
    <w:rsid w:val="003F28FC"/>
    <w:rsid w:val="003F29BD"/>
    <w:rsid w:val="003F32C6"/>
    <w:rsid w:val="003F4282"/>
    <w:rsid w:val="003F4C46"/>
    <w:rsid w:val="003F4FFD"/>
    <w:rsid w:val="003F570C"/>
    <w:rsid w:val="003F59F2"/>
    <w:rsid w:val="003F5C2F"/>
    <w:rsid w:val="003F65A8"/>
    <w:rsid w:val="003F684F"/>
    <w:rsid w:val="003F755E"/>
    <w:rsid w:val="003F774F"/>
    <w:rsid w:val="00400FBF"/>
    <w:rsid w:val="004018F1"/>
    <w:rsid w:val="00401906"/>
    <w:rsid w:val="00401E49"/>
    <w:rsid w:val="0040234A"/>
    <w:rsid w:val="00402EE6"/>
    <w:rsid w:val="00403190"/>
    <w:rsid w:val="00403392"/>
    <w:rsid w:val="00403E88"/>
    <w:rsid w:val="00404C4B"/>
    <w:rsid w:val="004058CF"/>
    <w:rsid w:val="004059E4"/>
    <w:rsid w:val="00406D5D"/>
    <w:rsid w:val="00411E59"/>
    <w:rsid w:val="00411EB7"/>
    <w:rsid w:val="00412995"/>
    <w:rsid w:val="00412CB1"/>
    <w:rsid w:val="00413E80"/>
    <w:rsid w:val="00414133"/>
    <w:rsid w:val="00414199"/>
    <w:rsid w:val="004146CF"/>
    <w:rsid w:val="004150EC"/>
    <w:rsid w:val="004153EB"/>
    <w:rsid w:val="0041570C"/>
    <w:rsid w:val="0041599B"/>
    <w:rsid w:val="004161F8"/>
    <w:rsid w:val="00416426"/>
    <w:rsid w:val="0041694C"/>
    <w:rsid w:val="00417B61"/>
    <w:rsid w:val="00420560"/>
    <w:rsid w:val="0042070B"/>
    <w:rsid w:val="00420931"/>
    <w:rsid w:val="00420C55"/>
    <w:rsid w:val="004210A8"/>
    <w:rsid w:val="0042137C"/>
    <w:rsid w:val="00421B8E"/>
    <w:rsid w:val="00423187"/>
    <w:rsid w:val="004234F2"/>
    <w:rsid w:val="00423758"/>
    <w:rsid w:val="004245B3"/>
    <w:rsid w:val="00425454"/>
    <w:rsid w:val="00425470"/>
    <w:rsid w:val="004255B3"/>
    <w:rsid w:val="0042588C"/>
    <w:rsid w:val="00425C1B"/>
    <w:rsid w:val="00425E53"/>
    <w:rsid w:val="004262FB"/>
    <w:rsid w:val="00426893"/>
    <w:rsid w:val="00430213"/>
    <w:rsid w:val="00430328"/>
    <w:rsid w:val="00430867"/>
    <w:rsid w:val="00430915"/>
    <w:rsid w:val="00430FBE"/>
    <w:rsid w:val="0043142A"/>
    <w:rsid w:val="00431944"/>
    <w:rsid w:val="0043198A"/>
    <w:rsid w:val="00431F08"/>
    <w:rsid w:val="004326AF"/>
    <w:rsid w:val="004327E3"/>
    <w:rsid w:val="00432B78"/>
    <w:rsid w:val="004339F6"/>
    <w:rsid w:val="00433AE9"/>
    <w:rsid w:val="00433F10"/>
    <w:rsid w:val="00434909"/>
    <w:rsid w:val="00434CDC"/>
    <w:rsid w:val="004369D2"/>
    <w:rsid w:val="004369F3"/>
    <w:rsid w:val="004379E4"/>
    <w:rsid w:val="00437B2E"/>
    <w:rsid w:val="004401DC"/>
    <w:rsid w:val="00440846"/>
    <w:rsid w:val="0044091B"/>
    <w:rsid w:val="00440AB6"/>
    <w:rsid w:val="00440E2B"/>
    <w:rsid w:val="00441282"/>
    <w:rsid w:val="004414CB"/>
    <w:rsid w:val="00441EB1"/>
    <w:rsid w:val="00441FCB"/>
    <w:rsid w:val="004429D0"/>
    <w:rsid w:val="00442E45"/>
    <w:rsid w:val="00443495"/>
    <w:rsid w:val="00443657"/>
    <w:rsid w:val="00443E05"/>
    <w:rsid w:val="004440B1"/>
    <w:rsid w:val="00444751"/>
    <w:rsid w:val="00444F6B"/>
    <w:rsid w:val="004461F8"/>
    <w:rsid w:val="004465C8"/>
    <w:rsid w:val="00450980"/>
    <w:rsid w:val="00451984"/>
    <w:rsid w:val="00451B57"/>
    <w:rsid w:val="00451BCD"/>
    <w:rsid w:val="00452056"/>
    <w:rsid w:val="0045213D"/>
    <w:rsid w:val="00453033"/>
    <w:rsid w:val="00453628"/>
    <w:rsid w:val="00453897"/>
    <w:rsid w:val="00453898"/>
    <w:rsid w:val="00455000"/>
    <w:rsid w:val="00456270"/>
    <w:rsid w:val="0045642A"/>
    <w:rsid w:val="004566EB"/>
    <w:rsid w:val="004574A7"/>
    <w:rsid w:val="00457890"/>
    <w:rsid w:val="00460A15"/>
    <w:rsid w:val="00460DFB"/>
    <w:rsid w:val="00460E7D"/>
    <w:rsid w:val="00461D1F"/>
    <w:rsid w:val="00462039"/>
    <w:rsid w:val="00462A74"/>
    <w:rsid w:val="00462E2C"/>
    <w:rsid w:val="00462F61"/>
    <w:rsid w:val="00464011"/>
    <w:rsid w:val="0046490B"/>
    <w:rsid w:val="0046540F"/>
    <w:rsid w:val="004664D0"/>
    <w:rsid w:val="00466E3F"/>
    <w:rsid w:val="00467DE7"/>
    <w:rsid w:val="004703A4"/>
    <w:rsid w:val="00470611"/>
    <w:rsid w:val="00472462"/>
    <w:rsid w:val="00472F6B"/>
    <w:rsid w:val="004730F1"/>
    <w:rsid w:val="004731BF"/>
    <w:rsid w:val="004736F3"/>
    <w:rsid w:val="004739A8"/>
    <w:rsid w:val="004745E7"/>
    <w:rsid w:val="00474969"/>
    <w:rsid w:val="00475185"/>
    <w:rsid w:val="00477566"/>
    <w:rsid w:val="00477E28"/>
    <w:rsid w:val="00480D0D"/>
    <w:rsid w:val="0048120F"/>
    <w:rsid w:val="00481847"/>
    <w:rsid w:val="00481885"/>
    <w:rsid w:val="0048200C"/>
    <w:rsid w:val="004824E3"/>
    <w:rsid w:val="0048315D"/>
    <w:rsid w:val="00483310"/>
    <w:rsid w:val="00483729"/>
    <w:rsid w:val="004848D8"/>
    <w:rsid w:val="00484B57"/>
    <w:rsid w:val="00485133"/>
    <w:rsid w:val="0048539C"/>
    <w:rsid w:val="00485769"/>
    <w:rsid w:val="00485FF5"/>
    <w:rsid w:val="004868DB"/>
    <w:rsid w:val="00486D41"/>
    <w:rsid w:val="00487640"/>
    <w:rsid w:val="00487F41"/>
    <w:rsid w:val="004907FE"/>
    <w:rsid w:val="00491285"/>
    <w:rsid w:val="00491454"/>
    <w:rsid w:val="004914B2"/>
    <w:rsid w:val="00491ED7"/>
    <w:rsid w:val="00492525"/>
    <w:rsid w:val="00492CA8"/>
    <w:rsid w:val="00492D6A"/>
    <w:rsid w:val="004932C7"/>
    <w:rsid w:val="004934FA"/>
    <w:rsid w:val="00493645"/>
    <w:rsid w:val="004938B4"/>
    <w:rsid w:val="00493D4B"/>
    <w:rsid w:val="00493E2A"/>
    <w:rsid w:val="004955A7"/>
    <w:rsid w:val="00495AC7"/>
    <w:rsid w:val="00496BCB"/>
    <w:rsid w:val="004974A1"/>
    <w:rsid w:val="0049787E"/>
    <w:rsid w:val="004A0B13"/>
    <w:rsid w:val="004A192A"/>
    <w:rsid w:val="004A2F9B"/>
    <w:rsid w:val="004A30E0"/>
    <w:rsid w:val="004A3427"/>
    <w:rsid w:val="004A4C95"/>
    <w:rsid w:val="004A4D9D"/>
    <w:rsid w:val="004A54BC"/>
    <w:rsid w:val="004A5639"/>
    <w:rsid w:val="004A6695"/>
    <w:rsid w:val="004A6DDF"/>
    <w:rsid w:val="004A74A7"/>
    <w:rsid w:val="004A75A2"/>
    <w:rsid w:val="004A7A0A"/>
    <w:rsid w:val="004A7B77"/>
    <w:rsid w:val="004A7CE5"/>
    <w:rsid w:val="004B036B"/>
    <w:rsid w:val="004B0A98"/>
    <w:rsid w:val="004B1A02"/>
    <w:rsid w:val="004B1C73"/>
    <w:rsid w:val="004B2117"/>
    <w:rsid w:val="004B2925"/>
    <w:rsid w:val="004B30ED"/>
    <w:rsid w:val="004B3248"/>
    <w:rsid w:val="004B4DEB"/>
    <w:rsid w:val="004B5499"/>
    <w:rsid w:val="004B5FED"/>
    <w:rsid w:val="004B6267"/>
    <w:rsid w:val="004B645D"/>
    <w:rsid w:val="004B7166"/>
    <w:rsid w:val="004B77F5"/>
    <w:rsid w:val="004B7E44"/>
    <w:rsid w:val="004C0530"/>
    <w:rsid w:val="004C0A10"/>
    <w:rsid w:val="004C0EC7"/>
    <w:rsid w:val="004C1027"/>
    <w:rsid w:val="004C1519"/>
    <w:rsid w:val="004C277A"/>
    <w:rsid w:val="004C29D0"/>
    <w:rsid w:val="004C2AAA"/>
    <w:rsid w:val="004C457A"/>
    <w:rsid w:val="004C488D"/>
    <w:rsid w:val="004C4950"/>
    <w:rsid w:val="004C4EA3"/>
    <w:rsid w:val="004C4F36"/>
    <w:rsid w:val="004C53C2"/>
    <w:rsid w:val="004C54DE"/>
    <w:rsid w:val="004C5B0E"/>
    <w:rsid w:val="004C61A1"/>
    <w:rsid w:val="004C642F"/>
    <w:rsid w:val="004C645F"/>
    <w:rsid w:val="004C6868"/>
    <w:rsid w:val="004C6872"/>
    <w:rsid w:val="004C69D3"/>
    <w:rsid w:val="004C6A9A"/>
    <w:rsid w:val="004C6EC3"/>
    <w:rsid w:val="004C7243"/>
    <w:rsid w:val="004C79D4"/>
    <w:rsid w:val="004D09AB"/>
    <w:rsid w:val="004D0A98"/>
    <w:rsid w:val="004D0DB1"/>
    <w:rsid w:val="004D101A"/>
    <w:rsid w:val="004D1658"/>
    <w:rsid w:val="004D1B01"/>
    <w:rsid w:val="004D244A"/>
    <w:rsid w:val="004D2C23"/>
    <w:rsid w:val="004D2D58"/>
    <w:rsid w:val="004D3288"/>
    <w:rsid w:val="004D32EE"/>
    <w:rsid w:val="004D39E8"/>
    <w:rsid w:val="004D3D65"/>
    <w:rsid w:val="004D3E74"/>
    <w:rsid w:val="004D462E"/>
    <w:rsid w:val="004D4B56"/>
    <w:rsid w:val="004D4EF2"/>
    <w:rsid w:val="004D5E94"/>
    <w:rsid w:val="004D60D1"/>
    <w:rsid w:val="004D6174"/>
    <w:rsid w:val="004D7697"/>
    <w:rsid w:val="004D7B51"/>
    <w:rsid w:val="004E08A2"/>
    <w:rsid w:val="004E0AFF"/>
    <w:rsid w:val="004E0DFC"/>
    <w:rsid w:val="004E11FC"/>
    <w:rsid w:val="004E15E9"/>
    <w:rsid w:val="004E2675"/>
    <w:rsid w:val="004E27EE"/>
    <w:rsid w:val="004E293D"/>
    <w:rsid w:val="004E2AF7"/>
    <w:rsid w:val="004E2BC7"/>
    <w:rsid w:val="004E2C6C"/>
    <w:rsid w:val="004E33F4"/>
    <w:rsid w:val="004E5A6B"/>
    <w:rsid w:val="004E5D03"/>
    <w:rsid w:val="004E5E0F"/>
    <w:rsid w:val="004E6681"/>
    <w:rsid w:val="004F02E7"/>
    <w:rsid w:val="004F0B54"/>
    <w:rsid w:val="004F16AA"/>
    <w:rsid w:val="004F192D"/>
    <w:rsid w:val="004F1ABB"/>
    <w:rsid w:val="004F1F2D"/>
    <w:rsid w:val="004F2853"/>
    <w:rsid w:val="004F43F6"/>
    <w:rsid w:val="004F48CE"/>
    <w:rsid w:val="004F4CE2"/>
    <w:rsid w:val="004F5AC6"/>
    <w:rsid w:val="004F6A71"/>
    <w:rsid w:val="004F7212"/>
    <w:rsid w:val="004F760E"/>
    <w:rsid w:val="004F7AE8"/>
    <w:rsid w:val="004F7AFC"/>
    <w:rsid w:val="005007EA"/>
    <w:rsid w:val="00501056"/>
    <w:rsid w:val="00502095"/>
    <w:rsid w:val="00502231"/>
    <w:rsid w:val="00502641"/>
    <w:rsid w:val="0050287C"/>
    <w:rsid w:val="00503A4A"/>
    <w:rsid w:val="00503B38"/>
    <w:rsid w:val="00503D42"/>
    <w:rsid w:val="00504FA5"/>
    <w:rsid w:val="00505AC4"/>
    <w:rsid w:val="00506FB6"/>
    <w:rsid w:val="005077F8"/>
    <w:rsid w:val="00510067"/>
    <w:rsid w:val="0051006F"/>
    <w:rsid w:val="00510C61"/>
    <w:rsid w:val="005113DE"/>
    <w:rsid w:val="0051168C"/>
    <w:rsid w:val="00511BF8"/>
    <w:rsid w:val="00511E94"/>
    <w:rsid w:val="005125A1"/>
    <w:rsid w:val="005126A6"/>
    <w:rsid w:val="005126FB"/>
    <w:rsid w:val="00512719"/>
    <w:rsid w:val="00512C55"/>
    <w:rsid w:val="005132F5"/>
    <w:rsid w:val="005137B9"/>
    <w:rsid w:val="00513EDB"/>
    <w:rsid w:val="0051416A"/>
    <w:rsid w:val="00515337"/>
    <w:rsid w:val="005158A2"/>
    <w:rsid w:val="00515CFF"/>
    <w:rsid w:val="00515E7C"/>
    <w:rsid w:val="005167F9"/>
    <w:rsid w:val="005169AB"/>
    <w:rsid w:val="00516EDC"/>
    <w:rsid w:val="005173CD"/>
    <w:rsid w:val="00517F8A"/>
    <w:rsid w:val="00520171"/>
    <w:rsid w:val="0052050B"/>
    <w:rsid w:val="005223BE"/>
    <w:rsid w:val="0052240D"/>
    <w:rsid w:val="00522CDA"/>
    <w:rsid w:val="00522F66"/>
    <w:rsid w:val="005237D7"/>
    <w:rsid w:val="0052474D"/>
    <w:rsid w:val="0052474E"/>
    <w:rsid w:val="00524BF8"/>
    <w:rsid w:val="00525ADF"/>
    <w:rsid w:val="00525BEC"/>
    <w:rsid w:val="00525E4D"/>
    <w:rsid w:val="005262A9"/>
    <w:rsid w:val="0052653B"/>
    <w:rsid w:val="00526F0C"/>
    <w:rsid w:val="005273F2"/>
    <w:rsid w:val="00530862"/>
    <w:rsid w:val="00531142"/>
    <w:rsid w:val="005314D5"/>
    <w:rsid w:val="005316A5"/>
    <w:rsid w:val="00533747"/>
    <w:rsid w:val="005339BF"/>
    <w:rsid w:val="00536032"/>
    <w:rsid w:val="00536B61"/>
    <w:rsid w:val="00537628"/>
    <w:rsid w:val="005379D5"/>
    <w:rsid w:val="0054034D"/>
    <w:rsid w:val="00540870"/>
    <w:rsid w:val="005412FD"/>
    <w:rsid w:val="00541716"/>
    <w:rsid w:val="00541EA0"/>
    <w:rsid w:val="005426A5"/>
    <w:rsid w:val="00542CEB"/>
    <w:rsid w:val="00543677"/>
    <w:rsid w:val="005443BD"/>
    <w:rsid w:val="005464DC"/>
    <w:rsid w:val="005472A0"/>
    <w:rsid w:val="00550090"/>
    <w:rsid w:val="00550FDB"/>
    <w:rsid w:val="00551037"/>
    <w:rsid w:val="00551A7A"/>
    <w:rsid w:val="00551DDD"/>
    <w:rsid w:val="00551EA7"/>
    <w:rsid w:val="00552033"/>
    <w:rsid w:val="005537BF"/>
    <w:rsid w:val="005544CC"/>
    <w:rsid w:val="00554CC0"/>
    <w:rsid w:val="005553F7"/>
    <w:rsid w:val="0055549B"/>
    <w:rsid w:val="005557BE"/>
    <w:rsid w:val="0055592D"/>
    <w:rsid w:val="005559A0"/>
    <w:rsid w:val="00555CA5"/>
    <w:rsid w:val="00556D44"/>
    <w:rsid w:val="005579A8"/>
    <w:rsid w:val="005602F8"/>
    <w:rsid w:val="005603AB"/>
    <w:rsid w:val="005607DF"/>
    <w:rsid w:val="00561721"/>
    <w:rsid w:val="00561CED"/>
    <w:rsid w:val="00564130"/>
    <w:rsid w:val="00564B1B"/>
    <w:rsid w:val="00565454"/>
    <w:rsid w:val="00565F52"/>
    <w:rsid w:val="00567739"/>
    <w:rsid w:val="00567FAA"/>
    <w:rsid w:val="005700CA"/>
    <w:rsid w:val="0057079D"/>
    <w:rsid w:val="005708A2"/>
    <w:rsid w:val="00570D94"/>
    <w:rsid w:val="00570DB0"/>
    <w:rsid w:val="00570FFC"/>
    <w:rsid w:val="005726CD"/>
    <w:rsid w:val="005737D2"/>
    <w:rsid w:val="0057452D"/>
    <w:rsid w:val="005751BC"/>
    <w:rsid w:val="00575671"/>
    <w:rsid w:val="00575C09"/>
    <w:rsid w:val="00575FC4"/>
    <w:rsid w:val="00576708"/>
    <w:rsid w:val="00577860"/>
    <w:rsid w:val="005778B4"/>
    <w:rsid w:val="005815C3"/>
    <w:rsid w:val="00581F18"/>
    <w:rsid w:val="005822BA"/>
    <w:rsid w:val="00582ACC"/>
    <w:rsid w:val="00582E6C"/>
    <w:rsid w:val="00582FAE"/>
    <w:rsid w:val="00583307"/>
    <w:rsid w:val="00584397"/>
    <w:rsid w:val="005843A6"/>
    <w:rsid w:val="005857E3"/>
    <w:rsid w:val="00585B47"/>
    <w:rsid w:val="00586590"/>
    <w:rsid w:val="005868CB"/>
    <w:rsid w:val="0059058B"/>
    <w:rsid w:val="005919E8"/>
    <w:rsid w:val="00591D81"/>
    <w:rsid w:val="00591E72"/>
    <w:rsid w:val="00592BB3"/>
    <w:rsid w:val="00592BCC"/>
    <w:rsid w:val="00594028"/>
    <w:rsid w:val="00595147"/>
    <w:rsid w:val="00595927"/>
    <w:rsid w:val="00595FBF"/>
    <w:rsid w:val="0059665D"/>
    <w:rsid w:val="00596C0B"/>
    <w:rsid w:val="0059701D"/>
    <w:rsid w:val="005974E5"/>
    <w:rsid w:val="00597627"/>
    <w:rsid w:val="005A119B"/>
    <w:rsid w:val="005A1684"/>
    <w:rsid w:val="005A17BA"/>
    <w:rsid w:val="005A1918"/>
    <w:rsid w:val="005A29A2"/>
    <w:rsid w:val="005A29B3"/>
    <w:rsid w:val="005A3091"/>
    <w:rsid w:val="005A3C48"/>
    <w:rsid w:val="005A3F05"/>
    <w:rsid w:val="005A466A"/>
    <w:rsid w:val="005A48BB"/>
    <w:rsid w:val="005A4ED5"/>
    <w:rsid w:val="005A4FEB"/>
    <w:rsid w:val="005A51AD"/>
    <w:rsid w:val="005A5386"/>
    <w:rsid w:val="005A61AC"/>
    <w:rsid w:val="005B019B"/>
    <w:rsid w:val="005B08F7"/>
    <w:rsid w:val="005B12D8"/>
    <w:rsid w:val="005B1DDA"/>
    <w:rsid w:val="005B2049"/>
    <w:rsid w:val="005B2F3D"/>
    <w:rsid w:val="005B302E"/>
    <w:rsid w:val="005B4F16"/>
    <w:rsid w:val="005B5035"/>
    <w:rsid w:val="005B5404"/>
    <w:rsid w:val="005B55BB"/>
    <w:rsid w:val="005B55EC"/>
    <w:rsid w:val="005B5C30"/>
    <w:rsid w:val="005B6484"/>
    <w:rsid w:val="005B6500"/>
    <w:rsid w:val="005B6589"/>
    <w:rsid w:val="005B72C9"/>
    <w:rsid w:val="005B76F8"/>
    <w:rsid w:val="005C023D"/>
    <w:rsid w:val="005C04F5"/>
    <w:rsid w:val="005C075E"/>
    <w:rsid w:val="005C19AC"/>
    <w:rsid w:val="005C19E1"/>
    <w:rsid w:val="005C2436"/>
    <w:rsid w:val="005C2588"/>
    <w:rsid w:val="005C2C93"/>
    <w:rsid w:val="005C305B"/>
    <w:rsid w:val="005C3D26"/>
    <w:rsid w:val="005C3DFC"/>
    <w:rsid w:val="005C3FBB"/>
    <w:rsid w:val="005C5846"/>
    <w:rsid w:val="005C5BF1"/>
    <w:rsid w:val="005C5EDD"/>
    <w:rsid w:val="005C66F0"/>
    <w:rsid w:val="005C6BA7"/>
    <w:rsid w:val="005C6E1E"/>
    <w:rsid w:val="005C72D6"/>
    <w:rsid w:val="005D0155"/>
    <w:rsid w:val="005D0BD0"/>
    <w:rsid w:val="005D1479"/>
    <w:rsid w:val="005D1D55"/>
    <w:rsid w:val="005D1E65"/>
    <w:rsid w:val="005D2757"/>
    <w:rsid w:val="005D36AC"/>
    <w:rsid w:val="005D3951"/>
    <w:rsid w:val="005D42F1"/>
    <w:rsid w:val="005D4917"/>
    <w:rsid w:val="005D5534"/>
    <w:rsid w:val="005D5CDA"/>
    <w:rsid w:val="005D606D"/>
    <w:rsid w:val="005D63B5"/>
    <w:rsid w:val="005D70EE"/>
    <w:rsid w:val="005D788D"/>
    <w:rsid w:val="005D7E5F"/>
    <w:rsid w:val="005D7EAA"/>
    <w:rsid w:val="005E0589"/>
    <w:rsid w:val="005E120B"/>
    <w:rsid w:val="005E1EF8"/>
    <w:rsid w:val="005E200F"/>
    <w:rsid w:val="005E2507"/>
    <w:rsid w:val="005E2517"/>
    <w:rsid w:val="005E2541"/>
    <w:rsid w:val="005E29F6"/>
    <w:rsid w:val="005E302F"/>
    <w:rsid w:val="005E377C"/>
    <w:rsid w:val="005E4F2A"/>
    <w:rsid w:val="005E62FF"/>
    <w:rsid w:val="005E7068"/>
    <w:rsid w:val="005E7124"/>
    <w:rsid w:val="005E7382"/>
    <w:rsid w:val="005ECF44"/>
    <w:rsid w:val="005F0113"/>
    <w:rsid w:val="005F039D"/>
    <w:rsid w:val="005F097C"/>
    <w:rsid w:val="005F1A05"/>
    <w:rsid w:val="005F24FF"/>
    <w:rsid w:val="005F2562"/>
    <w:rsid w:val="005F2D34"/>
    <w:rsid w:val="005F2EEF"/>
    <w:rsid w:val="005F4166"/>
    <w:rsid w:val="005F4387"/>
    <w:rsid w:val="005F4676"/>
    <w:rsid w:val="005F4747"/>
    <w:rsid w:val="005F517B"/>
    <w:rsid w:val="005F5A8F"/>
    <w:rsid w:val="005F5F89"/>
    <w:rsid w:val="005F690F"/>
    <w:rsid w:val="005F721A"/>
    <w:rsid w:val="005F7A20"/>
    <w:rsid w:val="005F7A3F"/>
    <w:rsid w:val="005F7DDD"/>
    <w:rsid w:val="005F7E40"/>
    <w:rsid w:val="00601059"/>
    <w:rsid w:val="006019BE"/>
    <w:rsid w:val="00602247"/>
    <w:rsid w:val="00603299"/>
    <w:rsid w:val="00604BBF"/>
    <w:rsid w:val="00604C3D"/>
    <w:rsid w:val="00605B52"/>
    <w:rsid w:val="00605F7B"/>
    <w:rsid w:val="006063A6"/>
    <w:rsid w:val="006066B6"/>
    <w:rsid w:val="00606900"/>
    <w:rsid w:val="0060799F"/>
    <w:rsid w:val="00607F99"/>
    <w:rsid w:val="00610685"/>
    <w:rsid w:val="00611C8C"/>
    <w:rsid w:val="00611F43"/>
    <w:rsid w:val="006125D1"/>
    <w:rsid w:val="006128BB"/>
    <w:rsid w:val="00613607"/>
    <w:rsid w:val="00613BD8"/>
    <w:rsid w:val="00613D69"/>
    <w:rsid w:val="00614359"/>
    <w:rsid w:val="006149A5"/>
    <w:rsid w:val="00614FE3"/>
    <w:rsid w:val="00615063"/>
    <w:rsid w:val="00615140"/>
    <w:rsid w:val="0061569B"/>
    <w:rsid w:val="00615FB5"/>
    <w:rsid w:val="00616102"/>
    <w:rsid w:val="00616494"/>
    <w:rsid w:val="00616D9A"/>
    <w:rsid w:val="00617727"/>
    <w:rsid w:val="006204B5"/>
    <w:rsid w:val="0062127D"/>
    <w:rsid w:val="00621572"/>
    <w:rsid w:val="00621DA0"/>
    <w:rsid w:val="00622388"/>
    <w:rsid w:val="00622512"/>
    <w:rsid w:val="0062291E"/>
    <w:rsid w:val="006235E8"/>
    <w:rsid w:val="00623660"/>
    <w:rsid w:val="00624893"/>
    <w:rsid w:val="00624B99"/>
    <w:rsid w:val="00624FDA"/>
    <w:rsid w:val="00626437"/>
    <w:rsid w:val="00627982"/>
    <w:rsid w:val="006300B6"/>
    <w:rsid w:val="006303EB"/>
    <w:rsid w:val="00630734"/>
    <w:rsid w:val="00630AF4"/>
    <w:rsid w:val="006310BB"/>
    <w:rsid w:val="00631888"/>
    <w:rsid w:val="00631A6C"/>
    <w:rsid w:val="00631FC9"/>
    <w:rsid w:val="00632811"/>
    <w:rsid w:val="006328FA"/>
    <w:rsid w:val="00632910"/>
    <w:rsid w:val="00633567"/>
    <w:rsid w:val="00634088"/>
    <w:rsid w:val="00634092"/>
    <w:rsid w:val="00634BDC"/>
    <w:rsid w:val="0063523F"/>
    <w:rsid w:val="00636C0C"/>
    <w:rsid w:val="00637E53"/>
    <w:rsid w:val="00640E2C"/>
    <w:rsid w:val="00641610"/>
    <w:rsid w:val="00641773"/>
    <w:rsid w:val="00641914"/>
    <w:rsid w:val="006419BF"/>
    <w:rsid w:val="00642AFD"/>
    <w:rsid w:val="00643E55"/>
    <w:rsid w:val="00643E79"/>
    <w:rsid w:val="00644B29"/>
    <w:rsid w:val="006460CD"/>
    <w:rsid w:val="00646C50"/>
    <w:rsid w:val="00646F5D"/>
    <w:rsid w:val="0064722B"/>
    <w:rsid w:val="006474CF"/>
    <w:rsid w:val="00647533"/>
    <w:rsid w:val="00647D04"/>
    <w:rsid w:val="00651140"/>
    <w:rsid w:val="00651DBA"/>
    <w:rsid w:val="00652681"/>
    <w:rsid w:val="00652B8C"/>
    <w:rsid w:val="0065363C"/>
    <w:rsid w:val="00653D62"/>
    <w:rsid w:val="00654811"/>
    <w:rsid w:val="006553BD"/>
    <w:rsid w:val="00655754"/>
    <w:rsid w:val="00655877"/>
    <w:rsid w:val="00656A4C"/>
    <w:rsid w:val="00657BB4"/>
    <w:rsid w:val="00661A1F"/>
    <w:rsid w:val="00661B6B"/>
    <w:rsid w:val="006622E6"/>
    <w:rsid w:val="006630B0"/>
    <w:rsid w:val="006633B2"/>
    <w:rsid w:val="00663E0A"/>
    <w:rsid w:val="00663E6C"/>
    <w:rsid w:val="00664636"/>
    <w:rsid w:val="00664B39"/>
    <w:rsid w:val="006654C7"/>
    <w:rsid w:val="00665C22"/>
    <w:rsid w:val="00666335"/>
    <w:rsid w:val="00667CAA"/>
    <w:rsid w:val="00670006"/>
    <w:rsid w:val="006709C7"/>
    <w:rsid w:val="00670C72"/>
    <w:rsid w:val="00671047"/>
    <w:rsid w:val="006710D4"/>
    <w:rsid w:val="0067157F"/>
    <w:rsid w:val="006718A0"/>
    <w:rsid w:val="00671E11"/>
    <w:rsid w:val="00672F55"/>
    <w:rsid w:val="006739B6"/>
    <w:rsid w:val="00673AD6"/>
    <w:rsid w:val="006742F7"/>
    <w:rsid w:val="006748F5"/>
    <w:rsid w:val="00675B4A"/>
    <w:rsid w:val="00675C1C"/>
    <w:rsid w:val="00675CB9"/>
    <w:rsid w:val="00676A6B"/>
    <w:rsid w:val="00676C38"/>
    <w:rsid w:val="00677227"/>
    <w:rsid w:val="0067740E"/>
    <w:rsid w:val="00680155"/>
    <w:rsid w:val="006811FB"/>
    <w:rsid w:val="006814EE"/>
    <w:rsid w:val="006818C3"/>
    <w:rsid w:val="00682A17"/>
    <w:rsid w:val="00682BC5"/>
    <w:rsid w:val="006835A5"/>
    <w:rsid w:val="0068378D"/>
    <w:rsid w:val="00683C6E"/>
    <w:rsid w:val="00684044"/>
    <w:rsid w:val="00684DEF"/>
    <w:rsid w:val="006851E5"/>
    <w:rsid w:val="00685836"/>
    <w:rsid w:val="00686D14"/>
    <w:rsid w:val="00687093"/>
    <w:rsid w:val="006872F9"/>
    <w:rsid w:val="00687CBF"/>
    <w:rsid w:val="00687F38"/>
    <w:rsid w:val="00687F94"/>
    <w:rsid w:val="00690735"/>
    <w:rsid w:val="00690A27"/>
    <w:rsid w:val="00690D1B"/>
    <w:rsid w:val="00690D25"/>
    <w:rsid w:val="00691DFE"/>
    <w:rsid w:val="00691F9F"/>
    <w:rsid w:val="00692564"/>
    <w:rsid w:val="00692F5C"/>
    <w:rsid w:val="006945F1"/>
    <w:rsid w:val="0069491B"/>
    <w:rsid w:val="00695420"/>
    <w:rsid w:val="00695FE4"/>
    <w:rsid w:val="00696EFD"/>
    <w:rsid w:val="0069775F"/>
    <w:rsid w:val="006A030C"/>
    <w:rsid w:val="006A0960"/>
    <w:rsid w:val="006A0D54"/>
    <w:rsid w:val="006A152B"/>
    <w:rsid w:val="006A1C38"/>
    <w:rsid w:val="006A22DD"/>
    <w:rsid w:val="006A2C2C"/>
    <w:rsid w:val="006A2FAE"/>
    <w:rsid w:val="006A3E6D"/>
    <w:rsid w:val="006A475F"/>
    <w:rsid w:val="006A47C1"/>
    <w:rsid w:val="006A53D5"/>
    <w:rsid w:val="006A5693"/>
    <w:rsid w:val="006A5772"/>
    <w:rsid w:val="006A6379"/>
    <w:rsid w:val="006A6FA7"/>
    <w:rsid w:val="006A6FB7"/>
    <w:rsid w:val="006A75E7"/>
    <w:rsid w:val="006B0B4F"/>
    <w:rsid w:val="006B1C6B"/>
    <w:rsid w:val="006B2A44"/>
    <w:rsid w:val="006B2B26"/>
    <w:rsid w:val="006B3436"/>
    <w:rsid w:val="006B3842"/>
    <w:rsid w:val="006B3A29"/>
    <w:rsid w:val="006B3C73"/>
    <w:rsid w:val="006B50BC"/>
    <w:rsid w:val="006B54B5"/>
    <w:rsid w:val="006B5C2C"/>
    <w:rsid w:val="006B5CB6"/>
    <w:rsid w:val="006B625C"/>
    <w:rsid w:val="006B6E5C"/>
    <w:rsid w:val="006B7016"/>
    <w:rsid w:val="006C06A2"/>
    <w:rsid w:val="006C1659"/>
    <w:rsid w:val="006C19ED"/>
    <w:rsid w:val="006C1B1F"/>
    <w:rsid w:val="006C2522"/>
    <w:rsid w:val="006C259D"/>
    <w:rsid w:val="006C2A7F"/>
    <w:rsid w:val="006C3C61"/>
    <w:rsid w:val="006C44EC"/>
    <w:rsid w:val="006C4C18"/>
    <w:rsid w:val="006C4CAC"/>
    <w:rsid w:val="006C52E5"/>
    <w:rsid w:val="006C53A2"/>
    <w:rsid w:val="006C582E"/>
    <w:rsid w:val="006C5C94"/>
    <w:rsid w:val="006C5CE7"/>
    <w:rsid w:val="006C610F"/>
    <w:rsid w:val="006C714C"/>
    <w:rsid w:val="006C77BE"/>
    <w:rsid w:val="006D09CA"/>
    <w:rsid w:val="006D0AB4"/>
    <w:rsid w:val="006D0C8C"/>
    <w:rsid w:val="006D115B"/>
    <w:rsid w:val="006D14BF"/>
    <w:rsid w:val="006D18A0"/>
    <w:rsid w:val="006D280C"/>
    <w:rsid w:val="006D2AAC"/>
    <w:rsid w:val="006D2AF3"/>
    <w:rsid w:val="006D302A"/>
    <w:rsid w:val="006D3E94"/>
    <w:rsid w:val="006D47BB"/>
    <w:rsid w:val="006D4A61"/>
    <w:rsid w:val="006D56F4"/>
    <w:rsid w:val="006D6018"/>
    <w:rsid w:val="006D6706"/>
    <w:rsid w:val="006D72AF"/>
    <w:rsid w:val="006E0F7D"/>
    <w:rsid w:val="006E1170"/>
    <w:rsid w:val="006E14E9"/>
    <w:rsid w:val="006E1670"/>
    <w:rsid w:val="006E2631"/>
    <w:rsid w:val="006E306B"/>
    <w:rsid w:val="006E322A"/>
    <w:rsid w:val="006E483F"/>
    <w:rsid w:val="006E50C3"/>
    <w:rsid w:val="006E58FB"/>
    <w:rsid w:val="006E7114"/>
    <w:rsid w:val="006E752F"/>
    <w:rsid w:val="006E7676"/>
    <w:rsid w:val="006F08A3"/>
    <w:rsid w:val="006F24F4"/>
    <w:rsid w:val="006F2C30"/>
    <w:rsid w:val="006F2C7C"/>
    <w:rsid w:val="006F3A1E"/>
    <w:rsid w:val="006F4051"/>
    <w:rsid w:val="006F4465"/>
    <w:rsid w:val="006F51E4"/>
    <w:rsid w:val="006F5257"/>
    <w:rsid w:val="006F5341"/>
    <w:rsid w:val="006F5A7C"/>
    <w:rsid w:val="006F5B62"/>
    <w:rsid w:val="007006FA"/>
    <w:rsid w:val="00700930"/>
    <w:rsid w:val="0070141D"/>
    <w:rsid w:val="00701546"/>
    <w:rsid w:val="0070254D"/>
    <w:rsid w:val="00702A41"/>
    <w:rsid w:val="00702C18"/>
    <w:rsid w:val="00703A9D"/>
    <w:rsid w:val="0070534C"/>
    <w:rsid w:val="007054C4"/>
    <w:rsid w:val="0070610E"/>
    <w:rsid w:val="00706C2D"/>
    <w:rsid w:val="0070701D"/>
    <w:rsid w:val="007077D7"/>
    <w:rsid w:val="007108E3"/>
    <w:rsid w:val="00711441"/>
    <w:rsid w:val="00711EBC"/>
    <w:rsid w:val="007120D8"/>
    <w:rsid w:val="0071302C"/>
    <w:rsid w:val="007137B8"/>
    <w:rsid w:val="00714286"/>
    <w:rsid w:val="00714551"/>
    <w:rsid w:val="00714D1A"/>
    <w:rsid w:val="00714DB0"/>
    <w:rsid w:val="007155EF"/>
    <w:rsid w:val="007163B0"/>
    <w:rsid w:val="0071641E"/>
    <w:rsid w:val="00717A3C"/>
    <w:rsid w:val="007205F5"/>
    <w:rsid w:val="00720883"/>
    <w:rsid w:val="00720B4F"/>
    <w:rsid w:val="00721987"/>
    <w:rsid w:val="0072232E"/>
    <w:rsid w:val="00722BA7"/>
    <w:rsid w:val="00722CD2"/>
    <w:rsid w:val="00723119"/>
    <w:rsid w:val="00723941"/>
    <w:rsid w:val="00723CD2"/>
    <w:rsid w:val="00724AB0"/>
    <w:rsid w:val="00724D21"/>
    <w:rsid w:val="00725673"/>
    <w:rsid w:val="00725BD4"/>
    <w:rsid w:val="007260BF"/>
    <w:rsid w:val="00726459"/>
    <w:rsid w:val="00727BD8"/>
    <w:rsid w:val="00731FB2"/>
    <w:rsid w:val="00732E18"/>
    <w:rsid w:val="00734096"/>
    <w:rsid w:val="007340F9"/>
    <w:rsid w:val="00734F76"/>
    <w:rsid w:val="007353B6"/>
    <w:rsid w:val="00736E69"/>
    <w:rsid w:val="00741013"/>
    <w:rsid w:val="00741C87"/>
    <w:rsid w:val="00742DAA"/>
    <w:rsid w:val="00743743"/>
    <w:rsid w:val="00743D9B"/>
    <w:rsid w:val="00745610"/>
    <w:rsid w:val="00745F76"/>
    <w:rsid w:val="007461D7"/>
    <w:rsid w:val="00747380"/>
    <w:rsid w:val="00750925"/>
    <w:rsid w:val="00750DCD"/>
    <w:rsid w:val="00751476"/>
    <w:rsid w:val="007516CE"/>
    <w:rsid w:val="00751727"/>
    <w:rsid w:val="00751E55"/>
    <w:rsid w:val="00752124"/>
    <w:rsid w:val="00752904"/>
    <w:rsid w:val="00753650"/>
    <w:rsid w:val="00753655"/>
    <w:rsid w:val="00753E9E"/>
    <w:rsid w:val="00754877"/>
    <w:rsid w:val="00755463"/>
    <w:rsid w:val="00755548"/>
    <w:rsid w:val="00756698"/>
    <w:rsid w:val="007569F5"/>
    <w:rsid w:val="007602DA"/>
    <w:rsid w:val="00760C2E"/>
    <w:rsid w:val="00761031"/>
    <w:rsid w:val="0076120E"/>
    <w:rsid w:val="00761347"/>
    <w:rsid w:val="00761565"/>
    <w:rsid w:val="00761574"/>
    <w:rsid w:val="0076187B"/>
    <w:rsid w:val="00763876"/>
    <w:rsid w:val="0076462F"/>
    <w:rsid w:val="00764A43"/>
    <w:rsid w:val="00764DB9"/>
    <w:rsid w:val="007650BD"/>
    <w:rsid w:val="00766006"/>
    <w:rsid w:val="00770272"/>
    <w:rsid w:val="007702EF"/>
    <w:rsid w:val="00770743"/>
    <w:rsid w:val="007708CE"/>
    <w:rsid w:val="00770B84"/>
    <w:rsid w:val="00772A27"/>
    <w:rsid w:val="007740E3"/>
    <w:rsid w:val="007745AB"/>
    <w:rsid w:val="00774C7A"/>
    <w:rsid w:val="00774F01"/>
    <w:rsid w:val="00774F57"/>
    <w:rsid w:val="00775245"/>
    <w:rsid w:val="007757FE"/>
    <w:rsid w:val="00775E61"/>
    <w:rsid w:val="00777D5F"/>
    <w:rsid w:val="00777EC5"/>
    <w:rsid w:val="00780454"/>
    <w:rsid w:val="007809F1"/>
    <w:rsid w:val="007818ED"/>
    <w:rsid w:val="00781CF5"/>
    <w:rsid w:val="00782A60"/>
    <w:rsid w:val="00782AD5"/>
    <w:rsid w:val="00782B24"/>
    <w:rsid w:val="00782C98"/>
    <w:rsid w:val="00782EDA"/>
    <w:rsid w:val="00783537"/>
    <w:rsid w:val="00785CBB"/>
    <w:rsid w:val="00786CFC"/>
    <w:rsid w:val="007876D4"/>
    <w:rsid w:val="007903D3"/>
    <w:rsid w:val="00791ECE"/>
    <w:rsid w:val="00792E47"/>
    <w:rsid w:val="00793256"/>
    <w:rsid w:val="00793368"/>
    <w:rsid w:val="007937D9"/>
    <w:rsid w:val="007947D2"/>
    <w:rsid w:val="00795CAF"/>
    <w:rsid w:val="00796E13"/>
    <w:rsid w:val="007A000D"/>
    <w:rsid w:val="007A0116"/>
    <w:rsid w:val="007A042C"/>
    <w:rsid w:val="007A23AD"/>
    <w:rsid w:val="007A294C"/>
    <w:rsid w:val="007A2D25"/>
    <w:rsid w:val="007A42B9"/>
    <w:rsid w:val="007A517C"/>
    <w:rsid w:val="007A62BF"/>
    <w:rsid w:val="007A6422"/>
    <w:rsid w:val="007A658E"/>
    <w:rsid w:val="007A71EC"/>
    <w:rsid w:val="007B1A47"/>
    <w:rsid w:val="007B1F4F"/>
    <w:rsid w:val="007B2C6B"/>
    <w:rsid w:val="007B3433"/>
    <w:rsid w:val="007B34F3"/>
    <w:rsid w:val="007B3E58"/>
    <w:rsid w:val="007B40D8"/>
    <w:rsid w:val="007B46AF"/>
    <w:rsid w:val="007B54D3"/>
    <w:rsid w:val="007B54E1"/>
    <w:rsid w:val="007B54EF"/>
    <w:rsid w:val="007B5EE9"/>
    <w:rsid w:val="007B6502"/>
    <w:rsid w:val="007B66A0"/>
    <w:rsid w:val="007B6A1A"/>
    <w:rsid w:val="007B6BEC"/>
    <w:rsid w:val="007B7072"/>
    <w:rsid w:val="007B733F"/>
    <w:rsid w:val="007C004E"/>
    <w:rsid w:val="007C09C7"/>
    <w:rsid w:val="007C1108"/>
    <w:rsid w:val="007C1286"/>
    <w:rsid w:val="007C143D"/>
    <w:rsid w:val="007C1708"/>
    <w:rsid w:val="007C1D5B"/>
    <w:rsid w:val="007C24C6"/>
    <w:rsid w:val="007C27C6"/>
    <w:rsid w:val="007C2AB2"/>
    <w:rsid w:val="007C2BE0"/>
    <w:rsid w:val="007C5253"/>
    <w:rsid w:val="007C56D3"/>
    <w:rsid w:val="007C6258"/>
    <w:rsid w:val="007C63AA"/>
    <w:rsid w:val="007C7253"/>
    <w:rsid w:val="007C77EB"/>
    <w:rsid w:val="007D0111"/>
    <w:rsid w:val="007D037D"/>
    <w:rsid w:val="007D4EE3"/>
    <w:rsid w:val="007D5E33"/>
    <w:rsid w:val="007D5F64"/>
    <w:rsid w:val="007D647E"/>
    <w:rsid w:val="007E058E"/>
    <w:rsid w:val="007E0C60"/>
    <w:rsid w:val="007E0EE8"/>
    <w:rsid w:val="007E0F96"/>
    <w:rsid w:val="007E1E09"/>
    <w:rsid w:val="007E2055"/>
    <w:rsid w:val="007E283D"/>
    <w:rsid w:val="007E2BC5"/>
    <w:rsid w:val="007E5164"/>
    <w:rsid w:val="007E5C11"/>
    <w:rsid w:val="007E5E75"/>
    <w:rsid w:val="007E5F42"/>
    <w:rsid w:val="007E6C18"/>
    <w:rsid w:val="007E75BB"/>
    <w:rsid w:val="007E7C57"/>
    <w:rsid w:val="007F07E2"/>
    <w:rsid w:val="007F09EA"/>
    <w:rsid w:val="007F12C6"/>
    <w:rsid w:val="007F1761"/>
    <w:rsid w:val="007F17ED"/>
    <w:rsid w:val="007F24C4"/>
    <w:rsid w:val="007F2F99"/>
    <w:rsid w:val="007F3161"/>
    <w:rsid w:val="007F3700"/>
    <w:rsid w:val="007F3DFD"/>
    <w:rsid w:val="007F4CDA"/>
    <w:rsid w:val="007F4E5A"/>
    <w:rsid w:val="007F4F51"/>
    <w:rsid w:val="007F5028"/>
    <w:rsid w:val="007F641A"/>
    <w:rsid w:val="007F6B1A"/>
    <w:rsid w:val="007F6B3F"/>
    <w:rsid w:val="007F6EDF"/>
    <w:rsid w:val="007F6EFD"/>
    <w:rsid w:val="007F72E5"/>
    <w:rsid w:val="007F7B52"/>
    <w:rsid w:val="00801536"/>
    <w:rsid w:val="00802160"/>
    <w:rsid w:val="00802610"/>
    <w:rsid w:val="00802691"/>
    <w:rsid w:val="00803502"/>
    <w:rsid w:val="00803B8A"/>
    <w:rsid w:val="00804942"/>
    <w:rsid w:val="00805499"/>
    <w:rsid w:val="00805EC5"/>
    <w:rsid w:val="00806960"/>
    <w:rsid w:val="00810048"/>
    <w:rsid w:val="00810BC6"/>
    <w:rsid w:val="008112D0"/>
    <w:rsid w:val="0081180F"/>
    <w:rsid w:val="00812673"/>
    <w:rsid w:val="008139EF"/>
    <w:rsid w:val="00813C43"/>
    <w:rsid w:val="00813CAD"/>
    <w:rsid w:val="00814171"/>
    <w:rsid w:val="0081429D"/>
    <w:rsid w:val="0081517F"/>
    <w:rsid w:val="008155B9"/>
    <w:rsid w:val="00816A06"/>
    <w:rsid w:val="00816CE4"/>
    <w:rsid w:val="00817548"/>
    <w:rsid w:val="00817C37"/>
    <w:rsid w:val="00817E4D"/>
    <w:rsid w:val="0082002E"/>
    <w:rsid w:val="0082090D"/>
    <w:rsid w:val="00820A75"/>
    <w:rsid w:val="00820FF9"/>
    <w:rsid w:val="00822ECB"/>
    <w:rsid w:val="00822FE1"/>
    <w:rsid w:val="00823446"/>
    <w:rsid w:val="008235AD"/>
    <w:rsid w:val="00824308"/>
    <w:rsid w:val="0082529E"/>
    <w:rsid w:val="008255EF"/>
    <w:rsid w:val="00825873"/>
    <w:rsid w:val="00825F84"/>
    <w:rsid w:val="008261EF"/>
    <w:rsid w:val="0082666A"/>
    <w:rsid w:val="0082714A"/>
    <w:rsid w:val="008278DA"/>
    <w:rsid w:val="008279ED"/>
    <w:rsid w:val="008301A2"/>
    <w:rsid w:val="008312C0"/>
    <w:rsid w:val="008320F6"/>
    <w:rsid w:val="008323AF"/>
    <w:rsid w:val="00832C00"/>
    <w:rsid w:val="008335E3"/>
    <w:rsid w:val="0083518A"/>
    <w:rsid w:val="008355A4"/>
    <w:rsid w:val="0083569C"/>
    <w:rsid w:val="0083634D"/>
    <w:rsid w:val="00836F35"/>
    <w:rsid w:val="00837A88"/>
    <w:rsid w:val="00840304"/>
    <w:rsid w:val="00840385"/>
    <w:rsid w:val="00840414"/>
    <w:rsid w:val="0084050C"/>
    <w:rsid w:val="00840865"/>
    <w:rsid w:val="008412DF"/>
    <w:rsid w:val="00841413"/>
    <w:rsid w:val="0084198B"/>
    <w:rsid w:val="0084209E"/>
    <w:rsid w:val="008423EC"/>
    <w:rsid w:val="00842BD3"/>
    <w:rsid w:val="00842DD5"/>
    <w:rsid w:val="00842EE6"/>
    <w:rsid w:val="0084313E"/>
    <w:rsid w:val="008434D7"/>
    <w:rsid w:val="0084397C"/>
    <w:rsid w:val="008439E6"/>
    <w:rsid w:val="00843BAB"/>
    <w:rsid w:val="0084412E"/>
    <w:rsid w:val="0084541C"/>
    <w:rsid w:val="0084588D"/>
    <w:rsid w:val="00845D04"/>
    <w:rsid w:val="0084623C"/>
    <w:rsid w:val="0084685B"/>
    <w:rsid w:val="00846B44"/>
    <w:rsid w:val="00847506"/>
    <w:rsid w:val="00847836"/>
    <w:rsid w:val="008478EF"/>
    <w:rsid w:val="00847D03"/>
    <w:rsid w:val="00850220"/>
    <w:rsid w:val="008509C9"/>
    <w:rsid w:val="00851126"/>
    <w:rsid w:val="008511FD"/>
    <w:rsid w:val="008513EC"/>
    <w:rsid w:val="00852D5B"/>
    <w:rsid w:val="00852EA5"/>
    <w:rsid w:val="008537F6"/>
    <w:rsid w:val="0085428C"/>
    <w:rsid w:val="00854C78"/>
    <w:rsid w:val="008553B4"/>
    <w:rsid w:val="00855DB8"/>
    <w:rsid w:val="0085687F"/>
    <w:rsid w:val="00856FCF"/>
    <w:rsid w:val="00857EBE"/>
    <w:rsid w:val="00860600"/>
    <w:rsid w:val="00860BBD"/>
    <w:rsid w:val="00860FC2"/>
    <w:rsid w:val="00861211"/>
    <w:rsid w:val="00861572"/>
    <w:rsid w:val="008617DB"/>
    <w:rsid w:val="008621AC"/>
    <w:rsid w:val="008622FC"/>
    <w:rsid w:val="008624FB"/>
    <w:rsid w:val="00862D52"/>
    <w:rsid w:val="00862F0B"/>
    <w:rsid w:val="00863150"/>
    <w:rsid w:val="008638C4"/>
    <w:rsid w:val="00863A5A"/>
    <w:rsid w:val="008642EC"/>
    <w:rsid w:val="00864497"/>
    <w:rsid w:val="00864B11"/>
    <w:rsid w:val="00865153"/>
    <w:rsid w:val="00865C7E"/>
    <w:rsid w:val="00866214"/>
    <w:rsid w:val="00866290"/>
    <w:rsid w:val="008669E1"/>
    <w:rsid w:val="00866F74"/>
    <w:rsid w:val="00867892"/>
    <w:rsid w:val="00870331"/>
    <w:rsid w:val="00870A5F"/>
    <w:rsid w:val="00870ACF"/>
    <w:rsid w:val="00870CA0"/>
    <w:rsid w:val="00870FE8"/>
    <w:rsid w:val="00871155"/>
    <w:rsid w:val="0087121E"/>
    <w:rsid w:val="00871362"/>
    <w:rsid w:val="0087273C"/>
    <w:rsid w:val="00872D9C"/>
    <w:rsid w:val="0087307F"/>
    <w:rsid w:val="008736DC"/>
    <w:rsid w:val="008740C4"/>
    <w:rsid w:val="00874716"/>
    <w:rsid w:val="0087570A"/>
    <w:rsid w:val="00875803"/>
    <w:rsid w:val="00875A37"/>
    <w:rsid w:val="00876546"/>
    <w:rsid w:val="008805A9"/>
    <w:rsid w:val="0088082A"/>
    <w:rsid w:val="00880B59"/>
    <w:rsid w:val="00880F05"/>
    <w:rsid w:val="00881666"/>
    <w:rsid w:val="00881A06"/>
    <w:rsid w:val="00881AB8"/>
    <w:rsid w:val="00882982"/>
    <w:rsid w:val="008829D0"/>
    <w:rsid w:val="0088314A"/>
    <w:rsid w:val="008835EF"/>
    <w:rsid w:val="00883D2C"/>
    <w:rsid w:val="00883F72"/>
    <w:rsid w:val="008843B4"/>
    <w:rsid w:val="00884D53"/>
    <w:rsid w:val="008855E9"/>
    <w:rsid w:val="00885A70"/>
    <w:rsid w:val="00885BC1"/>
    <w:rsid w:val="00885F2F"/>
    <w:rsid w:val="0088656A"/>
    <w:rsid w:val="008867DC"/>
    <w:rsid w:val="00886E4C"/>
    <w:rsid w:val="00887A68"/>
    <w:rsid w:val="00890FF3"/>
    <w:rsid w:val="00891164"/>
    <w:rsid w:val="0089133F"/>
    <w:rsid w:val="008917E8"/>
    <w:rsid w:val="00891A88"/>
    <w:rsid w:val="00891C84"/>
    <w:rsid w:val="0089249E"/>
    <w:rsid w:val="008929E3"/>
    <w:rsid w:val="00894403"/>
    <w:rsid w:val="00894D8C"/>
    <w:rsid w:val="00895740"/>
    <w:rsid w:val="008959F0"/>
    <w:rsid w:val="00896133"/>
    <w:rsid w:val="00896291"/>
    <w:rsid w:val="00897826"/>
    <w:rsid w:val="00897F49"/>
    <w:rsid w:val="008A0F5D"/>
    <w:rsid w:val="008A13A9"/>
    <w:rsid w:val="008A1D9C"/>
    <w:rsid w:val="008A2E1B"/>
    <w:rsid w:val="008A3EEE"/>
    <w:rsid w:val="008A3F22"/>
    <w:rsid w:val="008A57F9"/>
    <w:rsid w:val="008A60EA"/>
    <w:rsid w:val="008A69A9"/>
    <w:rsid w:val="008A6B1B"/>
    <w:rsid w:val="008A701C"/>
    <w:rsid w:val="008B04EF"/>
    <w:rsid w:val="008B0669"/>
    <w:rsid w:val="008B0BC6"/>
    <w:rsid w:val="008B1C9A"/>
    <w:rsid w:val="008B23D7"/>
    <w:rsid w:val="008B28A4"/>
    <w:rsid w:val="008B4407"/>
    <w:rsid w:val="008B45C5"/>
    <w:rsid w:val="008B461A"/>
    <w:rsid w:val="008B4AFC"/>
    <w:rsid w:val="008B4E02"/>
    <w:rsid w:val="008B4E96"/>
    <w:rsid w:val="008B5334"/>
    <w:rsid w:val="008B5E9F"/>
    <w:rsid w:val="008B6BC1"/>
    <w:rsid w:val="008B712C"/>
    <w:rsid w:val="008C0E28"/>
    <w:rsid w:val="008C19EB"/>
    <w:rsid w:val="008C1B55"/>
    <w:rsid w:val="008C3048"/>
    <w:rsid w:val="008C34A0"/>
    <w:rsid w:val="008C396F"/>
    <w:rsid w:val="008C4738"/>
    <w:rsid w:val="008C4E75"/>
    <w:rsid w:val="008C54D8"/>
    <w:rsid w:val="008C602B"/>
    <w:rsid w:val="008C61F5"/>
    <w:rsid w:val="008C6A3E"/>
    <w:rsid w:val="008C7D09"/>
    <w:rsid w:val="008D0129"/>
    <w:rsid w:val="008D1E73"/>
    <w:rsid w:val="008D25FF"/>
    <w:rsid w:val="008D2952"/>
    <w:rsid w:val="008D2B14"/>
    <w:rsid w:val="008D2EFE"/>
    <w:rsid w:val="008D310C"/>
    <w:rsid w:val="008D371C"/>
    <w:rsid w:val="008D38D9"/>
    <w:rsid w:val="008D39AA"/>
    <w:rsid w:val="008D4255"/>
    <w:rsid w:val="008D471F"/>
    <w:rsid w:val="008D66F7"/>
    <w:rsid w:val="008D67E9"/>
    <w:rsid w:val="008D7589"/>
    <w:rsid w:val="008E1282"/>
    <w:rsid w:val="008E16CD"/>
    <w:rsid w:val="008E24B9"/>
    <w:rsid w:val="008E2728"/>
    <w:rsid w:val="008E2DFA"/>
    <w:rsid w:val="008E31C0"/>
    <w:rsid w:val="008E3FBF"/>
    <w:rsid w:val="008E4116"/>
    <w:rsid w:val="008E47B2"/>
    <w:rsid w:val="008E4C59"/>
    <w:rsid w:val="008E5038"/>
    <w:rsid w:val="008E7E32"/>
    <w:rsid w:val="008E7E95"/>
    <w:rsid w:val="008F0158"/>
    <w:rsid w:val="008F09DC"/>
    <w:rsid w:val="008F0C9B"/>
    <w:rsid w:val="008F0D09"/>
    <w:rsid w:val="008F24CF"/>
    <w:rsid w:val="008F26D2"/>
    <w:rsid w:val="008F2815"/>
    <w:rsid w:val="008F39BF"/>
    <w:rsid w:val="008F3A31"/>
    <w:rsid w:val="008F485F"/>
    <w:rsid w:val="008F55EF"/>
    <w:rsid w:val="008F574B"/>
    <w:rsid w:val="008F6E05"/>
    <w:rsid w:val="008F7048"/>
    <w:rsid w:val="008F7210"/>
    <w:rsid w:val="008F7805"/>
    <w:rsid w:val="008F799B"/>
    <w:rsid w:val="009032DB"/>
    <w:rsid w:val="009034DC"/>
    <w:rsid w:val="00903AF2"/>
    <w:rsid w:val="00903E41"/>
    <w:rsid w:val="0090417B"/>
    <w:rsid w:val="009046D9"/>
    <w:rsid w:val="00905607"/>
    <w:rsid w:val="00905D93"/>
    <w:rsid w:val="0090649E"/>
    <w:rsid w:val="00906886"/>
    <w:rsid w:val="00907391"/>
    <w:rsid w:val="0090740B"/>
    <w:rsid w:val="00911211"/>
    <w:rsid w:val="00911CEF"/>
    <w:rsid w:val="009120D2"/>
    <w:rsid w:val="009122B1"/>
    <w:rsid w:val="009128CD"/>
    <w:rsid w:val="00912C45"/>
    <w:rsid w:val="00912FAB"/>
    <w:rsid w:val="009133B5"/>
    <w:rsid w:val="00913BE6"/>
    <w:rsid w:val="009143DF"/>
    <w:rsid w:val="0091500C"/>
    <w:rsid w:val="0091548C"/>
    <w:rsid w:val="0091654F"/>
    <w:rsid w:val="00917508"/>
    <w:rsid w:val="0091782C"/>
    <w:rsid w:val="009202C4"/>
    <w:rsid w:val="009202CD"/>
    <w:rsid w:val="009208EF"/>
    <w:rsid w:val="00920980"/>
    <w:rsid w:val="009220D4"/>
    <w:rsid w:val="00922DD3"/>
    <w:rsid w:val="00922F34"/>
    <w:rsid w:val="00923BCE"/>
    <w:rsid w:val="00923CD2"/>
    <w:rsid w:val="00923EB2"/>
    <w:rsid w:val="00924547"/>
    <w:rsid w:val="00924584"/>
    <w:rsid w:val="009247DF"/>
    <w:rsid w:val="00924FCD"/>
    <w:rsid w:val="00925D07"/>
    <w:rsid w:val="009261BC"/>
    <w:rsid w:val="00926C7D"/>
    <w:rsid w:val="0092775E"/>
    <w:rsid w:val="00930356"/>
    <w:rsid w:val="00930F03"/>
    <w:rsid w:val="00931226"/>
    <w:rsid w:val="00931D90"/>
    <w:rsid w:val="00932032"/>
    <w:rsid w:val="00932794"/>
    <w:rsid w:val="009339C9"/>
    <w:rsid w:val="00933BFC"/>
    <w:rsid w:val="00934AAC"/>
    <w:rsid w:val="00935489"/>
    <w:rsid w:val="0093763E"/>
    <w:rsid w:val="00937CDA"/>
    <w:rsid w:val="00937EB6"/>
    <w:rsid w:val="00940F8F"/>
    <w:rsid w:val="0094222A"/>
    <w:rsid w:val="00942B34"/>
    <w:rsid w:val="00942B92"/>
    <w:rsid w:val="00942DAF"/>
    <w:rsid w:val="00943530"/>
    <w:rsid w:val="009442CA"/>
    <w:rsid w:val="00944944"/>
    <w:rsid w:val="00947163"/>
    <w:rsid w:val="009474A9"/>
    <w:rsid w:val="00947E15"/>
    <w:rsid w:val="00947FA2"/>
    <w:rsid w:val="009503ED"/>
    <w:rsid w:val="00950669"/>
    <w:rsid w:val="009525E4"/>
    <w:rsid w:val="00952A0D"/>
    <w:rsid w:val="00952D4E"/>
    <w:rsid w:val="00952E1A"/>
    <w:rsid w:val="00953D6A"/>
    <w:rsid w:val="0095452D"/>
    <w:rsid w:val="00954D4C"/>
    <w:rsid w:val="009551DE"/>
    <w:rsid w:val="00955534"/>
    <w:rsid w:val="00955C39"/>
    <w:rsid w:val="00955C57"/>
    <w:rsid w:val="00956520"/>
    <w:rsid w:val="009579DB"/>
    <w:rsid w:val="00957A85"/>
    <w:rsid w:val="00957B4A"/>
    <w:rsid w:val="00960A2C"/>
    <w:rsid w:val="00960FC0"/>
    <w:rsid w:val="009614EB"/>
    <w:rsid w:val="00961698"/>
    <w:rsid w:val="0096270E"/>
    <w:rsid w:val="00962FD5"/>
    <w:rsid w:val="00963461"/>
    <w:rsid w:val="0096354D"/>
    <w:rsid w:val="009635DF"/>
    <w:rsid w:val="00963F82"/>
    <w:rsid w:val="00964075"/>
    <w:rsid w:val="0096416B"/>
    <w:rsid w:val="009646EC"/>
    <w:rsid w:val="0096508B"/>
    <w:rsid w:val="009664F9"/>
    <w:rsid w:val="00966543"/>
    <w:rsid w:val="00966C41"/>
    <w:rsid w:val="009678C0"/>
    <w:rsid w:val="009678E4"/>
    <w:rsid w:val="00971E7A"/>
    <w:rsid w:val="00971FE3"/>
    <w:rsid w:val="00972000"/>
    <w:rsid w:val="009723E6"/>
    <w:rsid w:val="009736E4"/>
    <w:rsid w:val="009747BC"/>
    <w:rsid w:val="00975130"/>
    <w:rsid w:val="00975775"/>
    <w:rsid w:val="0097580E"/>
    <w:rsid w:val="00975863"/>
    <w:rsid w:val="00976418"/>
    <w:rsid w:val="00976664"/>
    <w:rsid w:val="00976A4D"/>
    <w:rsid w:val="00976AF4"/>
    <w:rsid w:val="00976FAF"/>
    <w:rsid w:val="009777A6"/>
    <w:rsid w:val="009778D2"/>
    <w:rsid w:val="009802E5"/>
    <w:rsid w:val="00980374"/>
    <w:rsid w:val="0098037D"/>
    <w:rsid w:val="00980552"/>
    <w:rsid w:val="00980B81"/>
    <w:rsid w:val="009812A4"/>
    <w:rsid w:val="00981586"/>
    <w:rsid w:val="0098172D"/>
    <w:rsid w:val="00981AE5"/>
    <w:rsid w:val="00981C46"/>
    <w:rsid w:val="00981EA1"/>
    <w:rsid w:val="0098296A"/>
    <w:rsid w:val="00982E45"/>
    <w:rsid w:val="00983528"/>
    <w:rsid w:val="009836B1"/>
    <w:rsid w:val="009837A3"/>
    <w:rsid w:val="00983C57"/>
    <w:rsid w:val="00983F4A"/>
    <w:rsid w:val="009840DF"/>
    <w:rsid w:val="00984B04"/>
    <w:rsid w:val="00985392"/>
    <w:rsid w:val="00985892"/>
    <w:rsid w:val="00985CC4"/>
    <w:rsid w:val="0098698A"/>
    <w:rsid w:val="00986B3B"/>
    <w:rsid w:val="00986B92"/>
    <w:rsid w:val="00986BCB"/>
    <w:rsid w:val="0098770B"/>
    <w:rsid w:val="009908CE"/>
    <w:rsid w:val="0099099D"/>
    <w:rsid w:val="00990B17"/>
    <w:rsid w:val="00990BFE"/>
    <w:rsid w:val="00991442"/>
    <w:rsid w:val="00991464"/>
    <w:rsid w:val="00993160"/>
    <w:rsid w:val="009932A0"/>
    <w:rsid w:val="0099444A"/>
    <w:rsid w:val="00994531"/>
    <w:rsid w:val="009945AD"/>
    <w:rsid w:val="009954D0"/>
    <w:rsid w:val="00995F90"/>
    <w:rsid w:val="00996405"/>
    <w:rsid w:val="00996431"/>
    <w:rsid w:val="00996BDC"/>
    <w:rsid w:val="0099705B"/>
    <w:rsid w:val="009974C5"/>
    <w:rsid w:val="0099757A"/>
    <w:rsid w:val="009A0956"/>
    <w:rsid w:val="009A0EF0"/>
    <w:rsid w:val="009A23C3"/>
    <w:rsid w:val="009A2737"/>
    <w:rsid w:val="009A2A15"/>
    <w:rsid w:val="009A3C8D"/>
    <w:rsid w:val="009A44A1"/>
    <w:rsid w:val="009A4CDC"/>
    <w:rsid w:val="009A5BDD"/>
    <w:rsid w:val="009A660B"/>
    <w:rsid w:val="009A6861"/>
    <w:rsid w:val="009A6EBD"/>
    <w:rsid w:val="009A701C"/>
    <w:rsid w:val="009A7BD0"/>
    <w:rsid w:val="009A7D14"/>
    <w:rsid w:val="009B006F"/>
    <w:rsid w:val="009B0468"/>
    <w:rsid w:val="009B04E8"/>
    <w:rsid w:val="009B13FB"/>
    <w:rsid w:val="009B18A1"/>
    <w:rsid w:val="009B1D00"/>
    <w:rsid w:val="009B24A7"/>
    <w:rsid w:val="009B348C"/>
    <w:rsid w:val="009B391E"/>
    <w:rsid w:val="009B42FB"/>
    <w:rsid w:val="009B45F2"/>
    <w:rsid w:val="009B4E57"/>
    <w:rsid w:val="009B5890"/>
    <w:rsid w:val="009B6225"/>
    <w:rsid w:val="009B6447"/>
    <w:rsid w:val="009B670D"/>
    <w:rsid w:val="009B6BC1"/>
    <w:rsid w:val="009B75BF"/>
    <w:rsid w:val="009C1C78"/>
    <w:rsid w:val="009C2461"/>
    <w:rsid w:val="009C28CD"/>
    <w:rsid w:val="009C3370"/>
    <w:rsid w:val="009C3A33"/>
    <w:rsid w:val="009C464E"/>
    <w:rsid w:val="009C4AE8"/>
    <w:rsid w:val="009C5164"/>
    <w:rsid w:val="009C5C89"/>
    <w:rsid w:val="009C5DE8"/>
    <w:rsid w:val="009C6467"/>
    <w:rsid w:val="009C656A"/>
    <w:rsid w:val="009C70E8"/>
    <w:rsid w:val="009D0C73"/>
    <w:rsid w:val="009D1082"/>
    <w:rsid w:val="009D1D2D"/>
    <w:rsid w:val="009D2537"/>
    <w:rsid w:val="009D2C28"/>
    <w:rsid w:val="009D2D83"/>
    <w:rsid w:val="009D3A72"/>
    <w:rsid w:val="009D3DFE"/>
    <w:rsid w:val="009D4243"/>
    <w:rsid w:val="009D4A33"/>
    <w:rsid w:val="009D5D0C"/>
    <w:rsid w:val="009D646A"/>
    <w:rsid w:val="009D76EA"/>
    <w:rsid w:val="009D7CBE"/>
    <w:rsid w:val="009D7F04"/>
    <w:rsid w:val="009E040D"/>
    <w:rsid w:val="009E06D1"/>
    <w:rsid w:val="009E210E"/>
    <w:rsid w:val="009E2284"/>
    <w:rsid w:val="009E23AE"/>
    <w:rsid w:val="009E27BC"/>
    <w:rsid w:val="009E2EBA"/>
    <w:rsid w:val="009E336E"/>
    <w:rsid w:val="009E3D18"/>
    <w:rsid w:val="009E46A2"/>
    <w:rsid w:val="009E484E"/>
    <w:rsid w:val="009E51B3"/>
    <w:rsid w:val="009E568B"/>
    <w:rsid w:val="009E590F"/>
    <w:rsid w:val="009E5A27"/>
    <w:rsid w:val="009E60D6"/>
    <w:rsid w:val="009E621C"/>
    <w:rsid w:val="009E7840"/>
    <w:rsid w:val="009E799A"/>
    <w:rsid w:val="009E7A0A"/>
    <w:rsid w:val="009E7E86"/>
    <w:rsid w:val="009F0316"/>
    <w:rsid w:val="009F14E8"/>
    <w:rsid w:val="009F18AE"/>
    <w:rsid w:val="009F1BA8"/>
    <w:rsid w:val="009F1D6C"/>
    <w:rsid w:val="009F258D"/>
    <w:rsid w:val="009F26AD"/>
    <w:rsid w:val="009F32EE"/>
    <w:rsid w:val="009F3348"/>
    <w:rsid w:val="009F4E94"/>
    <w:rsid w:val="009F4EA0"/>
    <w:rsid w:val="009F4EFC"/>
    <w:rsid w:val="009F541F"/>
    <w:rsid w:val="009F5448"/>
    <w:rsid w:val="009F5847"/>
    <w:rsid w:val="009F5F18"/>
    <w:rsid w:val="009F6192"/>
    <w:rsid w:val="009F652D"/>
    <w:rsid w:val="009F66C8"/>
    <w:rsid w:val="00A00057"/>
    <w:rsid w:val="00A00244"/>
    <w:rsid w:val="00A023A9"/>
    <w:rsid w:val="00A02595"/>
    <w:rsid w:val="00A02B62"/>
    <w:rsid w:val="00A02BDA"/>
    <w:rsid w:val="00A02FBD"/>
    <w:rsid w:val="00A035F4"/>
    <w:rsid w:val="00A03D25"/>
    <w:rsid w:val="00A04008"/>
    <w:rsid w:val="00A04863"/>
    <w:rsid w:val="00A0492E"/>
    <w:rsid w:val="00A04B80"/>
    <w:rsid w:val="00A0546B"/>
    <w:rsid w:val="00A066DD"/>
    <w:rsid w:val="00A06851"/>
    <w:rsid w:val="00A068D7"/>
    <w:rsid w:val="00A0748C"/>
    <w:rsid w:val="00A10516"/>
    <w:rsid w:val="00A118CC"/>
    <w:rsid w:val="00A119B7"/>
    <w:rsid w:val="00A12B39"/>
    <w:rsid w:val="00A12F90"/>
    <w:rsid w:val="00A1336E"/>
    <w:rsid w:val="00A14456"/>
    <w:rsid w:val="00A153F2"/>
    <w:rsid w:val="00A157F8"/>
    <w:rsid w:val="00A15847"/>
    <w:rsid w:val="00A15E88"/>
    <w:rsid w:val="00A160B9"/>
    <w:rsid w:val="00A16208"/>
    <w:rsid w:val="00A163D1"/>
    <w:rsid w:val="00A1687D"/>
    <w:rsid w:val="00A17D90"/>
    <w:rsid w:val="00A17F6E"/>
    <w:rsid w:val="00A20682"/>
    <w:rsid w:val="00A20CE2"/>
    <w:rsid w:val="00A20E48"/>
    <w:rsid w:val="00A21270"/>
    <w:rsid w:val="00A2131D"/>
    <w:rsid w:val="00A2234B"/>
    <w:rsid w:val="00A2259C"/>
    <w:rsid w:val="00A22B87"/>
    <w:rsid w:val="00A23C0C"/>
    <w:rsid w:val="00A241B2"/>
    <w:rsid w:val="00A246AE"/>
    <w:rsid w:val="00A24792"/>
    <w:rsid w:val="00A24903"/>
    <w:rsid w:val="00A24A0C"/>
    <w:rsid w:val="00A24C74"/>
    <w:rsid w:val="00A25094"/>
    <w:rsid w:val="00A255A6"/>
    <w:rsid w:val="00A259A8"/>
    <w:rsid w:val="00A260E6"/>
    <w:rsid w:val="00A26491"/>
    <w:rsid w:val="00A26643"/>
    <w:rsid w:val="00A27855"/>
    <w:rsid w:val="00A27FE0"/>
    <w:rsid w:val="00A31557"/>
    <w:rsid w:val="00A31751"/>
    <w:rsid w:val="00A31D78"/>
    <w:rsid w:val="00A321CD"/>
    <w:rsid w:val="00A32501"/>
    <w:rsid w:val="00A32977"/>
    <w:rsid w:val="00A330C5"/>
    <w:rsid w:val="00A3452F"/>
    <w:rsid w:val="00A35C3F"/>
    <w:rsid w:val="00A35EFE"/>
    <w:rsid w:val="00A365C9"/>
    <w:rsid w:val="00A36F12"/>
    <w:rsid w:val="00A40D97"/>
    <w:rsid w:val="00A4106D"/>
    <w:rsid w:val="00A42288"/>
    <w:rsid w:val="00A42611"/>
    <w:rsid w:val="00A43227"/>
    <w:rsid w:val="00A43530"/>
    <w:rsid w:val="00A436C1"/>
    <w:rsid w:val="00A4384B"/>
    <w:rsid w:val="00A438CE"/>
    <w:rsid w:val="00A43F10"/>
    <w:rsid w:val="00A441BE"/>
    <w:rsid w:val="00A467F8"/>
    <w:rsid w:val="00A471A8"/>
    <w:rsid w:val="00A479D0"/>
    <w:rsid w:val="00A50414"/>
    <w:rsid w:val="00A50D07"/>
    <w:rsid w:val="00A50DEB"/>
    <w:rsid w:val="00A52634"/>
    <w:rsid w:val="00A526CC"/>
    <w:rsid w:val="00A52762"/>
    <w:rsid w:val="00A52C98"/>
    <w:rsid w:val="00A53AF7"/>
    <w:rsid w:val="00A53B5A"/>
    <w:rsid w:val="00A5460B"/>
    <w:rsid w:val="00A54904"/>
    <w:rsid w:val="00A55460"/>
    <w:rsid w:val="00A5554F"/>
    <w:rsid w:val="00A574C6"/>
    <w:rsid w:val="00A57DB4"/>
    <w:rsid w:val="00A57E08"/>
    <w:rsid w:val="00A57EB2"/>
    <w:rsid w:val="00A602F2"/>
    <w:rsid w:val="00A611B7"/>
    <w:rsid w:val="00A616F4"/>
    <w:rsid w:val="00A61B2D"/>
    <w:rsid w:val="00A61B6D"/>
    <w:rsid w:val="00A6209E"/>
    <w:rsid w:val="00A622D7"/>
    <w:rsid w:val="00A631A1"/>
    <w:rsid w:val="00A635A4"/>
    <w:rsid w:val="00A63677"/>
    <w:rsid w:val="00A63B82"/>
    <w:rsid w:val="00A648B4"/>
    <w:rsid w:val="00A64B29"/>
    <w:rsid w:val="00A64CFF"/>
    <w:rsid w:val="00A6565C"/>
    <w:rsid w:val="00A65D0F"/>
    <w:rsid w:val="00A66227"/>
    <w:rsid w:val="00A66707"/>
    <w:rsid w:val="00A668C0"/>
    <w:rsid w:val="00A67866"/>
    <w:rsid w:val="00A678A8"/>
    <w:rsid w:val="00A70755"/>
    <w:rsid w:val="00A7075A"/>
    <w:rsid w:val="00A70D2D"/>
    <w:rsid w:val="00A7127D"/>
    <w:rsid w:val="00A715CC"/>
    <w:rsid w:val="00A72371"/>
    <w:rsid w:val="00A72557"/>
    <w:rsid w:val="00A7315A"/>
    <w:rsid w:val="00A732E3"/>
    <w:rsid w:val="00A7369A"/>
    <w:rsid w:val="00A73D49"/>
    <w:rsid w:val="00A742E9"/>
    <w:rsid w:val="00A74F09"/>
    <w:rsid w:val="00A753BA"/>
    <w:rsid w:val="00A7573B"/>
    <w:rsid w:val="00A7580E"/>
    <w:rsid w:val="00A75B28"/>
    <w:rsid w:val="00A75D68"/>
    <w:rsid w:val="00A7625E"/>
    <w:rsid w:val="00A766CE"/>
    <w:rsid w:val="00A76B67"/>
    <w:rsid w:val="00A8013B"/>
    <w:rsid w:val="00A808FC"/>
    <w:rsid w:val="00A812CD"/>
    <w:rsid w:val="00A81552"/>
    <w:rsid w:val="00A82EB8"/>
    <w:rsid w:val="00A835FF"/>
    <w:rsid w:val="00A83F70"/>
    <w:rsid w:val="00A84240"/>
    <w:rsid w:val="00A867E1"/>
    <w:rsid w:val="00A86CE3"/>
    <w:rsid w:val="00A86ECB"/>
    <w:rsid w:val="00A876DD"/>
    <w:rsid w:val="00A877F3"/>
    <w:rsid w:val="00A90214"/>
    <w:rsid w:val="00A9060F"/>
    <w:rsid w:val="00A90C5C"/>
    <w:rsid w:val="00A91F73"/>
    <w:rsid w:val="00A9227C"/>
    <w:rsid w:val="00A923D9"/>
    <w:rsid w:val="00A93534"/>
    <w:rsid w:val="00A93D6B"/>
    <w:rsid w:val="00A9467B"/>
    <w:rsid w:val="00A9482D"/>
    <w:rsid w:val="00A95DC4"/>
    <w:rsid w:val="00A95E7C"/>
    <w:rsid w:val="00A95EBC"/>
    <w:rsid w:val="00AA0655"/>
    <w:rsid w:val="00AA1C0C"/>
    <w:rsid w:val="00AA1E21"/>
    <w:rsid w:val="00AA25DC"/>
    <w:rsid w:val="00AA262F"/>
    <w:rsid w:val="00AA3466"/>
    <w:rsid w:val="00AA3824"/>
    <w:rsid w:val="00AA38E0"/>
    <w:rsid w:val="00AA498B"/>
    <w:rsid w:val="00AA4DAA"/>
    <w:rsid w:val="00AA523E"/>
    <w:rsid w:val="00AA5342"/>
    <w:rsid w:val="00AA561C"/>
    <w:rsid w:val="00AA5D5F"/>
    <w:rsid w:val="00AA5F8E"/>
    <w:rsid w:val="00AA6FF2"/>
    <w:rsid w:val="00AA7021"/>
    <w:rsid w:val="00AA7930"/>
    <w:rsid w:val="00AB107C"/>
    <w:rsid w:val="00AB1766"/>
    <w:rsid w:val="00AB2B73"/>
    <w:rsid w:val="00AB3CA2"/>
    <w:rsid w:val="00AB4281"/>
    <w:rsid w:val="00AB4840"/>
    <w:rsid w:val="00AB528B"/>
    <w:rsid w:val="00AB5623"/>
    <w:rsid w:val="00AB56D5"/>
    <w:rsid w:val="00AB5D6A"/>
    <w:rsid w:val="00AB6229"/>
    <w:rsid w:val="00AB63FD"/>
    <w:rsid w:val="00AC0901"/>
    <w:rsid w:val="00AC1A31"/>
    <w:rsid w:val="00AC288C"/>
    <w:rsid w:val="00AC5025"/>
    <w:rsid w:val="00AC51AD"/>
    <w:rsid w:val="00AC583B"/>
    <w:rsid w:val="00AC5EBC"/>
    <w:rsid w:val="00AC68D1"/>
    <w:rsid w:val="00AC6D92"/>
    <w:rsid w:val="00AC79A5"/>
    <w:rsid w:val="00AD01F1"/>
    <w:rsid w:val="00AD09BC"/>
    <w:rsid w:val="00AD0F7F"/>
    <w:rsid w:val="00AD1353"/>
    <w:rsid w:val="00AD1CF2"/>
    <w:rsid w:val="00AD2E33"/>
    <w:rsid w:val="00AD306F"/>
    <w:rsid w:val="00AD3265"/>
    <w:rsid w:val="00AD3739"/>
    <w:rsid w:val="00AD37EB"/>
    <w:rsid w:val="00AD38AE"/>
    <w:rsid w:val="00AD3CD8"/>
    <w:rsid w:val="00AD4DF1"/>
    <w:rsid w:val="00AD50B2"/>
    <w:rsid w:val="00AD5342"/>
    <w:rsid w:val="00AD59E8"/>
    <w:rsid w:val="00AD69A7"/>
    <w:rsid w:val="00AD6DC9"/>
    <w:rsid w:val="00AD73A1"/>
    <w:rsid w:val="00AD7FBB"/>
    <w:rsid w:val="00AE01AD"/>
    <w:rsid w:val="00AE12C2"/>
    <w:rsid w:val="00AE28A3"/>
    <w:rsid w:val="00AE30A7"/>
    <w:rsid w:val="00AE30D3"/>
    <w:rsid w:val="00AE3A9D"/>
    <w:rsid w:val="00AE40CD"/>
    <w:rsid w:val="00AE42B0"/>
    <w:rsid w:val="00AE46E9"/>
    <w:rsid w:val="00AE496F"/>
    <w:rsid w:val="00AE5070"/>
    <w:rsid w:val="00AE54B6"/>
    <w:rsid w:val="00AE5757"/>
    <w:rsid w:val="00AE5942"/>
    <w:rsid w:val="00AE6174"/>
    <w:rsid w:val="00AE64D9"/>
    <w:rsid w:val="00AE6BE4"/>
    <w:rsid w:val="00AE71AC"/>
    <w:rsid w:val="00AE79AB"/>
    <w:rsid w:val="00AF0381"/>
    <w:rsid w:val="00AF072C"/>
    <w:rsid w:val="00AF08DC"/>
    <w:rsid w:val="00AF0A16"/>
    <w:rsid w:val="00AF0A43"/>
    <w:rsid w:val="00AF0F6C"/>
    <w:rsid w:val="00AF1046"/>
    <w:rsid w:val="00AF1FE1"/>
    <w:rsid w:val="00AF2306"/>
    <w:rsid w:val="00AF319B"/>
    <w:rsid w:val="00AF39AB"/>
    <w:rsid w:val="00AF3CCF"/>
    <w:rsid w:val="00AF4705"/>
    <w:rsid w:val="00AF5ADB"/>
    <w:rsid w:val="00AF5B08"/>
    <w:rsid w:val="00AF5DCD"/>
    <w:rsid w:val="00AF5FCF"/>
    <w:rsid w:val="00AF61DA"/>
    <w:rsid w:val="00AF6474"/>
    <w:rsid w:val="00AF672B"/>
    <w:rsid w:val="00AF724A"/>
    <w:rsid w:val="00AF78B2"/>
    <w:rsid w:val="00AF7CAC"/>
    <w:rsid w:val="00AF7E05"/>
    <w:rsid w:val="00B00210"/>
    <w:rsid w:val="00B0022A"/>
    <w:rsid w:val="00B01073"/>
    <w:rsid w:val="00B0118E"/>
    <w:rsid w:val="00B01E05"/>
    <w:rsid w:val="00B03406"/>
    <w:rsid w:val="00B04076"/>
    <w:rsid w:val="00B044F1"/>
    <w:rsid w:val="00B05270"/>
    <w:rsid w:val="00B061DF"/>
    <w:rsid w:val="00B06993"/>
    <w:rsid w:val="00B069C6"/>
    <w:rsid w:val="00B071CB"/>
    <w:rsid w:val="00B07CC5"/>
    <w:rsid w:val="00B07E59"/>
    <w:rsid w:val="00B1033E"/>
    <w:rsid w:val="00B10FD1"/>
    <w:rsid w:val="00B110B2"/>
    <w:rsid w:val="00B1156E"/>
    <w:rsid w:val="00B12387"/>
    <w:rsid w:val="00B12883"/>
    <w:rsid w:val="00B129DD"/>
    <w:rsid w:val="00B13047"/>
    <w:rsid w:val="00B136BE"/>
    <w:rsid w:val="00B1397D"/>
    <w:rsid w:val="00B13A42"/>
    <w:rsid w:val="00B14DC1"/>
    <w:rsid w:val="00B151B1"/>
    <w:rsid w:val="00B154C3"/>
    <w:rsid w:val="00B157EC"/>
    <w:rsid w:val="00B1592E"/>
    <w:rsid w:val="00B16E44"/>
    <w:rsid w:val="00B1756A"/>
    <w:rsid w:val="00B17649"/>
    <w:rsid w:val="00B20048"/>
    <w:rsid w:val="00B201DB"/>
    <w:rsid w:val="00B2076B"/>
    <w:rsid w:val="00B214B8"/>
    <w:rsid w:val="00B21CA7"/>
    <w:rsid w:val="00B22658"/>
    <w:rsid w:val="00B235F8"/>
    <w:rsid w:val="00B2378C"/>
    <w:rsid w:val="00B237BD"/>
    <w:rsid w:val="00B23E1E"/>
    <w:rsid w:val="00B23E9F"/>
    <w:rsid w:val="00B23F46"/>
    <w:rsid w:val="00B242E4"/>
    <w:rsid w:val="00B244E0"/>
    <w:rsid w:val="00B2504F"/>
    <w:rsid w:val="00B25561"/>
    <w:rsid w:val="00B25F84"/>
    <w:rsid w:val="00B27D4C"/>
    <w:rsid w:val="00B308F2"/>
    <w:rsid w:val="00B30C61"/>
    <w:rsid w:val="00B316B6"/>
    <w:rsid w:val="00B33430"/>
    <w:rsid w:val="00B34379"/>
    <w:rsid w:val="00B35DF4"/>
    <w:rsid w:val="00B36218"/>
    <w:rsid w:val="00B36ED9"/>
    <w:rsid w:val="00B37619"/>
    <w:rsid w:val="00B377DA"/>
    <w:rsid w:val="00B37855"/>
    <w:rsid w:val="00B37892"/>
    <w:rsid w:val="00B378A7"/>
    <w:rsid w:val="00B37B58"/>
    <w:rsid w:val="00B37BD7"/>
    <w:rsid w:val="00B37D8F"/>
    <w:rsid w:val="00B40920"/>
    <w:rsid w:val="00B4104B"/>
    <w:rsid w:val="00B427ED"/>
    <w:rsid w:val="00B43521"/>
    <w:rsid w:val="00B43547"/>
    <w:rsid w:val="00B43778"/>
    <w:rsid w:val="00B439D4"/>
    <w:rsid w:val="00B43BFD"/>
    <w:rsid w:val="00B44020"/>
    <w:rsid w:val="00B44191"/>
    <w:rsid w:val="00B4504A"/>
    <w:rsid w:val="00B4583D"/>
    <w:rsid w:val="00B45FCD"/>
    <w:rsid w:val="00B46029"/>
    <w:rsid w:val="00B4664C"/>
    <w:rsid w:val="00B468D4"/>
    <w:rsid w:val="00B46A91"/>
    <w:rsid w:val="00B46CF4"/>
    <w:rsid w:val="00B477AD"/>
    <w:rsid w:val="00B47B24"/>
    <w:rsid w:val="00B50187"/>
    <w:rsid w:val="00B50615"/>
    <w:rsid w:val="00B50FF8"/>
    <w:rsid w:val="00B51568"/>
    <w:rsid w:val="00B51956"/>
    <w:rsid w:val="00B51FFD"/>
    <w:rsid w:val="00B52408"/>
    <w:rsid w:val="00B53906"/>
    <w:rsid w:val="00B53BD1"/>
    <w:rsid w:val="00B53F42"/>
    <w:rsid w:val="00B53F96"/>
    <w:rsid w:val="00B546CB"/>
    <w:rsid w:val="00B54C3B"/>
    <w:rsid w:val="00B554C5"/>
    <w:rsid w:val="00B55AE5"/>
    <w:rsid w:val="00B5709E"/>
    <w:rsid w:val="00B5763C"/>
    <w:rsid w:val="00B57989"/>
    <w:rsid w:val="00B606A2"/>
    <w:rsid w:val="00B60E69"/>
    <w:rsid w:val="00B6170D"/>
    <w:rsid w:val="00B61B26"/>
    <w:rsid w:val="00B61BFF"/>
    <w:rsid w:val="00B620DA"/>
    <w:rsid w:val="00B62917"/>
    <w:rsid w:val="00B63585"/>
    <w:rsid w:val="00B63823"/>
    <w:rsid w:val="00B643A1"/>
    <w:rsid w:val="00B648C1"/>
    <w:rsid w:val="00B65711"/>
    <w:rsid w:val="00B65DDE"/>
    <w:rsid w:val="00B66B3B"/>
    <w:rsid w:val="00B67B0F"/>
    <w:rsid w:val="00B67EF6"/>
    <w:rsid w:val="00B703B6"/>
    <w:rsid w:val="00B708C8"/>
    <w:rsid w:val="00B708CB"/>
    <w:rsid w:val="00B70985"/>
    <w:rsid w:val="00B70EE4"/>
    <w:rsid w:val="00B72106"/>
    <w:rsid w:val="00B728B4"/>
    <w:rsid w:val="00B73913"/>
    <w:rsid w:val="00B73E4A"/>
    <w:rsid w:val="00B74238"/>
    <w:rsid w:val="00B74CB2"/>
    <w:rsid w:val="00B74D96"/>
    <w:rsid w:val="00B750EF"/>
    <w:rsid w:val="00B751BF"/>
    <w:rsid w:val="00B752C3"/>
    <w:rsid w:val="00B754C8"/>
    <w:rsid w:val="00B76020"/>
    <w:rsid w:val="00B76153"/>
    <w:rsid w:val="00B765A0"/>
    <w:rsid w:val="00B7768D"/>
    <w:rsid w:val="00B803F0"/>
    <w:rsid w:val="00B804B1"/>
    <w:rsid w:val="00B80F44"/>
    <w:rsid w:val="00B81AD8"/>
    <w:rsid w:val="00B82280"/>
    <w:rsid w:val="00B82433"/>
    <w:rsid w:val="00B82D93"/>
    <w:rsid w:val="00B83310"/>
    <w:rsid w:val="00B83448"/>
    <w:rsid w:val="00B834BF"/>
    <w:rsid w:val="00B83673"/>
    <w:rsid w:val="00B83CCF"/>
    <w:rsid w:val="00B83F64"/>
    <w:rsid w:val="00B840D1"/>
    <w:rsid w:val="00B8439B"/>
    <w:rsid w:val="00B8452C"/>
    <w:rsid w:val="00B84A21"/>
    <w:rsid w:val="00B84BA0"/>
    <w:rsid w:val="00B84D0D"/>
    <w:rsid w:val="00B858CB"/>
    <w:rsid w:val="00B85A06"/>
    <w:rsid w:val="00B85FE5"/>
    <w:rsid w:val="00B85FEF"/>
    <w:rsid w:val="00B8629A"/>
    <w:rsid w:val="00B9043F"/>
    <w:rsid w:val="00B90A10"/>
    <w:rsid w:val="00B91167"/>
    <w:rsid w:val="00B917B2"/>
    <w:rsid w:val="00B91A08"/>
    <w:rsid w:val="00B91C7C"/>
    <w:rsid w:val="00B921A7"/>
    <w:rsid w:val="00B92619"/>
    <w:rsid w:val="00B927C3"/>
    <w:rsid w:val="00B92D0C"/>
    <w:rsid w:val="00B94228"/>
    <w:rsid w:val="00B94DF4"/>
    <w:rsid w:val="00B957C2"/>
    <w:rsid w:val="00B9584C"/>
    <w:rsid w:val="00B960CD"/>
    <w:rsid w:val="00B96170"/>
    <w:rsid w:val="00B96618"/>
    <w:rsid w:val="00B96C94"/>
    <w:rsid w:val="00B97341"/>
    <w:rsid w:val="00B9738C"/>
    <w:rsid w:val="00B978A3"/>
    <w:rsid w:val="00BA0E90"/>
    <w:rsid w:val="00BA101E"/>
    <w:rsid w:val="00BA15EF"/>
    <w:rsid w:val="00BA167F"/>
    <w:rsid w:val="00BA1ED0"/>
    <w:rsid w:val="00BA224E"/>
    <w:rsid w:val="00BA2BD6"/>
    <w:rsid w:val="00BA2EC4"/>
    <w:rsid w:val="00BA3245"/>
    <w:rsid w:val="00BA3AB1"/>
    <w:rsid w:val="00BA4110"/>
    <w:rsid w:val="00BA47BB"/>
    <w:rsid w:val="00BA4B19"/>
    <w:rsid w:val="00BA504C"/>
    <w:rsid w:val="00BA50CE"/>
    <w:rsid w:val="00BA5751"/>
    <w:rsid w:val="00BA7294"/>
    <w:rsid w:val="00BA7588"/>
    <w:rsid w:val="00BA76E8"/>
    <w:rsid w:val="00BA795C"/>
    <w:rsid w:val="00BA7C07"/>
    <w:rsid w:val="00BB004E"/>
    <w:rsid w:val="00BB039D"/>
    <w:rsid w:val="00BB08E1"/>
    <w:rsid w:val="00BB12B4"/>
    <w:rsid w:val="00BB14F7"/>
    <w:rsid w:val="00BB1AD8"/>
    <w:rsid w:val="00BB1E9C"/>
    <w:rsid w:val="00BB2366"/>
    <w:rsid w:val="00BB2D7F"/>
    <w:rsid w:val="00BB3384"/>
    <w:rsid w:val="00BB37D8"/>
    <w:rsid w:val="00BB3FFE"/>
    <w:rsid w:val="00BB4379"/>
    <w:rsid w:val="00BB4492"/>
    <w:rsid w:val="00BB4AA5"/>
    <w:rsid w:val="00BB52FF"/>
    <w:rsid w:val="00BB56DA"/>
    <w:rsid w:val="00BB5816"/>
    <w:rsid w:val="00BB5CAD"/>
    <w:rsid w:val="00BB64C6"/>
    <w:rsid w:val="00BB6635"/>
    <w:rsid w:val="00BB6F23"/>
    <w:rsid w:val="00BC09E7"/>
    <w:rsid w:val="00BC0AEC"/>
    <w:rsid w:val="00BC0E78"/>
    <w:rsid w:val="00BC11E3"/>
    <w:rsid w:val="00BC1385"/>
    <w:rsid w:val="00BC1A42"/>
    <w:rsid w:val="00BC1D1C"/>
    <w:rsid w:val="00BC267A"/>
    <w:rsid w:val="00BC27AD"/>
    <w:rsid w:val="00BC2A8D"/>
    <w:rsid w:val="00BC2EAC"/>
    <w:rsid w:val="00BC301B"/>
    <w:rsid w:val="00BC388D"/>
    <w:rsid w:val="00BC3F4A"/>
    <w:rsid w:val="00BC47BC"/>
    <w:rsid w:val="00BC5FEF"/>
    <w:rsid w:val="00BC7571"/>
    <w:rsid w:val="00BC78F9"/>
    <w:rsid w:val="00BC7DDE"/>
    <w:rsid w:val="00BD0BAE"/>
    <w:rsid w:val="00BD0C20"/>
    <w:rsid w:val="00BD0D65"/>
    <w:rsid w:val="00BD129C"/>
    <w:rsid w:val="00BD1EFE"/>
    <w:rsid w:val="00BD2788"/>
    <w:rsid w:val="00BD37C3"/>
    <w:rsid w:val="00BD37FD"/>
    <w:rsid w:val="00BD3811"/>
    <w:rsid w:val="00BD3E82"/>
    <w:rsid w:val="00BD422F"/>
    <w:rsid w:val="00BD4E8B"/>
    <w:rsid w:val="00BD507E"/>
    <w:rsid w:val="00BD538E"/>
    <w:rsid w:val="00BD56B8"/>
    <w:rsid w:val="00BD6BC4"/>
    <w:rsid w:val="00BD6DB7"/>
    <w:rsid w:val="00BD6E0B"/>
    <w:rsid w:val="00BE059E"/>
    <w:rsid w:val="00BE05D5"/>
    <w:rsid w:val="00BE06E5"/>
    <w:rsid w:val="00BE0F31"/>
    <w:rsid w:val="00BE240F"/>
    <w:rsid w:val="00BE38F7"/>
    <w:rsid w:val="00BE50B4"/>
    <w:rsid w:val="00BE511B"/>
    <w:rsid w:val="00BE51F5"/>
    <w:rsid w:val="00BE56BB"/>
    <w:rsid w:val="00BE594B"/>
    <w:rsid w:val="00BE5EAA"/>
    <w:rsid w:val="00BE601E"/>
    <w:rsid w:val="00BE6CFC"/>
    <w:rsid w:val="00BE6ED3"/>
    <w:rsid w:val="00BE73CD"/>
    <w:rsid w:val="00BE77C8"/>
    <w:rsid w:val="00BE796C"/>
    <w:rsid w:val="00BE7986"/>
    <w:rsid w:val="00BE7D0B"/>
    <w:rsid w:val="00BF0D29"/>
    <w:rsid w:val="00BF20B0"/>
    <w:rsid w:val="00BF28CE"/>
    <w:rsid w:val="00BF290A"/>
    <w:rsid w:val="00BF295B"/>
    <w:rsid w:val="00BF3389"/>
    <w:rsid w:val="00BF33D9"/>
    <w:rsid w:val="00BF353E"/>
    <w:rsid w:val="00BF3576"/>
    <w:rsid w:val="00BF3DB9"/>
    <w:rsid w:val="00BF422F"/>
    <w:rsid w:val="00BF535C"/>
    <w:rsid w:val="00BF56EF"/>
    <w:rsid w:val="00BF5781"/>
    <w:rsid w:val="00BF5C8B"/>
    <w:rsid w:val="00BF6B82"/>
    <w:rsid w:val="00BF6DA4"/>
    <w:rsid w:val="00BF7D72"/>
    <w:rsid w:val="00C00618"/>
    <w:rsid w:val="00C01869"/>
    <w:rsid w:val="00C01F7B"/>
    <w:rsid w:val="00C02413"/>
    <w:rsid w:val="00C02F81"/>
    <w:rsid w:val="00C0349B"/>
    <w:rsid w:val="00C039B4"/>
    <w:rsid w:val="00C04485"/>
    <w:rsid w:val="00C0484D"/>
    <w:rsid w:val="00C054D2"/>
    <w:rsid w:val="00C0593D"/>
    <w:rsid w:val="00C05DC2"/>
    <w:rsid w:val="00C05E6D"/>
    <w:rsid w:val="00C064B0"/>
    <w:rsid w:val="00C06B27"/>
    <w:rsid w:val="00C0721A"/>
    <w:rsid w:val="00C103F9"/>
    <w:rsid w:val="00C10651"/>
    <w:rsid w:val="00C11CCA"/>
    <w:rsid w:val="00C11D0D"/>
    <w:rsid w:val="00C11F70"/>
    <w:rsid w:val="00C139B5"/>
    <w:rsid w:val="00C14999"/>
    <w:rsid w:val="00C15392"/>
    <w:rsid w:val="00C153A9"/>
    <w:rsid w:val="00C16682"/>
    <w:rsid w:val="00C17515"/>
    <w:rsid w:val="00C177C0"/>
    <w:rsid w:val="00C201AA"/>
    <w:rsid w:val="00C20244"/>
    <w:rsid w:val="00C20A08"/>
    <w:rsid w:val="00C20BB7"/>
    <w:rsid w:val="00C21798"/>
    <w:rsid w:val="00C2202C"/>
    <w:rsid w:val="00C2245E"/>
    <w:rsid w:val="00C226B4"/>
    <w:rsid w:val="00C22A61"/>
    <w:rsid w:val="00C230A5"/>
    <w:rsid w:val="00C235FA"/>
    <w:rsid w:val="00C23651"/>
    <w:rsid w:val="00C23D63"/>
    <w:rsid w:val="00C2555B"/>
    <w:rsid w:val="00C25DEF"/>
    <w:rsid w:val="00C26038"/>
    <w:rsid w:val="00C2643A"/>
    <w:rsid w:val="00C2649E"/>
    <w:rsid w:val="00C30082"/>
    <w:rsid w:val="00C30BD2"/>
    <w:rsid w:val="00C311BE"/>
    <w:rsid w:val="00C31595"/>
    <w:rsid w:val="00C32D2B"/>
    <w:rsid w:val="00C337B9"/>
    <w:rsid w:val="00C33849"/>
    <w:rsid w:val="00C33A47"/>
    <w:rsid w:val="00C34842"/>
    <w:rsid w:val="00C34C13"/>
    <w:rsid w:val="00C355F4"/>
    <w:rsid w:val="00C356D9"/>
    <w:rsid w:val="00C35B7A"/>
    <w:rsid w:val="00C36FE2"/>
    <w:rsid w:val="00C37167"/>
    <w:rsid w:val="00C3729D"/>
    <w:rsid w:val="00C373C4"/>
    <w:rsid w:val="00C37E6F"/>
    <w:rsid w:val="00C40049"/>
    <w:rsid w:val="00C40FB8"/>
    <w:rsid w:val="00C42079"/>
    <w:rsid w:val="00C425A8"/>
    <w:rsid w:val="00C426DE"/>
    <w:rsid w:val="00C427D0"/>
    <w:rsid w:val="00C45A32"/>
    <w:rsid w:val="00C46700"/>
    <w:rsid w:val="00C4674F"/>
    <w:rsid w:val="00C46E61"/>
    <w:rsid w:val="00C47860"/>
    <w:rsid w:val="00C47A8E"/>
    <w:rsid w:val="00C5002A"/>
    <w:rsid w:val="00C50047"/>
    <w:rsid w:val="00C50423"/>
    <w:rsid w:val="00C51736"/>
    <w:rsid w:val="00C522F0"/>
    <w:rsid w:val="00C525DC"/>
    <w:rsid w:val="00C527C8"/>
    <w:rsid w:val="00C528F1"/>
    <w:rsid w:val="00C52CFC"/>
    <w:rsid w:val="00C52E9E"/>
    <w:rsid w:val="00C5323A"/>
    <w:rsid w:val="00C5442C"/>
    <w:rsid w:val="00C5480C"/>
    <w:rsid w:val="00C5490D"/>
    <w:rsid w:val="00C55B46"/>
    <w:rsid w:val="00C5647D"/>
    <w:rsid w:val="00C565D5"/>
    <w:rsid w:val="00C568A8"/>
    <w:rsid w:val="00C57421"/>
    <w:rsid w:val="00C5743C"/>
    <w:rsid w:val="00C57D03"/>
    <w:rsid w:val="00C615E7"/>
    <w:rsid w:val="00C619B1"/>
    <w:rsid w:val="00C61B29"/>
    <w:rsid w:val="00C61C2C"/>
    <w:rsid w:val="00C61DF0"/>
    <w:rsid w:val="00C63125"/>
    <w:rsid w:val="00C638D5"/>
    <w:rsid w:val="00C63A2A"/>
    <w:rsid w:val="00C653C0"/>
    <w:rsid w:val="00C659C8"/>
    <w:rsid w:val="00C660AA"/>
    <w:rsid w:val="00C660D2"/>
    <w:rsid w:val="00C66E42"/>
    <w:rsid w:val="00C66E7A"/>
    <w:rsid w:val="00C67546"/>
    <w:rsid w:val="00C675BC"/>
    <w:rsid w:val="00C70DC3"/>
    <w:rsid w:val="00C71552"/>
    <w:rsid w:val="00C71851"/>
    <w:rsid w:val="00C71D5F"/>
    <w:rsid w:val="00C72FCD"/>
    <w:rsid w:val="00C73115"/>
    <w:rsid w:val="00C7348F"/>
    <w:rsid w:val="00C7349B"/>
    <w:rsid w:val="00C74C37"/>
    <w:rsid w:val="00C74F54"/>
    <w:rsid w:val="00C75CCD"/>
    <w:rsid w:val="00C766D6"/>
    <w:rsid w:val="00C7694F"/>
    <w:rsid w:val="00C76B89"/>
    <w:rsid w:val="00C76C3C"/>
    <w:rsid w:val="00C76EEA"/>
    <w:rsid w:val="00C773D3"/>
    <w:rsid w:val="00C775D6"/>
    <w:rsid w:val="00C77B88"/>
    <w:rsid w:val="00C828D3"/>
    <w:rsid w:val="00C836FA"/>
    <w:rsid w:val="00C85AB8"/>
    <w:rsid w:val="00C85C5C"/>
    <w:rsid w:val="00C87147"/>
    <w:rsid w:val="00C878F7"/>
    <w:rsid w:val="00C90211"/>
    <w:rsid w:val="00C903F4"/>
    <w:rsid w:val="00C906F3"/>
    <w:rsid w:val="00C908CD"/>
    <w:rsid w:val="00C91228"/>
    <w:rsid w:val="00C9281F"/>
    <w:rsid w:val="00C92A82"/>
    <w:rsid w:val="00C92B9D"/>
    <w:rsid w:val="00C92EB4"/>
    <w:rsid w:val="00C936F6"/>
    <w:rsid w:val="00C937F8"/>
    <w:rsid w:val="00C9384D"/>
    <w:rsid w:val="00C939A5"/>
    <w:rsid w:val="00C94AB9"/>
    <w:rsid w:val="00C94D8B"/>
    <w:rsid w:val="00C95799"/>
    <w:rsid w:val="00C96E05"/>
    <w:rsid w:val="00C96EBF"/>
    <w:rsid w:val="00C96EF7"/>
    <w:rsid w:val="00C97228"/>
    <w:rsid w:val="00C978E6"/>
    <w:rsid w:val="00C97BB5"/>
    <w:rsid w:val="00C97E93"/>
    <w:rsid w:val="00CA0679"/>
    <w:rsid w:val="00CA07CF"/>
    <w:rsid w:val="00CA087D"/>
    <w:rsid w:val="00CA08BF"/>
    <w:rsid w:val="00CA0BE8"/>
    <w:rsid w:val="00CA1150"/>
    <w:rsid w:val="00CA1C7B"/>
    <w:rsid w:val="00CA24A4"/>
    <w:rsid w:val="00CA379B"/>
    <w:rsid w:val="00CA37A0"/>
    <w:rsid w:val="00CA3B01"/>
    <w:rsid w:val="00CA3FDA"/>
    <w:rsid w:val="00CA4081"/>
    <w:rsid w:val="00CA430F"/>
    <w:rsid w:val="00CA4A3E"/>
    <w:rsid w:val="00CA4CF4"/>
    <w:rsid w:val="00CA5DCA"/>
    <w:rsid w:val="00CA60B1"/>
    <w:rsid w:val="00CA6B88"/>
    <w:rsid w:val="00CA6BF1"/>
    <w:rsid w:val="00CA6E08"/>
    <w:rsid w:val="00CA78C7"/>
    <w:rsid w:val="00CB0368"/>
    <w:rsid w:val="00CB03D5"/>
    <w:rsid w:val="00CB103E"/>
    <w:rsid w:val="00CB1E12"/>
    <w:rsid w:val="00CB1E75"/>
    <w:rsid w:val="00CB1F83"/>
    <w:rsid w:val="00CB2157"/>
    <w:rsid w:val="00CB3B95"/>
    <w:rsid w:val="00CB4622"/>
    <w:rsid w:val="00CB485A"/>
    <w:rsid w:val="00CB495A"/>
    <w:rsid w:val="00CB56F1"/>
    <w:rsid w:val="00CB6710"/>
    <w:rsid w:val="00CB6A8E"/>
    <w:rsid w:val="00CB7721"/>
    <w:rsid w:val="00CC02E6"/>
    <w:rsid w:val="00CC0676"/>
    <w:rsid w:val="00CC08DF"/>
    <w:rsid w:val="00CC172E"/>
    <w:rsid w:val="00CC25D6"/>
    <w:rsid w:val="00CC29DD"/>
    <w:rsid w:val="00CC2E9F"/>
    <w:rsid w:val="00CC3485"/>
    <w:rsid w:val="00CC36CD"/>
    <w:rsid w:val="00CC3D4C"/>
    <w:rsid w:val="00CC44AC"/>
    <w:rsid w:val="00CC4EBE"/>
    <w:rsid w:val="00CC53B5"/>
    <w:rsid w:val="00CC55B3"/>
    <w:rsid w:val="00CC67DF"/>
    <w:rsid w:val="00CC741A"/>
    <w:rsid w:val="00CC7885"/>
    <w:rsid w:val="00CC7A2F"/>
    <w:rsid w:val="00CC7C4B"/>
    <w:rsid w:val="00CD06E1"/>
    <w:rsid w:val="00CD15EE"/>
    <w:rsid w:val="00CD1A0A"/>
    <w:rsid w:val="00CD2D8A"/>
    <w:rsid w:val="00CD2ED2"/>
    <w:rsid w:val="00CD3D95"/>
    <w:rsid w:val="00CD4CD2"/>
    <w:rsid w:val="00CD5F3B"/>
    <w:rsid w:val="00CD63CC"/>
    <w:rsid w:val="00CD74FC"/>
    <w:rsid w:val="00CD754C"/>
    <w:rsid w:val="00CD7891"/>
    <w:rsid w:val="00CD7D9C"/>
    <w:rsid w:val="00CE0412"/>
    <w:rsid w:val="00CE07D3"/>
    <w:rsid w:val="00CE0CAC"/>
    <w:rsid w:val="00CE12CC"/>
    <w:rsid w:val="00CE1F10"/>
    <w:rsid w:val="00CE24A3"/>
    <w:rsid w:val="00CE2559"/>
    <w:rsid w:val="00CE258B"/>
    <w:rsid w:val="00CE3804"/>
    <w:rsid w:val="00CE48A8"/>
    <w:rsid w:val="00CE5337"/>
    <w:rsid w:val="00CE5CB5"/>
    <w:rsid w:val="00CE63FD"/>
    <w:rsid w:val="00CE6A6A"/>
    <w:rsid w:val="00CE725F"/>
    <w:rsid w:val="00CE7B59"/>
    <w:rsid w:val="00CF08BF"/>
    <w:rsid w:val="00CF0E21"/>
    <w:rsid w:val="00CF11C8"/>
    <w:rsid w:val="00CF146D"/>
    <w:rsid w:val="00CF2983"/>
    <w:rsid w:val="00CF3383"/>
    <w:rsid w:val="00CF34C1"/>
    <w:rsid w:val="00CF3789"/>
    <w:rsid w:val="00CF3CEA"/>
    <w:rsid w:val="00CF3D4C"/>
    <w:rsid w:val="00CF4016"/>
    <w:rsid w:val="00CF4215"/>
    <w:rsid w:val="00CF4282"/>
    <w:rsid w:val="00CF551D"/>
    <w:rsid w:val="00CF5A33"/>
    <w:rsid w:val="00CF609A"/>
    <w:rsid w:val="00CF702C"/>
    <w:rsid w:val="00CF70F1"/>
    <w:rsid w:val="00CF7D93"/>
    <w:rsid w:val="00D00501"/>
    <w:rsid w:val="00D015A7"/>
    <w:rsid w:val="00D019E2"/>
    <w:rsid w:val="00D01A9F"/>
    <w:rsid w:val="00D02AEF"/>
    <w:rsid w:val="00D03156"/>
    <w:rsid w:val="00D03795"/>
    <w:rsid w:val="00D05B18"/>
    <w:rsid w:val="00D069EB"/>
    <w:rsid w:val="00D06AA9"/>
    <w:rsid w:val="00D075CF"/>
    <w:rsid w:val="00D077FA"/>
    <w:rsid w:val="00D10F64"/>
    <w:rsid w:val="00D11262"/>
    <w:rsid w:val="00D112EB"/>
    <w:rsid w:val="00D114C2"/>
    <w:rsid w:val="00D11AF8"/>
    <w:rsid w:val="00D12451"/>
    <w:rsid w:val="00D12CEC"/>
    <w:rsid w:val="00D12E8C"/>
    <w:rsid w:val="00D14565"/>
    <w:rsid w:val="00D14804"/>
    <w:rsid w:val="00D14EFD"/>
    <w:rsid w:val="00D15D81"/>
    <w:rsid w:val="00D16FF0"/>
    <w:rsid w:val="00D176B9"/>
    <w:rsid w:val="00D210E8"/>
    <w:rsid w:val="00D2183D"/>
    <w:rsid w:val="00D21FB8"/>
    <w:rsid w:val="00D22F27"/>
    <w:rsid w:val="00D237E0"/>
    <w:rsid w:val="00D238A5"/>
    <w:rsid w:val="00D24C83"/>
    <w:rsid w:val="00D24C89"/>
    <w:rsid w:val="00D258D3"/>
    <w:rsid w:val="00D2591C"/>
    <w:rsid w:val="00D25C5E"/>
    <w:rsid w:val="00D26907"/>
    <w:rsid w:val="00D272AA"/>
    <w:rsid w:val="00D27412"/>
    <w:rsid w:val="00D30BC4"/>
    <w:rsid w:val="00D31540"/>
    <w:rsid w:val="00D31E18"/>
    <w:rsid w:val="00D339E2"/>
    <w:rsid w:val="00D33F7E"/>
    <w:rsid w:val="00D33FE1"/>
    <w:rsid w:val="00D3439A"/>
    <w:rsid w:val="00D34A9D"/>
    <w:rsid w:val="00D34D4D"/>
    <w:rsid w:val="00D34D69"/>
    <w:rsid w:val="00D359F0"/>
    <w:rsid w:val="00D36A14"/>
    <w:rsid w:val="00D36D05"/>
    <w:rsid w:val="00D36FED"/>
    <w:rsid w:val="00D3716D"/>
    <w:rsid w:val="00D37375"/>
    <w:rsid w:val="00D40D9F"/>
    <w:rsid w:val="00D40F72"/>
    <w:rsid w:val="00D41046"/>
    <w:rsid w:val="00D41349"/>
    <w:rsid w:val="00D414A6"/>
    <w:rsid w:val="00D417CD"/>
    <w:rsid w:val="00D41BF3"/>
    <w:rsid w:val="00D41CF5"/>
    <w:rsid w:val="00D41E86"/>
    <w:rsid w:val="00D423DF"/>
    <w:rsid w:val="00D42877"/>
    <w:rsid w:val="00D42D3C"/>
    <w:rsid w:val="00D42F72"/>
    <w:rsid w:val="00D42F8E"/>
    <w:rsid w:val="00D437ED"/>
    <w:rsid w:val="00D44F84"/>
    <w:rsid w:val="00D45010"/>
    <w:rsid w:val="00D452C2"/>
    <w:rsid w:val="00D453CE"/>
    <w:rsid w:val="00D467F2"/>
    <w:rsid w:val="00D46B50"/>
    <w:rsid w:val="00D47C45"/>
    <w:rsid w:val="00D50984"/>
    <w:rsid w:val="00D5104E"/>
    <w:rsid w:val="00D51434"/>
    <w:rsid w:val="00D51AC8"/>
    <w:rsid w:val="00D51FB5"/>
    <w:rsid w:val="00D53F02"/>
    <w:rsid w:val="00D53F92"/>
    <w:rsid w:val="00D5450F"/>
    <w:rsid w:val="00D54725"/>
    <w:rsid w:val="00D55B1C"/>
    <w:rsid w:val="00D5607F"/>
    <w:rsid w:val="00D5659B"/>
    <w:rsid w:val="00D56939"/>
    <w:rsid w:val="00D571A6"/>
    <w:rsid w:val="00D57EE7"/>
    <w:rsid w:val="00D57FD6"/>
    <w:rsid w:val="00D6000B"/>
    <w:rsid w:val="00D6027D"/>
    <w:rsid w:val="00D60869"/>
    <w:rsid w:val="00D60D61"/>
    <w:rsid w:val="00D61C48"/>
    <w:rsid w:val="00D61E62"/>
    <w:rsid w:val="00D61EF0"/>
    <w:rsid w:val="00D62148"/>
    <w:rsid w:val="00D62188"/>
    <w:rsid w:val="00D62953"/>
    <w:rsid w:val="00D62BAF"/>
    <w:rsid w:val="00D62D20"/>
    <w:rsid w:val="00D6357B"/>
    <w:rsid w:val="00D63703"/>
    <w:rsid w:val="00D637C2"/>
    <w:rsid w:val="00D648C9"/>
    <w:rsid w:val="00D64E0D"/>
    <w:rsid w:val="00D64F09"/>
    <w:rsid w:val="00D65D00"/>
    <w:rsid w:val="00D65DB9"/>
    <w:rsid w:val="00D66675"/>
    <w:rsid w:val="00D66B08"/>
    <w:rsid w:val="00D66F0E"/>
    <w:rsid w:val="00D67B01"/>
    <w:rsid w:val="00D70B31"/>
    <w:rsid w:val="00D71BC8"/>
    <w:rsid w:val="00D71D20"/>
    <w:rsid w:val="00D722CD"/>
    <w:rsid w:val="00D72D26"/>
    <w:rsid w:val="00D73287"/>
    <w:rsid w:val="00D74C3C"/>
    <w:rsid w:val="00D754A8"/>
    <w:rsid w:val="00D754FB"/>
    <w:rsid w:val="00D75669"/>
    <w:rsid w:val="00D759FB"/>
    <w:rsid w:val="00D75C26"/>
    <w:rsid w:val="00D760F1"/>
    <w:rsid w:val="00D7674C"/>
    <w:rsid w:val="00D76853"/>
    <w:rsid w:val="00D77D65"/>
    <w:rsid w:val="00D77EE9"/>
    <w:rsid w:val="00D7E472"/>
    <w:rsid w:val="00D80311"/>
    <w:rsid w:val="00D80406"/>
    <w:rsid w:val="00D80A2E"/>
    <w:rsid w:val="00D80CEC"/>
    <w:rsid w:val="00D81183"/>
    <w:rsid w:val="00D81B2A"/>
    <w:rsid w:val="00D829B2"/>
    <w:rsid w:val="00D82A4E"/>
    <w:rsid w:val="00D832BA"/>
    <w:rsid w:val="00D83996"/>
    <w:rsid w:val="00D85491"/>
    <w:rsid w:val="00D85EFB"/>
    <w:rsid w:val="00D85F25"/>
    <w:rsid w:val="00D8693A"/>
    <w:rsid w:val="00D8703E"/>
    <w:rsid w:val="00D870FA"/>
    <w:rsid w:val="00D87E27"/>
    <w:rsid w:val="00D90F64"/>
    <w:rsid w:val="00D914E8"/>
    <w:rsid w:val="00D91743"/>
    <w:rsid w:val="00D91F86"/>
    <w:rsid w:val="00D93DB1"/>
    <w:rsid w:val="00D9448B"/>
    <w:rsid w:val="00D947C5"/>
    <w:rsid w:val="00D94D84"/>
    <w:rsid w:val="00D94ED0"/>
    <w:rsid w:val="00D95023"/>
    <w:rsid w:val="00D95AFF"/>
    <w:rsid w:val="00D96546"/>
    <w:rsid w:val="00D968FB"/>
    <w:rsid w:val="00D96AC3"/>
    <w:rsid w:val="00D97149"/>
    <w:rsid w:val="00D972DC"/>
    <w:rsid w:val="00D977C5"/>
    <w:rsid w:val="00D9DC1A"/>
    <w:rsid w:val="00DA05E1"/>
    <w:rsid w:val="00DA14A1"/>
    <w:rsid w:val="00DA1F2A"/>
    <w:rsid w:val="00DA1FEE"/>
    <w:rsid w:val="00DA2674"/>
    <w:rsid w:val="00DA29BF"/>
    <w:rsid w:val="00DA2B0C"/>
    <w:rsid w:val="00DA2E01"/>
    <w:rsid w:val="00DA2E38"/>
    <w:rsid w:val="00DA3342"/>
    <w:rsid w:val="00DA4605"/>
    <w:rsid w:val="00DA4914"/>
    <w:rsid w:val="00DA5678"/>
    <w:rsid w:val="00DA69E8"/>
    <w:rsid w:val="00DA6CD0"/>
    <w:rsid w:val="00DA709F"/>
    <w:rsid w:val="00DA71FB"/>
    <w:rsid w:val="00DA725D"/>
    <w:rsid w:val="00DA7651"/>
    <w:rsid w:val="00DA7A5B"/>
    <w:rsid w:val="00DAA3AD"/>
    <w:rsid w:val="00DB06DF"/>
    <w:rsid w:val="00DB12A6"/>
    <w:rsid w:val="00DB147F"/>
    <w:rsid w:val="00DB15F0"/>
    <w:rsid w:val="00DB1FA5"/>
    <w:rsid w:val="00DB206E"/>
    <w:rsid w:val="00DB231A"/>
    <w:rsid w:val="00DB2531"/>
    <w:rsid w:val="00DB29B3"/>
    <w:rsid w:val="00DB2ED2"/>
    <w:rsid w:val="00DB322B"/>
    <w:rsid w:val="00DB32B5"/>
    <w:rsid w:val="00DB34B4"/>
    <w:rsid w:val="00DB3C13"/>
    <w:rsid w:val="00DB3FB3"/>
    <w:rsid w:val="00DB4452"/>
    <w:rsid w:val="00DB4726"/>
    <w:rsid w:val="00DB4B59"/>
    <w:rsid w:val="00DB4C97"/>
    <w:rsid w:val="00DB4CEE"/>
    <w:rsid w:val="00DB4D0D"/>
    <w:rsid w:val="00DB4F51"/>
    <w:rsid w:val="00DB6256"/>
    <w:rsid w:val="00DB6481"/>
    <w:rsid w:val="00DB6559"/>
    <w:rsid w:val="00DB6598"/>
    <w:rsid w:val="00DB673D"/>
    <w:rsid w:val="00DB698B"/>
    <w:rsid w:val="00DC17DA"/>
    <w:rsid w:val="00DC28D9"/>
    <w:rsid w:val="00DC2ECF"/>
    <w:rsid w:val="00DC3696"/>
    <w:rsid w:val="00DC4589"/>
    <w:rsid w:val="00DC4E3F"/>
    <w:rsid w:val="00DC5087"/>
    <w:rsid w:val="00DC54DC"/>
    <w:rsid w:val="00DC596D"/>
    <w:rsid w:val="00DC5AE1"/>
    <w:rsid w:val="00DC5FC6"/>
    <w:rsid w:val="00DC689B"/>
    <w:rsid w:val="00DC7459"/>
    <w:rsid w:val="00DD071C"/>
    <w:rsid w:val="00DD0C50"/>
    <w:rsid w:val="00DD18D2"/>
    <w:rsid w:val="00DD1FB0"/>
    <w:rsid w:val="00DD2C00"/>
    <w:rsid w:val="00DD3B1C"/>
    <w:rsid w:val="00DD41EA"/>
    <w:rsid w:val="00DD4AB8"/>
    <w:rsid w:val="00DD548C"/>
    <w:rsid w:val="00DD610F"/>
    <w:rsid w:val="00DD65B0"/>
    <w:rsid w:val="00DD6764"/>
    <w:rsid w:val="00DD70EB"/>
    <w:rsid w:val="00DD72CE"/>
    <w:rsid w:val="00DE0081"/>
    <w:rsid w:val="00DE0111"/>
    <w:rsid w:val="00DE2696"/>
    <w:rsid w:val="00DE299D"/>
    <w:rsid w:val="00DE3ECD"/>
    <w:rsid w:val="00DE409F"/>
    <w:rsid w:val="00DE4296"/>
    <w:rsid w:val="00DE4920"/>
    <w:rsid w:val="00DE4E14"/>
    <w:rsid w:val="00DE5505"/>
    <w:rsid w:val="00DE5948"/>
    <w:rsid w:val="00DE681B"/>
    <w:rsid w:val="00DE7BF9"/>
    <w:rsid w:val="00DE7CA6"/>
    <w:rsid w:val="00DE7DBB"/>
    <w:rsid w:val="00DF0377"/>
    <w:rsid w:val="00DF080E"/>
    <w:rsid w:val="00DF0C7E"/>
    <w:rsid w:val="00DF0FDC"/>
    <w:rsid w:val="00DF259D"/>
    <w:rsid w:val="00DF3268"/>
    <w:rsid w:val="00DF32F7"/>
    <w:rsid w:val="00DF33B0"/>
    <w:rsid w:val="00DF3FF0"/>
    <w:rsid w:val="00DF432C"/>
    <w:rsid w:val="00DF7902"/>
    <w:rsid w:val="00E01235"/>
    <w:rsid w:val="00E024F0"/>
    <w:rsid w:val="00E028F1"/>
    <w:rsid w:val="00E03521"/>
    <w:rsid w:val="00E03735"/>
    <w:rsid w:val="00E039CE"/>
    <w:rsid w:val="00E03C6D"/>
    <w:rsid w:val="00E03EE4"/>
    <w:rsid w:val="00E044F4"/>
    <w:rsid w:val="00E045F7"/>
    <w:rsid w:val="00E05334"/>
    <w:rsid w:val="00E069B5"/>
    <w:rsid w:val="00E06D16"/>
    <w:rsid w:val="00E102FF"/>
    <w:rsid w:val="00E11514"/>
    <w:rsid w:val="00E11990"/>
    <w:rsid w:val="00E119A2"/>
    <w:rsid w:val="00E11B74"/>
    <w:rsid w:val="00E12AEA"/>
    <w:rsid w:val="00E130EE"/>
    <w:rsid w:val="00E133AB"/>
    <w:rsid w:val="00E1453B"/>
    <w:rsid w:val="00E1461D"/>
    <w:rsid w:val="00E146D6"/>
    <w:rsid w:val="00E149CF"/>
    <w:rsid w:val="00E15BE9"/>
    <w:rsid w:val="00E15C63"/>
    <w:rsid w:val="00E16417"/>
    <w:rsid w:val="00E169BD"/>
    <w:rsid w:val="00E16C5C"/>
    <w:rsid w:val="00E16F0F"/>
    <w:rsid w:val="00E17237"/>
    <w:rsid w:val="00E175C8"/>
    <w:rsid w:val="00E20720"/>
    <w:rsid w:val="00E20A56"/>
    <w:rsid w:val="00E20EC2"/>
    <w:rsid w:val="00E21368"/>
    <w:rsid w:val="00E2169E"/>
    <w:rsid w:val="00E21A21"/>
    <w:rsid w:val="00E22F05"/>
    <w:rsid w:val="00E22F44"/>
    <w:rsid w:val="00E23860"/>
    <w:rsid w:val="00E23C69"/>
    <w:rsid w:val="00E23D39"/>
    <w:rsid w:val="00E2401E"/>
    <w:rsid w:val="00E2533D"/>
    <w:rsid w:val="00E25A78"/>
    <w:rsid w:val="00E25B2F"/>
    <w:rsid w:val="00E25DA5"/>
    <w:rsid w:val="00E276F1"/>
    <w:rsid w:val="00E27DDF"/>
    <w:rsid w:val="00E31006"/>
    <w:rsid w:val="00E3195E"/>
    <w:rsid w:val="00E32313"/>
    <w:rsid w:val="00E33E3A"/>
    <w:rsid w:val="00E3403A"/>
    <w:rsid w:val="00E34172"/>
    <w:rsid w:val="00E35162"/>
    <w:rsid w:val="00E3529C"/>
    <w:rsid w:val="00E35510"/>
    <w:rsid w:val="00E36597"/>
    <w:rsid w:val="00E36980"/>
    <w:rsid w:val="00E369E9"/>
    <w:rsid w:val="00E37241"/>
    <w:rsid w:val="00E3E917"/>
    <w:rsid w:val="00E40093"/>
    <w:rsid w:val="00E402ED"/>
    <w:rsid w:val="00E40677"/>
    <w:rsid w:val="00E40981"/>
    <w:rsid w:val="00E40A1A"/>
    <w:rsid w:val="00E4100C"/>
    <w:rsid w:val="00E42E35"/>
    <w:rsid w:val="00E42E5A"/>
    <w:rsid w:val="00E43009"/>
    <w:rsid w:val="00E43245"/>
    <w:rsid w:val="00E4360E"/>
    <w:rsid w:val="00E4429C"/>
    <w:rsid w:val="00E45AC9"/>
    <w:rsid w:val="00E479BB"/>
    <w:rsid w:val="00E479EF"/>
    <w:rsid w:val="00E47D3A"/>
    <w:rsid w:val="00E50247"/>
    <w:rsid w:val="00E507FC"/>
    <w:rsid w:val="00E50883"/>
    <w:rsid w:val="00E5098F"/>
    <w:rsid w:val="00E50C4C"/>
    <w:rsid w:val="00E51106"/>
    <w:rsid w:val="00E51287"/>
    <w:rsid w:val="00E5173F"/>
    <w:rsid w:val="00E51750"/>
    <w:rsid w:val="00E51931"/>
    <w:rsid w:val="00E51E6C"/>
    <w:rsid w:val="00E52001"/>
    <w:rsid w:val="00E52358"/>
    <w:rsid w:val="00E525F8"/>
    <w:rsid w:val="00E55937"/>
    <w:rsid w:val="00E55E79"/>
    <w:rsid w:val="00E56E3D"/>
    <w:rsid w:val="00E57062"/>
    <w:rsid w:val="00E57C26"/>
    <w:rsid w:val="00E604D1"/>
    <w:rsid w:val="00E6101C"/>
    <w:rsid w:val="00E614E6"/>
    <w:rsid w:val="00E62795"/>
    <w:rsid w:val="00E62C9D"/>
    <w:rsid w:val="00E63544"/>
    <w:rsid w:val="00E649BE"/>
    <w:rsid w:val="00E64CC1"/>
    <w:rsid w:val="00E64F8B"/>
    <w:rsid w:val="00E65E8A"/>
    <w:rsid w:val="00E66D91"/>
    <w:rsid w:val="00E7019B"/>
    <w:rsid w:val="00E70294"/>
    <w:rsid w:val="00E7042A"/>
    <w:rsid w:val="00E71E34"/>
    <w:rsid w:val="00E72172"/>
    <w:rsid w:val="00E72235"/>
    <w:rsid w:val="00E7292A"/>
    <w:rsid w:val="00E73328"/>
    <w:rsid w:val="00E73872"/>
    <w:rsid w:val="00E740B4"/>
    <w:rsid w:val="00E740DD"/>
    <w:rsid w:val="00E74163"/>
    <w:rsid w:val="00E74563"/>
    <w:rsid w:val="00E7524A"/>
    <w:rsid w:val="00E77C0A"/>
    <w:rsid w:val="00E77D08"/>
    <w:rsid w:val="00E80219"/>
    <w:rsid w:val="00E8028E"/>
    <w:rsid w:val="00E810DB"/>
    <w:rsid w:val="00E810F5"/>
    <w:rsid w:val="00E8125B"/>
    <w:rsid w:val="00E81418"/>
    <w:rsid w:val="00E814DC"/>
    <w:rsid w:val="00E81D42"/>
    <w:rsid w:val="00E821C7"/>
    <w:rsid w:val="00E82843"/>
    <w:rsid w:val="00E82CF3"/>
    <w:rsid w:val="00E82F99"/>
    <w:rsid w:val="00E830EE"/>
    <w:rsid w:val="00E831ED"/>
    <w:rsid w:val="00E839B9"/>
    <w:rsid w:val="00E83E86"/>
    <w:rsid w:val="00E848DD"/>
    <w:rsid w:val="00E84C4D"/>
    <w:rsid w:val="00E84D6A"/>
    <w:rsid w:val="00E84DC4"/>
    <w:rsid w:val="00E85239"/>
    <w:rsid w:val="00E85B22"/>
    <w:rsid w:val="00E85B6D"/>
    <w:rsid w:val="00E85EBA"/>
    <w:rsid w:val="00E86075"/>
    <w:rsid w:val="00E866BF"/>
    <w:rsid w:val="00E86FF5"/>
    <w:rsid w:val="00E87406"/>
    <w:rsid w:val="00E87601"/>
    <w:rsid w:val="00E90911"/>
    <w:rsid w:val="00E90B28"/>
    <w:rsid w:val="00E90B37"/>
    <w:rsid w:val="00E90BB0"/>
    <w:rsid w:val="00E92073"/>
    <w:rsid w:val="00E923D0"/>
    <w:rsid w:val="00E92CC0"/>
    <w:rsid w:val="00E92D17"/>
    <w:rsid w:val="00E9378A"/>
    <w:rsid w:val="00E93BF5"/>
    <w:rsid w:val="00E9452F"/>
    <w:rsid w:val="00E952F3"/>
    <w:rsid w:val="00E96EC4"/>
    <w:rsid w:val="00E9728E"/>
    <w:rsid w:val="00EA0C4E"/>
    <w:rsid w:val="00EA1D2D"/>
    <w:rsid w:val="00EA2002"/>
    <w:rsid w:val="00EA2145"/>
    <w:rsid w:val="00EA22E9"/>
    <w:rsid w:val="00EA2625"/>
    <w:rsid w:val="00EA2E43"/>
    <w:rsid w:val="00EA2EDF"/>
    <w:rsid w:val="00EA3B40"/>
    <w:rsid w:val="00EA3C58"/>
    <w:rsid w:val="00EA43A9"/>
    <w:rsid w:val="00EA4534"/>
    <w:rsid w:val="00EA4E1A"/>
    <w:rsid w:val="00EA521B"/>
    <w:rsid w:val="00EA5315"/>
    <w:rsid w:val="00EA57A3"/>
    <w:rsid w:val="00EA65AD"/>
    <w:rsid w:val="00EA69FD"/>
    <w:rsid w:val="00EA6A3B"/>
    <w:rsid w:val="00EA6B31"/>
    <w:rsid w:val="00EA7BC2"/>
    <w:rsid w:val="00EB042B"/>
    <w:rsid w:val="00EB0CC2"/>
    <w:rsid w:val="00EB2445"/>
    <w:rsid w:val="00EB2613"/>
    <w:rsid w:val="00EB28DF"/>
    <w:rsid w:val="00EB2DAF"/>
    <w:rsid w:val="00EB36F5"/>
    <w:rsid w:val="00EB3E06"/>
    <w:rsid w:val="00EB400C"/>
    <w:rsid w:val="00EB438B"/>
    <w:rsid w:val="00EB4919"/>
    <w:rsid w:val="00EB5C03"/>
    <w:rsid w:val="00EB5CA7"/>
    <w:rsid w:val="00EB6CD0"/>
    <w:rsid w:val="00EB6E14"/>
    <w:rsid w:val="00EB7CF7"/>
    <w:rsid w:val="00EC037D"/>
    <w:rsid w:val="00EC13BA"/>
    <w:rsid w:val="00EC1DCC"/>
    <w:rsid w:val="00EC23BE"/>
    <w:rsid w:val="00EC314F"/>
    <w:rsid w:val="00EC4CF6"/>
    <w:rsid w:val="00EC5291"/>
    <w:rsid w:val="00EC5378"/>
    <w:rsid w:val="00EC697C"/>
    <w:rsid w:val="00EC7E92"/>
    <w:rsid w:val="00EC7F70"/>
    <w:rsid w:val="00ED0104"/>
    <w:rsid w:val="00ED09DE"/>
    <w:rsid w:val="00ED0A30"/>
    <w:rsid w:val="00ED0ECB"/>
    <w:rsid w:val="00ED0F8C"/>
    <w:rsid w:val="00ED1590"/>
    <w:rsid w:val="00ED15A9"/>
    <w:rsid w:val="00ED18AD"/>
    <w:rsid w:val="00ED1ECA"/>
    <w:rsid w:val="00ED3130"/>
    <w:rsid w:val="00ED3546"/>
    <w:rsid w:val="00ED39C9"/>
    <w:rsid w:val="00ED3BEE"/>
    <w:rsid w:val="00ED3DBC"/>
    <w:rsid w:val="00ED43D7"/>
    <w:rsid w:val="00ED5181"/>
    <w:rsid w:val="00ED51F2"/>
    <w:rsid w:val="00ED63D8"/>
    <w:rsid w:val="00ED6E97"/>
    <w:rsid w:val="00ED715B"/>
    <w:rsid w:val="00EE11E7"/>
    <w:rsid w:val="00EE15F0"/>
    <w:rsid w:val="00EE2619"/>
    <w:rsid w:val="00EE26B6"/>
    <w:rsid w:val="00EE3827"/>
    <w:rsid w:val="00EE3ABC"/>
    <w:rsid w:val="00EE40C1"/>
    <w:rsid w:val="00EE610F"/>
    <w:rsid w:val="00EE6183"/>
    <w:rsid w:val="00EE6FC9"/>
    <w:rsid w:val="00EE7694"/>
    <w:rsid w:val="00EF0DE6"/>
    <w:rsid w:val="00EF0EB0"/>
    <w:rsid w:val="00EF1488"/>
    <w:rsid w:val="00EF14CA"/>
    <w:rsid w:val="00EF1FD0"/>
    <w:rsid w:val="00EF2ED8"/>
    <w:rsid w:val="00EF450A"/>
    <w:rsid w:val="00EF47F0"/>
    <w:rsid w:val="00EF53FB"/>
    <w:rsid w:val="00EF56CC"/>
    <w:rsid w:val="00EF6459"/>
    <w:rsid w:val="00EF6645"/>
    <w:rsid w:val="00EF6B7A"/>
    <w:rsid w:val="00EF737B"/>
    <w:rsid w:val="00EF7640"/>
    <w:rsid w:val="00F00A07"/>
    <w:rsid w:val="00F00CC9"/>
    <w:rsid w:val="00F015D1"/>
    <w:rsid w:val="00F04015"/>
    <w:rsid w:val="00F044F9"/>
    <w:rsid w:val="00F04669"/>
    <w:rsid w:val="00F046E6"/>
    <w:rsid w:val="00F04B9A"/>
    <w:rsid w:val="00F057E3"/>
    <w:rsid w:val="00F05E28"/>
    <w:rsid w:val="00F05F6F"/>
    <w:rsid w:val="00F07700"/>
    <w:rsid w:val="00F1052C"/>
    <w:rsid w:val="00F10AEF"/>
    <w:rsid w:val="00F11E42"/>
    <w:rsid w:val="00F13082"/>
    <w:rsid w:val="00F1308B"/>
    <w:rsid w:val="00F13A25"/>
    <w:rsid w:val="00F13C90"/>
    <w:rsid w:val="00F14C05"/>
    <w:rsid w:val="00F1578D"/>
    <w:rsid w:val="00F16A05"/>
    <w:rsid w:val="00F16D35"/>
    <w:rsid w:val="00F17034"/>
    <w:rsid w:val="00F2026A"/>
    <w:rsid w:val="00F20EB3"/>
    <w:rsid w:val="00F211E7"/>
    <w:rsid w:val="00F2126D"/>
    <w:rsid w:val="00F2211F"/>
    <w:rsid w:val="00F23892"/>
    <w:rsid w:val="00F23B93"/>
    <w:rsid w:val="00F24CB6"/>
    <w:rsid w:val="00F24D16"/>
    <w:rsid w:val="00F25372"/>
    <w:rsid w:val="00F2539E"/>
    <w:rsid w:val="00F25671"/>
    <w:rsid w:val="00F25C7F"/>
    <w:rsid w:val="00F25F7E"/>
    <w:rsid w:val="00F26B9F"/>
    <w:rsid w:val="00F26E71"/>
    <w:rsid w:val="00F27053"/>
    <w:rsid w:val="00F30E7B"/>
    <w:rsid w:val="00F31FD8"/>
    <w:rsid w:val="00F33317"/>
    <w:rsid w:val="00F33BE5"/>
    <w:rsid w:val="00F346A0"/>
    <w:rsid w:val="00F34AF6"/>
    <w:rsid w:val="00F362B5"/>
    <w:rsid w:val="00F36432"/>
    <w:rsid w:val="00F36C06"/>
    <w:rsid w:val="00F36D83"/>
    <w:rsid w:val="00F36F36"/>
    <w:rsid w:val="00F37717"/>
    <w:rsid w:val="00F400A1"/>
    <w:rsid w:val="00F4065A"/>
    <w:rsid w:val="00F40772"/>
    <w:rsid w:val="00F424DF"/>
    <w:rsid w:val="00F42F60"/>
    <w:rsid w:val="00F42FD0"/>
    <w:rsid w:val="00F440FB"/>
    <w:rsid w:val="00F44AC3"/>
    <w:rsid w:val="00F450DA"/>
    <w:rsid w:val="00F45202"/>
    <w:rsid w:val="00F45821"/>
    <w:rsid w:val="00F45909"/>
    <w:rsid w:val="00F45913"/>
    <w:rsid w:val="00F46656"/>
    <w:rsid w:val="00F469B7"/>
    <w:rsid w:val="00F46B56"/>
    <w:rsid w:val="00F473E0"/>
    <w:rsid w:val="00F500C2"/>
    <w:rsid w:val="00F502AD"/>
    <w:rsid w:val="00F502D0"/>
    <w:rsid w:val="00F50821"/>
    <w:rsid w:val="00F50E7E"/>
    <w:rsid w:val="00F51C23"/>
    <w:rsid w:val="00F52110"/>
    <w:rsid w:val="00F52324"/>
    <w:rsid w:val="00F53153"/>
    <w:rsid w:val="00F5467C"/>
    <w:rsid w:val="00F54B2A"/>
    <w:rsid w:val="00F54DDD"/>
    <w:rsid w:val="00F561D2"/>
    <w:rsid w:val="00F56FF5"/>
    <w:rsid w:val="00F572F2"/>
    <w:rsid w:val="00F5761F"/>
    <w:rsid w:val="00F576B2"/>
    <w:rsid w:val="00F5777D"/>
    <w:rsid w:val="00F57A59"/>
    <w:rsid w:val="00F57C2D"/>
    <w:rsid w:val="00F57DC4"/>
    <w:rsid w:val="00F57E90"/>
    <w:rsid w:val="00F57F1E"/>
    <w:rsid w:val="00F6001D"/>
    <w:rsid w:val="00F60537"/>
    <w:rsid w:val="00F6068F"/>
    <w:rsid w:val="00F60B87"/>
    <w:rsid w:val="00F61174"/>
    <w:rsid w:val="00F614BA"/>
    <w:rsid w:val="00F617F9"/>
    <w:rsid w:val="00F62246"/>
    <w:rsid w:val="00F626EA"/>
    <w:rsid w:val="00F62C2D"/>
    <w:rsid w:val="00F62C94"/>
    <w:rsid w:val="00F63517"/>
    <w:rsid w:val="00F63597"/>
    <w:rsid w:val="00F63C4D"/>
    <w:rsid w:val="00F63C5F"/>
    <w:rsid w:val="00F64313"/>
    <w:rsid w:val="00F643A8"/>
    <w:rsid w:val="00F655B5"/>
    <w:rsid w:val="00F656EA"/>
    <w:rsid w:val="00F65B02"/>
    <w:rsid w:val="00F65B6A"/>
    <w:rsid w:val="00F6669F"/>
    <w:rsid w:val="00F669E5"/>
    <w:rsid w:val="00F66C75"/>
    <w:rsid w:val="00F67E65"/>
    <w:rsid w:val="00F70265"/>
    <w:rsid w:val="00F706BE"/>
    <w:rsid w:val="00F7103A"/>
    <w:rsid w:val="00F7245C"/>
    <w:rsid w:val="00F747B0"/>
    <w:rsid w:val="00F75422"/>
    <w:rsid w:val="00F7584E"/>
    <w:rsid w:val="00F75AAF"/>
    <w:rsid w:val="00F75D41"/>
    <w:rsid w:val="00F775D3"/>
    <w:rsid w:val="00F77878"/>
    <w:rsid w:val="00F77B31"/>
    <w:rsid w:val="00F77DBC"/>
    <w:rsid w:val="00F80235"/>
    <w:rsid w:val="00F819F0"/>
    <w:rsid w:val="00F82477"/>
    <w:rsid w:val="00F8257B"/>
    <w:rsid w:val="00F83096"/>
    <w:rsid w:val="00F83291"/>
    <w:rsid w:val="00F83BC6"/>
    <w:rsid w:val="00F84041"/>
    <w:rsid w:val="00F846D9"/>
    <w:rsid w:val="00F846F4"/>
    <w:rsid w:val="00F84785"/>
    <w:rsid w:val="00F85236"/>
    <w:rsid w:val="00F864EA"/>
    <w:rsid w:val="00F86F6C"/>
    <w:rsid w:val="00F875DE"/>
    <w:rsid w:val="00F87890"/>
    <w:rsid w:val="00F87A38"/>
    <w:rsid w:val="00F87DE8"/>
    <w:rsid w:val="00F909AC"/>
    <w:rsid w:val="00F91138"/>
    <w:rsid w:val="00F920F9"/>
    <w:rsid w:val="00F92532"/>
    <w:rsid w:val="00F936FA"/>
    <w:rsid w:val="00F94F86"/>
    <w:rsid w:val="00F950DF"/>
    <w:rsid w:val="00F959BA"/>
    <w:rsid w:val="00F9663C"/>
    <w:rsid w:val="00F96DB8"/>
    <w:rsid w:val="00F97A19"/>
    <w:rsid w:val="00FA0CE8"/>
    <w:rsid w:val="00FA11CD"/>
    <w:rsid w:val="00FA1357"/>
    <w:rsid w:val="00FA18E1"/>
    <w:rsid w:val="00FA20AE"/>
    <w:rsid w:val="00FA232E"/>
    <w:rsid w:val="00FA2539"/>
    <w:rsid w:val="00FA33AC"/>
    <w:rsid w:val="00FA375C"/>
    <w:rsid w:val="00FA3BED"/>
    <w:rsid w:val="00FA403D"/>
    <w:rsid w:val="00FA5B41"/>
    <w:rsid w:val="00FA6C69"/>
    <w:rsid w:val="00FA7432"/>
    <w:rsid w:val="00FA7437"/>
    <w:rsid w:val="00FA7C30"/>
    <w:rsid w:val="00FB0EA0"/>
    <w:rsid w:val="00FB1001"/>
    <w:rsid w:val="00FB1EB9"/>
    <w:rsid w:val="00FB21AC"/>
    <w:rsid w:val="00FB2908"/>
    <w:rsid w:val="00FB3127"/>
    <w:rsid w:val="00FB39A1"/>
    <w:rsid w:val="00FB597A"/>
    <w:rsid w:val="00FB6A86"/>
    <w:rsid w:val="00FC08EF"/>
    <w:rsid w:val="00FC103F"/>
    <w:rsid w:val="00FC1881"/>
    <w:rsid w:val="00FC1DBD"/>
    <w:rsid w:val="00FC23B0"/>
    <w:rsid w:val="00FC24E4"/>
    <w:rsid w:val="00FC28F0"/>
    <w:rsid w:val="00FC2ED9"/>
    <w:rsid w:val="00FC307A"/>
    <w:rsid w:val="00FC3284"/>
    <w:rsid w:val="00FC3A99"/>
    <w:rsid w:val="00FC3EEB"/>
    <w:rsid w:val="00FC41B0"/>
    <w:rsid w:val="00FC4224"/>
    <w:rsid w:val="00FC466F"/>
    <w:rsid w:val="00FC6A39"/>
    <w:rsid w:val="00FC7390"/>
    <w:rsid w:val="00FD03DB"/>
    <w:rsid w:val="00FD0523"/>
    <w:rsid w:val="00FD0B67"/>
    <w:rsid w:val="00FD13C1"/>
    <w:rsid w:val="00FD17C3"/>
    <w:rsid w:val="00FD1AD3"/>
    <w:rsid w:val="00FD1FAA"/>
    <w:rsid w:val="00FD210C"/>
    <w:rsid w:val="00FD294F"/>
    <w:rsid w:val="00FD342F"/>
    <w:rsid w:val="00FD36DC"/>
    <w:rsid w:val="00FD4854"/>
    <w:rsid w:val="00FD48C1"/>
    <w:rsid w:val="00FD4B8C"/>
    <w:rsid w:val="00FD55F2"/>
    <w:rsid w:val="00FD5C17"/>
    <w:rsid w:val="00FD6126"/>
    <w:rsid w:val="00FD6D65"/>
    <w:rsid w:val="00FD7785"/>
    <w:rsid w:val="00FD791B"/>
    <w:rsid w:val="00FD7D72"/>
    <w:rsid w:val="00FE0074"/>
    <w:rsid w:val="00FE09C8"/>
    <w:rsid w:val="00FE09D2"/>
    <w:rsid w:val="00FE0B00"/>
    <w:rsid w:val="00FE11EA"/>
    <w:rsid w:val="00FE1836"/>
    <w:rsid w:val="00FE1BA7"/>
    <w:rsid w:val="00FE1D10"/>
    <w:rsid w:val="00FE1D6F"/>
    <w:rsid w:val="00FE1F50"/>
    <w:rsid w:val="00FE2D85"/>
    <w:rsid w:val="00FE4254"/>
    <w:rsid w:val="00FE4356"/>
    <w:rsid w:val="00FE4882"/>
    <w:rsid w:val="00FE49F4"/>
    <w:rsid w:val="00FE66EA"/>
    <w:rsid w:val="00FE6AFF"/>
    <w:rsid w:val="00FE764D"/>
    <w:rsid w:val="00FE79AB"/>
    <w:rsid w:val="00FF0BC6"/>
    <w:rsid w:val="00FF0D33"/>
    <w:rsid w:val="00FF1002"/>
    <w:rsid w:val="00FF1649"/>
    <w:rsid w:val="00FF1CFC"/>
    <w:rsid w:val="00FF256E"/>
    <w:rsid w:val="00FF3577"/>
    <w:rsid w:val="00FF3B46"/>
    <w:rsid w:val="00FF4343"/>
    <w:rsid w:val="00FF446A"/>
    <w:rsid w:val="00FF650C"/>
    <w:rsid w:val="00FF67E2"/>
    <w:rsid w:val="00FF7376"/>
    <w:rsid w:val="0122EA44"/>
    <w:rsid w:val="0124B235"/>
    <w:rsid w:val="012660D0"/>
    <w:rsid w:val="01271096"/>
    <w:rsid w:val="01281434"/>
    <w:rsid w:val="0137EB1B"/>
    <w:rsid w:val="01392694"/>
    <w:rsid w:val="014A1259"/>
    <w:rsid w:val="014D3E37"/>
    <w:rsid w:val="014E24FA"/>
    <w:rsid w:val="014E96D5"/>
    <w:rsid w:val="01555DDE"/>
    <w:rsid w:val="015CFE9D"/>
    <w:rsid w:val="0181E017"/>
    <w:rsid w:val="018ABE1E"/>
    <w:rsid w:val="0191E37B"/>
    <w:rsid w:val="01958EF4"/>
    <w:rsid w:val="0198BB9B"/>
    <w:rsid w:val="019A53E6"/>
    <w:rsid w:val="01ABEB57"/>
    <w:rsid w:val="01AC3BD2"/>
    <w:rsid w:val="01BA3227"/>
    <w:rsid w:val="01BEAB70"/>
    <w:rsid w:val="01C0EA1A"/>
    <w:rsid w:val="01FFAF4D"/>
    <w:rsid w:val="020239BF"/>
    <w:rsid w:val="020E6E6A"/>
    <w:rsid w:val="02168531"/>
    <w:rsid w:val="021696FB"/>
    <w:rsid w:val="021C478A"/>
    <w:rsid w:val="021F3897"/>
    <w:rsid w:val="0226F928"/>
    <w:rsid w:val="022C1C41"/>
    <w:rsid w:val="022FF3E3"/>
    <w:rsid w:val="026B49A4"/>
    <w:rsid w:val="02777030"/>
    <w:rsid w:val="027779E8"/>
    <w:rsid w:val="0295EEA4"/>
    <w:rsid w:val="029ACF6E"/>
    <w:rsid w:val="02AA3943"/>
    <w:rsid w:val="02CF749E"/>
    <w:rsid w:val="02DD95D2"/>
    <w:rsid w:val="02E65E30"/>
    <w:rsid w:val="02F17C30"/>
    <w:rsid w:val="030A10DF"/>
    <w:rsid w:val="030D3913"/>
    <w:rsid w:val="03192682"/>
    <w:rsid w:val="031FBE71"/>
    <w:rsid w:val="03307A40"/>
    <w:rsid w:val="034DB4B2"/>
    <w:rsid w:val="03675E0C"/>
    <w:rsid w:val="036B189C"/>
    <w:rsid w:val="03710DDB"/>
    <w:rsid w:val="037A478E"/>
    <w:rsid w:val="03831F90"/>
    <w:rsid w:val="0393A313"/>
    <w:rsid w:val="03C2877A"/>
    <w:rsid w:val="03C72463"/>
    <w:rsid w:val="03E7D3A9"/>
    <w:rsid w:val="03E82AD4"/>
    <w:rsid w:val="03EE3D1A"/>
    <w:rsid w:val="040B547E"/>
    <w:rsid w:val="041DCE1E"/>
    <w:rsid w:val="042ABD99"/>
    <w:rsid w:val="04345C7A"/>
    <w:rsid w:val="0436A84B"/>
    <w:rsid w:val="043800BE"/>
    <w:rsid w:val="04488D83"/>
    <w:rsid w:val="0452D4CA"/>
    <w:rsid w:val="045A54AE"/>
    <w:rsid w:val="045C1EC8"/>
    <w:rsid w:val="045DA257"/>
    <w:rsid w:val="0469166D"/>
    <w:rsid w:val="046E8136"/>
    <w:rsid w:val="046F8BDD"/>
    <w:rsid w:val="04838B13"/>
    <w:rsid w:val="048922F3"/>
    <w:rsid w:val="04A56A67"/>
    <w:rsid w:val="04A59705"/>
    <w:rsid w:val="04AF0C4C"/>
    <w:rsid w:val="04B37895"/>
    <w:rsid w:val="04D7A405"/>
    <w:rsid w:val="04ED9591"/>
    <w:rsid w:val="04F339CF"/>
    <w:rsid w:val="04F4951A"/>
    <w:rsid w:val="04FBCEB0"/>
    <w:rsid w:val="05028DAD"/>
    <w:rsid w:val="051C9853"/>
    <w:rsid w:val="051E8E8F"/>
    <w:rsid w:val="052E42AF"/>
    <w:rsid w:val="052F4D64"/>
    <w:rsid w:val="054B569C"/>
    <w:rsid w:val="054CC83A"/>
    <w:rsid w:val="0552E9E9"/>
    <w:rsid w:val="055B7817"/>
    <w:rsid w:val="0560BC3A"/>
    <w:rsid w:val="05737E47"/>
    <w:rsid w:val="05976AB3"/>
    <w:rsid w:val="059E0A40"/>
    <w:rsid w:val="05A693F0"/>
    <w:rsid w:val="05B00451"/>
    <w:rsid w:val="05BB2F75"/>
    <w:rsid w:val="05BF7DF0"/>
    <w:rsid w:val="05C20DF8"/>
    <w:rsid w:val="05C50F0D"/>
    <w:rsid w:val="05CA9DBB"/>
    <w:rsid w:val="05CF9A9B"/>
    <w:rsid w:val="05D31FE9"/>
    <w:rsid w:val="05DC9BDA"/>
    <w:rsid w:val="05EA7A6D"/>
    <w:rsid w:val="05EDF161"/>
    <w:rsid w:val="05F3B6BB"/>
    <w:rsid w:val="05F47557"/>
    <w:rsid w:val="0604D073"/>
    <w:rsid w:val="0619A40A"/>
    <w:rsid w:val="061AEFB9"/>
    <w:rsid w:val="061C4EBD"/>
    <w:rsid w:val="061FD07B"/>
    <w:rsid w:val="06287A23"/>
    <w:rsid w:val="0630B5F2"/>
    <w:rsid w:val="06416723"/>
    <w:rsid w:val="0643FFD7"/>
    <w:rsid w:val="0657EF24"/>
    <w:rsid w:val="06583822"/>
    <w:rsid w:val="0663AAFB"/>
    <w:rsid w:val="06804671"/>
    <w:rsid w:val="06A38B48"/>
    <w:rsid w:val="06A6476A"/>
    <w:rsid w:val="06A944E4"/>
    <w:rsid w:val="06AA8E25"/>
    <w:rsid w:val="06C74B10"/>
    <w:rsid w:val="06F52884"/>
    <w:rsid w:val="06F5C5ED"/>
    <w:rsid w:val="070BCCFC"/>
    <w:rsid w:val="0746BEFC"/>
    <w:rsid w:val="0752D4DF"/>
    <w:rsid w:val="075446C0"/>
    <w:rsid w:val="0771E659"/>
    <w:rsid w:val="077D7F6A"/>
    <w:rsid w:val="077E6A46"/>
    <w:rsid w:val="0789A941"/>
    <w:rsid w:val="078A758C"/>
    <w:rsid w:val="078CBEBE"/>
    <w:rsid w:val="079624DA"/>
    <w:rsid w:val="079FBA50"/>
    <w:rsid w:val="07A4627D"/>
    <w:rsid w:val="07A9B974"/>
    <w:rsid w:val="07ABCEB4"/>
    <w:rsid w:val="07C3C7C2"/>
    <w:rsid w:val="07D96EBC"/>
    <w:rsid w:val="07DA5B8F"/>
    <w:rsid w:val="07EC9C48"/>
    <w:rsid w:val="07F2A974"/>
    <w:rsid w:val="080474AF"/>
    <w:rsid w:val="08060764"/>
    <w:rsid w:val="08144F4F"/>
    <w:rsid w:val="08227713"/>
    <w:rsid w:val="08242DB9"/>
    <w:rsid w:val="08273A84"/>
    <w:rsid w:val="082A2938"/>
    <w:rsid w:val="082DCB5E"/>
    <w:rsid w:val="083D524B"/>
    <w:rsid w:val="084FE7DA"/>
    <w:rsid w:val="086278F7"/>
    <w:rsid w:val="0868EC92"/>
    <w:rsid w:val="087F4074"/>
    <w:rsid w:val="087FEC9C"/>
    <w:rsid w:val="088CEADF"/>
    <w:rsid w:val="089B63D5"/>
    <w:rsid w:val="08C3F8FF"/>
    <w:rsid w:val="08CC2F92"/>
    <w:rsid w:val="08D66BC1"/>
    <w:rsid w:val="08E1112A"/>
    <w:rsid w:val="08E5F2B4"/>
    <w:rsid w:val="08F19A12"/>
    <w:rsid w:val="08F1BA09"/>
    <w:rsid w:val="08F2F0F3"/>
    <w:rsid w:val="0902B699"/>
    <w:rsid w:val="0905A816"/>
    <w:rsid w:val="0908D25E"/>
    <w:rsid w:val="0921E936"/>
    <w:rsid w:val="0936BCE2"/>
    <w:rsid w:val="093D4533"/>
    <w:rsid w:val="09737BC2"/>
    <w:rsid w:val="0986E9B8"/>
    <w:rsid w:val="09963F48"/>
    <w:rsid w:val="099694E8"/>
    <w:rsid w:val="09A6B86D"/>
    <w:rsid w:val="09AAB2C3"/>
    <w:rsid w:val="09ABFDA2"/>
    <w:rsid w:val="09B9FE6F"/>
    <w:rsid w:val="09BC673C"/>
    <w:rsid w:val="09D41B7F"/>
    <w:rsid w:val="09D812AA"/>
    <w:rsid w:val="09E636F9"/>
    <w:rsid w:val="09FDD2BD"/>
    <w:rsid w:val="0A087FA6"/>
    <w:rsid w:val="0A0B688A"/>
    <w:rsid w:val="0A2535A8"/>
    <w:rsid w:val="0A358DF3"/>
    <w:rsid w:val="0A3695A7"/>
    <w:rsid w:val="0A48F408"/>
    <w:rsid w:val="0A4DFF0E"/>
    <w:rsid w:val="0A75D30C"/>
    <w:rsid w:val="0A7BFA2A"/>
    <w:rsid w:val="0A88D44B"/>
    <w:rsid w:val="0A8FFAAE"/>
    <w:rsid w:val="0A9AB34D"/>
    <w:rsid w:val="0AA61896"/>
    <w:rsid w:val="0AA7C95B"/>
    <w:rsid w:val="0AAEBC2C"/>
    <w:rsid w:val="0AB2AA9F"/>
    <w:rsid w:val="0AB2AF9B"/>
    <w:rsid w:val="0ABDBCB2"/>
    <w:rsid w:val="0AC3352E"/>
    <w:rsid w:val="0AC7E185"/>
    <w:rsid w:val="0ACF3CD7"/>
    <w:rsid w:val="0AD5309C"/>
    <w:rsid w:val="0AE18798"/>
    <w:rsid w:val="0AF06242"/>
    <w:rsid w:val="0AF131C4"/>
    <w:rsid w:val="0AF2A851"/>
    <w:rsid w:val="0B06E788"/>
    <w:rsid w:val="0B1788B6"/>
    <w:rsid w:val="0B18F89B"/>
    <w:rsid w:val="0B1B4119"/>
    <w:rsid w:val="0B290F8C"/>
    <w:rsid w:val="0B2EE66B"/>
    <w:rsid w:val="0B3566FD"/>
    <w:rsid w:val="0B4B585E"/>
    <w:rsid w:val="0B78C025"/>
    <w:rsid w:val="0B793E24"/>
    <w:rsid w:val="0B82BA0D"/>
    <w:rsid w:val="0B86E339"/>
    <w:rsid w:val="0B8B2EEF"/>
    <w:rsid w:val="0B9DB9FE"/>
    <w:rsid w:val="0BA87F32"/>
    <w:rsid w:val="0BB1AF37"/>
    <w:rsid w:val="0BB3F542"/>
    <w:rsid w:val="0BB90DEB"/>
    <w:rsid w:val="0BB9E872"/>
    <w:rsid w:val="0BC5BC12"/>
    <w:rsid w:val="0BCF737E"/>
    <w:rsid w:val="0BDC29B2"/>
    <w:rsid w:val="0BE3C3D1"/>
    <w:rsid w:val="0BFB844B"/>
    <w:rsid w:val="0BFC9CB7"/>
    <w:rsid w:val="0C2B3920"/>
    <w:rsid w:val="0C2D8F10"/>
    <w:rsid w:val="0C348B20"/>
    <w:rsid w:val="0C35297C"/>
    <w:rsid w:val="0C4EAFEC"/>
    <w:rsid w:val="0C5A5544"/>
    <w:rsid w:val="0C6347B5"/>
    <w:rsid w:val="0C708C07"/>
    <w:rsid w:val="0C70934B"/>
    <w:rsid w:val="0C7B25A8"/>
    <w:rsid w:val="0C7F3FD7"/>
    <w:rsid w:val="0C91A865"/>
    <w:rsid w:val="0CA87443"/>
    <w:rsid w:val="0CC1F13D"/>
    <w:rsid w:val="0CC72D8F"/>
    <w:rsid w:val="0CE843E3"/>
    <w:rsid w:val="0CEEAB37"/>
    <w:rsid w:val="0CF3A7D0"/>
    <w:rsid w:val="0CFA2DE9"/>
    <w:rsid w:val="0CFCEE6F"/>
    <w:rsid w:val="0D1C60B1"/>
    <w:rsid w:val="0D1D33B4"/>
    <w:rsid w:val="0D441B92"/>
    <w:rsid w:val="0D4F4BC1"/>
    <w:rsid w:val="0D5457D3"/>
    <w:rsid w:val="0D58FD00"/>
    <w:rsid w:val="0D59341D"/>
    <w:rsid w:val="0D5CD66A"/>
    <w:rsid w:val="0D66AFE9"/>
    <w:rsid w:val="0D66DF3F"/>
    <w:rsid w:val="0D6B9EA2"/>
    <w:rsid w:val="0D6F098C"/>
    <w:rsid w:val="0D6F463C"/>
    <w:rsid w:val="0D7379D7"/>
    <w:rsid w:val="0D963F97"/>
    <w:rsid w:val="0D9A9E4D"/>
    <w:rsid w:val="0D9B4029"/>
    <w:rsid w:val="0DAD8FFB"/>
    <w:rsid w:val="0DAF6630"/>
    <w:rsid w:val="0DAFCBB7"/>
    <w:rsid w:val="0DB5A671"/>
    <w:rsid w:val="0DC0E9A7"/>
    <w:rsid w:val="0DC21663"/>
    <w:rsid w:val="0DCE8562"/>
    <w:rsid w:val="0DCF6E44"/>
    <w:rsid w:val="0DE36D8F"/>
    <w:rsid w:val="0DF1102F"/>
    <w:rsid w:val="0DF156C1"/>
    <w:rsid w:val="0DF31873"/>
    <w:rsid w:val="0DF46516"/>
    <w:rsid w:val="0E098B8D"/>
    <w:rsid w:val="0E0C274F"/>
    <w:rsid w:val="0E0CD15E"/>
    <w:rsid w:val="0E1A0968"/>
    <w:rsid w:val="0E21813A"/>
    <w:rsid w:val="0E31C9ED"/>
    <w:rsid w:val="0E393447"/>
    <w:rsid w:val="0E46545E"/>
    <w:rsid w:val="0E4943EE"/>
    <w:rsid w:val="0E6F370C"/>
    <w:rsid w:val="0E9DE7E5"/>
    <w:rsid w:val="0EA1FAFC"/>
    <w:rsid w:val="0EA2DBF8"/>
    <w:rsid w:val="0EA7FCF1"/>
    <w:rsid w:val="0EC4382D"/>
    <w:rsid w:val="0ECE365E"/>
    <w:rsid w:val="0ED306D6"/>
    <w:rsid w:val="0EF63997"/>
    <w:rsid w:val="0EF65706"/>
    <w:rsid w:val="0EFCBC9C"/>
    <w:rsid w:val="0EFE6C3A"/>
    <w:rsid w:val="0F09AF70"/>
    <w:rsid w:val="0F0C428D"/>
    <w:rsid w:val="0F240959"/>
    <w:rsid w:val="0F24F9D1"/>
    <w:rsid w:val="0F306444"/>
    <w:rsid w:val="0F3300D7"/>
    <w:rsid w:val="0F38562E"/>
    <w:rsid w:val="0F405B2A"/>
    <w:rsid w:val="0F4C3801"/>
    <w:rsid w:val="0F59ACF8"/>
    <w:rsid w:val="0F622A11"/>
    <w:rsid w:val="0F7D23BF"/>
    <w:rsid w:val="0F8CAC83"/>
    <w:rsid w:val="0F921A2A"/>
    <w:rsid w:val="0FA36944"/>
    <w:rsid w:val="0FA5FE66"/>
    <w:rsid w:val="0FAB4000"/>
    <w:rsid w:val="0FC3D16B"/>
    <w:rsid w:val="0FE44A06"/>
    <w:rsid w:val="1008CA20"/>
    <w:rsid w:val="10170425"/>
    <w:rsid w:val="10237D5E"/>
    <w:rsid w:val="103F1255"/>
    <w:rsid w:val="1045FF00"/>
    <w:rsid w:val="10488F75"/>
    <w:rsid w:val="1055ED70"/>
    <w:rsid w:val="106830CC"/>
    <w:rsid w:val="106A06BF"/>
    <w:rsid w:val="106C4A06"/>
    <w:rsid w:val="1087B33E"/>
    <w:rsid w:val="1089F6CE"/>
    <w:rsid w:val="1094772C"/>
    <w:rsid w:val="10997F30"/>
    <w:rsid w:val="10BE35AF"/>
    <w:rsid w:val="10C6F71B"/>
    <w:rsid w:val="10C891BA"/>
    <w:rsid w:val="10DE5EA9"/>
    <w:rsid w:val="10F20D8B"/>
    <w:rsid w:val="10FB4890"/>
    <w:rsid w:val="1113A1F2"/>
    <w:rsid w:val="111C2A15"/>
    <w:rsid w:val="1121F11F"/>
    <w:rsid w:val="113465DD"/>
    <w:rsid w:val="116445EE"/>
    <w:rsid w:val="118B39CD"/>
    <w:rsid w:val="118D0141"/>
    <w:rsid w:val="11911EAC"/>
    <w:rsid w:val="11916BEC"/>
    <w:rsid w:val="119B19FB"/>
    <w:rsid w:val="11A85998"/>
    <w:rsid w:val="11B61A47"/>
    <w:rsid w:val="11C84B43"/>
    <w:rsid w:val="11CDF24C"/>
    <w:rsid w:val="11DEDF17"/>
    <w:rsid w:val="11E615CA"/>
    <w:rsid w:val="11ED7A18"/>
    <w:rsid w:val="11F46875"/>
    <w:rsid w:val="11F7E5D7"/>
    <w:rsid w:val="1203FE89"/>
    <w:rsid w:val="1211D13F"/>
    <w:rsid w:val="121521C6"/>
    <w:rsid w:val="121A94ED"/>
    <w:rsid w:val="1228EA50"/>
    <w:rsid w:val="12356AEC"/>
    <w:rsid w:val="1249C0EE"/>
    <w:rsid w:val="1251BE7B"/>
    <w:rsid w:val="1252A742"/>
    <w:rsid w:val="1253DBB2"/>
    <w:rsid w:val="125CE4E7"/>
    <w:rsid w:val="1277E0C6"/>
    <w:rsid w:val="127A0755"/>
    <w:rsid w:val="127E0435"/>
    <w:rsid w:val="12887584"/>
    <w:rsid w:val="129A7AA4"/>
    <w:rsid w:val="12A0E730"/>
    <w:rsid w:val="12A653BF"/>
    <w:rsid w:val="12A845BE"/>
    <w:rsid w:val="12A8F5F2"/>
    <w:rsid w:val="12CBD02D"/>
    <w:rsid w:val="12D45CDF"/>
    <w:rsid w:val="12D72B84"/>
    <w:rsid w:val="12E9328B"/>
    <w:rsid w:val="12FCF9C1"/>
    <w:rsid w:val="130E2093"/>
    <w:rsid w:val="1325C9DE"/>
    <w:rsid w:val="132B30B5"/>
    <w:rsid w:val="13394AF2"/>
    <w:rsid w:val="1339A518"/>
    <w:rsid w:val="133F04F8"/>
    <w:rsid w:val="1340B0AC"/>
    <w:rsid w:val="134E8CE2"/>
    <w:rsid w:val="134F449B"/>
    <w:rsid w:val="1363825D"/>
    <w:rsid w:val="136E6C80"/>
    <w:rsid w:val="136EDF08"/>
    <w:rsid w:val="137B3865"/>
    <w:rsid w:val="13924067"/>
    <w:rsid w:val="13A1ADCC"/>
    <w:rsid w:val="13A7D8FE"/>
    <w:rsid w:val="13B49DEF"/>
    <w:rsid w:val="13BBA9C8"/>
    <w:rsid w:val="13C8B731"/>
    <w:rsid w:val="13D3ED7A"/>
    <w:rsid w:val="13D57F30"/>
    <w:rsid w:val="13F623AF"/>
    <w:rsid w:val="13F9C98E"/>
    <w:rsid w:val="14017CF8"/>
    <w:rsid w:val="141A92A7"/>
    <w:rsid w:val="14321E6F"/>
    <w:rsid w:val="1449806F"/>
    <w:rsid w:val="1459196A"/>
    <w:rsid w:val="1461BAAF"/>
    <w:rsid w:val="146AD80B"/>
    <w:rsid w:val="1477351F"/>
    <w:rsid w:val="14796B99"/>
    <w:rsid w:val="149B2864"/>
    <w:rsid w:val="14AC269E"/>
    <w:rsid w:val="14AEF47B"/>
    <w:rsid w:val="14B43C65"/>
    <w:rsid w:val="14C52FD2"/>
    <w:rsid w:val="14C5FA5F"/>
    <w:rsid w:val="14F97951"/>
    <w:rsid w:val="1502A812"/>
    <w:rsid w:val="150CAB57"/>
    <w:rsid w:val="151A2FB1"/>
    <w:rsid w:val="1524E6A6"/>
    <w:rsid w:val="153295FF"/>
    <w:rsid w:val="155FF031"/>
    <w:rsid w:val="15642561"/>
    <w:rsid w:val="15657B1B"/>
    <w:rsid w:val="15A9A85D"/>
    <w:rsid w:val="15BCE08D"/>
    <w:rsid w:val="15BD2805"/>
    <w:rsid w:val="15BE3926"/>
    <w:rsid w:val="15C24F97"/>
    <w:rsid w:val="15C60580"/>
    <w:rsid w:val="15D24A01"/>
    <w:rsid w:val="15EA02B6"/>
    <w:rsid w:val="15F60ED0"/>
    <w:rsid w:val="15FB4BB7"/>
    <w:rsid w:val="1649CF35"/>
    <w:rsid w:val="16830ED5"/>
    <w:rsid w:val="16885500"/>
    <w:rsid w:val="16A03CA4"/>
    <w:rsid w:val="16AD0CC3"/>
    <w:rsid w:val="16B2E27F"/>
    <w:rsid w:val="16CC8D66"/>
    <w:rsid w:val="16CFCECF"/>
    <w:rsid w:val="16D236FD"/>
    <w:rsid w:val="16D7192A"/>
    <w:rsid w:val="16D911B1"/>
    <w:rsid w:val="16E20A00"/>
    <w:rsid w:val="16EB52E3"/>
    <w:rsid w:val="16FA01FE"/>
    <w:rsid w:val="1700F3DF"/>
    <w:rsid w:val="17168979"/>
    <w:rsid w:val="171D3211"/>
    <w:rsid w:val="1723D56C"/>
    <w:rsid w:val="174578BE"/>
    <w:rsid w:val="174C6764"/>
    <w:rsid w:val="1777AED8"/>
    <w:rsid w:val="177F8DED"/>
    <w:rsid w:val="178373E3"/>
    <w:rsid w:val="17AE3289"/>
    <w:rsid w:val="17BA01BD"/>
    <w:rsid w:val="17D3F4D1"/>
    <w:rsid w:val="17D699B3"/>
    <w:rsid w:val="17DB9CC9"/>
    <w:rsid w:val="17DC458C"/>
    <w:rsid w:val="17E95457"/>
    <w:rsid w:val="1804B64E"/>
    <w:rsid w:val="18099CED"/>
    <w:rsid w:val="182AC566"/>
    <w:rsid w:val="18321AEE"/>
    <w:rsid w:val="18350DFD"/>
    <w:rsid w:val="183F7DFB"/>
    <w:rsid w:val="1846013F"/>
    <w:rsid w:val="1847E76E"/>
    <w:rsid w:val="1848CA0D"/>
    <w:rsid w:val="184D9B4A"/>
    <w:rsid w:val="188E4E3A"/>
    <w:rsid w:val="18A04E42"/>
    <w:rsid w:val="18C798EA"/>
    <w:rsid w:val="18CA2F75"/>
    <w:rsid w:val="18DB1EB0"/>
    <w:rsid w:val="18EFCAE2"/>
    <w:rsid w:val="19054FC7"/>
    <w:rsid w:val="190F058C"/>
    <w:rsid w:val="19148941"/>
    <w:rsid w:val="192EA6FB"/>
    <w:rsid w:val="193B11B1"/>
    <w:rsid w:val="1944B986"/>
    <w:rsid w:val="195AA171"/>
    <w:rsid w:val="1974B6F7"/>
    <w:rsid w:val="197BB9F8"/>
    <w:rsid w:val="197BD25D"/>
    <w:rsid w:val="1982F496"/>
    <w:rsid w:val="19921D58"/>
    <w:rsid w:val="199F1387"/>
    <w:rsid w:val="19C57A44"/>
    <w:rsid w:val="19CAE49E"/>
    <w:rsid w:val="19D83882"/>
    <w:rsid w:val="19DABC7B"/>
    <w:rsid w:val="19EACBE8"/>
    <w:rsid w:val="19ED527A"/>
    <w:rsid w:val="19F1DE82"/>
    <w:rsid w:val="19F75F41"/>
    <w:rsid w:val="19F9DE1B"/>
    <w:rsid w:val="19FCDFCD"/>
    <w:rsid w:val="1A11E9C6"/>
    <w:rsid w:val="1A183272"/>
    <w:rsid w:val="1A1EDBA5"/>
    <w:rsid w:val="1A24188F"/>
    <w:rsid w:val="1A2ADAB0"/>
    <w:rsid w:val="1A2B2943"/>
    <w:rsid w:val="1A3EF7AD"/>
    <w:rsid w:val="1A4B0F80"/>
    <w:rsid w:val="1A4E982F"/>
    <w:rsid w:val="1A54DDDD"/>
    <w:rsid w:val="1A5F24E1"/>
    <w:rsid w:val="1A65155F"/>
    <w:rsid w:val="1A6F6C14"/>
    <w:rsid w:val="1A802F96"/>
    <w:rsid w:val="1AA4A30E"/>
    <w:rsid w:val="1AA9AD05"/>
    <w:rsid w:val="1AB60216"/>
    <w:rsid w:val="1AB99658"/>
    <w:rsid w:val="1ACA3FA5"/>
    <w:rsid w:val="1AD02F5C"/>
    <w:rsid w:val="1AD1B10F"/>
    <w:rsid w:val="1AD9B9F5"/>
    <w:rsid w:val="1AE5661E"/>
    <w:rsid w:val="1AE92EC3"/>
    <w:rsid w:val="1B1450FB"/>
    <w:rsid w:val="1B18A772"/>
    <w:rsid w:val="1B2432E2"/>
    <w:rsid w:val="1B37457B"/>
    <w:rsid w:val="1B3AFD75"/>
    <w:rsid w:val="1B8028E1"/>
    <w:rsid w:val="1B822A89"/>
    <w:rsid w:val="1B930B37"/>
    <w:rsid w:val="1B949D4E"/>
    <w:rsid w:val="1BA114C9"/>
    <w:rsid w:val="1BA56F33"/>
    <w:rsid w:val="1BA9D943"/>
    <w:rsid w:val="1BB077C9"/>
    <w:rsid w:val="1BCF8BC1"/>
    <w:rsid w:val="1BD48514"/>
    <w:rsid w:val="1BDFB369"/>
    <w:rsid w:val="1BE1F8AD"/>
    <w:rsid w:val="1C018A66"/>
    <w:rsid w:val="1C0829A3"/>
    <w:rsid w:val="1C0AFB34"/>
    <w:rsid w:val="1C13344F"/>
    <w:rsid w:val="1C280B04"/>
    <w:rsid w:val="1C38E37F"/>
    <w:rsid w:val="1C544BF6"/>
    <w:rsid w:val="1C589D96"/>
    <w:rsid w:val="1C649D8C"/>
    <w:rsid w:val="1C657317"/>
    <w:rsid w:val="1C660525"/>
    <w:rsid w:val="1C6EFC3A"/>
    <w:rsid w:val="1C74EA36"/>
    <w:rsid w:val="1C7BE135"/>
    <w:rsid w:val="1C85FFE6"/>
    <w:rsid w:val="1C87E3BB"/>
    <w:rsid w:val="1C8C9992"/>
    <w:rsid w:val="1CA01660"/>
    <w:rsid w:val="1CB3668B"/>
    <w:rsid w:val="1CB8CC95"/>
    <w:rsid w:val="1CBF61C4"/>
    <w:rsid w:val="1CD7AF70"/>
    <w:rsid w:val="1CEEB3ED"/>
    <w:rsid w:val="1D0CF29C"/>
    <w:rsid w:val="1D16C179"/>
    <w:rsid w:val="1D1BF780"/>
    <w:rsid w:val="1D2C4F91"/>
    <w:rsid w:val="1D4BAD65"/>
    <w:rsid w:val="1D4EB7BC"/>
    <w:rsid w:val="1D522B4A"/>
    <w:rsid w:val="1D54B5B2"/>
    <w:rsid w:val="1D56253C"/>
    <w:rsid w:val="1D5DF646"/>
    <w:rsid w:val="1D63FC48"/>
    <w:rsid w:val="1D6E93B3"/>
    <w:rsid w:val="1D7184BA"/>
    <w:rsid w:val="1D726D70"/>
    <w:rsid w:val="1D79A3EE"/>
    <w:rsid w:val="1D84BB67"/>
    <w:rsid w:val="1D937503"/>
    <w:rsid w:val="1D97914F"/>
    <w:rsid w:val="1D9D5DA8"/>
    <w:rsid w:val="1DAF170F"/>
    <w:rsid w:val="1DAF639E"/>
    <w:rsid w:val="1DC7B830"/>
    <w:rsid w:val="1DCC813D"/>
    <w:rsid w:val="1DDE865D"/>
    <w:rsid w:val="1DEF88F0"/>
    <w:rsid w:val="1DF6C021"/>
    <w:rsid w:val="1DFB098B"/>
    <w:rsid w:val="1DFC431E"/>
    <w:rsid w:val="1E06E439"/>
    <w:rsid w:val="1E1E8FB6"/>
    <w:rsid w:val="1E1FB746"/>
    <w:rsid w:val="1E370C48"/>
    <w:rsid w:val="1E3B0E21"/>
    <w:rsid w:val="1E3DBB2B"/>
    <w:rsid w:val="1E596E10"/>
    <w:rsid w:val="1E6D51EF"/>
    <w:rsid w:val="1E75787F"/>
    <w:rsid w:val="1E7A0F13"/>
    <w:rsid w:val="1E7C1C6D"/>
    <w:rsid w:val="1E82D2C8"/>
    <w:rsid w:val="1E8FC9E1"/>
    <w:rsid w:val="1E9CF28D"/>
    <w:rsid w:val="1EA568B2"/>
    <w:rsid w:val="1EAEEA01"/>
    <w:rsid w:val="1EB369B3"/>
    <w:rsid w:val="1EBA5728"/>
    <w:rsid w:val="1EC2C315"/>
    <w:rsid w:val="1EC7676D"/>
    <w:rsid w:val="1EF55E6D"/>
    <w:rsid w:val="1EF597A0"/>
    <w:rsid w:val="1EFAEC65"/>
    <w:rsid w:val="1F086497"/>
    <w:rsid w:val="1F08B9BB"/>
    <w:rsid w:val="1F0A6523"/>
    <w:rsid w:val="1F0E9863"/>
    <w:rsid w:val="1F1B0F34"/>
    <w:rsid w:val="1F2C4005"/>
    <w:rsid w:val="1F43C258"/>
    <w:rsid w:val="1F4D56D3"/>
    <w:rsid w:val="1F529294"/>
    <w:rsid w:val="1F564C7E"/>
    <w:rsid w:val="1F67C2D5"/>
    <w:rsid w:val="1F880AA3"/>
    <w:rsid w:val="1F91DB1D"/>
    <w:rsid w:val="1F9D6BDB"/>
    <w:rsid w:val="1FC2E780"/>
    <w:rsid w:val="1FC7A755"/>
    <w:rsid w:val="1FD7098E"/>
    <w:rsid w:val="1FEF4CC5"/>
    <w:rsid w:val="1FF28DF5"/>
    <w:rsid w:val="1FF2E1E4"/>
    <w:rsid w:val="1FF53E71"/>
    <w:rsid w:val="1FF88D0F"/>
    <w:rsid w:val="20011C73"/>
    <w:rsid w:val="2001977C"/>
    <w:rsid w:val="2001AE0F"/>
    <w:rsid w:val="2003AB4C"/>
    <w:rsid w:val="20079152"/>
    <w:rsid w:val="2009E11F"/>
    <w:rsid w:val="20125415"/>
    <w:rsid w:val="2014053F"/>
    <w:rsid w:val="2014F6E8"/>
    <w:rsid w:val="20190A17"/>
    <w:rsid w:val="201F6A02"/>
    <w:rsid w:val="202C2F76"/>
    <w:rsid w:val="203F94D6"/>
    <w:rsid w:val="2052F4C7"/>
    <w:rsid w:val="206138E0"/>
    <w:rsid w:val="206B572A"/>
    <w:rsid w:val="207AA5BA"/>
    <w:rsid w:val="208841BF"/>
    <w:rsid w:val="2099601F"/>
    <w:rsid w:val="20996C3E"/>
    <w:rsid w:val="20A047CA"/>
    <w:rsid w:val="20AA9AF6"/>
    <w:rsid w:val="20B3EC32"/>
    <w:rsid w:val="20BFCBA0"/>
    <w:rsid w:val="20C02DAE"/>
    <w:rsid w:val="20C712B2"/>
    <w:rsid w:val="20D1468A"/>
    <w:rsid w:val="20E26FEA"/>
    <w:rsid w:val="20F21CDF"/>
    <w:rsid w:val="21047538"/>
    <w:rsid w:val="21109652"/>
    <w:rsid w:val="211F7D06"/>
    <w:rsid w:val="212488BE"/>
    <w:rsid w:val="21322AF4"/>
    <w:rsid w:val="2133CD16"/>
    <w:rsid w:val="2148D74F"/>
    <w:rsid w:val="215FE017"/>
    <w:rsid w:val="21611DE6"/>
    <w:rsid w:val="216A07B8"/>
    <w:rsid w:val="217FFB25"/>
    <w:rsid w:val="218B1F81"/>
    <w:rsid w:val="218E28DC"/>
    <w:rsid w:val="21B8570B"/>
    <w:rsid w:val="21B96BEA"/>
    <w:rsid w:val="21CED19E"/>
    <w:rsid w:val="21DCC660"/>
    <w:rsid w:val="21E15C3E"/>
    <w:rsid w:val="21E4E26A"/>
    <w:rsid w:val="21EDFF2E"/>
    <w:rsid w:val="21EEFB4D"/>
    <w:rsid w:val="2204BD9E"/>
    <w:rsid w:val="2213898C"/>
    <w:rsid w:val="22156FAB"/>
    <w:rsid w:val="22159C2A"/>
    <w:rsid w:val="221C0823"/>
    <w:rsid w:val="2228D4E1"/>
    <w:rsid w:val="2230022F"/>
    <w:rsid w:val="223E2A85"/>
    <w:rsid w:val="22890B18"/>
    <w:rsid w:val="228F56B5"/>
    <w:rsid w:val="22AC5DAA"/>
    <w:rsid w:val="22D21FDD"/>
    <w:rsid w:val="22EC2569"/>
    <w:rsid w:val="22FDFB7E"/>
    <w:rsid w:val="230044C3"/>
    <w:rsid w:val="2309CE35"/>
    <w:rsid w:val="231C79D1"/>
    <w:rsid w:val="23280B8A"/>
    <w:rsid w:val="23394ED1"/>
    <w:rsid w:val="233A8E23"/>
    <w:rsid w:val="233BCF12"/>
    <w:rsid w:val="2350BAA1"/>
    <w:rsid w:val="2362C875"/>
    <w:rsid w:val="2366BF15"/>
    <w:rsid w:val="2384B58D"/>
    <w:rsid w:val="23893AB8"/>
    <w:rsid w:val="239B1416"/>
    <w:rsid w:val="239D48BC"/>
    <w:rsid w:val="23A44185"/>
    <w:rsid w:val="23ABDD42"/>
    <w:rsid w:val="23B1633F"/>
    <w:rsid w:val="23B501CB"/>
    <w:rsid w:val="23B9AB59"/>
    <w:rsid w:val="23CD3A9B"/>
    <w:rsid w:val="23DF2819"/>
    <w:rsid w:val="23E608E9"/>
    <w:rsid w:val="24059DDE"/>
    <w:rsid w:val="2409F013"/>
    <w:rsid w:val="241DD157"/>
    <w:rsid w:val="242D43BA"/>
    <w:rsid w:val="243310D0"/>
    <w:rsid w:val="24587697"/>
    <w:rsid w:val="24A2749C"/>
    <w:rsid w:val="24A6002A"/>
    <w:rsid w:val="24B6943C"/>
    <w:rsid w:val="24BEE073"/>
    <w:rsid w:val="24C097F0"/>
    <w:rsid w:val="24D39177"/>
    <w:rsid w:val="24D7234B"/>
    <w:rsid w:val="24D9B895"/>
    <w:rsid w:val="24DAE2E9"/>
    <w:rsid w:val="24DBD7E7"/>
    <w:rsid w:val="2502DBA4"/>
    <w:rsid w:val="250928B7"/>
    <w:rsid w:val="253FB478"/>
    <w:rsid w:val="2542090F"/>
    <w:rsid w:val="257688D5"/>
    <w:rsid w:val="2596678C"/>
    <w:rsid w:val="25A36647"/>
    <w:rsid w:val="25A95C17"/>
    <w:rsid w:val="25B33782"/>
    <w:rsid w:val="25BD5341"/>
    <w:rsid w:val="25CC59FF"/>
    <w:rsid w:val="25CD57F9"/>
    <w:rsid w:val="25E48ABA"/>
    <w:rsid w:val="25E5E4EA"/>
    <w:rsid w:val="25EFCC8E"/>
    <w:rsid w:val="2604D10F"/>
    <w:rsid w:val="2618D3BE"/>
    <w:rsid w:val="261D34DB"/>
    <w:rsid w:val="26334D4A"/>
    <w:rsid w:val="2633513A"/>
    <w:rsid w:val="263E16CE"/>
    <w:rsid w:val="26409BEC"/>
    <w:rsid w:val="2648C537"/>
    <w:rsid w:val="265C9C00"/>
    <w:rsid w:val="26674701"/>
    <w:rsid w:val="2676985C"/>
    <w:rsid w:val="26769A8A"/>
    <w:rsid w:val="267C4415"/>
    <w:rsid w:val="267FE6A8"/>
    <w:rsid w:val="2688AB62"/>
    <w:rsid w:val="2694C756"/>
    <w:rsid w:val="2698D4D3"/>
    <w:rsid w:val="269A033E"/>
    <w:rsid w:val="269CFACA"/>
    <w:rsid w:val="26A84218"/>
    <w:rsid w:val="26DF6188"/>
    <w:rsid w:val="26E37E04"/>
    <w:rsid w:val="26EFEAE8"/>
    <w:rsid w:val="26FB1BEE"/>
    <w:rsid w:val="27042B05"/>
    <w:rsid w:val="27043B22"/>
    <w:rsid w:val="2705C963"/>
    <w:rsid w:val="2708BE49"/>
    <w:rsid w:val="270962E1"/>
    <w:rsid w:val="271522A9"/>
    <w:rsid w:val="2716866E"/>
    <w:rsid w:val="271E8C1E"/>
    <w:rsid w:val="27347A8C"/>
    <w:rsid w:val="275BB6DD"/>
    <w:rsid w:val="27612B7E"/>
    <w:rsid w:val="2768EEEE"/>
    <w:rsid w:val="27820B81"/>
    <w:rsid w:val="278484DF"/>
    <w:rsid w:val="27864F7A"/>
    <w:rsid w:val="27954AAB"/>
    <w:rsid w:val="27954B7E"/>
    <w:rsid w:val="279F2A7E"/>
    <w:rsid w:val="27A699BA"/>
    <w:rsid w:val="27B09B2D"/>
    <w:rsid w:val="27B5ED54"/>
    <w:rsid w:val="27B827A1"/>
    <w:rsid w:val="27B9DDB9"/>
    <w:rsid w:val="27D4F0BE"/>
    <w:rsid w:val="27D736BB"/>
    <w:rsid w:val="27E331F4"/>
    <w:rsid w:val="27F7FE15"/>
    <w:rsid w:val="27FE9B7C"/>
    <w:rsid w:val="28015FBC"/>
    <w:rsid w:val="280A30B9"/>
    <w:rsid w:val="280B3239"/>
    <w:rsid w:val="282718CE"/>
    <w:rsid w:val="283B169B"/>
    <w:rsid w:val="284B0E63"/>
    <w:rsid w:val="284E9121"/>
    <w:rsid w:val="28512E95"/>
    <w:rsid w:val="28552156"/>
    <w:rsid w:val="28697276"/>
    <w:rsid w:val="286C31EB"/>
    <w:rsid w:val="28753A7A"/>
    <w:rsid w:val="28805CF8"/>
    <w:rsid w:val="2897CE2C"/>
    <w:rsid w:val="28ACD124"/>
    <w:rsid w:val="28B256CF"/>
    <w:rsid w:val="28B46EC8"/>
    <w:rsid w:val="28B81946"/>
    <w:rsid w:val="28E07342"/>
    <w:rsid w:val="28E19FC9"/>
    <w:rsid w:val="28EC2BBA"/>
    <w:rsid w:val="28F1E044"/>
    <w:rsid w:val="28F9C423"/>
    <w:rsid w:val="28FD9C1A"/>
    <w:rsid w:val="2901CD44"/>
    <w:rsid w:val="29143CD2"/>
    <w:rsid w:val="291D79DE"/>
    <w:rsid w:val="292605A5"/>
    <w:rsid w:val="292A3D59"/>
    <w:rsid w:val="292E1CAE"/>
    <w:rsid w:val="2931F5C6"/>
    <w:rsid w:val="29373E03"/>
    <w:rsid w:val="293C18F3"/>
    <w:rsid w:val="294460B5"/>
    <w:rsid w:val="295230E5"/>
    <w:rsid w:val="295427CC"/>
    <w:rsid w:val="295A1F20"/>
    <w:rsid w:val="29611E26"/>
    <w:rsid w:val="297126BF"/>
    <w:rsid w:val="2971B70F"/>
    <w:rsid w:val="29CF9691"/>
    <w:rsid w:val="29D83117"/>
    <w:rsid w:val="29F84A0A"/>
    <w:rsid w:val="29FBCF70"/>
    <w:rsid w:val="2A167C15"/>
    <w:rsid w:val="2A1C2870"/>
    <w:rsid w:val="2A28FA8E"/>
    <w:rsid w:val="2A345CC3"/>
    <w:rsid w:val="2A4103A3"/>
    <w:rsid w:val="2A487A01"/>
    <w:rsid w:val="2A4ACE2C"/>
    <w:rsid w:val="2A4E42B1"/>
    <w:rsid w:val="2A60CBA2"/>
    <w:rsid w:val="2A828BE9"/>
    <w:rsid w:val="2A891F38"/>
    <w:rsid w:val="2AA25620"/>
    <w:rsid w:val="2AA30222"/>
    <w:rsid w:val="2AA6686B"/>
    <w:rsid w:val="2AA7FEBC"/>
    <w:rsid w:val="2AA90C07"/>
    <w:rsid w:val="2AC1D606"/>
    <w:rsid w:val="2ACEECAD"/>
    <w:rsid w:val="2AD8D9CF"/>
    <w:rsid w:val="2ADCC724"/>
    <w:rsid w:val="2AE64537"/>
    <w:rsid w:val="2AED58A7"/>
    <w:rsid w:val="2AEFC863"/>
    <w:rsid w:val="2AF4F362"/>
    <w:rsid w:val="2AFE2224"/>
    <w:rsid w:val="2B14DBF4"/>
    <w:rsid w:val="2B18B88B"/>
    <w:rsid w:val="2B1C7679"/>
    <w:rsid w:val="2B22E022"/>
    <w:rsid w:val="2B3BB0DD"/>
    <w:rsid w:val="2B45FDD6"/>
    <w:rsid w:val="2B5EB990"/>
    <w:rsid w:val="2B5FE933"/>
    <w:rsid w:val="2B602E39"/>
    <w:rsid w:val="2B75BE65"/>
    <w:rsid w:val="2B7A3E58"/>
    <w:rsid w:val="2B7FA7DD"/>
    <w:rsid w:val="2B8FB473"/>
    <w:rsid w:val="2B96BA74"/>
    <w:rsid w:val="2B9BBCB0"/>
    <w:rsid w:val="2BA3E57F"/>
    <w:rsid w:val="2BAB108A"/>
    <w:rsid w:val="2BD10A94"/>
    <w:rsid w:val="2BDCD404"/>
    <w:rsid w:val="2BE23244"/>
    <w:rsid w:val="2BF22C89"/>
    <w:rsid w:val="2BFAC72D"/>
    <w:rsid w:val="2BFC4D9A"/>
    <w:rsid w:val="2BFDE9C5"/>
    <w:rsid w:val="2BFFE579"/>
    <w:rsid w:val="2C0904A1"/>
    <w:rsid w:val="2C1E5C4A"/>
    <w:rsid w:val="2C1FDAC5"/>
    <w:rsid w:val="2C28067E"/>
    <w:rsid w:val="2C2F862F"/>
    <w:rsid w:val="2C367745"/>
    <w:rsid w:val="2C4B211E"/>
    <w:rsid w:val="2C507BF7"/>
    <w:rsid w:val="2C6A4006"/>
    <w:rsid w:val="2C760A70"/>
    <w:rsid w:val="2C77E91D"/>
    <w:rsid w:val="2C7EBEA3"/>
    <w:rsid w:val="2C851ABE"/>
    <w:rsid w:val="2C8527DD"/>
    <w:rsid w:val="2C868C9F"/>
    <w:rsid w:val="2C96F19F"/>
    <w:rsid w:val="2C9D5564"/>
    <w:rsid w:val="2CBE7412"/>
    <w:rsid w:val="2CCDB918"/>
    <w:rsid w:val="2CD7801F"/>
    <w:rsid w:val="2CF4021F"/>
    <w:rsid w:val="2CFEE104"/>
    <w:rsid w:val="2D075B58"/>
    <w:rsid w:val="2D1626B0"/>
    <w:rsid w:val="2D1F9CF3"/>
    <w:rsid w:val="2D220462"/>
    <w:rsid w:val="2D24CDF7"/>
    <w:rsid w:val="2D3D25BA"/>
    <w:rsid w:val="2D5095CB"/>
    <w:rsid w:val="2D8B50D7"/>
    <w:rsid w:val="2D9142C6"/>
    <w:rsid w:val="2DA6A01E"/>
    <w:rsid w:val="2DBAAE7E"/>
    <w:rsid w:val="2DCDFB5A"/>
    <w:rsid w:val="2DCE444C"/>
    <w:rsid w:val="2DD48E0A"/>
    <w:rsid w:val="2DE2163E"/>
    <w:rsid w:val="2DEC1764"/>
    <w:rsid w:val="2DEF6133"/>
    <w:rsid w:val="2E10FFFB"/>
    <w:rsid w:val="2E266D06"/>
    <w:rsid w:val="2E3D6605"/>
    <w:rsid w:val="2E419839"/>
    <w:rsid w:val="2E49BEA3"/>
    <w:rsid w:val="2E579B83"/>
    <w:rsid w:val="2E7362AA"/>
    <w:rsid w:val="2E787A70"/>
    <w:rsid w:val="2E7A4083"/>
    <w:rsid w:val="2E819F60"/>
    <w:rsid w:val="2E911576"/>
    <w:rsid w:val="2E91ADD7"/>
    <w:rsid w:val="2EABD371"/>
    <w:rsid w:val="2EB5337D"/>
    <w:rsid w:val="2EBC4F41"/>
    <w:rsid w:val="2EBC8C4A"/>
    <w:rsid w:val="2EC09E58"/>
    <w:rsid w:val="2EC7C364"/>
    <w:rsid w:val="2ECF8C4E"/>
    <w:rsid w:val="2ED20C27"/>
    <w:rsid w:val="2ED28B73"/>
    <w:rsid w:val="2ED35FEA"/>
    <w:rsid w:val="2ED535B6"/>
    <w:rsid w:val="2EE964DC"/>
    <w:rsid w:val="2F0D0D3E"/>
    <w:rsid w:val="2F2E0739"/>
    <w:rsid w:val="2F342F7C"/>
    <w:rsid w:val="2F352A76"/>
    <w:rsid w:val="2F39A8FE"/>
    <w:rsid w:val="2F3CEBA6"/>
    <w:rsid w:val="2F71C594"/>
    <w:rsid w:val="2F723688"/>
    <w:rsid w:val="2F9A5E53"/>
    <w:rsid w:val="2FA14F73"/>
    <w:rsid w:val="2FA3A659"/>
    <w:rsid w:val="2FA74C51"/>
    <w:rsid w:val="2FBD4337"/>
    <w:rsid w:val="2FC23D67"/>
    <w:rsid w:val="2FC33473"/>
    <w:rsid w:val="2FC973EB"/>
    <w:rsid w:val="2FCAF8B4"/>
    <w:rsid w:val="2FD4B721"/>
    <w:rsid w:val="2FE15403"/>
    <w:rsid w:val="2FEE4FF3"/>
    <w:rsid w:val="30045245"/>
    <w:rsid w:val="300E418E"/>
    <w:rsid w:val="300E7EA7"/>
    <w:rsid w:val="30106785"/>
    <w:rsid w:val="3010872C"/>
    <w:rsid w:val="30108DD9"/>
    <w:rsid w:val="3020421A"/>
    <w:rsid w:val="30253D65"/>
    <w:rsid w:val="302E75E6"/>
    <w:rsid w:val="30379560"/>
    <w:rsid w:val="30379BB4"/>
    <w:rsid w:val="30465C88"/>
    <w:rsid w:val="304767DC"/>
    <w:rsid w:val="30560A75"/>
    <w:rsid w:val="305813DF"/>
    <w:rsid w:val="30604E1E"/>
    <w:rsid w:val="30836086"/>
    <w:rsid w:val="30888CDF"/>
    <w:rsid w:val="30A45721"/>
    <w:rsid w:val="30AE401D"/>
    <w:rsid w:val="30BA312F"/>
    <w:rsid w:val="30BE431E"/>
    <w:rsid w:val="30BF1BD5"/>
    <w:rsid w:val="30CDA200"/>
    <w:rsid w:val="30D0FAD7"/>
    <w:rsid w:val="30DBE61F"/>
    <w:rsid w:val="30E225A7"/>
    <w:rsid w:val="30EA3A7C"/>
    <w:rsid w:val="30EF11A5"/>
    <w:rsid w:val="3103DDF1"/>
    <w:rsid w:val="31075016"/>
    <w:rsid w:val="31084873"/>
    <w:rsid w:val="310BC053"/>
    <w:rsid w:val="310C7445"/>
    <w:rsid w:val="311DE829"/>
    <w:rsid w:val="3125815C"/>
    <w:rsid w:val="3127F5DC"/>
    <w:rsid w:val="312A6D6D"/>
    <w:rsid w:val="31394649"/>
    <w:rsid w:val="313CD685"/>
    <w:rsid w:val="314FFBB5"/>
    <w:rsid w:val="315326D7"/>
    <w:rsid w:val="31541565"/>
    <w:rsid w:val="31749D75"/>
    <w:rsid w:val="31932593"/>
    <w:rsid w:val="31948074"/>
    <w:rsid w:val="3196A2F2"/>
    <w:rsid w:val="3198FBA5"/>
    <w:rsid w:val="31B94B03"/>
    <w:rsid w:val="31C34B29"/>
    <w:rsid w:val="31EB2383"/>
    <w:rsid w:val="31EF6C90"/>
    <w:rsid w:val="31F849B2"/>
    <w:rsid w:val="31FA8B2F"/>
    <w:rsid w:val="32091BC5"/>
    <w:rsid w:val="320E08BC"/>
    <w:rsid w:val="321B55C9"/>
    <w:rsid w:val="32277DBD"/>
    <w:rsid w:val="3231B1E4"/>
    <w:rsid w:val="323A1973"/>
    <w:rsid w:val="323E311D"/>
    <w:rsid w:val="3241F94B"/>
    <w:rsid w:val="3248E716"/>
    <w:rsid w:val="324C9883"/>
    <w:rsid w:val="325C418C"/>
    <w:rsid w:val="3265508D"/>
    <w:rsid w:val="326F1426"/>
    <w:rsid w:val="3281F217"/>
    <w:rsid w:val="3294CE71"/>
    <w:rsid w:val="32960577"/>
    <w:rsid w:val="329D0A49"/>
    <w:rsid w:val="32A04C88"/>
    <w:rsid w:val="32ACF112"/>
    <w:rsid w:val="32C88AB9"/>
    <w:rsid w:val="32C9BB94"/>
    <w:rsid w:val="32DF0347"/>
    <w:rsid w:val="331A6812"/>
    <w:rsid w:val="33240AB4"/>
    <w:rsid w:val="332A8715"/>
    <w:rsid w:val="33363EB7"/>
    <w:rsid w:val="333D0F4C"/>
    <w:rsid w:val="334C35D4"/>
    <w:rsid w:val="33596942"/>
    <w:rsid w:val="339224CD"/>
    <w:rsid w:val="339BA869"/>
    <w:rsid w:val="339DE1BC"/>
    <w:rsid w:val="33A27CC5"/>
    <w:rsid w:val="33A32A7A"/>
    <w:rsid w:val="33B3CC1A"/>
    <w:rsid w:val="33D9BA8D"/>
    <w:rsid w:val="33DA80E0"/>
    <w:rsid w:val="33DF468A"/>
    <w:rsid w:val="33E32681"/>
    <w:rsid w:val="33E37810"/>
    <w:rsid w:val="33F0BF46"/>
    <w:rsid w:val="34009E0C"/>
    <w:rsid w:val="341045D2"/>
    <w:rsid w:val="341C24D3"/>
    <w:rsid w:val="343E5D94"/>
    <w:rsid w:val="34543867"/>
    <w:rsid w:val="34663EFE"/>
    <w:rsid w:val="3483824A"/>
    <w:rsid w:val="34919E84"/>
    <w:rsid w:val="34948413"/>
    <w:rsid w:val="34984B4F"/>
    <w:rsid w:val="34AC3536"/>
    <w:rsid w:val="34C8200E"/>
    <w:rsid w:val="34D39C54"/>
    <w:rsid w:val="34E59178"/>
    <w:rsid w:val="34F85F53"/>
    <w:rsid w:val="35030FD3"/>
    <w:rsid w:val="3513C61A"/>
    <w:rsid w:val="35274449"/>
    <w:rsid w:val="352B2557"/>
    <w:rsid w:val="35307B2E"/>
    <w:rsid w:val="35370D55"/>
    <w:rsid w:val="353C9AE0"/>
    <w:rsid w:val="35494206"/>
    <w:rsid w:val="35631E9A"/>
    <w:rsid w:val="35722BCF"/>
    <w:rsid w:val="35735C57"/>
    <w:rsid w:val="35792E49"/>
    <w:rsid w:val="3588159A"/>
    <w:rsid w:val="359AE002"/>
    <w:rsid w:val="35ABA5C0"/>
    <w:rsid w:val="35AEB248"/>
    <w:rsid w:val="35B43EAD"/>
    <w:rsid w:val="35BE0CED"/>
    <w:rsid w:val="35CC6F33"/>
    <w:rsid w:val="35F0228B"/>
    <w:rsid w:val="35FA38FF"/>
    <w:rsid w:val="35FD940E"/>
    <w:rsid w:val="3602710A"/>
    <w:rsid w:val="3609F94C"/>
    <w:rsid w:val="36215CB4"/>
    <w:rsid w:val="362D6EE5"/>
    <w:rsid w:val="363E566B"/>
    <w:rsid w:val="363EFECA"/>
    <w:rsid w:val="36966885"/>
    <w:rsid w:val="369F04C9"/>
    <w:rsid w:val="369F0951"/>
    <w:rsid w:val="36A30D14"/>
    <w:rsid w:val="36A57A04"/>
    <w:rsid w:val="36B1DE73"/>
    <w:rsid w:val="36B7A18B"/>
    <w:rsid w:val="36CAE542"/>
    <w:rsid w:val="36CBB03D"/>
    <w:rsid w:val="36D493E0"/>
    <w:rsid w:val="36E74BC5"/>
    <w:rsid w:val="371124F6"/>
    <w:rsid w:val="371CC7D7"/>
    <w:rsid w:val="3720E60B"/>
    <w:rsid w:val="37211554"/>
    <w:rsid w:val="372CB0FD"/>
    <w:rsid w:val="3735D592"/>
    <w:rsid w:val="374F4F04"/>
    <w:rsid w:val="376B2D81"/>
    <w:rsid w:val="377155FC"/>
    <w:rsid w:val="377C8A4F"/>
    <w:rsid w:val="378605E4"/>
    <w:rsid w:val="37874A0E"/>
    <w:rsid w:val="3788C555"/>
    <w:rsid w:val="379A8C61"/>
    <w:rsid w:val="37ACCDAB"/>
    <w:rsid w:val="37DD46A3"/>
    <w:rsid w:val="37E978B9"/>
    <w:rsid w:val="3801B1A8"/>
    <w:rsid w:val="38047177"/>
    <w:rsid w:val="3818A14A"/>
    <w:rsid w:val="381B3100"/>
    <w:rsid w:val="381C4A8E"/>
    <w:rsid w:val="381C5D39"/>
    <w:rsid w:val="3828A989"/>
    <w:rsid w:val="382A3FA8"/>
    <w:rsid w:val="384341E7"/>
    <w:rsid w:val="3845F75F"/>
    <w:rsid w:val="3851D558"/>
    <w:rsid w:val="3866A0C7"/>
    <w:rsid w:val="38681DF5"/>
    <w:rsid w:val="38691451"/>
    <w:rsid w:val="3869FFDB"/>
    <w:rsid w:val="386FCD55"/>
    <w:rsid w:val="38705702"/>
    <w:rsid w:val="387D5B04"/>
    <w:rsid w:val="38892D0B"/>
    <w:rsid w:val="388AF14E"/>
    <w:rsid w:val="38986A3F"/>
    <w:rsid w:val="3899B381"/>
    <w:rsid w:val="389C330A"/>
    <w:rsid w:val="38B0093E"/>
    <w:rsid w:val="38BFD7DD"/>
    <w:rsid w:val="38C9792C"/>
    <w:rsid w:val="38D48E04"/>
    <w:rsid w:val="38DBEBB3"/>
    <w:rsid w:val="38DC11B5"/>
    <w:rsid w:val="38ECEE90"/>
    <w:rsid w:val="38ECEF97"/>
    <w:rsid w:val="38EF203A"/>
    <w:rsid w:val="38F25C95"/>
    <w:rsid w:val="3913BD13"/>
    <w:rsid w:val="391A43F5"/>
    <w:rsid w:val="394847BE"/>
    <w:rsid w:val="394D55D3"/>
    <w:rsid w:val="395CC5B6"/>
    <w:rsid w:val="395D4308"/>
    <w:rsid w:val="39606EB7"/>
    <w:rsid w:val="39639DC6"/>
    <w:rsid w:val="396A3FB6"/>
    <w:rsid w:val="396DF051"/>
    <w:rsid w:val="3972D55E"/>
    <w:rsid w:val="3974342A"/>
    <w:rsid w:val="39850F1B"/>
    <w:rsid w:val="398D3846"/>
    <w:rsid w:val="3990FAD4"/>
    <w:rsid w:val="3995C7F8"/>
    <w:rsid w:val="399B64D8"/>
    <w:rsid w:val="39A8CF64"/>
    <w:rsid w:val="39A925B9"/>
    <w:rsid w:val="39AB1684"/>
    <w:rsid w:val="39AE58C1"/>
    <w:rsid w:val="39B35B75"/>
    <w:rsid w:val="39B37C20"/>
    <w:rsid w:val="39BB5DA7"/>
    <w:rsid w:val="39BEBFD9"/>
    <w:rsid w:val="39C0AA66"/>
    <w:rsid w:val="39C90A27"/>
    <w:rsid w:val="39F4BF01"/>
    <w:rsid w:val="3A05E870"/>
    <w:rsid w:val="3A0A29D1"/>
    <w:rsid w:val="3A0C646A"/>
    <w:rsid w:val="3A2C02FB"/>
    <w:rsid w:val="3A3CC3C9"/>
    <w:rsid w:val="3A491D7B"/>
    <w:rsid w:val="3A4B4AD6"/>
    <w:rsid w:val="3A6028F1"/>
    <w:rsid w:val="3A637348"/>
    <w:rsid w:val="3A6720EA"/>
    <w:rsid w:val="3A67B8FE"/>
    <w:rsid w:val="3A6873FD"/>
    <w:rsid w:val="3A689A84"/>
    <w:rsid w:val="3A699CC7"/>
    <w:rsid w:val="3A7170AF"/>
    <w:rsid w:val="3A76920C"/>
    <w:rsid w:val="3A95F466"/>
    <w:rsid w:val="3A9E1D2E"/>
    <w:rsid w:val="3AA3BDD6"/>
    <w:rsid w:val="3AAD6023"/>
    <w:rsid w:val="3AC54F8F"/>
    <w:rsid w:val="3AE58419"/>
    <w:rsid w:val="3AE5D99F"/>
    <w:rsid w:val="3AE8C228"/>
    <w:rsid w:val="3AFA6771"/>
    <w:rsid w:val="3AFF6E27"/>
    <w:rsid w:val="3B02A4B8"/>
    <w:rsid w:val="3B080DE4"/>
    <w:rsid w:val="3B081C1F"/>
    <w:rsid w:val="3B0CAC8D"/>
    <w:rsid w:val="3B10F726"/>
    <w:rsid w:val="3B20DF7C"/>
    <w:rsid w:val="3B24FA69"/>
    <w:rsid w:val="3B2E26F3"/>
    <w:rsid w:val="3B3299C8"/>
    <w:rsid w:val="3B3EE590"/>
    <w:rsid w:val="3B423B9C"/>
    <w:rsid w:val="3B46EB40"/>
    <w:rsid w:val="3B4704EC"/>
    <w:rsid w:val="3B679A21"/>
    <w:rsid w:val="3B6FCC79"/>
    <w:rsid w:val="3B803CDD"/>
    <w:rsid w:val="3B873070"/>
    <w:rsid w:val="3B908F62"/>
    <w:rsid w:val="3B969FEF"/>
    <w:rsid w:val="3BA78D7C"/>
    <w:rsid w:val="3BA9C710"/>
    <w:rsid w:val="3BCDFBD1"/>
    <w:rsid w:val="3BD458D2"/>
    <w:rsid w:val="3BE23FF2"/>
    <w:rsid w:val="3C003D00"/>
    <w:rsid w:val="3C02E4F9"/>
    <w:rsid w:val="3C094BB8"/>
    <w:rsid w:val="3C138326"/>
    <w:rsid w:val="3C1D61E0"/>
    <w:rsid w:val="3C3096A5"/>
    <w:rsid w:val="3C38967C"/>
    <w:rsid w:val="3C3AC7DF"/>
    <w:rsid w:val="3C3C1497"/>
    <w:rsid w:val="3C419AA8"/>
    <w:rsid w:val="3C48936E"/>
    <w:rsid w:val="3C527932"/>
    <w:rsid w:val="3C5CD929"/>
    <w:rsid w:val="3C5FBD12"/>
    <w:rsid w:val="3C6C3CE1"/>
    <w:rsid w:val="3C7140F6"/>
    <w:rsid w:val="3C829175"/>
    <w:rsid w:val="3C943C56"/>
    <w:rsid w:val="3C9757F1"/>
    <w:rsid w:val="3C9C2323"/>
    <w:rsid w:val="3CA4C1E5"/>
    <w:rsid w:val="3CA4C6F1"/>
    <w:rsid w:val="3CA553F6"/>
    <w:rsid w:val="3CAD5573"/>
    <w:rsid w:val="3CD653C5"/>
    <w:rsid w:val="3CDC871A"/>
    <w:rsid w:val="3CDE802A"/>
    <w:rsid w:val="3CEE78B4"/>
    <w:rsid w:val="3CEFE861"/>
    <w:rsid w:val="3CF10FC4"/>
    <w:rsid w:val="3CFB48FB"/>
    <w:rsid w:val="3D07A342"/>
    <w:rsid w:val="3D0FB581"/>
    <w:rsid w:val="3D1727CE"/>
    <w:rsid w:val="3D2897FE"/>
    <w:rsid w:val="3D47ACC5"/>
    <w:rsid w:val="3D47F998"/>
    <w:rsid w:val="3D4AC85F"/>
    <w:rsid w:val="3D58F7CE"/>
    <w:rsid w:val="3D5C0572"/>
    <w:rsid w:val="3D837A61"/>
    <w:rsid w:val="3DB77D97"/>
    <w:rsid w:val="3DBC1386"/>
    <w:rsid w:val="3DDC1D4E"/>
    <w:rsid w:val="3DDFBC7D"/>
    <w:rsid w:val="3DFA691B"/>
    <w:rsid w:val="3E0D648F"/>
    <w:rsid w:val="3E129559"/>
    <w:rsid w:val="3E22079F"/>
    <w:rsid w:val="3E268CEC"/>
    <w:rsid w:val="3E284B28"/>
    <w:rsid w:val="3E29FE10"/>
    <w:rsid w:val="3E35A8B4"/>
    <w:rsid w:val="3E48BCA1"/>
    <w:rsid w:val="3E4A3EC3"/>
    <w:rsid w:val="3E4A90BF"/>
    <w:rsid w:val="3E4DF0D1"/>
    <w:rsid w:val="3E6A497C"/>
    <w:rsid w:val="3E6BD846"/>
    <w:rsid w:val="3E6D7179"/>
    <w:rsid w:val="3E8058CF"/>
    <w:rsid w:val="3E83EA82"/>
    <w:rsid w:val="3E89667A"/>
    <w:rsid w:val="3E985EE3"/>
    <w:rsid w:val="3EA8A088"/>
    <w:rsid w:val="3EB4CCC6"/>
    <w:rsid w:val="3EBE72DC"/>
    <w:rsid w:val="3EC41BFD"/>
    <w:rsid w:val="3ECEC867"/>
    <w:rsid w:val="3EFB4FE4"/>
    <w:rsid w:val="3EFF741E"/>
    <w:rsid w:val="3F0BE81C"/>
    <w:rsid w:val="3F0C5CCA"/>
    <w:rsid w:val="3F1330C9"/>
    <w:rsid w:val="3F1575DF"/>
    <w:rsid w:val="3F26DB55"/>
    <w:rsid w:val="3F306FAC"/>
    <w:rsid w:val="3F4ED612"/>
    <w:rsid w:val="3F66C103"/>
    <w:rsid w:val="3F6FA9EB"/>
    <w:rsid w:val="3F8DBC0D"/>
    <w:rsid w:val="3F9C609A"/>
    <w:rsid w:val="3FAD5470"/>
    <w:rsid w:val="3FB5213A"/>
    <w:rsid w:val="3FBA2390"/>
    <w:rsid w:val="3FBD4096"/>
    <w:rsid w:val="3FC3EDE2"/>
    <w:rsid w:val="3FC49945"/>
    <w:rsid w:val="3FEB78DE"/>
    <w:rsid w:val="3FFA4D15"/>
    <w:rsid w:val="40071D26"/>
    <w:rsid w:val="40190E64"/>
    <w:rsid w:val="401FBAE3"/>
    <w:rsid w:val="402393FE"/>
    <w:rsid w:val="40255046"/>
    <w:rsid w:val="40332EE1"/>
    <w:rsid w:val="4040440E"/>
    <w:rsid w:val="405BA3C0"/>
    <w:rsid w:val="406C3F6B"/>
    <w:rsid w:val="406D0D06"/>
    <w:rsid w:val="40766A4C"/>
    <w:rsid w:val="40805DB6"/>
    <w:rsid w:val="40AE3B44"/>
    <w:rsid w:val="40B6E43D"/>
    <w:rsid w:val="40BB85A8"/>
    <w:rsid w:val="41050931"/>
    <w:rsid w:val="410539BD"/>
    <w:rsid w:val="41096FB2"/>
    <w:rsid w:val="4110C95F"/>
    <w:rsid w:val="411A52AE"/>
    <w:rsid w:val="411CF070"/>
    <w:rsid w:val="413415CC"/>
    <w:rsid w:val="41369D33"/>
    <w:rsid w:val="415910F7"/>
    <w:rsid w:val="417D201A"/>
    <w:rsid w:val="418A2C37"/>
    <w:rsid w:val="4194E9B6"/>
    <w:rsid w:val="41AA75CB"/>
    <w:rsid w:val="41BC8D18"/>
    <w:rsid w:val="41D05C5A"/>
    <w:rsid w:val="41D0FBD0"/>
    <w:rsid w:val="41D755E9"/>
    <w:rsid w:val="41DA1DAD"/>
    <w:rsid w:val="41DC07D5"/>
    <w:rsid w:val="41E23A6F"/>
    <w:rsid w:val="41F8CCC3"/>
    <w:rsid w:val="42028B3A"/>
    <w:rsid w:val="4226B2DA"/>
    <w:rsid w:val="4227C468"/>
    <w:rsid w:val="424FC847"/>
    <w:rsid w:val="425407AE"/>
    <w:rsid w:val="427B42A8"/>
    <w:rsid w:val="427EC646"/>
    <w:rsid w:val="42859AD8"/>
    <w:rsid w:val="42860FDE"/>
    <w:rsid w:val="42886B1B"/>
    <w:rsid w:val="428DB76C"/>
    <w:rsid w:val="42982FB1"/>
    <w:rsid w:val="429D8BEB"/>
    <w:rsid w:val="42AE9E13"/>
    <w:rsid w:val="42B8A881"/>
    <w:rsid w:val="42B9C8E9"/>
    <w:rsid w:val="42BD09DD"/>
    <w:rsid w:val="42D0FD4F"/>
    <w:rsid w:val="42EFF074"/>
    <w:rsid w:val="42F3E539"/>
    <w:rsid w:val="42F64ACD"/>
    <w:rsid w:val="42FB75CC"/>
    <w:rsid w:val="432058FC"/>
    <w:rsid w:val="43393A6A"/>
    <w:rsid w:val="4340C8B3"/>
    <w:rsid w:val="4346F4CD"/>
    <w:rsid w:val="43508BFC"/>
    <w:rsid w:val="436F64DB"/>
    <w:rsid w:val="4382ACAA"/>
    <w:rsid w:val="43927D15"/>
    <w:rsid w:val="43A93DA1"/>
    <w:rsid w:val="43C4C042"/>
    <w:rsid w:val="43D8745E"/>
    <w:rsid w:val="43E059A3"/>
    <w:rsid w:val="43E34FC6"/>
    <w:rsid w:val="43EE92C6"/>
    <w:rsid w:val="43F967B9"/>
    <w:rsid w:val="441495B4"/>
    <w:rsid w:val="44183468"/>
    <w:rsid w:val="442033C9"/>
    <w:rsid w:val="44279138"/>
    <w:rsid w:val="442896B9"/>
    <w:rsid w:val="4455994A"/>
    <w:rsid w:val="445B91D8"/>
    <w:rsid w:val="446F67A2"/>
    <w:rsid w:val="448DFFC4"/>
    <w:rsid w:val="4498F994"/>
    <w:rsid w:val="44A4C4D2"/>
    <w:rsid w:val="44B89DD8"/>
    <w:rsid w:val="44C3CC01"/>
    <w:rsid w:val="44C72193"/>
    <w:rsid w:val="44D4E4AF"/>
    <w:rsid w:val="44E5C7D6"/>
    <w:rsid w:val="450A6823"/>
    <w:rsid w:val="453E1A1F"/>
    <w:rsid w:val="45701CCF"/>
    <w:rsid w:val="45718FE9"/>
    <w:rsid w:val="4571DE0D"/>
    <w:rsid w:val="459A1360"/>
    <w:rsid w:val="45AAD640"/>
    <w:rsid w:val="45AB2A70"/>
    <w:rsid w:val="45C5E08F"/>
    <w:rsid w:val="45CAA84A"/>
    <w:rsid w:val="45CD1B34"/>
    <w:rsid w:val="45FC03D9"/>
    <w:rsid w:val="45FFB1B4"/>
    <w:rsid w:val="46063202"/>
    <w:rsid w:val="46234758"/>
    <w:rsid w:val="46242FD9"/>
    <w:rsid w:val="4624BEA5"/>
    <w:rsid w:val="462511DA"/>
    <w:rsid w:val="463257D8"/>
    <w:rsid w:val="4636C173"/>
    <w:rsid w:val="4646FEB1"/>
    <w:rsid w:val="464AEB75"/>
    <w:rsid w:val="465C757F"/>
    <w:rsid w:val="46608F26"/>
    <w:rsid w:val="467A7469"/>
    <w:rsid w:val="467C3429"/>
    <w:rsid w:val="467C5D07"/>
    <w:rsid w:val="4697D562"/>
    <w:rsid w:val="469DCEA4"/>
    <w:rsid w:val="46A14DAA"/>
    <w:rsid w:val="46A5CD62"/>
    <w:rsid w:val="46A6335B"/>
    <w:rsid w:val="46ABD470"/>
    <w:rsid w:val="46C25C5E"/>
    <w:rsid w:val="46D67017"/>
    <w:rsid w:val="46E1FC7B"/>
    <w:rsid w:val="46E384EE"/>
    <w:rsid w:val="46E40AC0"/>
    <w:rsid w:val="46EB4CCC"/>
    <w:rsid w:val="46EF7953"/>
    <w:rsid w:val="46F53C04"/>
    <w:rsid w:val="46F916CE"/>
    <w:rsid w:val="47017C3B"/>
    <w:rsid w:val="4707846D"/>
    <w:rsid w:val="4746623A"/>
    <w:rsid w:val="4758A2D2"/>
    <w:rsid w:val="4767EDB8"/>
    <w:rsid w:val="476B90CA"/>
    <w:rsid w:val="4772A68E"/>
    <w:rsid w:val="477885F3"/>
    <w:rsid w:val="4780E2E0"/>
    <w:rsid w:val="4787E3DD"/>
    <w:rsid w:val="478C5FC4"/>
    <w:rsid w:val="47A67CB1"/>
    <w:rsid w:val="47AF04B5"/>
    <w:rsid w:val="47B5FBFB"/>
    <w:rsid w:val="47BD8AF5"/>
    <w:rsid w:val="47CC6597"/>
    <w:rsid w:val="47E5DEB5"/>
    <w:rsid w:val="47E5E081"/>
    <w:rsid w:val="47E73273"/>
    <w:rsid w:val="47F028A6"/>
    <w:rsid w:val="4822E0EF"/>
    <w:rsid w:val="482B2D1D"/>
    <w:rsid w:val="4840532D"/>
    <w:rsid w:val="48409720"/>
    <w:rsid w:val="485E7668"/>
    <w:rsid w:val="4861B941"/>
    <w:rsid w:val="48632B49"/>
    <w:rsid w:val="4867140E"/>
    <w:rsid w:val="48671975"/>
    <w:rsid w:val="48680DA8"/>
    <w:rsid w:val="48722651"/>
    <w:rsid w:val="4892C09A"/>
    <w:rsid w:val="489904F4"/>
    <w:rsid w:val="48A090F5"/>
    <w:rsid w:val="48AA7DA4"/>
    <w:rsid w:val="48B90187"/>
    <w:rsid w:val="48C597AB"/>
    <w:rsid w:val="48CA4EAF"/>
    <w:rsid w:val="48D5693C"/>
    <w:rsid w:val="48D98514"/>
    <w:rsid w:val="490B8726"/>
    <w:rsid w:val="490BC3A2"/>
    <w:rsid w:val="49202907"/>
    <w:rsid w:val="492BEE3D"/>
    <w:rsid w:val="493B2384"/>
    <w:rsid w:val="49484DBF"/>
    <w:rsid w:val="494BC622"/>
    <w:rsid w:val="49502F3D"/>
    <w:rsid w:val="4954404C"/>
    <w:rsid w:val="495611D4"/>
    <w:rsid w:val="4958F97B"/>
    <w:rsid w:val="4965BAEC"/>
    <w:rsid w:val="49691BA9"/>
    <w:rsid w:val="4969F89A"/>
    <w:rsid w:val="49751A26"/>
    <w:rsid w:val="4984DA61"/>
    <w:rsid w:val="498B5B59"/>
    <w:rsid w:val="499A0501"/>
    <w:rsid w:val="49A1FC9A"/>
    <w:rsid w:val="49B9AB4B"/>
    <w:rsid w:val="49C574DF"/>
    <w:rsid w:val="49CB2645"/>
    <w:rsid w:val="49CDF304"/>
    <w:rsid w:val="49D3EE59"/>
    <w:rsid w:val="49D84609"/>
    <w:rsid w:val="49EA0ECF"/>
    <w:rsid w:val="49EE5283"/>
    <w:rsid w:val="49F558FF"/>
    <w:rsid w:val="49FCF3DF"/>
    <w:rsid w:val="4A1F77A1"/>
    <w:rsid w:val="4A34B8AF"/>
    <w:rsid w:val="4A3C9791"/>
    <w:rsid w:val="4A3D485C"/>
    <w:rsid w:val="4A4D55C5"/>
    <w:rsid w:val="4A4DAEAB"/>
    <w:rsid w:val="4A5A55FB"/>
    <w:rsid w:val="4A5F090C"/>
    <w:rsid w:val="4A730423"/>
    <w:rsid w:val="4A7BFDCE"/>
    <w:rsid w:val="4A7ED1D6"/>
    <w:rsid w:val="4A7F564C"/>
    <w:rsid w:val="4A8159F8"/>
    <w:rsid w:val="4A883742"/>
    <w:rsid w:val="4A8AC9AF"/>
    <w:rsid w:val="4A8DF0E0"/>
    <w:rsid w:val="4A92E7BC"/>
    <w:rsid w:val="4AAFF359"/>
    <w:rsid w:val="4AB10F9F"/>
    <w:rsid w:val="4AB18763"/>
    <w:rsid w:val="4ABF960A"/>
    <w:rsid w:val="4AC6DAD5"/>
    <w:rsid w:val="4ACEA3B1"/>
    <w:rsid w:val="4ADAA57C"/>
    <w:rsid w:val="4ADE4AF5"/>
    <w:rsid w:val="4AE08EEE"/>
    <w:rsid w:val="4AE5547D"/>
    <w:rsid w:val="4AE68798"/>
    <w:rsid w:val="4AF205C6"/>
    <w:rsid w:val="4AF22329"/>
    <w:rsid w:val="4B08A6BD"/>
    <w:rsid w:val="4B093F87"/>
    <w:rsid w:val="4B20E145"/>
    <w:rsid w:val="4B2A7327"/>
    <w:rsid w:val="4B331E1E"/>
    <w:rsid w:val="4B34E060"/>
    <w:rsid w:val="4B3F06ED"/>
    <w:rsid w:val="4B41B7D9"/>
    <w:rsid w:val="4B41EA28"/>
    <w:rsid w:val="4B647211"/>
    <w:rsid w:val="4B7D14F0"/>
    <w:rsid w:val="4B7E9849"/>
    <w:rsid w:val="4B93E18A"/>
    <w:rsid w:val="4BA1BD72"/>
    <w:rsid w:val="4BA414EB"/>
    <w:rsid w:val="4BAB234C"/>
    <w:rsid w:val="4BB5343E"/>
    <w:rsid w:val="4BB9A59D"/>
    <w:rsid w:val="4BC29703"/>
    <w:rsid w:val="4BE6EDBE"/>
    <w:rsid w:val="4C05B3B9"/>
    <w:rsid w:val="4C2832D6"/>
    <w:rsid w:val="4C2CF3C3"/>
    <w:rsid w:val="4C33C920"/>
    <w:rsid w:val="4C3AFA2C"/>
    <w:rsid w:val="4C50B722"/>
    <w:rsid w:val="4C553B8F"/>
    <w:rsid w:val="4C6454C2"/>
    <w:rsid w:val="4C68ECB8"/>
    <w:rsid w:val="4C7E70DE"/>
    <w:rsid w:val="4C9376B1"/>
    <w:rsid w:val="4C950DB7"/>
    <w:rsid w:val="4C9596A4"/>
    <w:rsid w:val="4CBD578B"/>
    <w:rsid w:val="4CBF1DF3"/>
    <w:rsid w:val="4CCD351D"/>
    <w:rsid w:val="4CD35B0C"/>
    <w:rsid w:val="4CE3EF7A"/>
    <w:rsid w:val="4CEFC710"/>
    <w:rsid w:val="4CF8C741"/>
    <w:rsid w:val="4CFCDAF4"/>
    <w:rsid w:val="4D085A2B"/>
    <w:rsid w:val="4D0B191B"/>
    <w:rsid w:val="4D108AA0"/>
    <w:rsid w:val="4D18E1AF"/>
    <w:rsid w:val="4D266352"/>
    <w:rsid w:val="4D27329D"/>
    <w:rsid w:val="4D2B019F"/>
    <w:rsid w:val="4D37E410"/>
    <w:rsid w:val="4D3C1CF2"/>
    <w:rsid w:val="4D45A08D"/>
    <w:rsid w:val="4D5AB553"/>
    <w:rsid w:val="4D72EA13"/>
    <w:rsid w:val="4D97BF72"/>
    <w:rsid w:val="4D9AE062"/>
    <w:rsid w:val="4DA1A64D"/>
    <w:rsid w:val="4DA2156D"/>
    <w:rsid w:val="4DA7EED7"/>
    <w:rsid w:val="4DA8DA5F"/>
    <w:rsid w:val="4DB16FFE"/>
    <w:rsid w:val="4DC92DC9"/>
    <w:rsid w:val="4DC9DC63"/>
    <w:rsid w:val="4DD636E0"/>
    <w:rsid w:val="4DD9F81E"/>
    <w:rsid w:val="4DDFAD59"/>
    <w:rsid w:val="4DEAE196"/>
    <w:rsid w:val="4DEC7F83"/>
    <w:rsid w:val="4DFF133C"/>
    <w:rsid w:val="4E0D4ACE"/>
    <w:rsid w:val="4E109FF0"/>
    <w:rsid w:val="4E125DA2"/>
    <w:rsid w:val="4E22E2B5"/>
    <w:rsid w:val="4E2B00B0"/>
    <w:rsid w:val="4E3A5686"/>
    <w:rsid w:val="4E3E69AF"/>
    <w:rsid w:val="4E4D6B8E"/>
    <w:rsid w:val="4E569F88"/>
    <w:rsid w:val="4E6F3EF4"/>
    <w:rsid w:val="4E9EE20D"/>
    <w:rsid w:val="4EA766BE"/>
    <w:rsid w:val="4EAA79CD"/>
    <w:rsid w:val="4ED52F72"/>
    <w:rsid w:val="4EDA91C7"/>
    <w:rsid w:val="4EDAE920"/>
    <w:rsid w:val="4EF9E97E"/>
    <w:rsid w:val="4F209B70"/>
    <w:rsid w:val="4F2A9287"/>
    <w:rsid w:val="4F3218F8"/>
    <w:rsid w:val="4F35821A"/>
    <w:rsid w:val="4F543FCE"/>
    <w:rsid w:val="4F728844"/>
    <w:rsid w:val="4F7CDE5D"/>
    <w:rsid w:val="4F7EED45"/>
    <w:rsid w:val="4F837E41"/>
    <w:rsid w:val="4F912CA4"/>
    <w:rsid w:val="4F91FDC6"/>
    <w:rsid w:val="4FA4C199"/>
    <w:rsid w:val="4FAC6DEF"/>
    <w:rsid w:val="4FAF8081"/>
    <w:rsid w:val="4FB3D158"/>
    <w:rsid w:val="4FC1C9DE"/>
    <w:rsid w:val="4FD07003"/>
    <w:rsid w:val="4FD377A7"/>
    <w:rsid w:val="4FDE974C"/>
    <w:rsid w:val="4FED8DBF"/>
    <w:rsid w:val="4FEDC269"/>
    <w:rsid w:val="500284D6"/>
    <w:rsid w:val="50176C51"/>
    <w:rsid w:val="50228338"/>
    <w:rsid w:val="5024E3E8"/>
    <w:rsid w:val="502F5E05"/>
    <w:rsid w:val="503632B4"/>
    <w:rsid w:val="5050300A"/>
    <w:rsid w:val="507B1727"/>
    <w:rsid w:val="507B3FF8"/>
    <w:rsid w:val="507BEF14"/>
    <w:rsid w:val="5080D834"/>
    <w:rsid w:val="5087C331"/>
    <w:rsid w:val="5099228D"/>
    <w:rsid w:val="50AAEB0F"/>
    <w:rsid w:val="50B0EE40"/>
    <w:rsid w:val="50C66206"/>
    <w:rsid w:val="50E26855"/>
    <w:rsid w:val="50E5E6CA"/>
    <w:rsid w:val="510E34B8"/>
    <w:rsid w:val="511F4EA2"/>
    <w:rsid w:val="512131A3"/>
    <w:rsid w:val="512FB925"/>
    <w:rsid w:val="5137EEEF"/>
    <w:rsid w:val="513C0748"/>
    <w:rsid w:val="5142395A"/>
    <w:rsid w:val="51605F7E"/>
    <w:rsid w:val="5160E934"/>
    <w:rsid w:val="51661BCF"/>
    <w:rsid w:val="5173989E"/>
    <w:rsid w:val="5192C5AB"/>
    <w:rsid w:val="51A320AE"/>
    <w:rsid w:val="51BD003F"/>
    <w:rsid w:val="51BF676F"/>
    <w:rsid w:val="51C013A6"/>
    <w:rsid w:val="51C38E78"/>
    <w:rsid w:val="51C9110F"/>
    <w:rsid w:val="51C954AA"/>
    <w:rsid w:val="51D2261D"/>
    <w:rsid w:val="51D37C08"/>
    <w:rsid w:val="51E069CF"/>
    <w:rsid w:val="520BDD16"/>
    <w:rsid w:val="520E934D"/>
    <w:rsid w:val="521A02B4"/>
    <w:rsid w:val="52309F78"/>
    <w:rsid w:val="523F07D2"/>
    <w:rsid w:val="5246B12D"/>
    <w:rsid w:val="524A0608"/>
    <w:rsid w:val="524A47DA"/>
    <w:rsid w:val="524EEC0E"/>
    <w:rsid w:val="5257C471"/>
    <w:rsid w:val="5260DFEC"/>
    <w:rsid w:val="52620EDC"/>
    <w:rsid w:val="526520E7"/>
    <w:rsid w:val="5265482D"/>
    <w:rsid w:val="526FADF5"/>
    <w:rsid w:val="5289CAC4"/>
    <w:rsid w:val="52910A52"/>
    <w:rsid w:val="5294EE03"/>
    <w:rsid w:val="52993CAB"/>
    <w:rsid w:val="52B4ABAE"/>
    <w:rsid w:val="52B892C2"/>
    <w:rsid w:val="52D12B6C"/>
    <w:rsid w:val="52DCFBEC"/>
    <w:rsid w:val="52FE844F"/>
    <w:rsid w:val="52FFCB96"/>
    <w:rsid w:val="5307BF65"/>
    <w:rsid w:val="534055FA"/>
    <w:rsid w:val="53476AD5"/>
    <w:rsid w:val="534E710D"/>
    <w:rsid w:val="534ECD21"/>
    <w:rsid w:val="53574662"/>
    <w:rsid w:val="536C1C78"/>
    <w:rsid w:val="5379D480"/>
    <w:rsid w:val="537C9707"/>
    <w:rsid w:val="5380D63A"/>
    <w:rsid w:val="538C4C62"/>
    <w:rsid w:val="539A5492"/>
    <w:rsid w:val="539AAFC2"/>
    <w:rsid w:val="53A1E13C"/>
    <w:rsid w:val="53C3AFA6"/>
    <w:rsid w:val="53D140DA"/>
    <w:rsid w:val="53DBFF12"/>
    <w:rsid w:val="53E045D1"/>
    <w:rsid w:val="53F0C92C"/>
    <w:rsid w:val="53F1B2AA"/>
    <w:rsid w:val="53F40C93"/>
    <w:rsid w:val="53F7CC7A"/>
    <w:rsid w:val="53F8E7D1"/>
    <w:rsid w:val="53FB8224"/>
    <w:rsid w:val="53FF356B"/>
    <w:rsid w:val="5418C673"/>
    <w:rsid w:val="542BBAE6"/>
    <w:rsid w:val="54312B1D"/>
    <w:rsid w:val="54313241"/>
    <w:rsid w:val="54340652"/>
    <w:rsid w:val="543EACB8"/>
    <w:rsid w:val="544298AA"/>
    <w:rsid w:val="544CA1D2"/>
    <w:rsid w:val="5455F7D2"/>
    <w:rsid w:val="54789B25"/>
    <w:rsid w:val="54A06154"/>
    <w:rsid w:val="54A86D93"/>
    <w:rsid w:val="54BF79F2"/>
    <w:rsid w:val="54CD5005"/>
    <w:rsid w:val="54D3735A"/>
    <w:rsid w:val="54EB80E8"/>
    <w:rsid w:val="550C12D6"/>
    <w:rsid w:val="551F5746"/>
    <w:rsid w:val="5534A0F7"/>
    <w:rsid w:val="554CA76B"/>
    <w:rsid w:val="55578679"/>
    <w:rsid w:val="5558044A"/>
    <w:rsid w:val="55AB3881"/>
    <w:rsid w:val="55B101D5"/>
    <w:rsid w:val="55B496D4"/>
    <w:rsid w:val="55B7E7CD"/>
    <w:rsid w:val="55D154DB"/>
    <w:rsid w:val="55DC0022"/>
    <w:rsid w:val="55DD39EB"/>
    <w:rsid w:val="55E085FC"/>
    <w:rsid w:val="560AC32B"/>
    <w:rsid w:val="561DAC3E"/>
    <w:rsid w:val="562AFACA"/>
    <w:rsid w:val="564A5B09"/>
    <w:rsid w:val="565378C0"/>
    <w:rsid w:val="5681AD1C"/>
    <w:rsid w:val="56844330"/>
    <w:rsid w:val="568571C4"/>
    <w:rsid w:val="568791BC"/>
    <w:rsid w:val="56BE18D1"/>
    <w:rsid w:val="56C4FAD2"/>
    <w:rsid w:val="56CDC8F5"/>
    <w:rsid w:val="56D26921"/>
    <w:rsid w:val="56D6948F"/>
    <w:rsid w:val="56D8B172"/>
    <w:rsid w:val="56DFE44F"/>
    <w:rsid w:val="56E85F5F"/>
    <w:rsid w:val="56E93CE9"/>
    <w:rsid w:val="56FA3000"/>
    <w:rsid w:val="56FD5C9D"/>
    <w:rsid w:val="57157D05"/>
    <w:rsid w:val="5716BF33"/>
    <w:rsid w:val="571D810E"/>
    <w:rsid w:val="572B204B"/>
    <w:rsid w:val="573041B9"/>
    <w:rsid w:val="573DC629"/>
    <w:rsid w:val="57481643"/>
    <w:rsid w:val="574A3B66"/>
    <w:rsid w:val="574DDA20"/>
    <w:rsid w:val="5763A822"/>
    <w:rsid w:val="576F7554"/>
    <w:rsid w:val="5770C8C8"/>
    <w:rsid w:val="577EC1D0"/>
    <w:rsid w:val="578CE591"/>
    <w:rsid w:val="57925C05"/>
    <w:rsid w:val="57A3AB32"/>
    <w:rsid w:val="57BC574F"/>
    <w:rsid w:val="57C04C6F"/>
    <w:rsid w:val="57C0C217"/>
    <w:rsid w:val="57C947F5"/>
    <w:rsid w:val="57CD4D2D"/>
    <w:rsid w:val="57CDCC81"/>
    <w:rsid w:val="57D40D4B"/>
    <w:rsid w:val="57D6BDAB"/>
    <w:rsid w:val="57EEDB65"/>
    <w:rsid w:val="57F7B74D"/>
    <w:rsid w:val="58009B2D"/>
    <w:rsid w:val="580B2A2E"/>
    <w:rsid w:val="580BE369"/>
    <w:rsid w:val="580E8777"/>
    <w:rsid w:val="58290540"/>
    <w:rsid w:val="5832B87C"/>
    <w:rsid w:val="583FCA7E"/>
    <w:rsid w:val="5847F822"/>
    <w:rsid w:val="584E8847"/>
    <w:rsid w:val="585DD629"/>
    <w:rsid w:val="5862F8F6"/>
    <w:rsid w:val="5865C471"/>
    <w:rsid w:val="58740324"/>
    <w:rsid w:val="587A6DCD"/>
    <w:rsid w:val="589110E2"/>
    <w:rsid w:val="5899B6F7"/>
    <w:rsid w:val="58A41624"/>
    <w:rsid w:val="58B01144"/>
    <w:rsid w:val="58B594DB"/>
    <w:rsid w:val="58D08296"/>
    <w:rsid w:val="58D47EA5"/>
    <w:rsid w:val="58E57A25"/>
    <w:rsid w:val="58F0688E"/>
    <w:rsid w:val="5905955C"/>
    <w:rsid w:val="590D84E8"/>
    <w:rsid w:val="59166E8D"/>
    <w:rsid w:val="59196A8A"/>
    <w:rsid w:val="5919CCB4"/>
    <w:rsid w:val="5922B201"/>
    <w:rsid w:val="5923A996"/>
    <w:rsid w:val="59329070"/>
    <w:rsid w:val="594FDD96"/>
    <w:rsid w:val="596F1DBC"/>
    <w:rsid w:val="5976F7BF"/>
    <w:rsid w:val="59A3EEEC"/>
    <w:rsid w:val="59A959D6"/>
    <w:rsid w:val="59B2DB62"/>
    <w:rsid w:val="59BCC126"/>
    <w:rsid w:val="59C6C225"/>
    <w:rsid w:val="59CD32AF"/>
    <w:rsid w:val="59D38065"/>
    <w:rsid w:val="59DB9ADF"/>
    <w:rsid w:val="59DEED68"/>
    <w:rsid w:val="59E1E121"/>
    <w:rsid w:val="59EA9842"/>
    <w:rsid w:val="5A05C405"/>
    <w:rsid w:val="5A0AB8D2"/>
    <w:rsid w:val="5A0D48D7"/>
    <w:rsid w:val="5A14B278"/>
    <w:rsid w:val="5A1ACCB6"/>
    <w:rsid w:val="5A4A4C2F"/>
    <w:rsid w:val="5A72D437"/>
    <w:rsid w:val="5A733677"/>
    <w:rsid w:val="5A769E12"/>
    <w:rsid w:val="5A781CA6"/>
    <w:rsid w:val="5A812B13"/>
    <w:rsid w:val="5AA75D0B"/>
    <w:rsid w:val="5AC3D6B8"/>
    <w:rsid w:val="5ACF1A7D"/>
    <w:rsid w:val="5B01267C"/>
    <w:rsid w:val="5B29F983"/>
    <w:rsid w:val="5B3E66D9"/>
    <w:rsid w:val="5B42FC16"/>
    <w:rsid w:val="5B4EABC3"/>
    <w:rsid w:val="5B5630EA"/>
    <w:rsid w:val="5B6560E5"/>
    <w:rsid w:val="5B70BA7B"/>
    <w:rsid w:val="5B74CDCB"/>
    <w:rsid w:val="5B8692A5"/>
    <w:rsid w:val="5B9CDA63"/>
    <w:rsid w:val="5BA11058"/>
    <w:rsid w:val="5BA1C516"/>
    <w:rsid w:val="5BA3CE23"/>
    <w:rsid w:val="5BA53798"/>
    <w:rsid w:val="5BAC26ED"/>
    <w:rsid w:val="5BAC41ED"/>
    <w:rsid w:val="5BB4EA6B"/>
    <w:rsid w:val="5BC1015A"/>
    <w:rsid w:val="5BEBB245"/>
    <w:rsid w:val="5BF11EF3"/>
    <w:rsid w:val="5BFD19F2"/>
    <w:rsid w:val="5C04AA6E"/>
    <w:rsid w:val="5C05C0D5"/>
    <w:rsid w:val="5C0B0F72"/>
    <w:rsid w:val="5C12B48B"/>
    <w:rsid w:val="5C18C472"/>
    <w:rsid w:val="5C2C3BF4"/>
    <w:rsid w:val="5C5019FD"/>
    <w:rsid w:val="5C78B4AD"/>
    <w:rsid w:val="5C8419DE"/>
    <w:rsid w:val="5C8BBC06"/>
    <w:rsid w:val="5C9E37AF"/>
    <w:rsid w:val="5CBDA8C4"/>
    <w:rsid w:val="5CCE8DF3"/>
    <w:rsid w:val="5CD0AEA4"/>
    <w:rsid w:val="5CDEEBFB"/>
    <w:rsid w:val="5CF6E435"/>
    <w:rsid w:val="5CFDA583"/>
    <w:rsid w:val="5CFE226D"/>
    <w:rsid w:val="5D109E2C"/>
    <w:rsid w:val="5D133BA1"/>
    <w:rsid w:val="5D224D3E"/>
    <w:rsid w:val="5D391257"/>
    <w:rsid w:val="5D441124"/>
    <w:rsid w:val="5D4753F6"/>
    <w:rsid w:val="5D49EFE8"/>
    <w:rsid w:val="5D55E685"/>
    <w:rsid w:val="5D5DC473"/>
    <w:rsid w:val="5D60C81F"/>
    <w:rsid w:val="5D63677A"/>
    <w:rsid w:val="5D71B703"/>
    <w:rsid w:val="5D7EE681"/>
    <w:rsid w:val="5D8F1792"/>
    <w:rsid w:val="5D9353DB"/>
    <w:rsid w:val="5D946CA3"/>
    <w:rsid w:val="5D954D79"/>
    <w:rsid w:val="5D9E2168"/>
    <w:rsid w:val="5D9FB6AA"/>
    <w:rsid w:val="5DA312A3"/>
    <w:rsid w:val="5DB1C272"/>
    <w:rsid w:val="5DB82132"/>
    <w:rsid w:val="5DBE8C33"/>
    <w:rsid w:val="5DC249F7"/>
    <w:rsid w:val="5DFF708C"/>
    <w:rsid w:val="5E16627A"/>
    <w:rsid w:val="5E1BA3CD"/>
    <w:rsid w:val="5E234EB9"/>
    <w:rsid w:val="5E2586A2"/>
    <w:rsid w:val="5E3655D4"/>
    <w:rsid w:val="5E380507"/>
    <w:rsid w:val="5E39C8BF"/>
    <w:rsid w:val="5E39D046"/>
    <w:rsid w:val="5E4C5168"/>
    <w:rsid w:val="5E5B4561"/>
    <w:rsid w:val="5E6B9877"/>
    <w:rsid w:val="5E7E6053"/>
    <w:rsid w:val="5E87D760"/>
    <w:rsid w:val="5E9975E4"/>
    <w:rsid w:val="5E9998BF"/>
    <w:rsid w:val="5E9F455D"/>
    <w:rsid w:val="5EA87159"/>
    <w:rsid w:val="5EB9933E"/>
    <w:rsid w:val="5EC77643"/>
    <w:rsid w:val="5ECE8C52"/>
    <w:rsid w:val="5EDE0259"/>
    <w:rsid w:val="5EE06028"/>
    <w:rsid w:val="5EE497C6"/>
    <w:rsid w:val="5EEE70EE"/>
    <w:rsid w:val="5F03BBCA"/>
    <w:rsid w:val="5F0541E5"/>
    <w:rsid w:val="5F0BB1CA"/>
    <w:rsid w:val="5F0DAD91"/>
    <w:rsid w:val="5F1486DB"/>
    <w:rsid w:val="5F15E7FC"/>
    <w:rsid w:val="5F2A2E23"/>
    <w:rsid w:val="5F333442"/>
    <w:rsid w:val="5F381E84"/>
    <w:rsid w:val="5F4DEC0E"/>
    <w:rsid w:val="5F632F6C"/>
    <w:rsid w:val="5F677E73"/>
    <w:rsid w:val="5F6EAAB0"/>
    <w:rsid w:val="5F80B3F0"/>
    <w:rsid w:val="5F827A98"/>
    <w:rsid w:val="5F8542BB"/>
    <w:rsid w:val="5F85BD32"/>
    <w:rsid w:val="5F8A6DBA"/>
    <w:rsid w:val="5F8DCC9C"/>
    <w:rsid w:val="5FAF49C5"/>
    <w:rsid w:val="5FC1F894"/>
    <w:rsid w:val="5FC87275"/>
    <w:rsid w:val="5FCD1D60"/>
    <w:rsid w:val="5FD5F801"/>
    <w:rsid w:val="5FE11ECB"/>
    <w:rsid w:val="5FEABFC9"/>
    <w:rsid w:val="5FEE9187"/>
    <w:rsid w:val="5FF904D8"/>
    <w:rsid w:val="6002D051"/>
    <w:rsid w:val="601C1A80"/>
    <w:rsid w:val="602F2BA8"/>
    <w:rsid w:val="6030AEE4"/>
    <w:rsid w:val="603B64CD"/>
    <w:rsid w:val="60425602"/>
    <w:rsid w:val="60440D6D"/>
    <w:rsid w:val="6044E560"/>
    <w:rsid w:val="60535F5A"/>
    <w:rsid w:val="60714F36"/>
    <w:rsid w:val="607C1F50"/>
    <w:rsid w:val="6085F28A"/>
    <w:rsid w:val="6092D1A6"/>
    <w:rsid w:val="60998B16"/>
    <w:rsid w:val="60ADD2A5"/>
    <w:rsid w:val="60C11D37"/>
    <w:rsid w:val="60CB7332"/>
    <w:rsid w:val="60D52BC1"/>
    <w:rsid w:val="60DA7443"/>
    <w:rsid w:val="60DEC7F7"/>
    <w:rsid w:val="610006CA"/>
    <w:rsid w:val="610EB53D"/>
    <w:rsid w:val="6130DB41"/>
    <w:rsid w:val="6149B134"/>
    <w:rsid w:val="61545DA8"/>
    <w:rsid w:val="61752D1A"/>
    <w:rsid w:val="617AE8B9"/>
    <w:rsid w:val="61B94715"/>
    <w:rsid w:val="61CD6BD0"/>
    <w:rsid w:val="61D5A313"/>
    <w:rsid w:val="61E5EF1A"/>
    <w:rsid w:val="61EF0462"/>
    <w:rsid w:val="61F118A5"/>
    <w:rsid w:val="61F204C5"/>
    <w:rsid w:val="61FB1D10"/>
    <w:rsid w:val="6237991F"/>
    <w:rsid w:val="623E7884"/>
    <w:rsid w:val="6240A668"/>
    <w:rsid w:val="624AAF52"/>
    <w:rsid w:val="6268A4C9"/>
    <w:rsid w:val="6276EABA"/>
    <w:rsid w:val="6277C1E2"/>
    <w:rsid w:val="6283D743"/>
    <w:rsid w:val="628B08C5"/>
    <w:rsid w:val="62920F33"/>
    <w:rsid w:val="6296A7B8"/>
    <w:rsid w:val="629B209F"/>
    <w:rsid w:val="62ACB84F"/>
    <w:rsid w:val="62AF11F9"/>
    <w:rsid w:val="62B1B03A"/>
    <w:rsid w:val="62B8BC29"/>
    <w:rsid w:val="62BCAAD6"/>
    <w:rsid w:val="62C3875D"/>
    <w:rsid w:val="62C51620"/>
    <w:rsid w:val="62CA9B2E"/>
    <w:rsid w:val="62EBFE17"/>
    <w:rsid w:val="6331C66F"/>
    <w:rsid w:val="63373EDB"/>
    <w:rsid w:val="634A6CC4"/>
    <w:rsid w:val="6356A55E"/>
    <w:rsid w:val="636766CC"/>
    <w:rsid w:val="636A77B8"/>
    <w:rsid w:val="636C499A"/>
    <w:rsid w:val="636D2872"/>
    <w:rsid w:val="637EA1C4"/>
    <w:rsid w:val="6391A316"/>
    <w:rsid w:val="639918DD"/>
    <w:rsid w:val="63BAD447"/>
    <w:rsid w:val="63DDB1B1"/>
    <w:rsid w:val="63ECA99D"/>
    <w:rsid w:val="63EFDFA4"/>
    <w:rsid w:val="63F03C3B"/>
    <w:rsid w:val="63F0CC45"/>
    <w:rsid w:val="63F200D2"/>
    <w:rsid w:val="63FD5B92"/>
    <w:rsid w:val="6402955F"/>
    <w:rsid w:val="6406A052"/>
    <w:rsid w:val="64182300"/>
    <w:rsid w:val="64439A67"/>
    <w:rsid w:val="644ACBC2"/>
    <w:rsid w:val="645448BC"/>
    <w:rsid w:val="647EE808"/>
    <w:rsid w:val="647F1490"/>
    <w:rsid w:val="649137FF"/>
    <w:rsid w:val="6492FE00"/>
    <w:rsid w:val="6494B1BF"/>
    <w:rsid w:val="6497188A"/>
    <w:rsid w:val="649A3DEA"/>
    <w:rsid w:val="64EF8675"/>
    <w:rsid w:val="64F27ABE"/>
    <w:rsid w:val="64F6A9B2"/>
    <w:rsid w:val="6503682A"/>
    <w:rsid w:val="6505429D"/>
    <w:rsid w:val="6515675F"/>
    <w:rsid w:val="6516F6F2"/>
    <w:rsid w:val="651761A7"/>
    <w:rsid w:val="651E4DCA"/>
    <w:rsid w:val="654492DC"/>
    <w:rsid w:val="654600F6"/>
    <w:rsid w:val="6551107A"/>
    <w:rsid w:val="6567DE12"/>
    <w:rsid w:val="656941D1"/>
    <w:rsid w:val="65A2634A"/>
    <w:rsid w:val="65A7A0C5"/>
    <w:rsid w:val="65A90A3A"/>
    <w:rsid w:val="65B1E039"/>
    <w:rsid w:val="65C0AD9C"/>
    <w:rsid w:val="65CA4E4B"/>
    <w:rsid w:val="65D1EBF3"/>
    <w:rsid w:val="65E24C62"/>
    <w:rsid w:val="66058EE9"/>
    <w:rsid w:val="661152CF"/>
    <w:rsid w:val="6616361C"/>
    <w:rsid w:val="66186861"/>
    <w:rsid w:val="661CCAE9"/>
    <w:rsid w:val="663CF9CA"/>
    <w:rsid w:val="665C2364"/>
    <w:rsid w:val="6668465C"/>
    <w:rsid w:val="6676388A"/>
    <w:rsid w:val="668E779F"/>
    <w:rsid w:val="6699D306"/>
    <w:rsid w:val="66A6C3A5"/>
    <w:rsid w:val="66ABE5ED"/>
    <w:rsid w:val="66B48BF7"/>
    <w:rsid w:val="66B80B8F"/>
    <w:rsid w:val="66BFD37C"/>
    <w:rsid w:val="66C74DE3"/>
    <w:rsid w:val="66CFB93C"/>
    <w:rsid w:val="66D0D018"/>
    <w:rsid w:val="66D40C84"/>
    <w:rsid w:val="66DEF026"/>
    <w:rsid w:val="66ED52A7"/>
    <w:rsid w:val="66F5918D"/>
    <w:rsid w:val="67033304"/>
    <w:rsid w:val="670983C1"/>
    <w:rsid w:val="6714662A"/>
    <w:rsid w:val="6714D1AC"/>
    <w:rsid w:val="671C320D"/>
    <w:rsid w:val="6723F37D"/>
    <w:rsid w:val="672729F9"/>
    <w:rsid w:val="6733778B"/>
    <w:rsid w:val="673C13D4"/>
    <w:rsid w:val="675DF380"/>
    <w:rsid w:val="678CAF5C"/>
    <w:rsid w:val="679E49BA"/>
    <w:rsid w:val="67A3B3C8"/>
    <w:rsid w:val="67A83CBB"/>
    <w:rsid w:val="67B13E68"/>
    <w:rsid w:val="67BEDAB1"/>
    <w:rsid w:val="67C39D9A"/>
    <w:rsid w:val="67C72DA0"/>
    <w:rsid w:val="67DACD6C"/>
    <w:rsid w:val="67E1159A"/>
    <w:rsid w:val="67EDE366"/>
    <w:rsid w:val="67F04CE3"/>
    <w:rsid w:val="680A05E1"/>
    <w:rsid w:val="680BD980"/>
    <w:rsid w:val="6811CC5D"/>
    <w:rsid w:val="6820579F"/>
    <w:rsid w:val="6826E3EF"/>
    <w:rsid w:val="6826FDBF"/>
    <w:rsid w:val="682752A8"/>
    <w:rsid w:val="683D386D"/>
    <w:rsid w:val="684122C0"/>
    <w:rsid w:val="6846A55B"/>
    <w:rsid w:val="684BD5CC"/>
    <w:rsid w:val="684D2FDB"/>
    <w:rsid w:val="6863AA59"/>
    <w:rsid w:val="68651F0F"/>
    <w:rsid w:val="6886565F"/>
    <w:rsid w:val="688C36EF"/>
    <w:rsid w:val="689A3E12"/>
    <w:rsid w:val="689CA144"/>
    <w:rsid w:val="689D1198"/>
    <w:rsid w:val="68B35FC5"/>
    <w:rsid w:val="68C327F4"/>
    <w:rsid w:val="68D09DAA"/>
    <w:rsid w:val="68E283C3"/>
    <w:rsid w:val="68E801A5"/>
    <w:rsid w:val="6907755D"/>
    <w:rsid w:val="690FA649"/>
    <w:rsid w:val="691CF823"/>
    <w:rsid w:val="6927DBA7"/>
    <w:rsid w:val="692EB4A3"/>
    <w:rsid w:val="69310DF1"/>
    <w:rsid w:val="69321E52"/>
    <w:rsid w:val="6936380E"/>
    <w:rsid w:val="6939A34D"/>
    <w:rsid w:val="694AE945"/>
    <w:rsid w:val="694F9618"/>
    <w:rsid w:val="6962A9FC"/>
    <w:rsid w:val="69740969"/>
    <w:rsid w:val="697C2A10"/>
    <w:rsid w:val="697F6775"/>
    <w:rsid w:val="697F7399"/>
    <w:rsid w:val="6989527B"/>
    <w:rsid w:val="699175A4"/>
    <w:rsid w:val="69CB4F35"/>
    <w:rsid w:val="69DFDA4C"/>
    <w:rsid w:val="69ECEF4E"/>
    <w:rsid w:val="69FEDBA2"/>
    <w:rsid w:val="6A000417"/>
    <w:rsid w:val="6A39A76D"/>
    <w:rsid w:val="6A3C17B6"/>
    <w:rsid w:val="6A3DFA4B"/>
    <w:rsid w:val="6A3FD56A"/>
    <w:rsid w:val="6A45BF98"/>
    <w:rsid w:val="6A5309F3"/>
    <w:rsid w:val="6A55F534"/>
    <w:rsid w:val="6A5D5028"/>
    <w:rsid w:val="6A7E8055"/>
    <w:rsid w:val="6A8D0B2F"/>
    <w:rsid w:val="6A90AF90"/>
    <w:rsid w:val="6AAF1082"/>
    <w:rsid w:val="6AB2AE6E"/>
    <w:rsid w:val="6ABA415C"/>
    <w:rsid w:val="6AC36C1B"/>
    <w:rsid w:val="6ADBC8DC"/>
    <w:rsid w:val="6ADC1689"/>
    <w:rsid w:val="6AF200A2"/>
    <w:rsid w:val="6B0103F1"/>
    <w:rsid w:val="6B09725D"/>
    <w:rsid w:val="6B0A0444"/>
    <w:rsid w:val="6B0EAED8"/>
    <w:rsid w:val="6B15524C"/>
    <w:rsid w:val="6B1681F8"/>
    <w:rsid w:val="6B1A5526"/>
    <w:rsid w:val="6B1C0F60"/>
    <w:rsid w:val="6B1CC662"/>
    <w:rsid w:val="6B2229AA"/>
    <w:rsid w:val="6B2856F3"/>
    <w:rsid w:val="6B2AA62B"/>
    <w:rsid w:val="6B2B4E46"/>
    <w:rsid w:val="6B2E87AC"/>
    <w:rsid w:val="6B470C54"/>
    <w:rsid w:val="6B5FFF17"/>
    <w:rsid w:val="6B60CFFD"/>
    <w:rsid w:val="6B64A284"/>
    <w:rsid w:val="6B795697"/>
    <w:rsid w:val="6B82FFCE"/>
    <w:rsid w:val="6BCF8F95"/>
    <w:rsid w:val="6BD6B2D2"/>
    <w:rsid w:val="6BDA63A0"/>
    <w:rsid w:val="6BE1BED7"/>
    <w:rsid w:val="6BEECA52"/>
    <w:rsid w:val="6BFF06EF"/>
    <w:rsid w:val="6C0889F3"/>
    <w:rsid w:val="6C097CC4"/>
    <w:rsid w:val="6C0F84F7"/>
    <w:rsid w:val="6C15C00C"/>
    <w:rsid w:val="6C1E0129"/>
    <w:rsid w:val="6C229A2D"/>
    <w:rsid w:val="6C278CEC"/>
    <w:rsid w:val="6C30D0A0"/>
    <w:rsid w:val="6C3F1460"/>
    <w:rsid w:val="6C5BA667"/>
    <w:rsid w:val="6C5D7713"/>
    <w:rsid w:val="6C6336FA"/>
    <w:rsid w:val="6C7F3A9F"/>
    <w:rsid w:val="6C809453"/>
    <w:rsid w:val="6C88D8FF"/>
    <w:rsid w:val="6C98A872"/>
    <w:rsid w:val="6CA3A5DC"/>
    <w:rsid w:val="6CB486BD"/>
    <w:rsid w:val="6CE9EE24"/>
    <w:rsid w:val="6CF16C47"/>
    <w:rsid w:val="6CF5D134"/>
    <w:rsid w:val="6CFC8ABC"/>
    <w:rsid w:val="6D0C6E56"/>
    <w:rsid w:val="6D147D9C"/>
    <w:rsid w:val="6D1BE80B"/>
    <w:rsid w:val="6D2AF388"/>
    <w:rsid w:val="6D2EB5CB"/>
    <w:rsid w:val="6D3331BF"/>
    <w:rsid w:val="6D3B9A58"/>
    <w:rsid w:val="6D47B361"/>
    <w:rsid w:val="6D85A764"/>
    <w:rsid w:val="6D904715"/>
    <w:rsid w:val="6D9A8C4A"/>
    <w:rsid w:val="6D9D2D5F"/>
    <w:rsid w:val="6DA2CFD9"/>
    <w:rsid w:val="6DB6C5F7"/>
    <w:rsid w:val="6DBE6A8E"/>
    <w:rsid w:val="6DE0D845"/>
    <w:rsid w:val="6DEB0AD8"/>
    <w:rsid w:val="6DF7AE95"/>
    <w:rsid w:val="6DFD0F1D"/>
    <w:rsid w:val="6E09F144"/>
    <w:rsid w:val="6E23F3DF"/>
    <w:rsid w:val="6E3B8063"/>
    <w:rsid w:val="6E5A8E42"/>
    <w:rsid w:val="6E5C3900"/>
    <w:rsid w:val="6E6CCA1B"/>
    <w:rsid w:val="6E732004"/>
    <w:rsid w:val="6E7571F6"/>
    <w:rsid w:val="6E96942C"/>
    <w:rsid w:val="6EA29C4C"/>
    <w:rsid w:val="6EA99CBB"/>
    <w:rsid w:val="6EB1381D"/>
    <w:rsid w:val="6ED4CBB9"/>
    <w:rsid w:val="6EE8108B"/>
    <w:rsid w:val="6EF25CF8"/>
    <w:rsid w:val="6EFEF0D5"/>
    <w:rsid w:val="6F167AFD"/>
    <w:rsid w:val="6F1E52E5"/>
    <w:rsid w:val="6F235335"/>
    <w:rsid w:val="6F299928"/>
    <w:rsid w:val="6F2A9151"/>
    <w:rsid w:val="6F3573F3"/>
    <w:rsid w:val="6F41F66B"/>
    <w:rsid w:val="6F4C14B4"/>
    <w:rsid w:val="6F550CAD"/>
    <w:rsid w:val="6F5EFD59"/>
    <w:rsid w:val="6F6F323D"/>
    <w:rsid w:val="6F72E776"/>
    <w:rsid w:val="6F73107E"/>
    <w:rsid w:val="6F86EA21"/>
    <w:rsid w:val="6F8C614F"/>
    <w:rsid w:val="6F99EE5C"/>
    <w:rsid w:val="6F9EC540"/>
    <w:rsid w:val="6FA4502A"/>
    <w:rsid w:val="6FA5987D"/>
    <w:rsid w:val="6FB5CFC0"/>
    <w:rsid w:val="6FB72B4B"/>
    <w:rsid w:val="6FC175B6"/>
    <w:rsid w:val="6FC78157"/>
    <w:rsid w:val="6FC964E2"/>
    <w:rsid w:val="6FD20303"/>
    <w:rsid w:val="6FD2FF22"/>
    <w:rsid w:val="6FE68FFB"/>
    <w:rsid w:val="6FF446DB"/>
    <w:rsid w:val="6FF52CB6"/>
    <w:rsid w:val="6FFF4076"/>
    <w:rsid w:val="700F0897"/>
    <w:rsid w:val="70112CCA"/>
    <w:rsid w:val="70130794"/>
    <w:rsid w:val="70152972"/>
    <w:rsid w:val="701DEA5E"/>
    <w:rsid w:val="70210724"/>
    <w:rsid w:val="702396B9"/>
    <w:rsid w:val="7027A40F"/>
    <w:rsid w:val="702BBBCC"/>
    <w:rsid w:val="704B88FD"/>
    <w:rsid w:val="70516D74"/>
    <w:rsid w:val="7055DCF2"/>
    <w:rsid w:val="7065DFA5"/>
    <w:rsid w:val="706845BD"/>
    <w:rsid w:val="70717250"/>
    <w:rsid w:val="70753CB0"/>
    <w:rsid w:val="7076011B"/>
    <w:rsid w:val="70857B53"/>
    <w:rsid w:val="708B72B2"/>
    <w:rsid w:val="708DA0AA"/>
    <w:rsid w:val="7092CAB7"/>
    <w:rsid w:val="70986899"/>
    <w:rsid w:val="709956CD"/>
    <w:rsid w:val="709A870D"/>
    <w:rsid w:val="70A920F1"/>
    <w:rsid w:val="70AFE999"/>
    <w:rsid w:val="70CB9793"/>
    <w:rsid w:val="70D2FA0D"/>
    <w:rsid w:val="70DC5483"/>
    <w:rsid w:val="70E910C6"/>
    <w:rsid w:val="70F6DE91"/>
    <w:rsid w:val="70F7DB8E"/>
    <w:rsid w:val="7112CACB"/>
    <w:rsid w:val="71182A8B"/>
    <w:rsid w:val="71364E0E"/>
    <w:rsid w:val="7141EA2F"/>
    <w:rsid w:val="714ECA9D"/>
    <w:rsid w:val="717906A7"/>
    <w:rsid w:val="719B5DC6"/>
    <w:rsid w:val="719FB1B9"/>
    <w:rsid w:val="71BA9EC8"/>
    <w:rsid w:val="71BE541C"/>
    <w:rsid w:val="71C2D63A"/>
    <w:rsid w:val="71C7B446"/>
    <w:rsid w:val="71CD3CDB"/>
    <w:rsid w:val="71D2C65D"/>
    <w:rsid w:val="71FB661D"/>
    <w:rsid w:val="7207B122"/>
    <w:rsid w:val="720E66AC"/>
    <w:rsid w:val="72119C52"/>
    <w:rsid w:val="72147125"/>
    <w:rsid w:val="72296211"/>
    <w:rsid w:val="72298B8F"/>
    <w:rsid w:val="723B3B47"/>
    <w:rsid w:val="723E2EC3"/>
    <w:rsid w:val="723F95AC"/>
    <w:rsid w:val="7251F91F"/>
    <w:rsid w:val="72612660"/>
    <w:rsid w:val="726A90BD"/>
    <w:rsid w:val="7275136B"/>
    <w:rsid w:val="727C85CF"/>
    <w:rsid w:val="729ED451"/>
    <w:rsid w:val="72BA1BC5"/>
    <w:rsid w:val="72BB0C38"/>
    <w:rsid w:val="72CDC978"/>
    <w:rsid w:val="72D6AD7A"/>
    <w:rsid w:val="72E209AE"/>
    <w:rsid w:val="72E69643"/>
    <w:rsid w:val="72FC39BA"/>
    <w:rsid w:val="7301F7BB"/>
    <w:rsid w:val="7311E24F"/>
    <w:rsid w:val="73159912"/>
    <w:rsid w:val="7316CF46"/>
    <w:rsid w:val="732400C2"/>
    <w:rsid w:val="73274B9C"/>
    <w:rsid w:val="732F0ECB"/>
    <w:rsid w:val="733D4556"/>
    <w:rsid w:val="735E5297"/>
    <w:rsid w:val="7365E47C"/>
    <w:rsid w:val="73697A1A"/>
    <w:rsid w:val="7373BFA2"/>
    <w:rsid w:val="738C3BD8"/>
    <w:rsid w:val="73910949"/>
    <w:rsid w:val="7394CDAF"/>
    <w:rsid w:val="73B643A7"/>
    <w:rsid w:val="73B9E84E"/>
    <w:rsid w:val="73BEEC7A"/>
    <w:rsid w:val="73C5AC8A"/>
    <w:rsid w:val="73CA338D"/>
    <w:rsid w:val="73CCB0A1"/>
    <w:rsid w:val="73E0C898"/>
    <w:rsid w:val="73ECEC09"/>
    <w:rsid w:val="73F08AC1"/>
    <w:rsid w:val="73FB211D"/>
    <w:rsid w:val="740864D8"/>
    <w:rsid w:val="740E9EB5"/>
    <w:rsid w:val="7411C5AC"/>
    <w:rsid w:val="741B3E47"/>
    <w:rsid w:val="74228462"/>
    <w:rsid w:val="743620E0"/>
    <w:rsid w:val="7440A7E2"/>
    <w:rsid w:val="744708A3"/>
    <w:rsid w:val="745EA72A"/>
    <w:rsid w:val="74700B53"/>
    <w:rsid w:val="7480AFD5"/>
    <w:rsid w:val="7481A259"/>
    <w:rsid w:val="74837035"/>
    <w:rsid w:val="74938407"/>
    <w:rsid w:val="749E62DE"/>
    <w:rsid w:val="74AF1AF7"/>
    <w:rsid w:val="74B63E3D"/>
    <w:rsid w:val="74C79251"/>
    <w:rsid w:val="74DB3CD0"/>
    <w:rsid w:val="74DE3819"/>
    <w:rsid w:val="74E05C7E"/>
    <w:rsid w:val="74E34CEA"/>
    <w:rsid w:val="74E68DB4"/>
    <w:rsid w:val="751FB5D8"/>
    <w:rsid w:val="75202903"/>
    <w:rsid w:val="7546CAB7"/>
    <w:rsid w:val="754D1A1C"/>
    <w:rsid w:val="754DEF0E"/>
    <w:rsid w:val="7552B4CD"/>
    <w:rsid w:val="755DD9C8"/>
    <w:rsid w:val="757E0B87"/>
    <w:rsid w:val="7581B1D5"/>
    <w:rsid w:val="75831ADD"/>
    <w:rsid w:val="75834E9D"/>
    <w:rsid w:val="75887130"/>
    <w:rsid w:val="758F6767"/>
    <w:rsid w:val="7598D4B4"/>
    <w:rsid w:val="759C41CD"/>
    <w:rsid w:val="759E0D19"/>
    <w:rsid w:val="75B0EECE"/>
    <w:rsid w:val="75B9389B"/>
    <w:rsid w:val="75CB078A"/>
    <w:rsid w:val="75E4FD98"/>
    <w:rsid w:val="75E7CBF1"/>
    <w:rsid w:val="75E96366"/>
    <w:rsid w:val="76112811"/>
    <w:rsid w:val="76164FE6"/>
    <w:rsid w:val="762E54B9"/>
    <w:rsid w:val="76410D8E"/>
    <w:rsid w:val="7655FA65"/>
    <w:rsid w:val="766541C9"/>
    <w:rsid w:val="766B1F94"/>
    <w:rsid w:val="76783C63"/>
    <w:rsid w:val="7684EB53"/>
    <w:rsid w:val="7694B183"/>
    <w:rsid w:val="7699151F"/>
    <w:rsid w:val="769F3102"/>
    <w:rsid w:val="76A45B09"/>
    <w:rsid w:val="76A4B1C1"/>
    <w:rsid w:val="76EC32F7"/>
    <w:rsid w:val="76EDB04D"/>
    <w:rsid w:val="76FB9A89"/>
    <w:rsid w:val="7723EE59"/>
    <w:rsid w:val="7726FA83"/>
    <w:rsid w:val="77334B10"/>
    <w:rsid w:val="7736356F"/>
    <w:rsid w:val="773A0BCF"/>
    <w:rsid w:val="77627A19"/>
    <w:rsid w:val="776918EC"/>
    <w:rsid w:val="77779E60"/>
    <w:rsid w:val="77820244"/>
    <w:rsid w:val="778BE3E0"/>
    <w:rsid w:val="779C60D0"/>
    <w:rsid w:val="779E6C55"/>
    <w:rsid w:val="77A17B96"/>
    <w:rsid w:val="77DA66F4"/>
    <w:rsid w:val="77DB3C65"/>
    <w:rsid w:val="77DF0D26"/>
    <w:rsid w:val="77E2210D"/>
    <w:rsid w:val="77E31D2C"/>
    <w:rsid w:val="77F6A234"/>
    <w:rsid w:val="77FBC158"/>
    <w:rsid w:val="780D83BC"/>
    <w:rsid w:val="782861FE"/>
    <w:rsid w:val="7859BA1B"/>
    <w:rsid w:val="785DCA49"/>
    <w:rsid w:val="7862334F"/>
    <w:rsid w:val="7862A922"/>
    <w:rsid w:val="7867D53A"/>
    <w:rsid w:val="786A0FD6"/>
    <w:rsid w:val="7872AC41"/>
    <w:rsid w:val="787E85EB"/>
    <w:rsid w:val="78807EBE"/>
    <w:rsid w:val="788EFADC"/>
    <w:rsid w:val="78B07A5A"/>
    <w:rsid w:val="78B1AE8A"/>
    <w:rsid w:val="78C98C4B"/>
    <w:rsid w:val="78F82F1C"/>
    <w:rsid w:val="79294D2C"/>
    <w:rsid w:val="792A590B"/>
    <w:rsid w:val="7947938F"/>
    <w:rsid w:val="7964D73B"/>
    <w:rsid w:val="796DB317"/>
    <w:rsid w:val="79750164"/>
    <w:rsid w:val="79751F0A"/>
    <w:rsid w:val="79763755"/>
    <w:rsid w:val="7989512E"/>
    <w:rsid w:val="799CE28B"/>
    <w:rsid w:val="79A5B926"/>
    <w:rsid w:val="79ADC4CD"/>
    <w:rsid w:val="79BD161A"/>
    <w:rsid w:val="79D465F8"/>
    <w:rsid w:val="79F04E33"/>
    <w:rsid w:val="79F05FE7"/>
    <w:rsid w:val="7A0424BA"/>
    <w:rsid w:val="7A0D0C66"/>
    <w:rsid w:val="7A1CE299"/>
    <w:rsid w:val="7A32F7D7"/>
    <w:rsid w:val="7A3E3E61"/>
    <w:rsid w:val="7A40AEA0"/>
    <w:rsid w:val="7A45F846"/>
    <w:rsid w:val="7A4A021B"/>
    <w:rsid w:val="7A4F0DFD"/>
    <w:rsid w:val="7A568B06"/>
    <w:rsid w:val="7A59F5AD"/>
    <w:rsid w:val="7A8B1E91"/>
    <w:rsid w:val="7A977A57"/>
    <w:rsid w:val="7A9A87BF"/>
    <w:rsid w:val="7AA04927"/>
    <w:rsid w:val="7AA4EB15"/>
    <w:rsid w:val="7AA745AC"/>
    <w:rsid w:val="7AB25872"/>
    <w:rsid w:val="7AB6AA41"/>
    <w:rsid w:val="7ACE8A46"/>
    <w:rsid w:val="7AD2E29F"/>
    <w:rsid w:val="7AD9F7FA"/>
    <w:rsid w:val="7AFD050A"/>
    <w:rsid w:val="7B015682"/>
    <w:rsid w:val="7B150C06"/>
    <w:rsid w:val="7B18488A"/>
    <w:rsid w:val="7B196D9E"/>
    <w:rsid w:val="7B1A91B8"/>
    <w:rsid w:val="7B3547FD"/>
    <w:rsid w:val="7B390F5B"/>
    <w:rsid w:val="7B3AD1E8"/>
    <w:rsid w:val="7B3BDC30"/>
    <w:rsid w:val="7B481555"/>
    <w:rsid w:val="7B50469A"/>
    <w:rsid w:val="7B66A036"/>
    <w:rsid w:val="7B66F079"/>
    <w:rsid w:val="7B745CFA"/>
    <w:rsid w:val="7B8FC252"/>
    <w:rsid w:val="7B90FB52"/>
    <w:rsid w:val="7B9A964D"/>
    <w:rsid w:val="7BA1B98A"/>
    <w:rsid w:val="7BAE4AC8"/>
    <w:rsid w:val="7BBC127D"/>
    <w:rsid w:val="7BC202AA"/>
    <w:rsid w:val="7BC37EDD"/>
    <w:rsid w:val="7BD5F33C"/>
    <w:rsid w:val="7BDD58B2"/>
    <w:rsid w:val="7BE93C95"/>
    <w:rsid w:val="7BEBD726"/>
    <w:rsid w:val="7BEEAA3D"/>
    <w:rsid w:val="7BEF2BA7"/>
    <w:rsid w:val="7BF9D8D5"/>
    <w:rsid w:val="7BFF44E8"/>
    <w:rsid w:val="7C02D17B"/>
    <w:rsid w:val="7C0EADA4"/>
    <w:rsid w:val="7C21597C"/>
    <w:rsid w:val="7C277238"/>
    <w:rsid w:val="7C2CB8E6"/>
    <w:rsid w:val="7C2FCD7D"/>
    <w:rsid w:val="7C355D23"/>
    <w:rsid w:val="7C4B96A7"/>
    <w:rsid w:val="7C505E3C"/>
    <w:rsid w:val="7C6696EE"/>
    <w:rsid w:val="7C6748B2"/>
    <w:rsid w:val="7C7AB3D6"/>
    <w:rsid w:val="7C888BC8"/>
    <w:rsid w:val="7C898988"/>
    <w:rsid w:val="7C91C92D"/>
    <w:rsid w:val="7C9BCF7B"/>
    <w:rsid w:val="7C9D26E3"/>
    <w:rsid w:val="7CDB31D4"/>
    <w:rsid w:val="7CDD2A93"/>
    <w:rsid w:val="7CE0C618"/>
    <w:rsid w:val="7CFD6985"/>
    <w:rsid w:val="7D176088"/>
    <w:rsid w:val="7D185E66"/>
    <w:rsid w:val="7D1AEE1C"/>
    <w:rsid w:val="7D1D1157"/>
    <w:rsid w:val="7D263551"/>
    <w:rsid w:val="7D3D7FD4"/>
    <w:rsid w:val="7D555F59"/>
    <w:rsid w:val="7D5FE7EF"/>
    <w:rsid w:val="7D624A5C"/>
    <w:rsid w:val="7D8A2032"/>
    <w:rsid w:val="7D9EC718"/>
    <w:rsid w:val="7DA1B44B"/>
    <w:rsid w:val="7DAC9993"/>
    <w:rsid w:val="7DB0BD7D"/>
    <w:rsid w:val="7DBBF879"/>
    <w:rsid w:val="7DC4223C"/>
    <w:rsid w:val="7DC51AF5"/>
    <w:rsid w:val="7DEF9105"/>
    <w:rsid w:val="7E193CE0"/>
    <w:rsid w:val="7E33FD8B"/>
    <w:rsid w:val="7E44DCA0"/>
    <w:rsid w:val="7E47CAAC"/>
    <w:rsid w:val="7E4D6377"/>
    <w:rsid w:val="7E52C3AE"/>
    <w:rsid w:val="7E66B582"/>
    <w:rsid w:val="7E7413AB"/>
    <w:rsid w:val="7E789889"/>
    <w:rsid w:val="7E7C3A00"/>
    <w:rsid w:val="7E850972"/>
    <w:rsid w:val="7EA48070"/>
    <w:rsid w:val="7EA762A9"/>
    <w:rsid w:val="7ED261B7"/>
    <w:rsid w:val="7EF3B33F"/>
    <w:rsid w:val="7F3342FA"/>
    <w:rsid w:val="7F3927F8"/>
    <w:rsid w:val="7F3C4FC2"/>
    <w:rsid w:val="7F4A8931"/>
    <w:rsid w:val="7F4D9FDD"/>
    <w:rsid w:val="7F50A65D"/>
    <w:rsid w:val="7F51C4D3"/>
    <w:rsid w:val="7F5FC8A5"/>
    <w:rsid w:val="7F784C3F"/>
    <w:rsid w:val="7F8A1665"/>
    <w:rsid w:val="7F8DBB8F"/>
    <w:rsid w:val="7F914F04"/>
    <w:rsid w:val="7F96FAC7"/>
    <w:rsid w:val="7FA51231"/>
    <w:rsid w:val="7FA5D969"/>
    <w:rsid w:val="7FA8E4D9"/>
    <w:rsid w:val="7FDB1D05"/>
    <w:rsid w:val="7FE578D9"/>
    <w:rsid w:val="7FF46976"/>
    <w:rsid w:val="7FF56214"/>
    <w:rsid w:val="7FFCA9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48CE5"/>
  <w15:chartTrackingRefBased/>
  <w15:docId w15:val="{FFE5EBF4-D185-48BE-94AA-6C17DF69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46A"/>
  </w:style>
  <w:style w:type="paragraph" w:styleId="Heading1">
    <w:name w:val="heading 1"/>
    <w:basedOn w:val="Normal"/>
    <w:next w:val="Normal"/>
    <w:link w:val="Heading1Char"/>
    <w:uiPriority w:val="9"/>
    <w:qFormat/>
    <w:rsid w:val="00B643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5B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90F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CB6A8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3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5B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90F6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CB6A8E"/>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B643A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3A1"/>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7A517C"/>
  </w:style>
  <w:style w:type="character" w:styleId="PlaceholderText">
    <w:name w:val="Placeholder Text"/>
    <w:basedOn w:val="DefaultParagraphFont"/>
    <w:uiPriority w:val="99"/>
    <w:semiHidden/>
    <w:rsid w:val="00DE4296"/>
    <w:rPr>
      <w:color w:val="808080"/>
    </w:rPr>
  </w:style>
  <w:style w:type="character" w:styleId="CommentReference">
    <w:name w:val="annotation reference"/>
    <w:basedOn w:val="DefaultParagraphFont"/>
    <w:uiPriority w:val="99"/>
    <w:semiHidden/>
    <w:unhideWhenUsed/>
    <w:rsid w:val="00152747"/>
    <w:rPr>
      <w:sz w:val="16"/>
      <w:szCs w:val="16"/>
    </w:rPr>
  </w:style>
  <w:style w:type="paragraph" w:styleId="CommentText">
    <w:name w:val="annotation text"/>
    <w:basedOn w:val="Normal"/>
    <w:link w:val="CommentTextChar"/>
    <w:uiPriority w:val="99"/>
    <w:unhideWhenUsed/>
    <w:rsid w:val="00152747"/>
    <w:pPr>
      <w:spacing w:line="240" w:lineRule="auto"/>
    </w:pPr>
    <w:rPr>
      <w:sz w:val="20"/>
      <w:szCs w:val="20"/>
    </w:rPr>
  </w:style>
  <w:style w:type="character" w:customStyle="1" w:styleId="CommentTextChar">
    <w:name w:val="Comment Text Char"/>
    <w:basedOn w:val="DefaultParagraphFont"/>
    <w:link w:val="CommentText"/>
    <w:uiPriority w:val="99"/>
    <w:rsid w:val="00152747"/>
    <w:rPr>
      <w:sz w:val="20"/>
      <w:szCs w:val="20"/>
    </w:rPr>
  </w:style>
  <w:style w:type="paragraph" w:styleId="CommentSubject">
    <w:name w:val="annotation subject"/>
    <w:basedOn w:val="CommentText"/>
    <w:next w:val="CommentText"/>
    <w:link w:val="CommentSubjectChar"/>
    <w:uiPriority w:val="99"/>
    <w:semiHidden/>
    <w:unhideWhenUsed/>
    <w:rsid w:val="00152747"/>
    <w:rPr>
      <w:b/>
      <w:bCs/>
    </w:rPr>
  </w:style>
  <w:style w:type="character" w:customStyle="1" w:styleId="CommentSubjectChar">
    <w:name w:val="Comment Subject Char"/>
    <w:basedOn w:val="CommentTextChar"/>
    <w:link w:val="CommentSubject"/>
    <w:uiPriority w:val="99"/>
    <w:semiHidden/>
    <w:rsid w:val="00152747"/>
    <w:rPr>
      <w:b/>
      <w:bCs/>
      <w:sz w:val="20"/>
      <w:szCs w:val="20"/>
    </w:rPr>
  </w:style>
  <w:style w:type="paragraph" w:styleId="BalloonText">
    <w:name w:val="Balloon Text"/>
    <w:basedOn w:val="Normal"/>
    <w:link w:val="BalloonTextChar"/>
    <w:uiPriority w:val="99"/>
    <w:semiHidden/>
    <w:unhideWhenUsed/>
    <w:rsid w:val="001527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747"/>
    <w:rPr>
      <w:rFonts w:ascii="Segoe UI" w:hAnsi="Segoe UI" w:cs="Segoe UI"/>
      <w:sz w:val="18"/>
      <w:szCs w:val="18"/>
    </w:rPr>
  </w:style>
  <w:style w:type="character" w:styleId="Hyperlink">
    <w:name w:val="Hyperlink"/>
    <w:basedOn w:val="DefaultParagraphFont"/>
    <w:uiPriority w:val="99"/>
    <w:unhideWhenUsed/>
    <w:rsid w:val="00152747"/>
    <w:rPr>
      <w:color w:val="0563C1" w:themeColor="hyperlink"/>
      <w:u w:val="single"/>
    </w:rPr>
  </w:style>
  <w:style w:type="paragraph" w:styleId="ListParagraph">
    <w:name w:val="List Paragraph"/>
    <w:basedOn w:val="Normal"/>
    <w:uiPriority w:val="34"/>
    <w:qFormat/>
    <w:rsid w:val="00871155"/>
    <w:pPr>
      <w:ind w:left="720"/>
      <w:contextualSpacing/>
    </w:pPr>
  </w:style>
  <w:style w:type="character" w:styleId="FollowedHyperlink">
    <w:name w:val="FollowedHyperlink"/>
    <w:basedOn w:val="DefaultParagraphFont"/>
    <w:uiPriority w:val="99"/>
    <w:semiHidden/>
    <w:unhideWhenUsed/>
    <w:rsid w:val="00D5659B"/>
    <w:rPr>
      <w:color w:val="954F72" w:themeColor="followedHyperlink"/>
      <w:u w:val="single"/>
    </w:rPr>
  </w:style>
  <w:style w:type="paragraph" w:styleId="NoSpacing">
    <w:name w:val="No Spacing"/>
    <w:uiPriority w:val="1"/>
    <w:qFormat/>
    <w:rsid w:val="009B006F"/>
    <w:pPr>
      <w:spacing w:after="0" w:line="240" w:lineRule="auto"/>
    </w:pPr>
  </w:style>
  <w:style w:type="character" w:customStyle="1" w:styleId="Mention10">
    <w:name w:val="Mention10"/>
    <w:basedOn w:val="DefaultParagraphFont"/>
    <w:uiPriority w:val="99"/>
    <w:unhideWhenUsed/>
    <w:rsid w:val="006622E6"/>
    <w:rPr>
      <w:color w:val="2B579A"/>
      <w:shd w:val="clear" w:color="auto" w:fill="E6E6E6"/>
    </w:rPr>
  </w:style>
  <w:style w:type="character" w:customStyle="1" w:styleId="c-timestamplabel">
    <w:name w:val="c-timestamp__label"/>
    <w:basedOn w:val="DefaultParagraphFont"/>
    <w:rsid w:val="00AF6474"/>
  </w:style>
  <w:style w:type="character" w:customStyle="1" w:styleId="Mention1">
    <w:name w:val="Mention1"/>
    <w:basedOn w:val="DefaultParagraphFont"/>
    <w:uiPriority w:val="99"/>
    <w:unhideWhenUsed/>
    <w:rsid w:val="006C19ED"/>
    <w:rPr>
      <w:color w:val="2B579A"/>
      <w:shd w:val="clear" w:color="auto" w:fill="E6E6E6"/>
    </w:rPr>
  </w:style>
  <w:style w:type="table" w:styleId="TableGrid">
    <w:name w:val="Table Grid"/>
    <w:basedOn w:val="TableNormal"/>
    <w:uiPriority w:val="39"/>
    <w:rsid w:val="00D6086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A4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FEB"/>
  </w:style>
  <w:style w:type="paragraph" w:styleId="Footer">
    <w:name w:val="footer"/>
    <w:basedOn w:val="Normal"/>
    <w:link w:val="FooterChar"/>
    <w:uiPriority w:val="99"/>
    <w:unhideWhenUsed/>
    <w:rsid w:val="005A4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FEB"/>
  </w:style>
  <w:style w:type="paragraph" w:customStyle="1" w:styleId="cdt4ke">
    <w:name w:val="cdt4ke"/>
    <w:basedOn w:val="Normal"/>
    <w:rsid w:val="009F334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F3348"/>
    <w:rPr>
      <w:i/>
      <w:iCs/>
    </w:rPr>
  </w:style>
  <w:style w:type="character" w:customStyle="1" w:styleId="UnresolvedMention1">
    <w:name w:val="Unresolved Mention1"/>
    <w:basedOn w:val="DefaultParagraphFont"/>
    <w:uiPriority w:val="99"/>
    <w:unhideWhenUsed/>
    <w:rsid w:val="007C63AA"/>
    <w:rPr>
      <w:color w:val="605E5C"/>
      <w:shd w:val="clear" w:color="auto" w:fill="E1DFDD"/>
    </w:rPr>
  </w:style>
  <w:style w:type="character" w:customStyle="1" w:styleId="Mention2">
    <w:name w:val="Mention2"/>
    <w:basedOn w:val="DefaultParagraphFont"/>
    <w:uiPriority w:val="99"/>
    <w:unhideWhenUsed/>
    <w:rsid w:val="007C63AA"/>
    <w:rPr>
      <w:color w:val="2B579A"/>
      <w:shd w:val="clear" w:color="auto" w:fill="E1DFDD"/>
    </w:rPr>
  </w:style>
  <w:style w:type="paragraph" w:styleId="Bibliography">
    <w:name w:val="Bibliography"/>
    <w:basedOn w:val="Normal"/>
    <w:next w:val="Normal"/>
    <w:uiPriority w:val="37"/>
    <w:unhideWhenUsed/>
    <w:rsid w:val="00924FCD"/>
    <w:pPr>
      <w:tabs>
        <w:tab w:val="left" w:pos="264"/>
      </w:tabs>
      <w:spacing w:after="240" w:line="240" w:lineRule="auto"/>
      <w:ind w:left="264" w:hanging="264"/>
    </w:pPr>
  </w:style>
  <w:style w:type="paragraph" w:styleId="Revision">
    <w:name w:val="Revision"/>
    <w:hidden/>
    <w:uiPriority w:val="99"/>
    <w:semiHidden/>
    <w:rsid w:val="00924FCD"/>
    <w:pPr>
      <w:spacing w:after="0" w:line="240" w:lineRule="auto"/>
    </w:pPr>
  </w:style>
  <w:style w:type="character" w:customStyle="1" w:styleId="UnresolvedMention2">
    <w:name w:val="Unresolved Mention2"/>
    <w:basedOn w:val="DefaultParagraphFont"/>
    <w:uiPriority w:val="99"/>
    <w:unhideWhenUsed/>
    <w:rsid w:val="00924FCD"/>
    <w:rPr>
      <w:color w:val="605E5C"/>
      <w:shd w:val="clear" w:color="auto" w:fill="E1DFDD"/>
    </w:rPr>
  </w:style>
  <w:style w:type="character" w:customStyle="1" w:styleId="Mention3">
    <w:name w:val="Mention3"/>
    <w:basedOn w:val="DefaultParagraphFont"/>
    <w:uiPriority w:val="99"/>
    <w:unhideWhenUsed/>
    <w:rsid w:val="00924FCD"/>
    <w:rPr>
      <w:color w:val="2B579A"/>
      <w:shd w:val="clear" w:color="auto" w:fill="E1DFDD"/>
    </w:rPr>
  </w:style>
  <w:style w:type="table" w:styleId="TableGridLight">
    <w:name w:val="Grid Table Light"/>
    <w:aliases w:val="Table Grid Light v1"/>
    <w:basedOn w:val="TableNormal"/>
    <w:uiPriority w:val="40"/>
    <w:rsid w:val="00C103F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ghtGrid">
    <w:name w:val="Light Grid"/>
    <w:basedOn w:val="TableNormal"/>
    <w:uiPriority w:val="62"/>
    <w:rsid w:val="004F0B54"/>
    <w:pPr>
      <w:spacing w:after="0" w:line="240" w:lineRule="auto"/>
    </w:pPr>
    <w:rPr>
      <w:rFonts w:eastAsiaTheme="minorEastAsia"/>
      <w:lang w:val="en-GB" w:eastAsia="zh-C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OCHeading">
    <w:name w:val="TOC Heading"/>
    <w:basedOn w:val="Heading1"/>
    <w:next w:val="Normal"/>
    <w:uiPriority w:val="39"/>
    <w:unhideWhenUsed/>
    <w:qFormat/>
    <w:rsid w:val="004F0B54"/>
    <w:pPr>
      <w:outlineLvl w:val="9"/>
    </w:pPr>
  </w:style>
  <w:style w:type="paragraph" w:styleId="TOC1">
    <w:name w:val="toc 1"/>
    <w:basedOn w:val="Normal"/>
    <w:next w:val="Normal"/>
    <w:autoRedefine/>
    <w:uiPriority w:val="39"/>
    <w:unhideWhenUsed/>
    <w:rsid w:val="004F0B54"/>
    <w:pPr>
      <w:spacing w:after="100"/>
    </w:pPr>
  </w:style>
  <w:style w:type="paragraph" w:styleId="TOC2">
    <w:name w:val="toc 2"/>
    <w:basedOn w:val="Normal"/>
    <w:next w:val="Normal"/>
    <w:autoRedefine/>
    <w:uiPriority w:val="39"/>
    <w:unhideWhenUsed/>
    <w:rsid w:val="00A40D97"/>
    <w:pPr>
      <w:tabs>
        <w:tab w:val="right" w:leader="dot" w:pos="9350"/>
      </w:tabs>
      <w:spacing w:after="100"/>
      <w:ind w:left="220"/>
    </w:pPr>
  </w:style>
  <w:style w:type="paragraph" w:styleId="TOC3">
    <w:name w:val="toc 3"/>
    <w:basedOn w:val="Normal"/>
    <w:next w:val="Normal"/>
    <w:autoRedefine/>
    <w:uiPriority w:val="39"/>
    <w:unhideWhenUsed/>
    <w:rsid w:val="00B554C5"/>
    <w:pPr>
      <w:tabs>
        <w:tab w:val="right" w:leader="dot" w:pos="9350"/>
      </w:tabs>
      <w:spacing w:after="100"/>
      <w:ind w:left="440"/>
    </w:pPr>
  </w:style>
  <w:style w:type="character" w:customStyle="1" w:styleId="Mention4">
    <w:name w:val="Mention4"/>
    <w:basedOn w:val="DefaultParagraphFont"/>
    <w:uiPriority w:val="99"/>
    <w:unhideWhenUsed/>
    <w:rsid w:val="004F0B54"/>
    <w:rPr>
      <w:color w:val="2B579A"/>
      <w:shd w:val="clear" w:color="auto" w:fill="E6E6E6"/>
    </w:rPr>
  </w:style>
  <w:style w:type="table" w:styleId="PlainTable1">
    <w:name w:val="Plain Table 1"/>
    <w:basedOn w:val="TableNormal"/>
    <w:uiPriority w:val="41"/>
    <w:rsid w:val="002F6F6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F6F6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F6F6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F6F6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F6F6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B30C6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2211F"/>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1Light-Accent3">
    <w:name w:val="Grid Table 1 Light Accent 3"/>
    <w:basedOn w:val="TableNormal"/>
    <w:uiPriority w:val="46"/>
    <w:rsid w:val="00BC1A4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normaltextrun">
    <w:name w:val="normaltextrun"/>
    <w:basedOn w:val="DefaultParagraphFont"/>
    <w:rsid w:val="006A53D5"/>
  </w:style>
  <w:style w:type="paragraph" w:customStyle="1" w:styleId="msonormal0">
    <w:name w:val="msonormal"/>
    <w:basedOn w:val="Normal"/>
    <w:rsid w:val="00DA1FEE"/>
    <w:pPr>
      <w:spacing w:before="100" w:beforeAutospacing="1" w:after="100" w:afterAutospacing="1"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6B5C2C"/>
    <w:rPr>
      <w:color w:val="2B579A"/>
      <w:shd w:val="clear" w:color="auto" w:fill="E6E6E6"/>
    </w:rPr>
  </w:style>
  <w:style w:type="character" w:styleId="UnresolvedMention">
    <w:name w:val="Unresolved Mention"/>
    <w:basedOn w:val="DefaultParagraphFont"/>
    <w:uiPriority w:val="99"/>
    <w:semiHidden/>
    <w:unhideWhenUsed/>
    <w:rsid w:val="006B5C2C"/>
    <w:rPr>
      <w:color w:val="605E5C"/>
      <w:shd w:val="clear" w:color="auto" w:fill="E1DFDD"/>
    </w:rPr>
  </w:style>
  <w:style w:type="character" w:customStyle="1" w:styleId="eop">
    <w:name w:val="eop"/>
    <w:basedOn w:val="DefaultParagraphFont"/>
    <w:rsid w:val="006B5C2C"/>
  </w:style>
  <w:style w:type="paragraph" w:customStyle="1" w:styleId="paragraph">
    <w:name w:val="paragraph"/>
    <w:basedOn w:val="Normal"/>
    <w:rsid w:val="009B1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9B13FB"/>
  </w:style>
  <w:style w:type="paragraph" w:styleId="FootnoteText">
    <w:name w:val="footnote text"/>
    <w:basedOn w:val="Normal"/>
    <w:link w:val="FootnoteTextChar"/>
    <w:uiPriority w:val="99"/>
    <w:semiHidden/>
    <w:unhideWhenUsed/>
    <w:rsid w:val="00F819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19F0"/>
    <w:rPr>
      <w:sz w:val="20"/>
      <w:szCs w:val="20"/>
    </w:rPr>
  </w:style>
  <w:style w:type="character" w:styleId="FootnoteReference">
    <w:name w:val="footnote reference"/>
    <w:basedOn w:val="DefaultParagraphFont"/>
    <w:uiPriority w:val="99"/>
    <w:semiHidden/>
    <w:unhideWhenUsed/>
    <w:rsid w:val="00F819F0"/>
    <w:rPr>
      <w:vertAlign w:val="superscript"/>
    </w:rPr>
  </w:style>
  <w:style w:type="paragraph" w:customStyle="1" w:styleId="bulletindent1">
    <w:name w:val="bulletindent1"/>
    <w:basedOn w:val="Normal"/>
    <w:link w:val="bulletindent1Char"/>
    <w:rsid w:val="00FC73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lletindent1Char">
    <w:name w:val="bulletindent1 Char"/>
    <w:basedOn w:val="DefaultParagraphFont"/>
    <w:link w:val="bulletindent1"/>
    <w:rsid w:val="00FC739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256">
      <w:bodyDiv w:val="1"/>
      <w:marLeft w:val="0"/>
      <w:marRight w:val="0"/>
      <w:marTop w:val="0"/>
      <w:marBottom w:val="0"/>
      <w:divBdr>
        <w:top w:val="none" w:sz="0" w:space="0" w:color="auto"/>
        <w:left w:val="none" w:sz="0" w:space="0" w:color="auto"/>
        <w:bottom w:val="none" w:sz="0" w:space="0" w:color="auto"/>
        <w:right w:val="none" w:sz="0" w:space="0" w:color="auto"/>
      </w:divBdr>
    </w:div>
    <w:div w:id="56905394">
      <w:bodyDiv w:val="1"/>
      <w:marLeft w:val="0"/>
      <w:marRight w:val="0"/>
      <w:marTop w:val="0"/>
      <w:marBottom w:val="0"/>
      <w:divBdr>
        <w:top w:val="none" w:sz="0" w:space="0" w:color="auto"/>
        <w:left w:val="none" w:sz="0" w:space="0" w:color="auto"/>
        <w:bottom w:val="none" w:sz="0" w:space="0" w:color="auto"/>
        <w:right w:val="none" w:sz="0" w:space="0" w:color="auto"/>
      </w:divBdr>
    </w:div>
    <w:div w:id="63919872">
      <w:bodyDiv w:val="1"/>
      <w:marLeft w:val="0"/>
      <w:marRight w:val="0"/>
      <w:marTop w:val="0"/>
      <w:marBottom w:val="0"/>
      <w:divBdr>
        <w:top w:val="none" w:sz="0" w:space="0" w:color="auto"/>
        <w:left w:val="none" w:sz="0" w:space="0" w:color="auto"/>
        <w:bottom w:val="none" w:sz="0" w:space="0" w:color="auto"/>
        <w:right w:val="none" w:sz="0" w:space="0" w:color="auto"/>
      </w:divBdr>
    </w:div>
    <w:div w:id="70856976">
      <w:bodyDiv w:val="1"/>
      <w:marLeft w:val="0"/>
      <w:marRight w:val="0"/>
      <w:marTop w:val="0"/>
      <w:marBottom w:val="0"/>
      <w:divBdr>
        <w:top w:val="none" w:sz="0" w:space="0" w:color="auto"/>
        <w:left w:val="none" w:sz="0" w:space="0" w:color="auto"/>
        <w:bottom w:val="none" w:sz="0" w:space="0" w:color="auto"/>
        <w:right w:val="none" w:sz="0" w:space="0" w:color="auto"/>
      </w:divBdr>
    </w:div>
    <w:div w:id="109475950">
      <w:bodyDiv w:val="1"/>
      <w:marLeft w:val="0"/>
      <w:marRight w:val="0"/>
      <w:marTop w:val="0"/>
      <w:marBottom w:val="0"/>
      <w:divBdr>
        <w:top w:val="none" w:sz="0" w:space="0" w:color="auto"/>
        <w:left w:val="none" w:sz="0" w:space="0" w:color="auto"/>
        <w:bottom w:val="none" w:sz="0" w:space="0" w:color="auto"/>
        <w:right w:val="none" w:sz="0" w:space="0" w:color="auto"/>
      </w:divBdr>
    </w:div>
    <w:div w:id="130095725">
      <w:bodyDiv w:val="1"/>
      <w:marLeft w:val="0"/>
      <w:marRight w:val="0"/>
      <w:marTop w:val="0"/>
      <w:marBottom w:val="0"/>
      <w:divBdr>
        <w:top w:val="none" w:sz="0" w:space="0" w:color="auto"/>
        <w:left w:val="none" w:sz="0" w:space="0" w:color="auto"/>
        <w:bottom w:val="none" w:sz="0" w:space="0" w:color="auto"/>
        <w:right w:val="none" w:sz="0" w:space="0" w:color="auto"/>
      </w:divBdr>
    </w:div>
    <w:div w:id="130634146">
      <w:bodyDiv w:val="1"/>
      <w:marLeft w:val="0"/>
      <w:marRight w:val="0"/>
      <w:marTop w:val="0"/>
      <w:marBottom w:val="0"/>
      <w:divBdr>
        <w:top w:val="none" w:sz="0" w:space="0" w:color="auto"/>
        <w:left w:val="none" w:sz="0" w:space="0" w:color="auto"/>
        <w:bottom w:val="none" w:sz="0" w:space="0" w:color="auto"/>
        <w:right w:val="none" w:sz="0" w:space="0" w:color="auto"/>
      </w:divBdr>
    </w:div>
    <w:div w:id="192309916">
      <w:bodyDiv w:val="1"/>
      <w:marLeft w:val="0"/>
      <w:marRight w:val="0"/>
      <w:marTop w:val="0"/>
      <w:marBottom w:val="0"/>
      <w:divBdr>
        <w:top w:val="none" w:sz="0" w:space="0" w:color="auto"/>
        <w:left w:val="none" w:sz="0" w:space="0" w:color="auto"/>
        <w:bottom w:val="none" w:sz="0" w:space="0" w:color="auto"/>
        <w:right w:val="none" w:sz="0" w:space="0" w:color="auto"/>
      </w:divBdr>
      <w:divsChild>
        <w:div w:id="1180582787">
          <w:marLeft w:val="0"/>
          <w:marRight w:val="0"/>
          <w:marTop w:val="0"/>
          <w:marBottom w:val="0"/>
          <w:divBdr>
            <w:top w:val="none" w:sz="0" w:space="0" w:color="auto"/>
            <w:left w:val="none" w:sz="0" w:space="0" w:color="auto"/>
            <w:bottom w:val="none" w:sz="0" w:space="0" w:color="auto"/>
            <w:right w:val="none" w:sz="0" w:space="0" w:color="auto"/>
          </w:divBdr>
          <w:divsChild>
            <w:div w:id="1156068244">
              <w:marLeft w:val="0"/>
              <w:marRight w:val="0"/>
              <w:marTop w:val="0"/>
              <w:marBottom w:val="0"/>
              <w:divBdr>
                <w:top w:val="none" w:sz="0" w:space="0" w:color="auto"/>
                <w:left w:val="none" w:sz="0" w:space="0" w:color="auto"/>
                <w:bottom w:val="none" w:sz="0" w:space="0" w:color="auto"/>
                <w:right w:val="none" w:sz="0" w:space="0" w:color="auto"/>
              </w:divBdr>
              <w:divsChild>
                <w:div w:id="92199231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1794138">
      <w:bodyDiv w:val="1"/>
      <w:marLeft w:val="0"/>
      <w:marRight w:val="0"/>
      <w:marTop w:val="0"/>
      <w:marBottom w:val="0"/>
      <w:divBdr>
        <w:top w:val="none" w:sz="0" w:space="0" w:color="auto"/>
        <w:left w:val="none" w:sz="0" w:space="0" w:color="auto"/>
        <w:bottom w:val="none" w:sz="0" w:space="0" w:color="auto"/>
        <w:right w:val="none" w:sz="0" w:space="0" w:color="auto"/>
      </w:divBdr>
    </w:div>
    <w:div w:id="293098240">
      <w:bodyDiv w:val="1"/>
      <w:marLeft w:val="0"/>
      <w:marRight w:val="0"/>
      <w:marTop w:val="0"/>
      <w:marBottom w:val="0"/>
      <w:divBdr>
        <w:top w:val="none" w:sz="0" w:space="0" w:color="auto"/>
        <w:left w:val="none" w:sz="0" w:space="0" w:color="auto"/>
        <w:bottom w:val="none" w:sz="0" w:space="0" w:color="auto"/>
        <w:right w:val="none" w:sz="0" w:space="0" w:color="auto"/>
      </w:divBdr>
    </w:div>
    <w:div w:id="370150566">
      <w:bodyDiv w:val="1"/>
      <w:marLeft w:val="0"/>
      <w:marRight w:val="0"/>
      <w:marTop w:val="0"/>
      <w:marBottom w:val="0"/>
      <w:divBdr>
        <w:top w:val="none" w:sz="0" w:space="0" w:color="auto"/>
        <w:left w:val="none" w:sz="0" w:space="0" w:color="auto"/>
        <w:bottom w:val="none" w:sz="0" w:space="0" w:color="auto"/>
        <w:right w:val="none" w:sz="0" w:space="0" w:color="auto"/>
      </w:divBdr>
    </w:div>
    <w:div w:id="391082831">
      <w:bodyDiv w:val="1"/>
      <w:marLeft w:val="0"/>
      <w:marRight w:val="0"/>
      <w:marTop w:val="0"/>
      <w:marBottom w:val="0"/>
      <w:divBdr>
        <w:top w:val="none" w:sz="0" w:space="0" w:color="auto"/>
        <w:left w:val="none" w:sz="0" w:space="0" w:color="auto"/>
        <w:bottom w:val="none" w:sz="0" w:space="0" w:color="auto"/>
        <w:right w:val="none" w:sz="0" w:space="0" w:color="auto"/>
      </w:divBdr>
    </w:div>
    <w:div w:id="426074866">
      <w:bodyDiv w:val="1"/>
      <w:marLeft w:val="0"/>
      <w:marRight w:val="0"/>
      <w:marTop w:val="0"/>
      <w:marBottom w:val="0"/>
      <w:divBdr>
        <w:top w:val="none" w:sz="0" w:space="0" w:color="auto"/>
        <w:left w:val="none" w:sz="0" w:space="0" w:color="auto"/>
        <w:bottom w:val="none" w:sz="0" w:space="0" w:color="auto"/>
        <w:right w:val="none" w:sz="0" w:space="0" w:color="auto"/>
      </w:divBdr>
    </w:div>
    <w:div w:id="475344545">
      <w:bodyDiv w:val="1"/>
      <w:marLeft w:val="0"/>
      <w:marRight w:val="0"/>
      <w:marTop w:val="0"/>
      <w:marBottom w:val="0"/>
      <w:divBdr>
        <w:top w:val="none" w:sz="0" w:space="0" w:color="auto"/>
        <w:left w:val="none" w:sz="0" w:space="0" w:color="auto"/>
        <w:bottom w:val="none" w:sz="0" w:space="0" w:color="auto"/>
        <w:right w:val="none" w:sz="0" w:space="0" w:color="auto"/>
      </w:divBdr>
    </w:div>
    <w:div w:id="495650765">
      <w:bodyDiv w:val="1"/>
      <w:marLeft w:val="0"/>
      <w:marRight w:val="0"/>
      <w:marTop w:val="0"/>
      <w:marBottom w:val="0"/>
      <w:divBdr>
        <w:top w:val="none" w:sz="0" w:space="0" w:color="auto"/>
        <w:left w:val="none" w:sz="0" w:space="0" w:color="auto"/>
        <w:bottom w:val="none" w:sz="0" w:space="0" w:color="auto"/>
        <w:right w:val="none" w:sz="0" w:space="0" w:color="auto"/>
      </w:divBdr>
    </w:div>
    <w:div w:id="551962665">
      <w:bodyDiv w:val="1"/>
      <w:marLeft w:val="0"/>
      <w:marRight w:val="0"/>
      <w:marTop w:val="0"/>
      <w:marBottom w:val="0"/>
      <w:divBdr>
        <w:top w:val="none" w:sz="0" w:space="0" w:color="auto"/>
        <w:left w:val="none" w:sz="0" w:space="0" w:color="auto"/>
        <w:bottom w:val="none" w:sz="0" w:space="0" w:color="auto"/>
        <w:right w:val="none" w:sz="0" w:space="0" w:color="auto"/>
      </w:divBdr>
    </w:div>
    <w:div w:id="646320682">
      <w:bodyDiv w:val="1"/>
      <w:marLeft w:val="0"/>
      <w:marRight w:val="0"/>
      <w:marTop w:val="0"/>
      <w:marBottom w:val="0"/>
      <w:divBdr>
        <w:top w:val="none" w:sz="0" w:space="0" w:color="auto"/>
        <w:left w:val="none" w:sz="0" w:space="0" w:color="auto"/>
        <w:bottom w:val="none" w:sz="0" w:space="0" w:color="auto"/>
        <w:right w:val="none" w:sz="0" w:space="0" w:color="auto"/>
      </w:divBdr>
    </w:div>
    <w:div w:id="671955829">
      <w:bodyDiv w:val="1"/>
      <w:marLeft w:val="0"/>
      <w:marRight w:val="0"/>
      <w:marTop w:val="0"/>
      <w:marBottom w:val="0"/>
      <w:divBdr>
        <w:top w:val="none" w:sz="0" w:space="0" w:color="auto"/>
        <w:left w:val="none" w:sz="0" w:space="0" w:color="auto"/>
        <w:bottom w:val="none" w:sz="0" w:space="0" w:color="auto"/>
        <w:right w:val="none" w:sz="0" w:space="0" w:color="auto"/>
      </w:divBdr>
      <w:divsChild>
        <w:div w:id="631325008">
          <w:marLeft w:val="0"/>
          <w:marRight w:val="0"/>
          <w:marTop w:val="0"/>
          <w:marBottom w:val="0"/>
          <w:divBdr>
            <w:top w:val="none" w:sz="0" w:space="0" w:color="auto"/>
            <w:left w:val="none" w:sz="0" w:space="0" w:color="auto"/>
            <w:bottom w:val="none" w:sz="0" w:space="0" w:color="auto"/>
            <w:right w:val="none" w:sz="0" w:space="0" w:color="auto"/>
          </w:divBdr>
          <w:divsChild>
            <w:div w:id="1936665050">
              <w:marLeft w:val="0"/>
              <w:marRight w:val="0"/>
              <w:marTop w:val="0"/>
              <w:marBottom w:val="0"/>
              <w:divBdr>
                <w:top w:val="none" w:sz="0" w:space="0" w:color="auto"/>
                <w:left w:val="none" w:sz="0" w:space="0" w:color="auto"/>
                <w:bottom w:val="none" w:sz="0" w:space="0" w:color="auto"/>
                <w:right w:val="none" w:sz="0" w:space="0" w:color="auto"/>
              </w:divBdr>
              <w:divsChild>
                <w:div w:id="15577379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02365094">
      <w:bodyDiv w:val="1"/>
      <w:marLeft w:val="0"/>
      <w:marRight w:val="0"/>
      <w:marTop w:val="0"/>
      <w:marBottom w:val="0"/>
      <w:divBdr>
        <w:top w:val="none" w:sz="0" w:space="0" w:color="auto"/>
        <w:left w:val="none" w:sz="0" w:space="0" w:color="auto"/>
        <w:bottom w:val="none" w:sz="0" w:space="0" w:color="auto"/>
        <w:right w:val="none" w:sz="0" w:space="0" w:color="auto"/>
      </w:divBdr>
    </w:div>
    <w:div w:id="728462192">
      <w:bodyDiv w:val="1"/>
      <w:marLeft w:val="0"/>
      <w:marRight w:val="0"/>
      <w:marTop w:val="0"/>
      <w:marBottom w:val="0"/>
      <w:divBdr>
        <w:top w:val="none" w:sz="0" w:space="0" w:color="auto"/>
        <w:left w:val="none" w:sz="0" w:space="0" w:color="auto"/>
        <w:bottom w:val="none" w:sz="0" w:space="0" w:color="auto"/>
        <w:right w:val="none" w:sz="0" w:space="0" w:color="auto"/>
      </w:divBdr>
    </w:div>
    <w:div w:id="891573071">
      <w:bodyDiv w:val="1"/>
      <w:marLeft w:val="0"/>
      <w:marRight w:val="0"/>
      <w:marTop w:val="0"/>
      <w:marBottom w:val="0"/>
      <w:divBdr>
        <w:top w:val="none" w:sz="0" w:space="0" w:color="auto"/>
        <w:left w:val="none" w:sz="0" w:space="0" w:color="auto"/>
        <w:bottom w:val="none" w:sz="0" w:space="0" w:color="auto"/>
        <w:right w:val="none" w:sz="0" w:space="0" w:color="auto"/>
      </w:divBdr>
    </w:div>
    <w:div w:id="893665027">
      <w:bodyDiv w:val="1"/>
      <w:marLeft w:val="0"/>
      <w:marRight w:val="0"/>
      <w:marTop w:val="0"/>
      <w:marBottom w:val="0"/>
      <w:divBdr>
        <w:top w:val="none" w:sz="0" w:space="0" w:color="auto"/>
        <w:left w:val="none" w:sz="0" w:space="0" w:color="auto"/>
        <w:bottom w:val="none" w:sz="0" w:space="0" w:color="auto"/>
        <w:right w:val="none" w:sz="0" w:space="0" w:color="auto"/>
      </w:divBdr>
    </w:div>
    <w:div w:id="904802215">
      <w:bodyDiv w:val="1"/>
      <w:marLeft w:val="0"/>
      <w:marRight w:val="0"/>
      <w:marTop w:val="0"/>
      <w:marBottom w:val="0"/>
      <w:divBdr>
        <w:top w:val="none" w:sz="0" w:space="0" w:color="auto"/>
        <w:left w:val="none" w:sz="0" w:space="0" w:color="auto"/>
        <w:bottom w:val="none" w:sz="0" w:space="0" w:color="auto"/>
        <w:right w:val="none" w:sz="0" w:space="0" w:color="auto"/>
      </w:divBdr>
    </w:div>
    <w:div w:id="912273685">
      <w:bodyDiv w:val="1"/>
      <w:marLeft w:val="0"/>
      <w:marRight w:val="0"/>
      <w:marTop w:val="0"/>
      <w:marBottom w:val="0"/>
      <w:divBdr>
        <w:top w:val="none" w:sz="0" w:space="0" w:color="auto"/>
        <w:left w:val="none" w:sz="0" w:space="0" w:color="auto"/>
        <w:bottom w:val="none" w:sz="0" w:space="0" w:color="auto"/>
        <w:right w:val="none" w:sz="0" w:space="0" w:color="auto"/>
      </w:divBdr>
    </w:div>
    <w:div w:id="913776632">
      <w:bodyDiv w:val="1"/>
      <w:marLeft w:val="0"/>
      <w:marRight w:val="0"/>
      <w:marTop w:val="0"/>
      <w:marBottom w:val="0"/>
      <w:divBdr>
        <w:top w:val="none" w:sz="0" w:space="0" w:color="auto"/>
        <w:left w:val="none" w:sz="0" w:space="0" w:color="auto"/>
        <w:bottom w:val="none" w:sz="0" w:space="0" w:color="auto"/>
        <w:right w:val="none" w:sz="0" w:space="0" w:color="auto"/>
      </w:divBdr>
    </w:div>
    <w:div w:id="919369230">
      <w:bodyDiv w:val="1"/>
      <w:marLeft w:val="0"/>
      <w:marRight w:val="0"/>
      <w:marTop w:val="0"/>
      <w:marBottom w:val="0"/>
      <w:divBdr>
        <w:top w:val="none" w:sz="0" w:space="0" w:color="auto"/>
        <w:left w:val="none" w:sz="0" w:space="0" w:color="auto"/>
        <w:bottom w:val="none" w:sz="0" w:space="0" w:color="auto"/>
        <w:right w:val="none" w:sz="0" w:space="0" w:color="auto"/>
      </w:divBdr>
    </w:div>
    <w:div w:id="951402494">
      <w:bodyDiv w:val="1"/>
      <w:marLeft w:val="0"/>
      <w:marRight w:val="0"/>
      <w:marTop w:val="0"/>
      <w:marBottom w:val="0"/>
      <w:divBdr>
        <w:top w:val="none" w:sz="0" w:space="0" w:color="auto"/>
        <w:left w:val="none" w:sz="0" w:space="0" w:color="auto"/>
        <w:bottom w:val="none" w:sz="0" w:space="0" w:color="auto"/>
        <w:right w:val="none" w:sz="0" w:space="0" w:color="auto"/>
      </w:divBdr>
      <w:divsChild>
        <w:div w:id="575280781">
          <w:marLeft w:val="0"/>
          <w:marRight w:val="0"/>
          <w:marTop w:val="0"/>
          <w:marBottom w:val="0"/>
          <w:divBdr>
            <w:top w:val="none" w:sz="0" w:space="0" w:color="auto"/>
            <w:left w:val="none" w:sz="0" w:space="0" w:color="auto"/>
            <w:bottom w:val="none" w:sz="0" w:space="0" w:color="auto"/>
            <w:right w:val="none" w:sz="0" w:space="0" w:color="auto"/>
          </w:divBdr>
          <w:divsChild>
            <w:div w:id="1710907893">
              <w:marLeft w:val="0"/>
              <w:marRight w:val="0"/>
              <w:marTop w:val="0"/>
              <w:marBottom w:val="0"/>
              <w:divBdr>
                <w:top w:val="none" w:sz="0" w:space="0" w:color="auto"/>
                <w:left w:val="none" w:sz="0" w:space="0" w:color="auto"/>
                <w:bottom w:val="none" w:sz="0" w:space="0" w:color="auto"/>
                <w:right w:val="none" w:sz="0" w:space="0" w:color="auto"/>
              </w:divBdr>
              <w:divsChild>
                <w:div w:id="249844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90669952">
      <w:bodyDiv w:val="1"/>
      <w:marLeft w:val="0"/>
      <w:marRight w:val="0"/>
      <w:marTop w:val="0"/>
      <w:marBottom w:val="0"/>
      <w:divBdr>
        <w:top w:val="none" w:sz="0" w:space="0" w:color="auto"/>
        <w:left w:val="none" w:sz="0" w:space="0" w:color="auto"/>
        <w:bottom w:val="none" w:sz="0" w:space="0" w:color="auto"/>
        <w:right w:val="none" w:sz="0" w:space="0" w:color="auto"/>
      </w:divBdr>
    </w:div>
    <w:div w:id="1008941298">
      <w:bodyDiv w:val="1"/>
      <w:marLeft w:val="0"/>
      <w:marRight w:val="0"/>
      <w:marTop w:val="0"/>
      <w:marBottom w:val="0"/>
      <w:divBdr>
        <w:top w:val="none" w:sz="0" w:space="0" w:color="auto"/>
        <w:left w:val="none" w:sz="0" w:space="0" w:color="auto"/>
        <w:bottom w:val="none" w:sz="0" w:space="0" w:color="auto"/>
        <w:right w:val="none" w:sz="0" w:space="0" w:color="auto"/>
      </w:divBdr>
    </w:div>
    <w:div w:id="1021474198">
      <w:bodyDiv w:val="1"/>
      <w:marLeft w:val="0"/>
      <w:marRight w:val="0"/>
      <w:marTop w:val="0"/>
      <w:marBottom w:val="0"/>
      <w:divBdr>
        <w:top w:val="none" w:sz="0" w:space="0" w:color="auto"/>
        <w:left w:val="none" w:sz="0" w:space="0" w:color="auto"/>
        <w:bottom w:val="none" w:sz="0" w:space="0" w:color="auto"/>
        <w:right w:val="none" w:sz="0" w:space="0" w:color="auto"/>
      </w:divBdr>
    </w:div>
    <w:div w:id="1022786643">
      <w:bodyDiv w:val="1"/>
      <w:marLeft w:val="0"/>
      <w:marRight w:val="0"/>
      <w:marTop w:val="0"/>
      <w:marBottom w:val="0"/>
      <w:divBdr>
        <w:top w:val="none" w:sz="0" w:space="0" w:color="auto"/>
        <w:left w:val="none" w:sz="0" w:space="0" w:color="auto"/>
        <w:bottom w:val="none" w:sz="0" w:space="0" w:color="auto"/>
        <w:right w:val="none" w:sz="0" w:space="0" w:color="auto"/>
      </w:divBdr>
      <w:divsChild>
        <w:div w:id="1018430269">
          <w:marLeft w:val="0"/>
          <w:marRight w:val="0"/>
          <w:marTop w:val="0"/>
          <w:marBottom w:val="0"/>
          <w:divBdr>
            <w:top w:val="none" w:sz="0" w:space="0" w:color="auto"/>
            <w:left w:val="none" w:sz="0" w:space="0" w:color="auto"/>
            <w:bottom w:val="none" w:sz="0" w:space="0" w:color="auto"/>
            <w:right w:val="none" w:sz="0" w:space="0" w:color="auto"/>
          </w:divBdr>
          <w:divsChild>
            <w:div w:id="482938532">
              <w:marLeft w:val="0"/>
              <w:marRight w:val="0"/>
              <w:marTop w:val="0"/>
              <w:marBottom w:val="0"/>
              <w:divBdr>
                <w:top w:val="none" w:sz="0" w:space="0" w:color="auto"/>
                <w:left w:val="none" w:sz="0" w:space="0" w:color="auto"/>
                <w:bottom w:val="none" w:sz="0" w:space="0" w:color="auto"/>
                <w:right w:val="none" w:sz="0" w:space="0" w:color="auto"/>
              </w:divBdr>
              <w:divsChild>
                <w:div w:id="150983315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3633518">
      <w:bodyDiv w:val="1"/>
      <w:marLeft w:val="0"/>
      <w:marRight w:val="0"/>
      <w:marTop w:val="0"/>
      <w:marBottom w:val="0"/>
      <w:divBdr>
        <w:top w:val="none" w:sz="0" w:space="0" w:color="auto"/>
        <w:left w:val="none" w:sz="0" w:space="0" w:color="auto"/>
        <w:bottom w:val="none" w:sz="0" w:space="0" w:color="auto"/>
        <w:right w:val="none" w:sz="0" w:space="0" w:color="auto"/>
      </w:divBdr>
    </w:div>
    <w:div w:id="1024594545">
      <w:bodyDiv w:val="1"/>
      <w:marLeft w:val="0"/>
      <w:marRight w:val="0"/>
      <w:marTop w:val="0"/>
      <w:marBottom w:val="0"/>
      <w:divBdr>
        <w:top w:val="none" w:sz="0" w:space="0" w:color="auto"/>
        <w:left w:val="none" w:sz="0" w:space="0" w:color="auto"/>
        <w:bottom w:val="none" w:sz="0" w:space="0" w:color="auto"/>
        <w:right w:val="none" w:sz="0" w:space="0" w:color="auto"/>
      </w:divBdr>
    </w:div>
    <w:div w:id="1047684934">
      <w:bodyDiv w:val="1"/>
      <w:marLeft w:val="0"/>
      <w:marRight w:val="0"/>
      <w:marTop w:val="0"/>
      <w:marBottom w:val="0"/>
      <w:divBdr>
        <w:top w:val="none" w:sz="0" w:space="0" w:color="auto"/>
        <w:left w:val="none" w:sz="0" w:space="0" w:color="auto"/>
        <w:bottom w:val="none" w:sz="0" w:space="0" w:color="auto"/>
        <w:right w:val="none" w:sz="0" w:space="0" w:color="auto"/>
      </w:divBdr>
    </w:div>
    <w:div w:id="1083985842">
      <w:bodyDiv w:val="1"/>
      <w:marLeft w:val="0"/>
      <w:marRight w:val="0"/>
      <w:marTop w:val="0"/>
      <w:marBottom w:val="0"/>
      <w:divBdr>
        <w:top w:val="none" w:sz="0" w:space="0" w:color="auto"/>
        <w:left w:val="none" w:sz="0" w:space="0" w:color="auto"/>
        <w:bottom w:val="none" w:sz="0" w:space="0" w:color="auto"/>
        <w:right w:val="none" w:sz="0" w:space="0" w:color="auto"/>
      </w:divBdr>
    </w:div>
    <w:div w:id="1239360183">
      <w:bodyDiv w:val="1"/>
      <w:marLeft w:val="0"/>
      <w:marRight w:val="0"/>
      <w:marTop w:val="0"/>
      <w:marBottom w:val="0"/>
      <w:divBdr>
        <w:top w:val="none" w:sz="0" w:space="0" w:color="auto"/>
        <w:left w:val="none" w:sz="0" w:space="0" w:color="auto"/>
        <w:bottom w:val="none" w:sz="0" w:space="0" w:color="auto"/>
        <w:right w:val="none" w:sz="0" w:space="0" w:color="auto"/>
      </w:divBdr>
    </w:div>
    <w:div w:id="1293487967">
      <w:bodyDiv w:val="1"/>
      <w:marLeft w:val="0"/>
      <w:marRight w:val="0"/>
      <w:marTop w:val="0"/>
      <w:marBottom w:val="0"/>
      <w:divBdr>
        <w:top w:val="none" w:sz="0" w:space="0" w:color="auto"/>
        <w:left w:val="none" w:sz="0" w:space="0" w:color="auto"/>
        <w:bottom w:val="none" w:sz="0" w:space="0" w:color="auto"/>
        <w:right w:val="none" w:sz="0" w:space="0" w:color="auto"/>
      </w:divBdr>
    </w:div>
    <w:div w:id="1324966086">
      <w:bodyDiv w:val="1"/>
      <w:marLeft w:val="0"/>
      <w:marRight w:val="0"/>
      <w:marTop w:val="0"/>
      <w:marBottom w:val="0"/>
      <w:divBdr>
        <w:top w:val="none" w:sz="0" w:space="0" w:color="auto"/>
        <w:left w:val="none" w:sz="0" w:space="0" w:color="auto"/>
        <w:bottom w:val="none" w:sz="0" w:space="0" w:color="auto"/>
        <w:right w:val="none" w:sz="0" w:space="0" w:color="auto"/>
      </w:divBdr>
    </w:div>
    <w:div w:id="1340042500">
      <w:bodyDiv w:val="1"/>
      <w:marLeft w:val="0"/>
      <w:marRight w:val="0"/>
      <w:marTop w:val="0"/>
      <w:marBottom w:val="0"/>
      <w:divBdr>
        <w:top w:val="none" w:sz="0" w:space="0" w:color="auto"/>
        <w:left w:val="none" w:sz="0" w:space="0" w:color="auto"/>
        <w:bottom w:val="none" w:sz="0" w:space="0" w:color="auto"/>
        <w:right w:val="none" w:sz="0" w:space="0" w:color="auto"/>
      </w:divBdr>
      <w:divsChild>
        <w:div w:id="1834100908">
          <w:marLeft w:val="0"/>
          <w:marRight w:val="0"/>
          <w:marTop w:val="0"/>
          <w:marBottom w:val="0"/>
          <w:divBdr>
            <w:top w:val="none" w:sz="0" w:space="0" w:color="auto"/>
            <w:left w:val="none" w:sz="0" w:space="0" w:color="auto"/>
            <w:bottom w:val="none" w:sz="0" w:space="0" w:color="auto"/>
            <w:right w:val="none" w:sz="0" w:space="0" w:color="auto"/>
          </w:divBdr>
          <w:divsChild>
            <w:div w:id="1860122277">
              <w:marLeft w:val="0"/>
              <w:marRight w:val="0"/>
              <w:marTop w:val="0"/>
              <w:marBottom w:val="0"/>
              <w:divBdr>
                <w:top w:val="none" w:sz="0" w:space="0" w:color="auto"/>
                <w:left w:val="none" w:sz="0" w:space="0" w:color="auto"/>
                <w:bottom w:val="none" w:sz="0" w:space="0" w:color="auto"/>
                <w:right w:val="none" w:sz="0" w:space="0" w:color="auto"/>
              </w:divBdr>
              <w:divsChild>
                <w:div w:id="16702823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3241055">
      <w:bodyDiv w:val="1"/>
      <w:marLeft w:val="0"/>
      <w:marRight w:val="0"/>
      <w:marTop w:val="0"/>
      <w:marBottom w:val="0"/>
      <w:divBdr>
        <w:top w:val="none" w:sz="0" w:space="0" w:color="auto"/>
        <w:left w:val="none" w:sz="0" w:space="0" w:color="auto"/>
        <w:bottom w:val="none" w:sz="0" w:space="0" w:color="auto"/>
        <w:right w:val="none" w:sz="0" w:space="0" w:color="auto"/>
      </w:divBdr>
    </w:div>
    <w:div w:id="1357806536">
      <w:bodyDiv w:val="1"/>
      <w:marLeft w:val="0"/>
      <w:marRight w:val="0"/>
      <w:marTop w:val="0"/>
      <w:marBottom w:val="0"/>
      <w:divBdr>
        <w:top w:val="none" w:sz="0" w:space="0" w:color="auto"/>
        <w:left w:val="none" w:sz="0" w:space="0" w:color="auto"/>
        <w:bottom w:val="none" w:sz="0" w:space="0" w:color="auto"/>
        <w:right w:val="none" w:sz="0" w:space="0" w:color="auto"/>
      </w:divBdr>
    </w:div>
    <w:div w:id="1430926083">
      <w:bodyDiv w:val="1"/>
      <w:marLeft w:val="0"/>
      <w:marRight w:val="0"/>
      <w:marTop w:val="0"/>
      <w:marBottom w:val="0"/>
      <w:divBdr>
        <w:top w:val="none" w:sz="0" w:space="0" w:color="auto"/>
        <w:left w:val="none" w:sz="0" w:space="0" w:color="auto"/>
        <w:bottom w:val="none" w:sz="0" w:space="0" w:color="auto"/>
        <w:right w:val="none" w:sz="0" w:space="0" w:color="auto"/>
      </w:divBdr>
    </w:div>
    <w:div w:id="1509520323">
      <w:bodyDiv w:val="1"/>
      <w:marLeft w:val="0"/>
      <w:marRight w:val="0"/>
      <w:marTop w:val="0"/>
      <w:marBottom w:val="0"/>
      <w:divBdr>
        <w:top w:val="none" w:sz="0" w:space="0" w:color="auto"/>
        <w:left w:val="none" w:sz="0" w:space="0" w:color="auto"/>
        <w:bottom w:val="none" w:sz="0" w:space="0" w:color="auto"/>
        <w:right w:val="none" w:sz="0" w:space="0" w:color="auto"/>
      </w:divBdr>
      <w:divsChild>
        <w:div w:id="794952617">
          <w:marLeft w:val="0"/>
          <w:marRight w:val="0"/>
          <w:marTop w:val="0"/>
          <w:marBottom w:val="0"/>
          <w:divBdr>
            <w:top w:val="none" w:sz="0" w:space="0" w:color="auto"/>
            <w:left w:val="none" w:sz="0" w:space="0" w:color="auto"/>
            <w:bottom w:val="none" w:sz="0" w:space="0" w:color="auto"/>
            <w:right w:val="none" w:sz="0" w:space="0" w:color="auto"/>
          </w:divBdr>
          <w:divsChild>
            <w:div w:id="1581326243">
              <w:marLeft w:val="0"/>
              <w:marRight w:val="0"/>
              <w:marTop w:val="0"/>
              <w:marBottom w:val="0"/>
              <w:divBdr>
                <w:top w:val="none" w:sz="0" w:space="0" w:color="auto"/>
                <w:left w:val="none" w:sz="0" w:space="0" w:color="auto"/>
                <w:bottom w:val="none" w:sz="0" w:space="0" w:color="auto"/>
                <w:right w:val="none" w:sz="0" w:space="0" w:color="auto"/>
              </w:divBdr>
              <w:divsChild>
                <w:div w:id="1052343674">
                  <w:marLeft w:val="0"/>
                  <w:marRight w:val="0"/>
                  <w:marTop w:val="0"/>
                  <w:marBottom w:val="0"/>
                  <w:divBdr>
                    <w:top w:val="none" w:sz="0" w:space="0" w:color="auto"/>
                    <w:left w:val="none" w:sz="0" w:space="0" w:color="auto"/>
                    <w:bottom w:val="none" w:sz="0" w:space="0" w:color="auto"/>
                    <w:right w:val="none" w:sz="0" w:space="0" w:color="auto"/>
                  </w:divBdr>
                  <w:divsChild>
                    <w:div w:id="1904103114">
                      <w:marLeft w:val="0"/>
                      <w:marRight w:val="0"/>
                      <w:marTop w:val="0"/>
                      <w:marBottom w:val="0"/>
                      <w:divBdr>
                        <w:top w:val="none" w:sz="0" w:space="0" w:color="auto"/>
                        <w:left w:val="none" w:sz="0" w:space="0" w:color="auto"/>
                        <w:bottom w:val="none" w:sz="0" w:space="0" w:color="auto"/>
                        <w:right w:val="none" w:sz="0" w:space="0" w:color="auto"/>
                      </w:divBdr>
                      <w:divsChild>
                        <w:div w:id="1085803310">
                          <w:marLeft w:val="0"/>
                          <w:marRight w:val="0"/>
                          <w:marTop w:val="0"/>
                          <w:marBottom w:val="0"/>
                          <w:divBdr>
                            <w:top w:val="none" w:sz="0" w:space="0" w:color="auto"/>
                            <w:left w:val="none" w:sz="0" w:space="0" w:color="auto"/>
                            <w:bottom w:val="none" w:sz="0" w:space="0" w:color="auto"/>
                            <w:right w:val="none" w:sz="0" w:space="0" w:color="auto"/>
                          </w:divBdr>
                          <w:divsChild>
                            <w:div w:id="487281995">
                              <w:marLeft w:val="-240"/>
                              <w:marRight w:val="-120"/>
                              <w:marTop w:val="0"/>
                              <w:marBottom w:val="0"/>
                              <w:divBdr>
                                <w:top w:val="none" w:sz="0" w:space="0" w:color="auto"/>
                                <w:left w:val="none" w:sz="0" w:space="0" w:color="auto"/>
                                <w:bottom w:val="none" w:sz="0" w:space="0" w:color="auto"/>
                                <w:right w:val="none" w:sz="0" w:space="0" w:color="auto"/>
                              </w:divBdr>
                              <w:divsChild>
                                <w:div w:id="2100440992">
                                  <w:marLeft w:val="0"/>
                                  <w:marRight w:val="0"/>
                                  <w:marTop w:val="0"/>
                                  <w:marBottom w:val="60"/>
                                  <w:divBdr>
                                    <w:top w:val="none" w:sz="0" w:space="0" w:color="auto"/>
                                    <w:left w:val="none" w:sz="0" w:space="0" w:color="auto"/>
                                    <w:bottom w:val="none" w:sz="0" w:space="0" w:color="auto"/>
                                    <w:right w:val="none" w:sz="0" w:space="0" w:color="auto"/>
                                  </w:divBdr>
                                  <w:divsChild>
                                    <w:div w:id="1598711124">
                                      <w:marLeft w:val="0"/>
                                      <w:marRight w:val="0"/>
                                      <w:marTop w:val="0"/>
                                      <w:marBottom w:val="0"/>
                                      <w:divBdr>
                                        <w:top w:val="none" w:sz="0" w:space="0" w:color="auto"/>
                                        <w:left w:val="none" w:sz="0" w:space="0" w:color="auto"/>
                                        <w:bottom w:val="none" w:sz="0" w:space="0" w:color="auto"/>
                                        <w:right w:val="none" w:sz="0" w:space="0" w:color="auto"/>
                                      </w:divBdr>
                                      <w:divsChild>
                                        <w:div w:id="1882329275">
                                          <w:marLeft w:val="0"/>
                                          <w:marRight w:val="0"/>
                                          <w:marTop w:val="0"/>
                                          <w:marBottom w:val="0"/>
                                          <w:divBdr>
                                            <w:top w:val="none" w:sz="0" w:space="0" w:color="auto"/>
                                            <w:left w:val="none" w:sz="0" w:space="0" w:color="auto"/>
                                            <w:bottom w:val="none" w:sz="0" w:space="0" w:color="auto"/>
                                            <w:right w:val="none" w:sz="0" w:space="0" w:color="auto"/>
                                          </w:divBdr>
                                          <w:divsChild>
                                            <w:div w:id="817309038">
                                              <w:marLeft w:val="0"/>
                                              <w:marRight w:val="0"/>
                                              <w:marTop w:val="0"/>
                                              <w:marBottom w:val="0"/>
                                              <w:divBdr>
                                                <w:top w:val="none" w:sz="0" w:space="0" w:color="auto"/>
                                                <w:left w:val="none" w:sz="0" w:space="0" w:color="auto"/>
                                                <w:bottom w:val="none" w:sz="0" w:space="0" w:color="auto"/>
                                                <w:right w:val="none" w:sz="0" w:space="0" w:color="auto"/>
                                              </w:divBdr>
                                              <w:divsChild>
                                                <w:div w:id="130661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518339">
          <w:marLeft w:val="0"/>
          <w:marRight w:val="0"/>
          <w:marTop w:val="0"/>
          <w:marBottom w:val="0"/>
          <w:divBdr>
            <w:top w:val="none" w:sz="0" w:space="0" w:color="auto"/>
            <w:left w:val="none" w:sz="0" w:space="0" w:color="auto"/>
            <w:bottom w:val="none" w:sz="0" w:space="0" w:color="auto"/>
            <w:right w:val="none" w:sz="0" w:space="0" w:color="auto"/>
          </w:divBdr>
          <w:divsChild>
            <w:div w:id="1532650622">
              <w:marLeft w:val="0"/>
              <w:marRight w:val="0"/>
              <w:marTop w:val="0"/>
              <w:marBottom w:val="0"/>
              <w:divBdr>
                <w:top w:val="none" w:sz="0" w:space="0" w:color="auto"/>
                <w:left w:val="none" w:sz="0" w:space="0" w:color="auto"/>
                <w:bottom w:val="none" w:sz="0" w:space="0" w:color="auto"/>
                <w:right w:val="none" w:sz="0" w:space="0" w:color="auto"/>
              </w:divBdr>
              <w:divsChild>
                <w:div w:id="1535464590">
                  <w:marLeft w:val="0"/>
                  <w:marRight w:val="0"/>
                  <w:marTop w:val="0"/>
                  <w:marBottom w:val="0"/>
                  <w:divBdr>
                    <w:top w:val="none" w:sz="0" w:space="0" w:color="auto"/>
                    <w:left w:val="none" w:sz="0" w:space="0" w:color="auto"/>
                    <w:bottom w:val="none" w:sz="0" w:space="0" w:color="auto"/>
                    <w:right w:val="none" w:sz="0" w:space="0" w:color="auto"/>
                  </w:divBdr>
                  <w:divsChild>
                    <w:div w:id="2128043487">
                      <w:marLeft w:val="0"/>
                      <w:marRight w:val="0"/>
                      <w:marTop w:val="0"/>
                      <w:marBottom w:val="0"/>
                      <w:divBdr>
                        <w:top w:val="none" w:sz="0" w:space="0" w:color="auto"/>
                        <w:left w:val="none" w:sz="0" w:space="0" w:color="auto"/>
                        <w:bottom w:val="none" w:sz="0" w:space="0" w:color="auto"/>
                        <w:right w:val="none" w:sz="0" w:space="0" w:color="auto"/>
                      </w:divBdr>
                      <w:divsChild>
                        <w:div w:id="996112939">
                          <w:marLeft w:val="0"/>
                          <w:marRight w:val="0"/>
                          <w:marTop w:val="0"/>
                          <w:marBottom w:val="0"/>
                          <w:divBdr>
                            <w:top w:val="none" w:sz="0" w:space="0" w:color="auto"/>
                            <w:left w:val="none" w:sz="0" w:space="0" w:color="auto"/>
                            <w:bottom w:val="none" w:sz="0" w:space="0" w:color="auto"/>
                            <w:right w:val="none" w:sz="0" w:space="0" w:color="auto"/>
                          </w:divBdr>
                          <w:divsChild>
                            <w:div w:id="496923820">
                              <w:marLeft w:val="0"/>
                              <w:marRight w:val="120"/>
                              <w:marTop w:val="0"/>
                              <w:marBottom w:val="0"/>
                              <w:divBdr>
                                <w:top w:val="none" w:sz="0" w:space="0" w:color="auto"/>
                                <w:left w:val="none" w:sz="0" w:space="0" w:color="auto"/>
                                <w:bottom w:val="none" w:sz="0" w:space="0" w:color="auto"/>
                                <w:right w:val="none" w:sz="0" w:space="0" w:color="auto"/>
                              </w:divBdr>
                              <w:divsChild>
                                <w:div w:id="47849151">
                                  <w:marLeft w:val="-300"/>
                                  <w:marRight w:val="0"/>
                                  <w:marTop w:val="0"/>
                                  <w:marBottom w:val="0"/>
                                  <w:divBdr>
                                    <w:top w:val="none" w:sz="0" w:space="0" w:color="auto"/>
                                    <w:left w:val="none" w:sz="0" w:space="0" w:color="auto"/>
                                    <w:bottom w:val="none" w:sz="0" w:space="0" w:color="auto"/>
                                    <w:right w:val="none" w:sz="0" w:space="0" w:color="auto"/>
                                  </w:divBdr>
                                </w:div>
                              </w:divsChild>
                            </w:div>
                            <w:div w:id="777024371">
                              <w:marLeft w:val="-240"/>
                              <w:marRight w:val="-120"/>
                              <w:marTop w:val="0"/>
                              <w:marBottom w:val="0"/>
                              <w:divBdr>
                                <w:top w:val="none" w:sz="0" w:space="0" w:color="auto"/>
                                <w:left w:val="none" w:sz="0" w:space="0" w:color="auto"/>
                                <w:bottom w:val="none" w:sz="0" w:space="0" w:color="auto"/>
                                <w:right w:val="none" w:sz="0" w:space="0" w:color="auto"/>
                              </w:divBdr>
                              <w:divsChild>
                                <w:div w:id="1960649792">
                                  <w:marLeft w:val="0"/>
                                  <w:marRight w:val="0"/>
                                  <w:marTop w:val="0"/>
                                  <w:marBottom w:val="60"/>
                                  <w:divBdr>
                                    <w:top w:val="none" w:sz="0" w:space="0" w:color="auto"/>
                                    <w:left w:val="none" w:sz="0" w:space="0" w:color="auto"/>
                                    <w:bottom w:val="none" w:sz="0" w:space="0" w:color="auto"/>
                                    <w:right w:val="none" w:sz="0" w:space="0" w:color="auto"/>
                                  </w:divBdr>
                                  <w:divsChild>
                                    <w:div w:id="2041932927">
                                      <w:marLeft w:val="0"/>
                                      <w:marRight w:val="0"/>
                                      <w:marTop w:val="0"/>
                                      <w:marBottom w:val="0"/>
                                      <w:divBdr>
                                        <w:top w:val="none" w:sz="0" w:space="0" w:color="auto"/>
                                        <w:left w:val="none" w:sz="0" w:space="0" w:color="auto"/>
                                        <w:bottom w:val="none" w:sz="0" w:space="0" w:color="auto"/>
                                        <w:right w:val="none" w:sz="0" w:space="0" w:color="auto"/>
                                      </w:divBdr>
                                      <w:divsChild>
                                        <w:div w:id="1452939666">
                                          <w:marLeft w:val="0"/>
                                          <w:marRight w:val="0"/>
                                          <w:marTop w:val="0"/>
                                          <w:marBottom w:val="0"/>
                                          <w:divBdr>
                                            <w:top w:val="none" w:sz="0" w:space="0" w:color="auto"/>
                                            <w:left w:val="none" w:sz="0" w:space="0" w:color="auto"/>
                                            <w:bottom w:val="none" w:sz="0" w:space="0" w:color="auto"/>
                                            <w:right w:val="none" w:sz="0" w:space="0" w:color="auto"/>
                                          </w:divBdr>
                                          <w:divsChild>
                                            <w:div w:id="1757824918">
                                              <w:marLeft w:val="0"/>
                                              <w:marRight w:val="0"/>
                                              <w:marTop w:val="0"/>
                                              <w:marBottom w:val="0"/>
                                              <w:divBdr>
                                                <w:top w:val="none" w:sz="0" w:space="0" w:color="auto"/>
                                                <w:left w:val="none" w:sz="0" w:space="0" w:color="auto"/>
                                                <w:bottom w:val="none" w:sz="0" w:space="0" w:color="auto"/>
                                                <w:right w:val="none" w:sz="0" w:space="0" w:color="auto"/>
                                              </w:divBdr>
                                              <w:divsChild>
                                                <w:div w:id="5186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3663027">
      <w:bodyDiv w:val="1"/>
      <w:marLeft w:val="0"/>
      <w:marRight w:val="0"/>
      <w:marTop w:val="0"/>
      <w:marBottom w:val="0"/>
      <w:divBdr>
        <w:top w:val="none" w:sz="0" w:space="0" w:color="auto"/>
        <w:left w:val="none" w:sz="0" w:space="0" w:color="auto"/>
        <w:bottom w:val="none" w:sz="0" w:space="0" w:color="auto"/>
        <w:right w:val="none" w:sz="0" w:space="0" w:color="auto"/>
      </w:divBdr>
    </w:div>
    <w:div w:id="1604343040">
      <w:bodyDiv w:val="1"/>
      <w:marLeft w:val="0"/>
      <w:marRight w:val="0"/>
      <w:marTop w:val="0"/>
      <w:marBottom w:val="0"/>
      <w:divBdr>
        <w:top w:val="none" w:sz="0" w:space="0" w:color="auto"/>
        <w:left w:val="none" w:sz="0" w:space="0" w:color="auto"/>
        <w:bottom w:val="none" w:sz="0" w:space="0" w:color="auto"/>
        <w:right w:val="none" w:sz="0" w:space="0" w:color="auto"/>
      </w:divBdr>
    </w:div>
    <w:div w:id="1667705732">
      <w:bodyDiv w:val="1"/>
      <w:marLeft w:val="0"/>
      <w:marRight w:val="0"/>
      <w:marTop w:val="0"/>
      <w:marBottom w:val="0"/>
      <w:divBdr>
        <w:top w:val="none" w:sz="0" w:space="0" w:color="auto"/>
        <w:left w:val="none" w:sz="0" w:space="0" w:color="auto"/>
        <w:bottom w:val="none" w:sz="0" w:space="0" w:color="auto"/>
        <w:right w:val="none" w:sz="0" w:space="0" w:color="auto"/>
      </w:divBdr>
      <w:divsChild>
        <w:div w:id="184944664">
          <w:marLeft w:val="0"/>
          <w:marRight w:val="0"/>
          <w:marTop w:val="0"/>
          <w:marBottom w:val="0"/>
          <w:divBdr>
            <w:top w:val="none" w:sz="0" w:space="0" w:color="auto"/>
            <w:left w:val="none" w:sz="0" w:space="0" w:color="auto"/>
            <w:bottom w:val="none" w:sz="0" w:space="0" w:color="auto"/>
            <w:right w:val="none" w:sz="0" w:space="0" w:color="auto"/>
          </w:divBdr>
        </w:div>
        <w:div w:id="189340289">
          <w:marLeft w:val="0"/>
          <w:marRight w:val="0"/>
          <w:marTop w:val="0"/>
          <w:marBottom w:val="0"/>
          <w:divBdr>
            <w:top w:val="none" w:sz="0" w:space="0" w:color="auto"/>
            <w:left w:val="none" w:sz="0" w:space="0" w:color="auto"/>
            <w:bottom w:val="none" w:sz="0" w:space="0" w:color="auto"/>
            <w:right w:val="none" w:sz="0" w:space="0" w:color="auto"/>
          </w:divBdr>
        </w:div>
        <w:div w:id="466120333">
          <w:marLeft w:val="0"/>
          <w:marRight w:val="0"/>
          <w:marTop w:val="0"/>
          <w:marBottom w:val="0"/>
          <w:divBdr>
            <w:top w:val="none" w:sz="0" w:space="0" w:color="auto"/>
            <w:left w:val="none" w:sz="0" w:space="0" w:color="auto"/>
            <w:bottom w:val="none" w:sz="0" w:space="0" w:color="auto"/>
            <w:right w:val="none" w:sz="0" w:space="0" w:color="auto"/>
          </w:divBdr>
        </w:div>
        <w:div w:id="816142127">
          <w:marLeft w:val="0"/>
          <w:marRight w:val="0"/>
          <w:marTop w:val="0"/>
          <w:marBottom w:val="0"/>
          <w:divBdr>
            <w:top w:val="none" w:sz="0" w:space="0" w:color="auto"/>
            <w:left w:val="none" w:sz="0" w:space="0" w:color="auto"/>
            <w:bottom w:val="none" w:sz="0" w:space="0" w:color="auto"/>
            <w:right w:val="none" w:sz="0" w:space="0" w:color="auto"/>
          </w:divBdr>
        </w:div>
        <w:div w:id="941260583">
          <w:marLeft w:val="0"/>
          <w:marRight w:val="0"/>
          <w:marTop w:val="0"/>
          <w:marBottom w:val="0"/>
          <w:divBdr>
            <w:top w:val="none" w:sz="0" w:space="0" w:color="auto"/>
            <w:left w:val="none" w:sz="0" w:space="0" w:color="auto"/>
            <w:bottom w:val="none" w:sz="0" w:space="0" w:color="auto"/>
            <w:right w:val="none" w:sz="0" w:space="0" w:color="auto"/>
          </w:divBdr>
        </w:div>
        <w:div w:id="1134638727">
          <w:marLeft w:val="0"/>
          <w:marRight w:val="0"/>
          <w:marTop w:val="0"/>
          <w:marBottom w:val="0"/>
          <w:divBdr>
            <w:top w:val="none" w:sz="0" w:space="0" w:color="auto"/>
            <w:left w:val="none" w:sz="0" w:space="0" w:color="auto"/>
            <w:bottom w:val="none" w:sz="0" w:space="0" w:color="auto"/>
            <w:right w:val="none" w:sz="0" w:space="0" w:color="auto"/>
          </w:divBdr>
        </w:div>
        <w:div w:id="1252281611">
          <w:marLeft w:val="0"/>
          <w:marRight w:val="0"/>
          <w:marTop w:val="0"/>
          <w:marBottom w:val="0"/>
          <w:divBdr>
            <w:top w:val="none" w:sz="0" w:space="0" w:color="auto"/>
            <w:left w:val="none" w:sz="0" w:space="0" w:color="auto"/>
            <w:bottom w:val="none" w:sz="0" w:space="0" w:color="auto"/>
            <w:right w:val="none" w:sz="0" w:space="0" w:color="auto"/>
          </w:divBdr>
        </w:div>
        <w:div w:id="1454052196">
          <w:marLeft w:val="0"/>
          <w:marRight w:val="0"/>
          <w:marTop w:val="0"/>
          <w:marBottom w:val="0"/>
          <w:divBdr>
            <w:top w:val="none" w:sz="0" w:space="0" w:color="auto"/>
            <w:left w:val="none" w:sz="0" w:space="0" w:color="auto"/>
            <w:bottom w:val="none" w:sz="0" w:space="0" w:color="auto"/>
            <w:right w:val="none" w:sz="0" w:space="0" w:color="auto"/>
          </w:divBdr>
        </w:div>
        <w:div w:id="1601639622">
          <w:marLeft w:val="0"/>
          <w:marRight w:val="0"/>
          <w:marTop w:val="0"/>
          <w:marBottom w:val="0"/>
          <w:divBdr>
            <w:top w:val="none" w:sz="0" w:space="0" w:color="auto"/>
            <w:left w:val="none" w:sz="0" w:space="0" w:color="auto"/>
            <w:bottom w:val="none" w:sz="0" w:space="0" w:color="auto"/>
            <w:right w:val="none" w:sz="0" w:space="0" w:color="auto"/>
          </w:divBdr>
        </w:div>
        <w:div w:id="1746030186">
          <w:marLeft w:val="0"/>
          <w:marRight w:val="0"/>
          <w:marTop w:val="0"/>
          <w:marBottom w:val="0"/>
          <w:divBdr>
            <w:top w:val="none" w:sz="0" w:space="0" w:color="auto"/>
            <w:left w:val="none" w:sz="0" w:space="0" w:color="auto"/>
            <w:bottom w:val="none" w:sz="0" w:space="0" w:color="auto"/>
            <w:right w:val="none" w:sz="0" w:space="0" w:color="auto"/>
          </w:divBdr>
        </w:div>
        <w:div w:id="1788233065">
          <w:marLeft w:val="0"/>
          <w:marRight w:val="0"/>
          <w:marTop w:val="0"/>
          <w:marBottom w:val="0"/>
          <w:divBdr>
            <w:top w:val="none" w:sz="0" w:space="0" w:color="auto"/>
            <w:left w:val="none" w:sz="0" w:space="0" w:color="auto"/>
            <w:bottom w:val="none" w:sz="0" w:space="0" w:color="auto"/>
            <w:right w:val="none" w:sz="0" w:space="0" w:color="auto"/>
          </w:divBdr>
        </w:div>
      </w:divsChild>
    </w:div>
    <w:div w:id="1692798352">
      <w:bodyDiv w:val="1"/>
      <w:marLeft w:val="0"/>
      <w:marRight w:val="0"/>
      <w:marTop w:val="0"/>
      <w:marBottom w:val="0"/>
      <w:divBdr>
        <w:top w:val="none" w:sz="0" w:space="0" w:color="auto"/>
        <w:left w:val="none" w:sz="0" w:space="0" w:color="auto"/>
        <w:bottom w:val="none" w:sz="0" w:space="0" w:color="auto"/>
        <w:right w:val="none" w:sz="0" w:space="0" w:color="auto"/>
      </w:divBdr>
    </w:div>
    <w:div w:id="1709795050">
      <w:bodyDiv w:val="1"/>
      <w:marLeft w:val="0"/>
      <w:marRight w:val="0"/>
      <w:marTop w:val="0"/>
      <w:marBottom w:val="0"/>
      <w:divBdr>
        <w:top w:val="none" w:sz="0" w:space="0" w:color="auto"/>
        <w:left w:val="none" w:sz="0" w:space="0" w:color="auto"/>
        <w:bottom w:val="none" w:sz="0" w:space="0" w:color="auto"/>
        <w:right w:val="none" w:sz="0" w:space="0" w:color="auto"/>
      </w:divBdr>
      <w:divsChild>
        <w:div w:id="704867866">
          <w:marLeft w:val="0"/>
          <w:marRight w:val="0"/>
          <w:marTop w:val="0"/>
          <w:marBottom w:val="0"/>
          <w:divBdr>
            <w:top w:val="none" w:sz="0" w:space="0" w:color="auto"/>
            <w:left w:val="none" w:sz="0" w:space="0" w:color="auto"/>
            <w:bottom w:val="none" w:sz="0" w:space="0" w:color="auto"/>
            <w:right w:val="none" w:sz="0" w:space="0" w:color="auto"/>
          </w:divBdr>
        </w:div>
        <w:div w:id="1069034441">
          <w:marLeft w:val="0"/>
          <w:marRight w:val="0"/>
          <w:marTop w:val="0"/>
          <w:marBottom w:val="0"/>
          <w:divBdr>
            <w:top w:val="none" w:sz="0" w:space="0" w:color="auto"/>
            <w:left w:val="none" w:sz="0" w:space="0" w:color="auto"/>
            <w:bottom w:val="none" w:sz="0" w:space="0" w:color="auto"/>
            <w:right w:val="none" w:sz="0" w:space="0" w:color="auto"/>
          </w:divBdr>
        </w:div>
        <w:div w:id="1147472718">
          <w:marLeft w:val="0"/>
          <w:marRight w:val="0"/>
          <w:marTop w:val="0"/>
          <w:marBottom w:val="0"/>
          <w:divBdr>
            <w:top w:val="none" w:sz="0" w:space="0" w:color="auto"/>
            <w:left w:val="none" w:sz="0" w:space="0" w:color="auto"/>
            <w:bottom w:val="none" w:sz="0" w:space="0" w:color="auto"/>
            <w:right w:val="none" w:sz="0" w:space="0" w:color="auto"/>
          </w:divBdr>
        </w:div>
        <w:div w:id="1243486839">
          <w:marLeft w:val="0"/>
          <w:marRight w:val="0"/>
          <w:marTop w:val="0"/>
          <w:marBottom w:val="0"/>
          <w:divBdr>
            <w:top w:val="none" w:sz="0" w:space="0" w:color="auto"/>
            <w:left w:val="none" w:sz="0" w:space="0" w:color="auto"/>
            <w:bottom w:val="none" w:sz="0" w:space="0" w:color="auto"/>
            <w:right w:val="none" w:sz="0" w:space="0" w:color="auto"/>
          </w:divBdr>
        </w:div>
        <w:div w:id="1338851308">
          <w:marLeft w:val="0"/>
          <w:marRight w:val="0"/>
          <w:marTop w:val="0"/>
          <w:marBottom w:val="0"/>
          <w:divBdr>
            <w:top w:val="none" w:sz="0" w:space="0" w:color="auto"/>
            <w:left w:val="none" w:sz="0" w:space="0" w:color="auto"/>
            <w:bottom w:val="none" w:sz="0" w:space="0" w:color="auto"/>
            <w:right w:val="none" w:sz="0" w:space="0" w:color="auto"/>
          </w:divBdr>
        </w:div>
        <w:div w:id="1361517619">
          <w:marLeft w:val="0"/>
          <w:marRight w:val="0"/>
          <w:marTop w:val="0"/>
          <w:marBottom w:val="0"/>
          <w:divBdr>
            <w:top w:val="none" w:sz="0" w:space="0" w:color="auto"/>
            <w:left w:val="none" w:sz="0" w:space="0" w:color="auto"/>
            <w:bottom w:val="none" w:sz="0" w:space="0" w:color="auto"/>
            <w:right w:val="none" w:sz="0" w:space="0" w:color="auto"/>
          </w:divBdr>
        </w:div>
        <w:div w:id="1561330508">
          <w:marLeft w:val="0"/>
          <w:marRight w:val="0"/>
          <w:marTop w:val="0"/>
          <w:marBottom w:val="0"/>
          <w:divBdr>
            <w:top w:val="none" w:sz="0" w:space="0" w:color="auto"/>
            <w:left w:val="none" w:sz="0" w:space="0" w:color="auto"/>
            <w:bottom w:val="none" w:sz="0" w:space="0" w:color="auto"/>
            <w:right w:val="none" w:sz="0" w:space="0" w:color="auto"/>
          </w:divBdr>
        </w:div>
        <w:div w:id="1736854309">
          <w:marLeft w:val="0"/>
          <w:marRight w:val="0"/>
          <w:marTop w:val="0"/>
          <w:marBottom w:val="0"/>
          <w:divBdr>
            <w:top w:val="none" w:sz="0" w:space="0" w:color="auto"/>
            <w:left w:val="none" w:sz="0" w:space="0" w:color="auto"/>
            <w:bottom w:val="none" w:sz="0" w:space="0" w:color="auto"/>
            <w:right w:val="none" w:sz="0" w:space="0" w:color="auto"/>
          </w:divBdr>
        </w:div>
        <w:div w:id="1875070663">
          <w:marLeft w:val="0"/>
          <w:marRight w:val="0"/>
          <w:marTop w:val="0"/>
          <w:marBottom w:val="0"/>
          <w:divBdr>
            <w:top w:val="none" w:sz="0" w:space="0" w:color="auto"/>
            <w:left w:val="none" w:sz="0" w:space="0" w:color="auto"/>
            <w:bottom w:val="none" w:sz="0" w:space="0" w:color="auto"/>
            <w:right w:val="none" w:sz="0" w:space="0" w:color="auto"/>
          </w:divBdr>
        </w:div>
        <w:div w:id="2001541958">
          <w:marLeft w:val="0"/>
          <w:marRight w:val="0"/>
          <w:marTop w:val="0"/>
          <w:marBottom w:val="0"/>
          <w:divBdr>
            <w:top w:val="none" w:sz="0" w:space="0" w:color="auto"/>
            <w:left w:val="none" w:sz="0" w:space="0" w:color="auto"/>
            <w:bottom w:val="none" w:sz="0" w:space="0" w:color="auto"/>
            <w:right w:val="none" w:sz="0" w:space="0" w:color="auto"/>
          </w:divBdr>
        </w:div>
        <w:div w:id="2029213340">
          <w:marLeft w:val="0"/>
          <w:marRight w:val="0"/>
          <w:marTop w:val="0"/>
          <w:marBottom w:val="0"/>
          <w:divBdr>
            <w:top w:val="none" w:sz="0" w:space="0" w:color="auto"/>
            <w:left w:val="none" w:sz="0" w:space="0" w:color="auto"/>
            <w:bottom w:val="none" w:sz="0" w:space="0" w:color="auto"/>
            <w:right w:val="none" w:sz="0" w:space="0" w:color="auto"/>
          </w:divBdr>
        </w:div>
      </w:divsChild>
    </w:div>
    <w:div w:id="1747221558">
      <w:bodyDiv w:val="1"/>
      <w:marLeft w:val="0"/>
      <w:marRight w:val="0"/>
      <w:marTop w:val="0"/>
      <w:marBottom w:val="0"/>
      <w:divBdr>
        <w:top w:val="none" w:sz="0" w:space="0" w:color="auto"/>
        <w:left w:val="none" w:sz="0" w:space="0" w:color="auto"/>
        <w:bottom w:val="none" w:sz="0" w:space="0" w:color="auto"/>
        <w:right w:val="none" w:sz="0" w:space="0" w:color="auto"/>
      </w:divBdr>
    </w:div>
    <w:div w:id="1823353886">
      <w:bodyDiv w:val="1"/>
      <w:marLeft w:val="0"/>
      <w:marRight w:val="0"/>
      <w:marTop w:val="0"/>
      <w:marBottom w:val="0"/>
      <w:divBdr>
        <w:top w:val="none" w:sz="0" w:space="0" w:color="auto"/>
        <w:left w:val="none" w:sz="0" w:space="0" w:color="auto"/>
        <w:bottom w:val="none" w:sz="0" w:space="0" w:color="auto"/>
        <w:right w:val="none" w:sz="0" w:space="0" w:color="auto"/>
      </w:divBdr>
    </w:div>
    <w:div w:id="2024159887">
      <w:bodyDiv w:val="1"/>
      <w:marLeft w:val="0"/>
      <w:marRight w:val="0"/>
      <w:marTop w:val="0"/>
      <w:marBottom w:val="0"/>
      <w:divBdr>
        <w:top w:val="none" w:sz="0" w:space="0" w:color="auto"/>
        <w:left w:val="none" w:sz="0" w:space="0" w:color="auto"/>
        <w:bottom w:val="none" w:sz="0" w:space="0" w:color="auto"/>
        <w:right w:val="none" w:sz="0" w:space="0" w:color="auto"/>
      </w:divBdr>
      <w:divsChild>
        <w:div w:id="240339417">
          <w:marLeft w:val="0"/>
          <w:marRight w:val="0"/>
          <w:marTop w:val="0"/>
          <w:marBottom w:val="0"/>
          <w:divBdr>
            <w:top w:val="none" w:sz="0" w:space="0" w:color="auto"/>
            <w:left w:val="none" w:sz="0" w:space="0" w:color="auto"/>
            <w:bottom w:val="none" w:sz="0" w:space="0" w:color="auto"/>
            <w:right w:val="none" w:sz="0" w:space="0" w:color="auto"/>
          </w:divBdr>
        </w:div>
        <w:div w:id="280847065">
          <w:marLeft w:val="0"/>
          <w:marRight w:val="0"/>
          <w:marTop w:val="0"/>
          <w:marBottom w:val="0"/>
          <w:divBdr>
            <w:top w:val="none" w:sz="0" w:space="0" w:color="auto"/>
            <w:left w:val="none" w:sz="0" w:space="0" w:color="auto"/>
            <w:bottom w:val="none" w:sz="0" w:space="0" w:color="auto"/>
            <w:right w:val="none" w:sz="0" w:space="0" w:color="auto"/>
          </w:divBdr>
        </w:div>
        <w:div w:id="362244622">
          <w:marLeft w:val="0"/>
          <w:marRight w:val="0"/>
          <w:marTop w:val="0"/>
          <w:marBottom w:val="0"/>
          <w:divBdr>
            <w:top w:val="none" w:sz="0" w:space="0" w:color="auto"/>
            <w:left w:val="none" w:sz="0" w:space="0" w:color="auto"/>
            <w:bottom w:val="none" w:sz="0" w:space="0" w:color="auto"/>
            <w:right w:val="none" w:sz="0" w:space="0" w:color="auto"/>
          </w:divBdr>
        </w:div>
        <w:div w:id="415900664">
          <w:marLeft w:val="0"/>
          <w:marRight w:val="0"/>
          <w:marTop w:val="0"/>
          <w:marBottom w:val="0"/>
          <w:divBdr>
            <w:top w:val="none" w:sz="0" w:space="0" w:color="auto"/>
            <w:left w:val="none" w:sz="0" w:space="0" w:color="auto"/>
            <w:bottom w:val="none" w:sz="0" w:space="0" w:color="auto"/>
            <w:right w:val="none" w:sz="0" w:space="0" w:color="auto"/>
          </w:divBdr>
        </w:div>
        <w:div w:id="671837788">
          <w:marLeft w:val="0"/>
          <w:marRight w:val="0"/>
          <w:marTop w:val="0"/>
          <w:marBottom w:val="0"/>
          <w:divBdr>
            <w:top w:val="none" w:sz="0" w:space="0" w:color="auto"/>
            <w:left w:val="none" w:sz="0" w:space="0" w:color="auto"/>
            <w:bottom w:val="none" w:sz="0" w:space="0" w:color="auto"/>
            <w:right w:val="none" w:sz="0" w:space="0" w:color="auto"/>
          </w:divBdr>
        </w:div>
        <w:div w:id="802121208">
          <w:marLeft w:val="0"/>
          <w:marRight w:val="0"/>
          <w:marTop w:val="0"/>
          <w:marBottom w:val="0"/>
          <w:divBdr>
            <w:top w:val="none" w:sz="0" w:space="0" w:color="auto"/>
            <w:left w:val="none" w:sz="0" w:space="0" w:color="auto"/>
            <w:bottom w:val="none" w:sz="0" w:space="0" w:color="auto"/>
            <w:right w:val="none" w:sz="0" w:space="0" w:color="auto"/>
          </w:divBdr>
        </w:div>
        <w:div w:id="1206596415">
          <w:marLeft w:val="0"/>
          <w:marRight w:val="0"/>
          <w:marTop w:val="0"/>
          <w:marBottom w:val="0"/>
          <w:divBdr>
            <w:top w:val="none" w:sz="0" w:space="0" w:color="auto"/>
            <w:left w:val="none" w:sz="0" w:space="0" w:color="auto"/>
            <w:bottom w:val="none" w:sz="0" w:space="0" w:color="auto"/>
            <w:right w:val="none" w:sz="0" w:space="0" w:color="auto"/>
          </w:divBdr>
        </w:div>
        <w:div w:id="1781681838">
          <w:marLeft w:val="0"/>
          <w:marRight w:val="0"/>
          <w:marTop w:val="0"/>
          <w:marBottom w:val="0"/>
          <w:divBdr>
            <w:top w:val="none" w:sz="0" w:space="0" w:color="auto"/>
            <w:left w:val="none" w:sz="0" w:space="0" w:color="auto"/>
            <w:bottom w:val="none" w:sz="0" w:space="0" w:color="auto"/>
            <w:right w:val="none" w:sz="0" w:space="0" w:color="auto"/>
          </w:divBdr>
        </w:div>
        <w:div w:id="1843930287">
          <w:marLeft w:val="0"/>
          <w:marRight w:val="0"/>
          <w:marTop w:val="0"/>
          <w:marBottom w:val="0"/>
          <w:divBdr>
            <w:top w:val="none" w:sz="0" w:space="0" w:color="auto"/>
            <w:left w:val="none" w:sz="0" w:space="0" w:color="auto"/>
            <w:bottom w:val="none" w:sz="0" w:space="0" w:color="auto"/>
            <w:right w:val="none" w:sz="0" w:space="0" w:color="auto"/>
          </w:divBdr>
        </w:div>
        <w:div w:id="1860846470">
          <w:marLeft w:val="0"/>
          <w:marRight w:val="0"/>
          <w:marTop w:val="0"/>
          <w:marBottom w:val="0"/>
          <w:divBdr>
            <w:top w:val="none" w:sz="0" w:space="0" w:color="auto"/>
            <w:left w:val="none" w:sz="0" w:space="0" w:color="auto"/>
            <w:bottom w:val="none" w:sz="0" w:space="0" w:color="auto"/>
            <w:right w:val="none" w:sz="0" w:space="0" w:color="auto"/>
          </w:divBdr>
        </w:div>
        <w:div w:id="2099058994">
          <w:marLeft w:val="0"/>
          <w:marRight w:val="0"/>
          <w:marTop w:val="0"/>
          <w:marBottom w:val="0"/>
          <w:divBdr>
            <w:top w:val="none" w:sz="0" w:space="0" w:color="auto"/>
            <w:left w:val="none" w:sz="0" w:space="0" w:color="auto"/>
            <w:bottom w:val="none" w:sz="0" w:space="0" w:color="auto"/>
            <w:right w:val="none" w:sz="0" w:space="0" w:color="auto"/>
          </w:divBdr>
        </w:div>
      </w:divsChild>
    </w:div>
    <w:div w:id="2044361772">
      <w:bodyDiv w:val="1"/>
      <w:marLeft w:val="0"/>
      <w:marRight w:val="0"/>
      <w:marTop w:val="0"/>
      <w:marBottom w:val="0"/>
      <w:divBdr>
        <w:top w:val="none" w:sz="0" w:space="0" w:color="auto"/>
        <w:left w:val="none" w:sz="0" w:space="0" w:color="auto"/>
        <w:bottom w:val="none" w:sz="0" w:space="0" w:color="auto"/>
        <w:right w:val="none" w:sz="0" w:space="0" w:color="auto"/>
      </w:divBdr>
    </w:div>
    <w:div w:id="2065591932">
      <w:bodyDiv w:val="1"/>
      <w:marLeft w:val="0"/>
      <w:marRight w:val="0"/>
      <w:marTop w:val="0"/>
      <w:marBottom w:val="0"/>
      <w:divBdr>
        <w:top w:val="none" w:sz="0" w:space="0" w:color="auto"/>
        <w:left w:val="none" w:sz="0" w:space="0" w:color="auto"/>
        <w:bottom w:val="none" w:sz="0" w:space="0" w:color="auto"/>
        <w:right w:val="none" w:sz="0" w:space="0" w:color="auto"/>
      </w:divBdr>
    </w:div>
    <w:div w:id="2078822918">
      <w:bodyDiv w:val="1"/>
      <w:marLeft w:val="0"/>
      <w:marRight w:val="0"/>
      <w:marTop w:val="0"/>
      <w:marBottom w:val="0"/>
      <w:divBdr>
        <w:top w:val="none" w:sz="0" w:space="0" w:color="auto"/>
        <w:left w:val="none" w:sz="0" w:space="0" w:color="auto"/>
        <w:bottom w:val="none" w:sz="0" w:space="0" w:color="auto"/>
        <w:right w:val="none" w:sz="0" w:space="0" w:color="auto"/>
      </w:divBdr>
    </w:div>
    <w:div w:id="210968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ather-statement.org/" TargetMode="External"/><Relationship Id="rId18" Type="http://schemas.openxmlformats.org/officeDocument/2006/relationships/hyperlink" Target="https://www.cdc.gov/nchs/nvss/bridged_race.htm" TargetMode="External"/><Relationship Id="rId26" Type="http://schemas.openxmlformats.org/officeDocument/2006/relationships/hyperlink" Target="https://www.nhgis.org/" TargetMode="External"/><Relationship Id="rId21" Type="http://schemas.openxmlformats.org/officeDocument/2006/relationships/hyperlink" Target="https://www.nhgis.org/" TargetMode="Externa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ls.gov/data/" TargetMode="External"/><Relationship Id="rId25" Type="http://schemas.openxmlformats.org/officeDocument/2006/relationships/hyperlink" Target="https://data.census.gov/cedsci/" TargetMode="External"/><Relationship Id="rId33"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www.census.gov/programs-surveys/saipe/data/datasets.html" TargetMode="External"/><Relationship Id="rId20" Type="http://schemas.openxmlformats.org/officeDocument/2006/relationships/hyperlink" Target="https://www.nhgis.org/"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hgis.org/" TargetMode="External"/><Relationship Id="rId32" Type="http://schemas.openxmlformats.org/officeDocument/2006/relationships/image" Target="media/image4.png"/><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cdc.gov/nchs/nvss/bridged_race.htm" TargetMode="External"/><Relationship Id="rId23" Type="http://schemas.openxmlformats.org/officeDocument/2006/relationships/hyperlink" Target="https://www.nhgis.org/" TargetMode="External"/><Relationship Id="rId28" Type="http://schemas.openxmlformats.org/officeDocument/2006/relationships/hyperlink" Target="https://data.census.gov/cedsci/"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c.gov/nchs/nvss/bridged_race.htm"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nchs/nvss/nvss-restricted-data.htm" TargetMode="External"/><Relationship Id="rId22" Type="http://schemas.openxmlformats.org/officeDocument/2006/relationships/hyperlink" Target="https://data.census.gov/cedsci/" TargetMode="External"/><Relationship Id="rId27" Type="http://schemas.openxmlformats.org/officeDocument/2006/relationships/hyperlink" Target="https://www.nhgis.org/" TargetMode="External"/><Relationship Id="rId30" Type="http://schemas.openxmlformats.org/officeDocument/2006/relationships/image" Target="media/image2.pn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documenttasks/documenttasks1.xml><?xml version="1.0" encoding="utf-8"?>
<t:Tasks xmlns:t="http://schemas.microsoft.com/office/tasks/2019/documenttasks" xmlns:oel="http://schemas.microsoft.com/office/2019/extlst">
  <t:Task id="{3A53BE07-1BA3-4B7B-9FBB-9868D0D36D3B}">
    <t:Anchor>
      <t:Comment id="680121602"/>
    </t:Anchor>
    <t:History>
      <t:Event id="{0D15E5CF-D544-4B71-ABE9-1182853CCED8}" time="2023-08-18T18:31:14.916Z">
        <t:Attribution userId="S::kecompt@uw.edu::c3eed85f-5af1-4be7-b20b-61283f23dad0" userProvider="AD" userName="Kelly Compton"/>
        <t:Anchor>
          <t:Comment id="680121602"/>
        </t:Anchor>
        <t:Create/>
      </t:Event>
      <t:Event id="{9A06B094-C717-4BEA-BB24-90DEA154C6CE}" time="2023-08-18T18:31:14.916Z">
        <t:Attribution userId="S::kecompt@uw.edu::c3eed85f-5af1-4be7-b20b-61283f23dad0" userProvider="AD" userName="Kelly Compton"/>
        <t:Anchor>
          <t:Comment id="680121602"/>
        </t:Anchor>
        <t:Assign userId="S::zhuocl@uw.edu::a13e4b96-bd8d-438c-95ed-c48a1fc93075" userProvider="AD" userName="zhuocl"/>
      </t:Event>
      <t:Event id="{7B0F7B2B-2809-49F6-A2BA-5E8C14583E32}" time="2023-08-18T18:31:14.916Z">
        <t:Attribution userId="S::kecompt@uw.edu::c3eed85f-5af1-4be7-b20b-61283f23dad0" userProvider="AD" userName="Kelly Compton"/>
        <t:Anchor>
          <t:Comment id="680121602"/>
        </t:Anchor>
        <t:SetTitle title="@zhuocl are you updating this figure to show &quot;Across all racial and ethnic populations&quot; instead of &quot;Across racial-ethnic groups&quot; ? If so, could you insert the figure here once ready?"/>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F3B0A70010504FB92346E155EA9E3D" ma:contentTypeVersion="12" ma:contentTypeDescription="Create a new document." ma:contentTypeScope="" ma:versionID="3fc6c5c3994ce56a3251a51d99fe2415">
  <xsd:schema xmlns:xsd="http://www.w3.org/2001/XMLSchema" xmlns:xs="http://www.w3.org/2001/XMLSchema" xmlns:p="http://schemas.microsoft.com/office/2006/metadata/properties" xmlns:ns2="07db91ee-7d30-4e01-b1b1-c5d7bdd57392" xmlns:ns3="83e3bb08-dcf5-445b-b7a1-b03debd99de6" targetNamespace="http://schemas.microsoft.com/office/2006/metadata/properties" ma:root="true" ma:fieldsID="c2f247f5f5d41ac30052627c17e38e92" ns2:_="" ns3:_="">
    <xsd:import namespace="07db91ee-7d30-4e01-b1b1-c5d7bdd57392"/>
    <xsd:import namespace="83e3bb08-dcf5-445b-b7a1-b03debd99d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b91ee-7d30-4e01-b1b1-c5d7bdd573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e3bb08-dcf5-445b-b7a1-b03debd99de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2db7881-7963-48dc-b3ea-9d6db671787b}" ma:internalName="TaxCatchAll" ma:showField="CatchAllData" ma:web="83e3bb08-dcf5-445b-b7a1-b03debd99d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e3bb08-dcf5-445b-b7a1-b03debd99de6" xsi:nil="true"/>
    <lcf76f155ced4ddcb4097134ff3c332f xmlns="07db91ee-7d30-4e01-b1b1-c5d7bdd5739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E5166-B30B-4715-AB90-B5C4F1C4DCB1}">
  <ds:schemaRefs>
    <ds:schemaRef ds:uri="http://schemas.microsoft.com/sharepoint/v3/contenttype/forms"/>
  </ds:schemaRefs>
</ds:datastoreItem>
</file>

<file path=customXml/itemProps2.xml><?xml version="1.0" encoding="utf-8"?>
<ds:datastoreItem xmlns:ds="http://schemas.openxmlformats.org/officeDocument/2006/customXml" ds:itemID="{4A90E84C-8E31-4C63-89AF-FACD87B7A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db91ee-7d30-4e01-b1b1-c5d7bdd57392"/>
    <ds:schemaRef ds:uri="83e3bb08-dcf5-445b-b7a1-b03debd99d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2FE021-F454-4FEF-BEED-0A6A4CB99A29}">
  <ds:schemaRefs>
    <ds:schemaRef ds:uri="http://schemas.microsoft.com/office/2006/metadata/properties"/>
    <ds:schemaRef ds:uri="http://schemas.microsoft.com/office/infopath/2007/PartnerControls"/>
    <ds:schemaRef ds:uri="83e3bb08-dcf5-445b-b7a1-b03debd99de6"/>
    <ds:schemaRef ds:uri="07db91ee-7d30-4e01-b1b1-c5d7bdd57392"/>
  </ds:schemaRefs>
</ds:datastoreItem>
</file>

<file path=customXml/itemProps4.xml><?xml version="1.0" encoding="utf-8"?>
<ds:datastoreItem xmlns:ds="http://schemas.openxmlformats.org/officeDocument/2006/customXml" ds:itemID="{A5D00D16-C115-4DB1-A72B-92C4E0A12760}">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Template>
  <TotalTime>1</TotalTime>
  <Pages>69</Pages>
  <Words>55840</Words>
  <Characters>318294</Characters>
  <Application>Microsoft Office Word</Application>
  <DocSecurity>0</DocSecurity>
  <Lines>2652</Lines>
  <Paragraphs>746</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373388</CharactersWithSpaces>
  <SharedDoc>false</SharedDoc>
  <HLinks>
    <vt:vector size="306" baseType="variant">
      <vt:variant>
        <vt:i4>7864430</vt:i4>
      </vt:variant>
      <vt:variant>
        <vt:i4>363</vt:i4>
      </vt:variant>
      <vt:variant>
        <vt:i4>0</vt:i4>
      </vt:variant>
      <vt:variant>
        <vt:i4>5</vt:i4>
      </vt:variant>
      <vt:variant>
        <vt:lpwstr>https://data.census.gov/cedsci/</vt:lpwstr>
      </vt:variant>
      <vt:variant>
        <vt:lpwstr/>
      </vt:variant>
      <vt:variant>
        <vt:i4>3801138</vt:i4>
      </vt:variant>
      <vt:variant>
        <vt:i4>360</vt:i4>
      </vt:variant>
      <vt:variant>
        <vt:i4>0</vt:i4>
      </vt:variant>
      <vt:variant>
        <vt:i4>5</vt:i4>
      </vt:variant>
      <vt:variant>
        <vt:lpwstr>https://www.nhgis.org/</vt:lpwstr>
      </vt:variant>
      <vt:variant>
        <vt:lpwstr/>
      </vt:variant>
      <vt:variant>
        <vt:i4>3801138</vt:i4>
      </vt:variant>
      <vt:variant>
        <vt:i4>357</vt:i4>
      </vt:variant>
      <vt:variant>
        <vt:i4>0</vt:i4>
      </vt:variant>
      <vt:variant>
        <vt:i4>5</vt:i4>
      </vt:variant>
      <vt:variant>
        <vt:lpwstr>https://www.nhgis.org/</vt:lpwstr>
      </vt:variant>
      <vt:variant>
        <vt:lpwstr/>
      </vt:variant>
      <vt:variant>
        <vt:i4>7864430</vt:i4>
      </vt:variant>
      <vt:variant>
        <vt:i4>354</vt:i4>
      </vt:variant>
      <vt:variant>
        <vt:i4>0</vt:i4>
      </vt:variant>
      <vt:variant>
        <vt:i4>5</vt:i4>
      </vt:variant>
      <vt:variant>
        <vt:lpwstr>https://data.census.gov/cedsci/</vt:lpwstr>
      </vt:variant>
      <vt:variant>
        <vt:lpwstr/>
      </vt:variant>
      <vt:variant>
        <vt:i4>3801138</vt:i4>
      </vt:variant>
      <vt:variant>
        <vt:i4>351</vt:i4>
      </vt:variant>
      <vt:variant>
        <vt:i4>0</vt:i4>
      </vt:variant>
      <vt:variant>
        <vt:i4>5</vt:i4>
      </vt:variant>
      <vt:variant>
        <vt:lpwstr>https://www.nhgis.org/</vt:lpwstr>
      </vt:variant>
      <vt:variant>
        <vt:lpwstr/>
      </vt:variant>
      <vt:variant>
        <vt:i4>3801138</vt:i4>
      </vt:variant>
      <vt:variant>
        <vt:i4>348</vt:i4>
      </vt:variant>
      <vt:variant>
        <vt:i4>0</vt:i4>
      </vt:variant>
      <vt:variant>
        <vt:i4>5</vt:i4>
      </vt:variant>
      <vt:variant>
        <vt:lpwstr>https://www.nhgis.org/</vt:lpwstr>
      </vt:variant>
      <vt:variant>
        <vt:lpwstr/>
      </vt:variant>
      <vt:variant>
        <vt:i4>7864430</vt:i4>
      </vt:variant>
      <vt:variant>
        <vt:i4>345</vt:i4>
      </vt:variant>
      <vt:variant>
        <vt:i4>0</vt:i4>
      </vt:variant>
      <vt:variant>
        <vt:i4>5</vt:i4>
      </vt:variant>
      <vt:variant>
        <vt:lpwstr>https://data.census.gov/cedsci/</vt:lpwstr>
      </vt:variant>
      <vt:variant>
        <vt:lpwstr/>
      </vt:variant>
      <vt:variant>
        <vt:i4>3801138</vt:i4>
      </vt:variant>
      <vt:variant>
        <vt:i4>342</vt:i4>
      </vt:variant>
      <vt:variant>
        <vt:i4>0</vt:i4>
      </vt:variant>
      <vt:variant>
        <vt:i4>5</vt:i4>
      </vt:variant>
      <vt:variant>
        <vt:lpwstr>https://www.nhgis.org/</vt:lpwstr>
      </vt:variant>
      <vt:variant>
        <vt:lpwstr/>
      </vt:variant>
      <vt:variant>
        <vt:i4>3801138</vt:i4>
      </vt:variant>
      <vt:variant>
        <vt:i4>339</vt:i4>
      </vt:variant>
      <vt:variant>
        <vt:i4>0</vt:i4>
      </vt:variant>
      <vt:variant>
        <vt:i4>5</vt:i4>
      </vt:variant>
      <vt:variant>
        <vt:lpwstr>https://www.nhgis.org/</vt:lpwstr>
      </vt:variant>
      <vt:variant>
        <vt:lpwstr/>
      </vt:variant>
      <vt:variant>
        <vt:i4>5046334</vt:i4>
      </vt:variant>
      <vt:variant>
        <vt:i4>336</vt:i4>
      </vt:variant>
      <vt:variant>
        <vt:i4>0</vt:i4>
      </vt:variant>
      <vt:variant>
        <vt:i4>5</vt:i4>
      </vt:variant>
      <vt:variant>
        <vt:lpwstr>https://www.cdc.gov/nchs/nvss/bridged_race.htm</vt:lpwstr>
      </vt:variant>
      <vt:variant>
        <vt:lpwstr/>
      </vt:variant>
      <vt:variant>
        <vt:i4>5046334</vt:i4>
      </vt:variant>
      <vt:variant>
        <vt:i4>333</vt:i4>
      </vt:variant>
      <vt:variant>
        <vt:i4>0</vt:i4>
      </vt:variant>
      <vt:variant>
        <vt:i4>5</vt:i4>
      </vt:variant>
      <vt:variant>
        <vt:lpwstr>https://www.cdc.gov/nchs/nvss/bridged_race.htm</vt:lpwstr>
      </vt:variant>
      <vt:variant>
        <vt:lpwstr/>
      </vt:variant>
      <vt:variant>
        <vt:i4>4849744</vt:i4>
      </vt:variant>
      <vt:variant>
        <vt:i4>330</vt:i4>
      </vt:variant>
      <vt:variant>
        <vt:i4>0</vt:i4>
      </vt:variant>
      <vt:variant>
        <vt:i4>5</vt:i4>
      </vt:variant>
      <vt:variant>
        <vt:lpwstr>https://www.bls.gov/data/</vt:lpwstr>
      </vt:variant>
      <vt:variant>
        <vt:lpwstr/>
      </vt:variant>
      <vt:variant>
        <vt:i4>5963797</vt:i4>
      </vt:variant>
      <vt:variant>
        <vt:i4>327</vt:i4>
      </vt:variant>
      <vt:variant>
        <vt:i4>0</vt:i4>
      </vt:variant>
      <vt:variant>
        <vt:i4>5</vt:i4>
      </vt:variant>
      <vt:variant>
        <vt:lpwstr>https://www.census.gov/programs-surveys/saipe/data/datasets.html</vt:lpwstr>
      </vt:variant>
      <vt:variant>
        <vt:lpwstr/>
      </vt:variant>
      <vt:variant>
        <vt:i4>5046334</vt:i4>
      </vt:variant>
      <vt:variant>
        <vt:i4>324</vt:i4>
      </vt:variant>
      <vt:variant>
        <vt:i4>0</vt:i4>
      </vt:variant>
      <vt:variant>
        <vt:i4>5</vt:i4>
      </vt:variant>
      <vt:variant>
        <vt:lpwstr>https://www.cdc.gov/nchs/nvss/bridged_race.htm</vt:lpwstr>
      </vt:variant>
      <vt:variant>
        <vt:lpwstr/>
      </vt:variant>
      <vt:variant>
        <vt:i4>3670127</vt:i4>
      </vt:variant>
      <vt:variant>
        <vt:i4>321</vt:i4>
      </vt:variant>
      <vt:variant>
        <vt:i4>0</vt:i4>
      </vt:variant>
      <vt:variant>
        <vt:i4>5</vt:i4>
      </vt:variant>
      <vt:variant>
        <vt:lpwstr>https://www.cdc.gov/nchs/nvss/nvss-restricted-data.htm</vt:lpwstr>
      </vt:variant>
      <vt:variant>
        <vt:lpwstr/>
      </vt:variant>
      <vt:variant>
        <vt:i4>28</vt:i4>
      </vt:variant>
      <vt:variant>
        <vt:i4>213</vt:i4>
      </vt:variant>
      <vt:variant>
        <vt:i4>0</vt:i4>
      </vt:variant>
      <vt:variant>
        <vt:i4>5</vt:i4>
      </vt:variant>
      <vt:variant>
        <vt:lpwstr>http://gather-statement.org/</vt:lpwstr>
      </vt:variant>
      <vt:variant>
        <vt:lpwstr/>
      </vt:variant>
      <vt:variant>
        <vt:i4>1769526</vt:i4>
      </vt:variant>
      <vt:variant>
        <vt:i4>206</vt:i4>
      </vt:variant>
      <vt:variant>
        <vt:i4>0</vt:i4>
      </vt:variant>
      <vt:variant>
        <vt:i4>5</vt:i4>
      </vt:variant>
      <vt:variant>
        <vt:lpwstr/>
      </vt:variant>
      <vt:variant>
        <vt:lpwstr>_Toc175308204</vt:lpwstr>
      </vt:variant>
      <vt:variant>
        <vt:i4>1769526</vt:i4>
      </vt:variant>
      <vt:variant>
        <vt:i4>200</vt:i4>
      </vt:variant>
      <vt:variant>
        <vt:i4>0</vt:i4>
      </vt:variant>
      <vt:variant>
        <vt:i4>5</vt:i4>
      </vt:variant>
      <vt:variant>
        <vt:lpwstr/>
      </vt:variant>
      <vt:variant>
        <vt:lpwstr>_Toc175308203</vt:lpwstr>
      </vt:variant>
      <vt:variant>
        <vt:i4>1769526</vt:i4>
      </vt:variant>
      <vt:variant>
        <vt:i4>194</vt:i4>
      </vt:variant>
      <vt:variant>
        <vt:i4>0</vt:i4>
      </vt:variant>
      <vt:variant>
        <vt:i4>5</vt:i4>
      </vt:variant>
      <vt:variant>
        <vt:lpwstr/>
      </vt:variant>
      <vt:variant>
        <vt:lpwstr>_Toc175308202</vt:lpwstr>
      </vt:variant>
      <vt:variant>
        <vt:i4>1769526</vt:i4>
      </vt:variant>
      <vt:variant>
        <vt:i4>188</vt:i4>
      </vt:variant>
      <vt:variant>
        <vt:i4>0</vt:i4>
      </vt:variant>
      <vt:variant>
        <vt:i4>5</vt:i4>
      </vt:variant>
      <vt:variant>
        <vt:lpwstr/>
      </vt:variant>
      <vt:variant>
        <vt:lpwstr>_Toc175308201</vt:lpwstr>
      </vt:variant>
      <vt:variant>
        <vt:i4>1769526</vt:i4>
      </vt:variant>
      <vt:variant>
        <vt:i4>182</vt:i4>
      </vt:variant>
      <vt:variant>
        <vt:i4>0</vt:i4>
      </vt:variant>
      <vt:variant>
        <vt:i4>5</vt:i4>
      </vt:variant>
      <vt:variant>
        <vt:lpwstr/>
      </vt:variant>
      <vt:variant>
        <vt:lpwstr>_Toc175308200</vt:lpwstr>
      </vt:variant>
      <vt:variant>
        <vt:i4>1179701</vt:i4>
      </vt:variant>
      <vt:variant>
        <vt:i4>176</vt:i4>
      </vt:variant>
      <vt:variant>
        <vt:i4>0</vt:i4>
      </vt:variant>
      <vt:variant>
        <vt:i4>5</vt:i4>
      </vt:variant>
      <vt:variant>
        <vt:lpwstr/>
      </vt:variant>
      <vt:variant>
        <vt:lpwstr>_Toc175308199</vt:lpwstr>
      </vt:variant>
      <vt:variant>
        <vt:i4>1179701</vt:i4>
      </vt:variant>
      <vt:variant>
        <vt:i4>170</vt:i4>
      </vt:variant>
      <vt:variant>
        <vt:i4>0</vt:i4>
      </vt:variant>
      <vt:variant>
        <vt:i4>5</vt:i4>
      </vt:variant>
      <vt:variant>
        <vt:lpwstr/>
      </vt:variant>
      <vt:variant>
        <vt:lpwstr>_Toc175308198</vt:lpwstr>
      </vt:variant>
      <vt:variant>
        <vt:i4>1179701</vt:i4>
      </vt:variant>
      <vt:variant>
        <vt:i4>164</vt:i4>
      </vt:variant>
      <vt:variant>
        <vt:i4>0</vt:i4>
      </vt:variant>
      <vt:variant>
        <vt:i4>5</vt:i4>
      </vt:variant>
      <vt:variant>
        <vt:lpwstr/>
      </vt:variant>
      <vt:variant>
        <vt:lpwstr>_Toc175308197</vt:lpwstr>
      </vt:variant>
      <vt:variant>
        <vt:i4>1179701</vt:i4>
      </vt:variant>
      <vt:variant>
        <vt:i4>158</vt:i4>
      </vt:variant>
      <vt:variant>
        <vt:i4>0</vt:i4>
      </vt:variant>
      <vt:variant>
        <vt:i4>5</vt:i4>
      </vt:variant>
      <vt:variant>
        <vt:lpwstr/>
      </vt:variant>
      <vt:variant>
        <vt:lpwstr>_Toc175308196</vt:lpwstr>
      </vt:variant>
      <vt:variant>
        <vt:i4>1179701</vt:i4>
      </vt:variant>
      <vt:variant>
        <vt:i4>152</vt:i4>
      </vt:variant>
      <vt:variant>
        <vt:i4>0</vt:i4>
      </vt:variant>
      <vt:variant>
        <vt:i4>5</vt:i4>
      </vt:variant>
      <vt:variant>
        <vt:lpwstr/>
      </vt:variant>
      <vt:variant>
        <vt:lpwstr>_Toc175308195</vt:lpwstr>
      </vt:variant>
      <vt:variant>
        <vt:i4>1179701</vt:i4>
      </vt:variant>
      <vt:variant>
        <vt:i4>146</vt:i4>
      </vt:variant>
      <vt:variant>
        <vt:i4>0</vt:i4>
      </vt:variant>
      <vt:variant>
        <vt:i4>5</vt:i4>
      </vt:variant>
      <vt:variant>
        <vt:lpwstr/>
      </vt:variant>
      <vt:variant>
        <vt:lpwstr>_Toc175308194</vt:lpwstr>
      </vt:variant>
      <vt:variant>
        <vt:i4>1179701</vt:i4>
      </vt:variant>
      <vt:variant>
        <vt:i4>140</vt:i4>
      </vt:variant>
      <vt:variant>
        <vt:i4>0</vt:i4>
      </vt:variant>
      <vt:variant>
        <vt:i4>5</vt:i4>
      </vt:variant>
      <vt:variant>
        <vt:lpwstr/>
      </vt:variant>
      <vt:variant>
        <vt:lpwstr>_Toc175308193</vt:lpwstr>
      </vt:variant>
      <vt:variant>
        <vt:i4>1179701</vt:i4>
      </vt:variant>
      <vt:variant>
        <vt:i4>134</vt:i4>
      </vt:variant>
      <vt:variant>
        <vt:i4>0</vt:i4>
      </vt:variant>
      <vt:variant>
        <vt:i4>5</vt:i4>
      </vt:variant>
      <vt:variant>
        <vt:lpwstr/>
      </vt:variant>
      <vt:variant>
        <vt:lpwstr>_Toc175308192</vt:lpwstr>
      </vt:variant>
      <vt:variant>
        <vt:i4>1179701</vt:i4>
      </vt:variant>
      <vt:variant>
        <vt:i4>128</vt:i4>
      </vt:variant>
      <vt:variant>
        <vt:i4>0</vt:i4>
      </vt:variant>
      <vt:variant>
        <vt:i4>5</vt:i4>
      </vt:variant>
      <vt:variant>
        <vt:lpwstr/>
      </vt:variant>
      <vt:variant>
        <vt:lpwstr>_Toc175308191</vt:lpwstr>
      </vt:variant>
      <vt:variant>
        <vt:i4>1179701</vt:i4>
      </vt:variant>
      <vt:variant>
        <vt:i4>122</vt:i4>
      </vt:variant>
      <vt:variant>
        <vt:i4>0</vt:i4>
      </vt:variant>
      <vt:variant>
        <vt:i4>5</vt:i4>
      </vt:variant>
      <vt:variant>
        <vt:lpwstr/>
      </vt:variant>
      <vt:variant>
        <vt:lpwstr>_Toc175308190</vt:lpwstr>
      </vt:variant>
      <vt:variant>
        <vt:i4>1245237</vt:i4>
      </vt:variant>
      <vt:variant>
        <vt:i4>116</vt:i4>
      </vt:variant>
      <vt:variant>
        <vt:i4>0</vt:i4>
      </vt:variant>
      <vt:variant>
        <vt:i4>5</vt:i4>
      </vt:variant>
      <vt:variant>
        <vt:lpwstr/>
      </vt:variant>
      <vt:variant>
        <vt:lpwstr>_Toc175308189</vt:lpwstr>
      </vt:variant>
      <vt:variant>
        <vt:i4>1245237</vt:i4>
      </vt:variant>
      <vt:variant>
        <vt:i4>110</vt:i4>
      </vt:variant>
      <vt:variant>
        <vt:i4>0</vt:i4>
      </vt:variant>
      <vt:variant>
        <vt:i4>5</vt:i4>
      </vt:variant>
      <vt:variant>
        <vt:lpwstr/>
      </vt:variant>
      <vt:variant>
        <vt:lpwstr>_Toc175308188</vt:lpwstr>
      </vt:variant>
      <vt:variant>
        <vt:i4>1245237</vt:i4>
      </vt:variant>
      <vt:variant>
        <vt:i4>104</vt:i4>
      </vt:variant>
      <vt:variant>
        <vt:i4>0</vt:i4>
      </vt:variant>
      <vt:variant>
        <vt:i4>5</vt:i4>
      </vt:variant>
      <vt:variant>
        <vt:lpwstr/>
      </vt:variant>
      <vt:variant>
        <vt:lpwstr>_Toc175308187</vt:lpwstr>
      </vt:variant>
      <vt:variant>
        <vt:i4>1245237</vt:i4>
      </vt:variant>
      <vt:variant>
        <vt:i4>98</vt:i4>
      </vt:variant>
      <vt:variant>
        <vt:i4>0</vt:i4>
      </vt:variant>
      <vt:variant>
        <vt:i4>5</vt:i4>
      </vt:variant>
      <vt:variant>
        <vt:lpwstr/>
      </vt:variant>
      <vt:variant>
        <vt:lpwstr>_Toc175308186</vt:lpwstr>
      </vt:variant>
      <vt:variant>
        <vt:i4>1245237</vt:i4>
      </vt:variant>
      <vt:variant>
        <vt:i4>92</vt:i4>
      </vt:variant>
      <vt:variant>
        <vt:i4>0</vt:i4>
      </vt:variant>
      <vt:variant>
        <vt:i4>5</vt:i4>
      </vt:variant>
      <vt:variant>
        <vt:lpwstr/>
      </vt:variant>
      <vt:variant>
        <vt:lpwstr>_Toc175308185</vt:lpwstr>
      </vt:variant>
      <vt:variant>
        <vt:i4>1245237</vt:i4>
      </vt:variant>
      <vt:variant>
        <vt:i4>86</vt:i4>
      </vt:variant>
      <vt:variant>
        <vt:i4>0</vt:i4>
      </vt:variant>
      <vt:variant>
        <vt:i4>5</vt:i4>
      </vt:variant>
      <vt:variant>
        <vt:lpwstr/>
      </vt:variant>
      <vt:variant>
        <vt:lpwstr>_Toc175308184</vt:lpwstr>
      </vt:variant>
      <vt:variant>
        <vt:i4>1245237</vt:i4>
      </vt:variant>
      <vt:variant>
        <vt:i4>80</vt:i4>
      </vt:variant>
      <vt:variant>
        <vt:i4>0</vt:i4>
      </vt:variant>
      <vt:variant>
        <vt:i4>5</vt:i4>
      </vt:variant>
      <vt:variant>
        <vt:lpwstr/>
      </vt:variant>
      <vt:variant>
        <vt:lpwstr>_Toc175308183</vt:lpwstr>
      </vt:variant>
      <vt:variant>
        <vt:i4>1245237</vt:i4>
      </vt:variant>
      <vt:variant>
        <vt:i4>74</vt:i4>
      </vt:variant>
      <vt:variant>
        <vt:i4>0</vt:i4>
      </vt:variant>
      <vt:variant>
        <vt:i4>5</vt:i4>
      </vt:variant>
      <vt:variant>
        <vt:lpwstr/>
      </vt:variant>
      <vt:variant>
        <vt:lpwstr>_Toc175308182</vt:lpwstr>
      </vt:variant>
      <vt:variant>
        <vt:i4>1245237</vt:i4>
      </vt:variant>
      <vt:variant>
        <vt:i4>68</vt:i4>
      </vt:variant>
      <vt:variant>
        <vt:i4>0</vt:i4>
      </vt:variant>
      <vt:variant>
        <vt:i4>5</vt:i4>
      </vt:variant>
      <vt:variant>
        <vt:lpwstr/>
      </vt:variant>
      <vt:variant>
        <vt:lpwstr>_Toc175308181</vt:lpwstr>
      </vt:variant>
      <vt:variant>
        <vt:i4>1245237</vt:i4>
      </vt:variant>
      <vt:variant>
        <vt:i4>62</vt:i4>
      </vt:variant>
      <vt:variant>
        <vt:i4>0</vt:i4>
      </vt:variant>
      <vt:variant>
        <vt:i4>5</vt:i4>
      </vt:variant>
      <vt:variant>
        <vt:lpwstr/>
      </vt:variant>
      <vt:variant>
        <vt:lpwstr>_Toc175308180</vt:lpwstr>
      </vt:variant>
      <vt:variant>
        <vt:i4>1835061</vt:i4>
      </vt:variant>
      <vt:variant>
        <vt:i4>56</vt:i4>
      </vt:variant>
      <vt:variant>
        <vt:i4>0</vt:i4>
      </vt:variant>
      <vt:variant>
        <vt:i4>5</vt:i4>
      </vt:variant>
      <vt:variant>
        <vt:lpwstr/>
      </vt:variant>
      <vt:variant>
        <vt:lpwstr>_Toc175308179</vt:lpwstr>
      </vt:variant>
      <vt:variant>
        <vt:i4>1835061</vt:i4>
      </vt:variant>
      <vt:variant>
        <vt:i4>50</vt:i4>
      </vt:variant>
      <vt:variant>
        <vt:i4>0</vt:i4>
      </vt:variant>
      <vt:variant>
        <vt:i4>5</vt:i4>
      </vt:variant>
      <vt:variant>
        <vt:lpwstr/>
      </vt:variant>
      <vt:variant>
        <vt:lpwstr>_Toc175308178</vt:lpwstr>
      </vt:variant>
      <vt:variant>
        <vt:i4>1835061</vt:i4>
      </vt:variant>
      <vt:variant>
        <vt:i4>44</vt:i4>
      </vt:variant>
      <vt:variant>
        <vt:i4>0</vt:i4>
      </vt:variant>
      <vt:variant>
        <vt:i4>5</vt:i4>
      </vt:variant>
      <vt:variant>
        <vt:lpwstr/>
      </vt:variant>
      <vt:variant>
        <vt:lpwstr>_Toc175308177</vt:lpwstr>
      </vt:variant>
      <vt:variant>
        <vt:i4>1835061</vt:i4>
      </vt:variant>
      <vt:variant>
        <vt:i4>38</vt:i4>
      </vt:variant>
      <vt:variant>
        <vt:i4>0</vt:i4>
      </vt:variant>
      <vt:variant>
        <vt:i4>5</vt:i4>
      </vt:variant>
      <vt:variant>
        <vt:lpwstr/>
      </vt:variant>
      <vt:variant>
        <vt:lpwstr>_Toc175308176</vt:lpwstr>
      </vt:variant>
      <vt:variant>
        <vt:i4>1835061</vt:i4>
      </vt:variant>
      <vt:variant>
        <vt:i4>32</vt:i4>
      </vt:variant>
      <vt:variant>
        <vt:i4>0</vt:i4>
      </vt:variant>
      <vt:variant>
        <vt:i4>5</vt:i4>
      </vt:variant>
      <vt:variant>
        <vt:lpwstr/>
      </vt:variant>
      <vt:variant>
        <vt:lpwstr>_Toc175308175</vt:lpwstr>
      </vt:variant>
      <vt:variant>
        <vt:i4>1835061</vt:i4>
      </vt:variant>
      <vt:variant>
        <vt:i4>26</vt:i4>
      </vt:variant>
      <vt:variant>
        <vt:i4>0</vt:i4>
      </vt:variant>
      <vt:variant>
        <vt:i4>5</vt:i4>
      </vt:variant>
      <vt:variant>
        <vt:lpwstr/>
      </vt:variant>
      <vt:variant>
        <vt:lpwstr>_Toc175308174</vt:lpwstr>
      </vt:variant>
      <vt:variant>
        <vt:i4>1835061</vt:i4>
      </vt:variant>
      <vt:variant>
        <vt:i4>20</vt:i4>
      </vt:variant>
      <vt:variant>
        <vt:i4>0</vt:i4>
      </vt:variant>
      <vt:variant>
        <vt:i4>5</vt:i4>
      </vt:variant>
      <vt:variant>
        <vt:lpwstr/>
      </vt:variant>
      <vt:variant>
        <vt:lpwstr>_Toc175308173</vt:lpwstr>
      </vt:variant>
      <vt:variant>
        <vt:i4>1835061</vt:i4>
      </vt:variant>
      <vt:variant>
        <vt:i4>14</vt:i4>
      </vt:variant>
      <vt:variant>
        <vt:i4>0</vt:i4>
      </vt:variant>
      <vt:variant>
        <vt:i4>5</vt:i4>
      </vt:variant>
      <vt:variant>
        <vt:lpwstr/>
      </vt:variant>
      <vt:variant>
        <vt:lpwstr>_Toc175308172</vt:lpwstr>
      </vt:variant>
      <vt:variant>
        <vt:i4>1835061</vt:i4>
      </vt:variant>
      <vt:variant>
        <vt:i4>8</vt:i4>
      </vt:variant>
      <vt:variant>
        <vt:i4>0</vt:i4>
      </vt:variant>
      <vt:variant>
        <vt:i4>5</vt:i4>
      </vt:variant>
      <vt:variant>
        <vt:lpwstr/>
      </vt:variant>
      <vt:variant>
        <vt:lpwstr>_Toc175308171</vt:lpwstr>
      </vt:variant>
      <vt:variant>
        <vt:i4>1835061</vt:i4>
      </vt:variant>
      <vt:variant>
        <vt:i4>2</vt:i4>
      </vt:variant>
      <vt:variant>
        <vt:i4>0</vt:i4>
      </vt:variant>
      <vt:variant>
        <vt:i4>5</vt:i4>
      </vt:variant>
      <vt:variant>
        <vt:lpwstr/>
      </vt:variant>
      <vt:variant>
        <vt:lpwstr>_Toc175308170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Dwyer-Lindgren</dc:creator>
  <cp:keywords/>
  <dc:description/>
  <cp:lastModifiedBy>Zajdel, Rachel (NIH/NIMHD) [E]</cp:lastModifiedBy>
  <cp:revision>2</cp:revision>
  <cp:lastPrinted>2024-06-13T04:31:00Z</cp:lastPrinted>
  <dcterms:created xsi:type="dcterms:W3CDTF">2025-05-01T14:25:00Z</dcterms:created>
  <dcterms:modified xsi:type="dcterms:W3CDTF">2025-05-01T14:25:00Z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iations" value="true"/&gt;&lt;pref name="dontAskDelayCitationUpdates" value="true"/&gt;&lt;/prefs&gt;&lt;/data&gt;</vt:lpwstr>
  </property>
  <property fmtid="{D5CDD505-2E9C-101B-9397-08002B2CF9AE}" pid="3" name="ZOTERO_PREF_1">
    <vt:lpwstr>&lt;data data-version="3" zotero-version="6.0.36"&gt;&lt;session id="wdkIiMrh"/&gt;&lt;style id="http://www.zotero.org/styles/the-lancet" hasBibliography="1" bibliographyStyleHasBeenSet="1"/&gt;&lt;prefs&gt;&lt;pref name="fieldType" value="Field"/&gt;&lt;pref name="automaticJournalAbbrev</vt:lpwstr>
  </property>
  <property fmtid="{D5CDD505-2E9C-101B-9397-08002B2CF9AE}" pid="4" name="ContentTypeId">
    <vt:lpwstr>0x01010024F3B0A70010504FB92346E155EA9E3D</vt:lpwstr>
  </property>
  <property fmtid="{D5CDD505-2E9C-101B-9397-08002B2CF9AE}" pid="5" name="MediaServiceImageTags">
    <vt:lpwstr/>
  </property>
</Properties>
</file>