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5A5EA" w14:textId="77777777" w:rsidR="0063068C" w:rsidRDefault="00000000">
      <w:pPr>
        <w:spacing w:line="360" w:lineRule="auto"/>
        <w:rPr>
          <w:rFonts w:ascii="Arial" w:hAnsi="Arial" w:cs="Arial"/>
          <w:b/>
          <w:bCs/>
          <w:sz w:val="24"/>
          <w:szCs w:val="24"/>
        </w:rPr>
      </w:pPr>
      <w:bookmarkStart w:id="0" w:name="OLE_LINK26"/>
      <w:r>
        <w:rPr>
          <w:rFonts w:ascii="Arial" w:hAnsi="Arial" w:cs="Arial"/>
          <w:b/>
          <w:bCs/>
          <w:sz w:val="24"/>
          <w:szCs w:val="24"/>
        </w:rPr>
        <w:t>Supplementary table 1. Trajectory Definitions of Depressive Symptoms.</w:t>
      </w:r>
    </w:p>
    <w:bookmarkEnd w:id="0"/>
    <w:p w14:paraId="3251D834" w14:textId="77777777" w:rsidR="002D2B24" w:rsidRDefault="002D2B24">
      <w:pPr>
        <w:spacing w:line="360" w:lineRule="auto"/>
        <w:rPr>
          <w:rFonts w:ascii="Arial" w:hAnsi="Arial" w:cs="Arial"/>
          <w:b/>
          <w:bCs/>
          <w:sz w:val="24"/>
          <w:szCs w:val="24"/>
        </w:rPr>
      </w:pPr>
    </w:p>
    <w:p w14:paraId="2ADB01CF" w14:textId="77777777" w:rsidR="002D2B24" w:rsidRDefault="002D2B24">
      <w:pPr>
        <w:spacing w:line="360" w:lineRule="auto"/>
        <w:rPr>
          <w:rFonts w:ascii="Arial" w:hAnsi="Arial" w:cs="Arial"/>
          <w:b/>
          <w:bCs/>
          <w:sz w:val="24"/>
          <w:szCs w:val="24"/>
        </w:rPr>
      </w:pPr>
    </w:p>
    <w:p w14:paraId="11CEDD0D" w14:textId="77777777" w:rsidR="002D2B24" w:rsidRDefault="002D2B24">
      <w:pPr>
        <w:spacing w:line="360" w:lineRule="auto"/>
        <w:rPr>
          <w:rFonts w:ascii="Arial" w:hAnsi="Arial" w:cs="Arial"/>
          <w:b/>
          <w:bCs/>
          <w:sz w:val="24"/>
          <w:szCs w:val="24"/>
        </w:rPr>
      </w:pPr>
    </w:p>
    <w:p w14:paraId="456ABB07" w14:textId="77777777" w:rsidR="0063068C" w:rsidRDefault="0063068C">
      <w:pPr>
        <w:spacing w:line="360" w:lineRule="auto"/>
        <w:rPr>
          <w:rFonts w:ascii="Arial" w:hAnsi="Arial" w:cs="Arial"/>
          <w:b/>
          <w:bCs/>
          <w:sz w:val="24"/>
          <w:szCs w:val="24"/>
        </w:rPr>
      </w:pPr>
    </w:p>
    <w:p w14:paraId="2A95DE26" w14:textId="77777777" w:rsidR="0063068C" w:rsidRDefault="0063068C">
      <w:pPr>
        <w:spacing w:line="360" w:lineRule="auto"/>
        <w:rPr>
          <w:rFonts w:ascii="Arial" w:hAnsi="Arial" w:cs="Arial"/>
          <w:b/>
          <w:bCs/>
          <w:sz w:val="24"/>
          <w:szCs w:val="24"/>
        </w:rPr>
      </w:pPr>
    </w:p>
    <w:tbl>
      <w:tblPr>
        <w:tblStyle w:val="ac"/>
        <w:tblpPr w:leftFromText="180" w:rightFromText="180" w:vertAnchor="page" w:horzAnchor="page" w:tblpX="1443" w:tblpY="2460"/>
        <w:tblW w:w="0" w:type="auto"/>
        <w:tblLook w:val="04A0" w:firstRow="1" w:lastRow="0" w:firstColumn="1" w:lastColumn="0" w:noHBand="0" w:noVBand="1"/>
      </w:tblPr>
      <w:tblGrid>
        <w:gridCol w:w="2835"/>
        <w:gridCol w:w="2835"/>
        <w:gridCol w:w="2835"/>
        <w:gridCol w:w="2835"/>
        <w:gridCol w:w="2835"/>
      </w:tblGrid>
      <w:tr w:rsidR="0063068C" w14:paraId="463A50E3" w14:textId="77777777">
        <w:trPr>
          <w:trHeight w:val="851"/>
        </w:trPr>
        <w:tc>
          <w:tcPr>
            <w:tcW w:w="2835" w:type="dxa"/>
            <w:tcBorders>
              <w:top w:val="single" w:sz="12" w:space="0" w:color="auto"/>
              <w:left w:val="nil"/>
              <w:bottom w:val="single" w:sz="6" w:space="0" w:color="auto"/>
              <w:right w:val="nil"/>
            </w:tcBorders>
            <w:vAlign w:val="center"/>
          </w:tcPr>
          <w:p w14:paraId="52783324" w14:textId="77777777" w:rsidR="0063068C" w:rsidRDefault="0063068C">
            <w:pPr>
              <w:jc w:val="center"/>
              <w:rPr>
                <w:rFonts w:ascii="Arial" w:hAnsi="Arial" w:cs="Arial"/>
                <w:b/>
                <w:bCs/>
                <w:sz w:val="20"/>
                <w:szCs w:val="20"/>
              </w:rPr>
            </w:pPr>
          </w:p>
        </w:tc>
        <w:tc>
          <w:tcPr>
            <w:tcW w:w="2835" w:type="dxa"/>
            <w:tcBorders>
              <w:top w:val="single" w:sz="12" w:space="0" w:color="auto"/>
              <w:left w:val="nil"/>
              <w:bottom w:val="single" w:sz="6" w:space="0" w:color="auto"/>
              <w:right w:val="nil"/>
            </w:tcBorders>
            <w:vAlign w:val="center"/>
          </w:tcPr>
          <w:p w14:paraId="684ED606" w14:textId="77777777" w:rsidR="0063068C" w:rsidRDefault="00000000">
            <w:pPr>
              <w:jc w:val="center"/>
              <w:rPr>
                <w:rFonts w:ascii="Arial" w:hAnsi="Arial" w:cs="Arial"/>
                <w:b/>
                <w:bCs/>
                <w:sz w:val="20"/>
                <w:szCs w:val="20"/>
              </w:rPr>
            </w:pPr>
            <w:r>
              <w:rPr>
                <w:rFonts w:ascii="Arial" w:hAnsi="Arial" w:cs="Arial"/>
                <w:b/>
                <w:bCs/>
                <w:sz w:val="20"/>
                <w:szCs w:val="20"/>
              </w:rPr>
              <w:t>wave4</w:t>
            </w:r>
          </w:p>
        </w:tc>
        <w:tc>
          <w:tcPr>
            <w:tcW w:w="2835" w:type="dxa"/>
            <w:tcBorders>
              <w:top w:val="single" w:sz="12" w:space="0" w:color="auto"/>
              <w:left w:val="nil"/>
              <w:bottom w:val="single" w:sz="6" w:space="0" w:color="auto"/>
              <w:right w:val="nil"/>
            </w:tcBorders>
            <w:vAlign w:val="center"/>
          </w:tcPr>
          <w:p w14:paraId="33759E3D" w14:textId="77777777" w:rsidR="0063068C" w:rsidRDefault="00000000">
            <w:pPr>
              <w:jc w:val="center"/>
              <w:rPr>
                <w:rFonts w:ascii="Arial" w:hAnsi="Arial" w:cs="Arial"/>
                <w:b/>
                <w:bCs/>
                <w:sz w:val="20"/>
                <w:szCs w:val="20"/>
              </w:rPr>
            </w:pPr>
            <w:r>
              <w:rPr>
                <w:rFonts w:ascii="Arial" w:hAnsi="Arial" w:cs="Arial"/>
                <w:b/>
                <w:bCs/>
                <w:sz w:val="20"/>
                <w:szCs w:val="20"/>
              </w:rPr>
              <w:t>wave5</w:t>
            </w:r>
          </w:p>
        </w:tc>
        <w:tc>
          <w:tcPr>
            <w:tcW w:w="2835" w:type="dxa"/>
            <w:tcBorders>
              <w:top w:val="single" w:sz="12" w:space="0" w:color="auto"/>
              <w:left w:val="nil"/>
              <w:bottom w:val="single" w:sz="6" w:space="0" w:color="auto"/>
              <w:right w:val="nil"/>
            </w:tcBorders>
            <w:vAlign w:val="center"/>
          </w:tcPr>
          <w:p w14:paraId="42445FE1" w14:textId="77777777" w:rsidR="0063068C" w:rsidRDefault="00000000">
            <w:pPr>
              <w:jc w:val="center"/>
              <w:rPr>
                <w:rFonts w:ascii="Arial" w:hAnsi="Arial" w:cs="Arial"/>
                <w:b/>
                <w:bCs/>
                <w:sz w:val="20"/>
                <w:szCs w:val="20"/>
              </w:rPr>
            </w:pPr>
            <w:r>
              <w:rPr>
                <w:rFonts w:ascii="Arial" w:hAnsi="Arial" w:cs="Arial"/>
                <w:b/>
                <w:bCs/>
                <w:sz w:val="20"/>
                <w:szCs w:val="20"/>
              </w:rPr>
              <w:t>wave6</w:t>
            </w:r>
          </w:p>
        </w:tc>
        <w:tc>
          <w:tcPr>
            <w:tcW w:w="2835" w:type="dxa"/>
            <w:tcBorders>
              <w:top w:val="single" w:sz="12" w:space="0" w:color="auto"/>
              <w:left w:val="nil"/>
              <w:bottom w:val="single" w:sz="6" w:space="0" w:color="auto"/>
              <w:right w:val="nil"/>
            </w:tcBorders>
            <w:vAlign w:val="center"/>
          </w:tcPr>
          <w:p w14:paraId="541F0CC9" w14:textId="77777777" w:rsidR="0063068C" w:rsidRDefault="00000000">
            <w:pPr>
              <w:jc w:val="center"/>
              <w:rPr>
                <w:rFonts w:ascii="Arial" w:hAnsi="Arial" w:cs="Arial"/>
                <w:b/>
                <w:bCs/>
                <w:sz w:val="20"/>
                <w:szCs w:val="20"/>
              </w:rPr>
            </w:pPr>
            <w:r>
              <w:rPr>
                <w:rFonts w:ascii="Arial" w:hAnsi="Arial" w:cs="Arial"/>
                <w:b/>
                <w:bCs/>
                <w:sz w:val="20"/>
                <w:szCs w:val="20"/>
              </w:rPr>
              <w:t>wave7</w:t>
            </w:r>
          </w:p>
        </w:tc>
      </w:tr>
      <w:tr w:rsidR="0063068C" w14:paraId="5778498B" w14:textId="77777777">
        <w:trPr>
          <w:trHeight w:val="851"/>
        </w:trPr>
        <w:tc>
          <w:tcPr>
            <w:tcW w:w="2835" w:type="dxa"/>
            <w:tcBorders>
              <w:top w:val="single" w:sz="6" w:space="0" w:color="auto"/>
              <w:left w:val="nil"/>
              <w:bottom w:val="nil"/>
              <w:right w:val="nil"/>
            </w:tcBorders>
            <w:vAlign w:val="center"/>
          </w:tcPr>
          <w:p w14:paraId="463DF473" w14:textId="77777777" w:rsidR="0063068C" w:rsidRDefault="00000000">
            <w:pPr>
              <w:jc w:val="left"/>
              <w:rPr>
                <w:rFonts w:ascii="Arial" w:hAnsi="Arial" w:cs="Arial"/>
                <w:b/>
                <w:bCs/>
                <w:color w:val="000000"/>
                <w:sz w:val="20"/>
                <w:szCs w:val="20"/>
              </w:rPr>
            </w:pPr>
            <w:r>
              <w:rPr>
                <w:rFonts w:ascii="Arial" w:hAnsi="Arial" w:cs="Arial"/>
                <w:b/>
                <w:bCs/>
                <w:sz w:val="20"/>
                <w:szCs w:val="20"/>
              </w:rPr>
              <w:t>Persistently Low</w:t>
            </w:r>
          </w:p>
        </w:tc>
        <w:tc>
          <w:tcPr>
            <w:tcW w:w="2835" w:type="dxa"/>
            <w:tcBorders>
              <w:top w:val="single" w:sz="6" w:space="0" w:color="auto"/>
              <w:left w:val="nil"/>
              <w:bottom w:val="nil"/>
              <w:right w:val="nil"/>
            </w:tcBorders>
            <w:vAlign w:val="center"/>
          </w:tcPr>
          <w:p w14:paraId="51D7AD67"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single" w:sz="6" w:space="0" w:color="auto"/>
              <w:left w:val="nil"/>
              <w:bottom w:val="nil"/>
              <w:right w:val="nil"/>
            </w:tcBorders>
            <w:vAlign w:val="center"/>
          </w:tcPr>
          <w:p w14:paraId="5A242926"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single" w:sz="6" w:space="0" w:color="auto"/>
              <w:left w:val="nil"/>
              <w:bottom w:val="nil"/>
              <w:right w:val="nil"/>
            </w:tcBorders>
            <w:vAlign w:val="center"/>
          </w:tcPr>
          <w:p w14:paraId="384B83C0"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single" w:sz="6" w:space="0" w:color="auto"/>
              <w:left w:val="nil"/>
              <w:bottom w:val="nil"/>
              <w:right w:val="nil"/>
            </w:tcBorders>
            <w:vAlign w:val="center"/>
          </w:tcPr>
          <w:p w14:paraId="440A3AA3"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r>
      <w:tr w:rsidR="0063068C" w14:paraId="656DBAA3" w14:textId="77777777">
        <w:trPr>
          <w:trHeight w:val="851"/>
        </w:trPr>
        <w:tc>
          <w:tcPr>
            <w:tcW w:w="2835" w:type="dxa"/>
            <w:tcBorders>
              <w:top w:val="nil"/>
              <w:left w:val="nil"/>
              <w:bottom w:val="nil"/>
              <w:right w:val="nil"/>
            </w:tcBorders>
            <w:vAlign w:val="center"/>
          </w:tcPr>
          <w:p w14:paraId="3CAA3A87" w14:textId="77777777" w:rsidR="0063068C" w:rsidRDefault="00000000">
            <w:pPr>
              <w:jc w:val="left"/>
              <w:rPr>
                <w:rFonts w:ascii="Arial" w:hAnsi="Arial" w:cs="Arial"/>
                <w:b/>
                <w:bCs/>
                <w:color w:val="000000"/>
                <w:sz w:val="20"/>
                <w:szCs w:val="20"/>
              </w:rPr>
            </w:pPr>
            <w:r>
              <w:rPr>
                <w:rFonts w:ascii="Arial" w:hAnsi="Arial" w:cs="Arial"/>
                <w:b/>
                <w:bCs/>
                <w:sz w:val="20"/>
                <w:szCs w:val="20"/>
              </w:rPr>
              <w:t>Persistently High</w:t>
            </w:r>
          </w:p>
        </w:tc>
        <w:tc>
          <w:tcPr>
            <w:tcW w:w="2835" w:type="dxa"/>
            <w:tcBorders>
              <w:top w:val="nil"/>
              <w:left w:val="nil"/>
              <w:bottom w:val="nil"/>
              <w:right w:val="nil"/>
            </w:tcBorders>
            <w:vAlign w:val="center"/>
          </w:tcPr>
          <w:p w14:paraId="69942F7F"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74EF0EE6"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121B7FC0"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44009555"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r>
      <w:tr w:rsidR="0063068C" w14:paraId="79D72920" w14:textId="77777777">
        <w:trPr>
          <w:trHeight w:val="851"/>
        </w:trPr>
        <w:tc>
          <w:tcPr>
            <w:tcW w:w="2835" w:type="dxa"/>
            <w:tcBorders>
              <w:top w:val="nil"/>
              <w:left w:val="nil"/>
              <w:bottom w:val="nil"/>
              <w:right w:val="nil"/>
            </w:tcBorders>
            <w:vAlign w:val="center"/>
          </w:tcPr>
          <w:p w14:paraId="3D9DFA79" w14:textId="77777777" w:rsidR="0063068C" w:rsidRDefault="00000000">
            <w:pPr>
              <w:jc w:val="left"/>
              <w:rPr>
                <w:rFonts w:ascii="Arial" w:hAnsi="Arial" w:cs="Arial"/>
                <w:b/>
                <w:bCs/>
                <w:color w:val="000000"/>
                <w:sz w:val="20"/>
                <w:szCs w:val="20"/>
              </w:rPr>
            </w:pPr>
            <w:r>
              <w:rPr>
                <w:rFonts w:ascii="Arial" w:hAnsi="Arial" w:cs="Arial"/>
                <w:b/>
                <w:bCs/>
                <w:sz w:val="20"/>
                <w:szCs w:val="20"/>
              </w:rPr>
              <w:t>Decreasing</w:t>
            </w:r>
          </w:p>
        </w:tc>
        <w:tc>
          <w:tcPr>
            <w:tcW w:w="2835" w:type="dxa"/>
            <w:tcBorders>
              <w:top w:val="nil"/>
              <w:left w:val="nil"/>
              <w:bottom w:val="nil"/>
              <w:right w:val="nil"/>
            </w:tcBorders>
            <w:vAlign w:val="center"/>
          </w:tcPr>
          <w:p w14:paraId="709EC613"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1621CA1B"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29532362"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75813B91"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r>
      <w:tr w:rsidR="0063068C" w14:paraId="71F987F2" w14:textId="77777777">
        <w:trPr>
          <w:trHeight w:val="851"/>
        </w:trPr>
        <w:tc>
          <w:tcPr>
            <w:tcW w:w="2835" w:type="dxa"/>
            <w:tcBorders>
              <w:top w:val="nil"/>
              <w:left w:val="nil"/>
              <w:bottom w:val="nil"/>
              <w:right w:val="nil"/>
            </w:tcBorders>
            <w:vAlign w:val="center"/>
          </w:tcPr>
          <w:p w14:paraId="4E51AFC7" w14:textId="77777777" w:rsidR="0063068C" w:rsidRDefault="0063068C">
            <w:pPr>
              <w:jc w:val="left"/>
              <w:rPr>
                <w:rFonts w:ascii="Arial" w:hAnsi="Arial" w:cs="Arial"/>
                <w:b/>
                <w:bCs/>
                <w:color w:val="000000"/>
                <w:sz w:val="20"/>
                <w:szCs w:val="20"/>
              </w:rPr>
            </w:pPr>
          </w:p>
        </w:tc>
        <w:tc>
          <w:tcPr>
            <w:tcW w:w="2835" w:type="dxa"/>
            <w:tcBorders>
              <w:top w:val="nil"/>
              <w:left w:val="nil"/>
              <w:bottom w:val="nil"/>
              <w:right w:val="nil"/>
            </w:tcBorders>
            <w:vAlign w:val="center"/>
          </w:tcPr>
          <w:p w14:paraId="2ED14893"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2DD9FCBB"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1EC156CC"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7A2B80CF"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r>
      <w:tr w:rsidR="0063068C" w14:paraId="13E05EFC" w14:textId="77777777">
        <w:trPr>
          <w:trHeight w:val="851"/>
        </w:trPr>
        <w:tc>
          <w:tcPr>
            <w:tcW w:w="2835" w:type="dxa"/>
            <w:tcBorders>
              <w:top w:val="nil"/>
              <w:left w:val="nil"/>
              <w:bottom w:val="nil"/>
              <w:right w:val="nil"/>
            </w:tcBorders>
            <w:vAlign w:val="center"/>
          </w:tcPr>
          <w:p w14:paraId="0CE14DC5" w14:textId="77777777" w:rsidR="0063068C" w:rsidRDefault="00000000">
            <w:pPr>
              <w:jc w:val="left"/>
              <w:rPr>
                <w:rFonts w:ascii="Arial" w:hAnsi="Arial" w:cs="Arial"/>
                <w:b/>
                <w:bCs/>
                <w:color w:val="000000"/>
                <w:sz w:val="20"/>
                <w:szCs w:val="20"/>
              </w:rPr>
            </w:pPr>
            <w:r>
              <w:rPr>
                <w:rFonts w:ascii="Arial" w:hAnsi="Arial" w:cs="Arial"/>
                <w:b/>
                <w:bCs/>
                <w:sz w:val="20"/>
                <w:szCs w:val="20"/>
              </w:rPr>
              <w:t>Increasing</w:t>
            </w:r>
          </w:p>
        </w:tc>
        <w:tc>
          <w:tcPr>
            <w:tcW w:w="2835" w:type="dxa"/>
            <w:tcBorders>
              <w:top w:val="nil"/>
              <w:left w:val="nil"/>
              <w:bottom w:val="nil"/>
              <w:right w:val="nil"/>
            </w:tcBorders>
            <w:vAlign w:val="center"/>
          </w:tcPr>
          <w:p w14:paraId="3A7145F9"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26963F45"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6D05FD6D"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19D823C1"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r>
      <w:tr w:rsidR="0063068C" w14:paraId="0C9D3E4B" w14:textId="77777777">
        <w:trPr>
          <w:trHeight w:val="851"/>
        </w:trPr>
        <w:tc>
          <w:tcPr>
            <w:tcW w:w="2835" w:type="dxa"/>
            <w:tcBorders>
              <w:top w:val="nil"/>
              <w:left w:val="nil"/>
              <w:bottom w:val="nil"/>
              <w:right w:val="nil"/>
            </w:tcBorders>
            <w:vAlign w:val="center"/>
          </w:tcPr>
          <w:p w14:paraId="21A8A20C" w14:textId="77777777" w:rsidR="0063068C" w:rsidRDefault="0063068C">
            <w:pPr>
              <w:jc w:val="left"/>
              <w:rPr>
                <w:rFonts w:ascii="Arial" w:hAnsi="Arial" w:cs="Arial"/>
                <w:b/>
                <w:bCs/>
                <w:color w:val="000000"/>
                <w:sz w:val="20"/>
                <w:szCs w:val="20"/>
              </w:rPr>
            </w:pPr>
          </w:p>
        </w:tc>
        <w:tc>
          <w:tcPr>
            <w:tcW w:w="2835" w:type="dxa"/>
            <w:tcBorders>
              <w:top w:val="nil"/>
              <w:left w:val="nil"/>
              <w:bottom w:val="nil"/>
              <w:right w:val="nil"/>
            </w:tcBorders>
            <w:vAlign w:val="center"/>
          </w:tcPr>
          <w:p w14:paraId="5D5D582F"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610CFB42"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4A0FFA4D"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c>
          <w:tcPr>
            <w:tcW w:w="2835" w:type="dxa"/>
            <w:tcBorders>
              <w:top w:val="nil"/>
              <w:left w:val="nil"/>
              <w:bottom w:val="nil"/>
              <w:right w:val="nil"/>
            </w:tcBorders>
            <w:vAlign w:val="center"/>
          </w:tcPr>
          <w:p w14:paraId="62024851" w14:textId="77777777" w:rsidR="0063068C" w:rsidRPr="0032430D" w:rsidRDefault="00000000">
            <w:pPr>
              <w:jc w:val="center"/>
              <w:rPr>
                <w:rFonts w:ascii="Arial" w:hAnsi="Arial" w:cs="Arial"/>
                <w:b/>
                <w:bCs/>
                <w:sz w:val="24"/>
                <w:szCs w:val="24"/>
              </w:rPr>
            </w:pPr>
            <w:r w:rsidRPr="0032430D">
              <w:rPr>
                <w:rFonts w:ascii="Arial" w:hAnsi="Arial" w:cs="Arial"/>
                <w:b/>
                <w:bCs/>
                <w:color w:val="000000"/>
                <w:sz w:val="24"/>
                <w:szCs w:val="24"/>
              </w:rPr>
              <w:t>+</w:t>
            </w:r>
          </w:p>
        </w:tc>
      </w:tr>
      <w:tr w:rsidR="0063068C" w14:paraId="0EF8B9A8" w14:textId="77777777">
        <w:trPr>
          <w:trHeight w:val="851"/>
        </w:trPr>
        <w:tc>
          <w:tcPr>
            <w:tcW w:w="2835" w:type="dxa"/>
            <w:tcBorders>
              <w:top w:val="nil"/>
              <w:left w:val="nil"/>
              <w:bottom w:val="single" w:sz="12" w:space="0" w:color="auto"/>
              <w:right w:val="nil"/>
            </w:tcBorders>
            <w:vAlign w:val="center"/>
          </w:tcPr>
          <w:p w14:paraId="076B882F" w14:textId="77777777" w:rsidR="0063068C" w:rsidRDefault="00000000">
            <w:pPr>
              <w:jc w:val="left"/>
              <w:rPr>
                <w:rFonts w:ascii="Arial" w:hAnsi="Arial" w:cs="Arial"/>
                <w:b/>
                <w:bCs/>
                <w:sz w:val="20"/>
                <w:szCs w:val="20"/>
              </w:rPr>
            </w:pPr>
            <w:r>
              <w:rPr>
                <w:rFonts w:ascii="Arial" w:hAnsi="Arial" w:cs="Arial"/>
                <w:b/>
                <w:bCs/>
                <w:sz w:val="20"/>
                <w:szCs w:val="20"/>
              </w:rPr>
              <w:t>Fluctuating</w:t>
            </w:r>
          </w:p>
        </w:tc>
        <w:tc>
          <w:tcPr>
            <w:tcW w:w="11340" w:type="dxa"/>
            <w:gridSpan w:val="4"/>
            <w:tcBorders>
              <w:top w:val="nil"/>
              <w:left w:val="nil"/>
              <w:bottom w:val="single" w:sz="12" w:space="0" w:color="auto"/>
              <w:right w:val="nil"/>
            </w:tcBorders>
            <w:vAlign w:val="center"/>
          </w:tcPr>
          <w:p w14:paraId="43542ABF" w14:textId="77777777" w:rsidR="0063068C" w:rsidRDefault="00000000">
            <w:pPr>
              <w:jc w:val="center"/>
              <w:rPr>
                <w:rFonts w:ascii="Arial" w:hAnsi="Arial" w:cs="Arial"/>
                <w:b/>
                <w:bCs/>
                <w:sz w:val="20"/>
                <w:szCs w:val="20"/>
              </w:rPr>
            </w:pPr>
            <w:r>
              <w:rPr>
                <w:rFonts w:ascii="Arial" w:hAnsi="Arial" w:cs="Arial"/>
                <w:b/>
                <w:bCs/>
                <w:sz w:val="20"/>
                <w:szCs w:val="20"/>
              </w:rPr>
              <w:t>All other cases where the above conditions are not met</w:t>
            </w:r>
          </w:p>
        </w:tc>
      </w:tr>
    </w:tbl>
    <w:p w14:paraId="76F71474" w14:textId="77777777" w:rsidR="0063068C" w:rsidRDefault="0063068C">
      <w:pPr>
        <w:widowControl/>
        <w:jc w:val="left"/>
        <w:rPr>
          <w:rFonts w:ascii="Arial" w:hAnsi="Arial" w:cs="Arial"/>
          <w:b/>
          <w:bCs/>
          <w:sz w:val="16"/>
          <w:szCs w:val="16"/>
        </w:rPr>
      </w:pPr>
    </w:p>
    <w:p w14:paraId="790C97B2" w14:textId="77777777" w:rsidR="0000522A" w:rsidRDefault="0000522A">
      <w:pPr>
        <w:widowControl/>
        <w:jc w:val="left"/>
        <w:rPr>
          <w:rFonts w:ascii="Arial" w:hAnsi="Arial" w:cs="Arial"/>
          <w:b/>
          <w:bCs/>
          <w:sz w:val="16"/>
          <w:szCs w:val="16"/>
        </w:rPr>
      </w:pPr>
    </w:p>
    <w:p w14:paraId="58F65E91" w14:textId="77777777" w:rsidR="0000522A" w:rsidRDefault="0000522A">
      <w:pPr>
        <w:widowControl/>
        <w:jc w:val="left"/>
        <w:rPr>
          <w:rFonts w:ascii="Arial" w:hAnsi="Arial" w:cs="Arial"/>
          <w:b/>
          <w:bCs/>
          <w:sz w:val="16"/>
          <w:szCs w:val="16"/>
        </w:rPr>
      </w:pPr>
    </w:p>
    <w:p w14:paraId="7A8088F6" w14:textId="77777777" w:rsidR="0000522A" w:rsidRDefault="0000522A">
      <w:pPr>
        <w:widowControl/>
        <w:jc w:val="left"/>
        <w:rPr>
          <w:rFonts w:ascii="Arial" w:hAnsi="Arial" w:cs="Arial"/>
          <w:b/>
          <w:bCs/>
          <w:sz w:val="16"/>
          <w:szCs w:val="16"/>
        </w:rPr>
      </w:pPr>
    </w:p>
    <w:p w14:paraId="6F8BB655" w14:textId="77777777" w:rsidR="0000522A" w:rsidRDefault="0000522A">
      <w:pPr>
        <w:widowControl/>
        <w:jc w:val="left"/>
        <w:rPr>
          <w:rFonts w:ascii="Arial" w:hAnsi="Arial" w:cs="Arial"/>
          <w:b/>
          <w:bCs/>
          <w:sz w:val="16"/>
          <w:szCs w:val="16"/>
        </w:rPr>
      </w:pPr>
    </w:p>
    <w:p w14:paraId="4984A694" w14:textId="77777777" w:rsidR="0000522A" w:rsidRDefault="0000522A">
      <w:pPr>
        <w:widowControl/>
        <w:jc w:val="left"/>
        <w:rPr>
          <w:rFonts w:ascii="Arial" w:hAnsi="Arial" w:cs="Arial"/>
          <w:b/>
          <w:bCs/>
          <w:sz w:val="16"/>
          <w:szCs w:val="16"/>
        </w:rPr>
      </w:pPr>
    </w:p>
    <w:p w14:paraId="2E3F6E97" w14:textId="77777777" w:rsidR="0000522A" w:rsidRDefault="0000522A">
      <w:pPr>
        <w:widowControl/>
        <w:jc w:val="left"/>
        <w:rPr>
          <w:rFonts w:ascii="Arial" w:hAnsi="Arial" w:cs="Arial"/>
          <w:b/>
          <w:bCs/>
          <w:sz w:val="16"/>
          <w:szCs w:val="16"/>
        </w:rPr>
      </w:pPr>
    </w:p>
    <w:p w14:paraId="6FB1AAC7" w14:textId="77777777" w:rsidR="0000522A" w:rsidRDefault="0000522A">
      <w:pPr>
        <w:widowControl/>
        <w:jc w:val="left"/>
        <w:rPr>
          <w:rFonts w:ascii="Arial" w:hAnsi="Arial" w:cs="Arial"/>
          <w:b/>
          <w:bCs/>
          <w:sz w:val="16"/>
          <w:szCs w:val="16"/>
        </w:rPr>
      </w:pPr>
    </w:p>
    <w:p w14:paraId="04A762D2" w14:textId="77777777" w:rsidR="0000522A" w:rsidRDefault="0000522A">
      <w:pPr>
        <w:widowControl/>
        <w:jc w:val="left"/>
        <w:rPr>
          <w:rFonts w:ascii="Arial" w:hAnsi="Arial" w:cs="Arial"/>
          <w:b/>
          <w:bCs/>
          <w:sz w:val="16"/>
          <w:szCs w:val="16"/>
        </w:rPr>
      </w:pPr>
    </w:p>
    <w:p w14:paraId="612CE412" w14:textId="77777777" w:rsidR="0000522A" w:rsidRDefault="0000522A">
      <w:pPr>
        <w:widowControl/>
        <w:jc w:val="left"/>
        <w:rPr>
          <w:rFonts w:ascii="Arial" w:hAnsi="Arial" w:cs="Arial"/>
          <w:b/>
          <w:bCs/>
          <w:sz w:val="16"/>
          <w:szCs w:val="16"/>
        </w:rPr>
      </w:pPr>
    </w:p>
    <w:p w14:paraId="4FCAE4FB" w14:textId="77777777" w:rsidR="0000522A" w:rsidRDefault="0000522A">
      <w:pPr>
        <w:widowControl/>
        <w:jc w:val="left"/>
        <w:rPr>
          <w:rFonts w:ascii="Arial" w:hAnsi="Arial" w:cs="Arial"/>
          <w:b/>
          <w:bCs/>
          <w:sz w:val="16"/>
          <w:szCs w:val="16"/>
        </w:rPr>
      </w:pPr>
    </w:p>
    <w:p w14:paraId="07CA8A0D" w14:textId="77777777" w:rsidR="0000522A" w:rsidRDefault="0000522A">
      <w:pPr>
        <w:widowControl/>
        <w:jc w:val="left"/>
        <w:rPr>
          <w:rFonts w:ascii="Arial" w:hAnsi="Arial" w:cs="Arial"/>
          <w:b/>
          <w:bCs/>
          <w:sz w:val="16"/>
          <w:szCs w:val="16"/>
        </w:rPr>
      </w:pPr>
    </w:p>
    <w:p w14:paraId="39FB66CB" w14:textId="77777777" w:rsidR="0000522A" w:rsidRDefault="0000522A">
      <w:pPr>
        <w:widowControl/>
        <w:jc w:val="left"/>
        <w:rPr>
          <w:rFonts w:ascii="Arial" w:hAnsi="Arial" w:cs="Arial"/>
          <w:b/>
          <w:bCs/>
          <w:sz w:val="16"/>
          <w:szCs w:val="16"/>
        </w:rPr>
      </w:pPr>
    </w:p>
    <w:p w14:paraId="1E2CBFB0" w14:textId="77777777" w:rsidR="0000522A" w:rsidRDefault="0000522A">
      <w:pPr>
        <w:widowControl/>
        <w:jc w:val="left"/>
        <w:rPr>
          <w:rFonts w:ascii="Arial" w:hAnsi="Arial" w:cs="Arial"/>
          <w:b/>
          <w:bCs/>
          <w:sz w:val="16"/>
          <w:szCs w:val="16"/>
        </w:rPr>
      </w:pPr>
    </w:p>
    <w:p w14:paraId="7FAA5929" w14:textId="77777777" w:rsidR="0000522A" w:rsidRDefault="0000522A">
      <w:pPr>
        <w:widowControl/>
        <w:jc w:val="left"/>
        <w:rPr>
          <w:rFonts w:ascii="Arial" w:hAnsi="Arial" w:cs="Arial"/>
          <w:b/>
          <w:bCs/>
          <w:sz w:val="16"/>
          <w:szCs w:val="16"/>
        </w:rPr>
      </w:pPr>
    </w:p>
    <w:p w14:paraId="2EC170CC" w14:textId="77777777" w:rsidR="0000522A" w:rsidRPr="001B34DB" w:rsidRDefault="0000522A" w:rsidP="001B34DB">
      <w:pPr>
        <w:spacing w:line="360" w:lineRule="auto"/>
        <w:rPr>
          <w:rFonts w:ascii="Arial" w:hAnsi="Arial" w:cs="Arial"/>
          <w:szCs w:val="21"/>
        </w:rPr>
      </w:pPr>
    </w:p>
    <w:p w14:paraId="0927FC1A" w14:textId="77777777" w:rsidR="001B34DB" w:rsidRPr="001B34DB" w:rsidRDefault="001B34DB" w:rsidP="001B34DB">
      <w:pPr>
        <w:spacing w:line="360" w:lineRule="auto"/>
        <w:rPr>
          <w:rFonts w:ascii="Arial" w:hAnsi="Arial" w:cs="Arial"/>
          <w:szCs w:val="21"/>
        </w:rPr>
      </w:pPr>
      <w:bookmarkStart w:id="1" w:name="_Hlk207745309"/>
      <w:r w:rsidRPr="001B34DB">
        <w:rPr>
          <w:rFonts w:ascii="Arial" w:hAnsi="Arial" w:cs="Arial"/>
          <w:szCs w:val="21"/>
        </w:rPr>
        <w:t>This table defines the depressive symptom trajectories during the exposure period, including Persistently Low, Persistently High, Decreasing, Increasing, and Fluctuating patterns. Data were derived from participants in two population-based cohorts: the Health and Retirement Study (HRS, USA) and the English Longitudinal Study of Ageing (ELSA, UK). The exposure period covered HRS Rounds 4–7 (1998–2004) and ELSA Rounds 1–4 (2002–2008), during which depressive symptoms were repeatedly assessed to construct these trajectories.</w:t>
      </w:r>
    </w:p>
    <w:bookmarkEnd w:id="1"/>
    <w:p w14:paraId="25C0F7A0" w14:textId="77777777" w:rsidR="0000522A" w:rsidRPr="001B34DB" w:rsidRDefault="0000522A">
      <w:pPr>
        <w:widowControl/>
        <w:jc w:val="left"/>
        <w:rPr>
          <w:rFonts w:ascii="Arial" w:hAnsi="Arial" w:cs="Arial"/>
          <w:b/>
          <w:bCs/>
          <w:sz w:val="16"/>
          <w:szCs w:val="16"/>
        </w:rPr>
      </w:pPr>
    </w:p>
    <w:p w14:paraId="5134BD40" w14:textId="77777777" w:rsidR="0000522A" w:rsidRDefault="0000522A">
      <w:pPr>
        <w:widowControl/>
        <w:jc w:val="left"/>
        <w:rPr>
          <w:rFonts w:ascii="Arial" w:hAnsi="Arial" w:cs="Arial"/>
          <w:b/>
          <w:bCs/>
          <w:sz w:val="16"/>
          <w:szCs w:val="16"/>
        </w:rPr>
      </w:pPr>
    </w:p>
    <w:p w14:paraId="7FD8AFB5" w14:textId="76E8849F" w:rsidR="0063068C" w:rsidRDefault="00000000">
      <w:pPr>
        <w:widowControl/>
        <w:jc w:val="left"/>
        <w:rPr>
          <w:rFonts w:ascii="Arial" w:hAnsi="Arial" w:cs="Arial"/>
          <w:b/>
          <w:bCs/>
          <w:sz w:val="16"/>
          <w:szCs w:val="16"/>
        </w:rPr>
      </w:pPr>
      <w:r>
        <w:rPr>
          <w:rFonts w:ascii="Arial" w:hAnsi="Arial" w:cs="Arial"/>
          <w:b/>
          <w:bCs/>
          <w:sz w:val="16"/>
          <w:szCs w:val="16"/>
        </w:rPr>
        <w:br w:type="page"/>
      </w:r>
    </w:p>
    <w:p w14:paraId="36D99F7A" w14:textId="77777777" w:rsidR="0063068C" w:rsidRDefault="00000000">
      <w:pPr>
        <w:spacing w:line="360" w:lineRule="auto"/>
        <w:rPr>
          <w:rFonts w:ascii="Arial" w:hAnsi="Arial" w:cs="Arial"/>
          <w:b/>
          <w:bCs/>
          <w:sz w:val="24"/>
          <w:szCs w:val="24"/>
        </w:rPr>
      </w:pPr>
      <w:bookmarkStart w:id="2" w:name="OLE_LINK1"/>
      <w:r>
        <w:rPr>
          <w:rFonts w:ascii="Arial" w:hAnsi="Arial" w:cs="Arial" w:hint="eastAsia"/>
          <w:b/>
          <w:bCs/>
          <w:sz w:val="24"/>
          <w:szCs w:val="24"/>
        </w:rPr>
        <w:lastRenderedPageBreak/>
        <w:t xml:space="preserve"> </w:t>
      </w:r>
      <w:r>
        <w:rPr>
          <w:rFonts w:ascii="Arial" w:hAnsi="Arial" w:cs="Arial"/>
          <w:b/>
          <w:bCs/>
          <w:sz w:val="24"/>
          <w:szCs w:val="24"/>
        </w:rPr>
        <w:t xml:space="preserve">Supplementary table </w:t>
      </w:r>
      <w:r>
        <w:rPr>
          <w:rFonts w:ascii="Arial" w:hAnsi="Arial" w:cs="Arial" w:hint="eastAsia"/>
          <w:b/>
          <w:bCs/>
          <w:sz w:val="24"/>
          <w:szCs w:val="24"/>
        </w:rPr>
        <w:t>2</w:t>
      </w:r>
      <w:r>
        <w:rPr>
          <w:rFonts w:ascii="Arial" w:hAnsi="Arial" w:cs="Arial"/>
          <w:b/>
          <w:bCs/>
          <w:sz w:val="24"/>
          <w:szCs w:val="24"/>
        </w:rPr>
        <w:t>. Cancer Case Counts Across Depressive Symptom Trajectories by Dataset</w:t>
      </w:r>
      <w:r>
        <w:rPr>
          <w:rFonts w:ascii="Arial" w:hAnsi="Arial" w:cs="Arial" w:hint="eastAsia"/>
          <w:b/>
          <w:bCs/>
          <w:sz w:val="24"/>
          <w:szCs w:val="24"/>
        </w:rPr>
        <w:t>s</w:t>
      </w:r>
      <w:r>
        <w:rPr>
          <w:rFonts w:ascii="Arial" w:hAnsi="Arial" w:cs="Arial"/>
          <w:b/>
          <w:bCs/>
          <w:sz w:val="24"/>
          <w:szCs w:val="24"/>
        </w:rPr>
        <w:t xml:space="preserve"> (HRS, ELSA, and Combined)</w:t>
      </w:r>
    </w:p>
    <w:bookmarkEnd w:id="2"/>
    <w:p w14:paraId="55C7D460" w14:textId="77777777" w:rsidR="0063068C" w:rsidRDefault="0063068C">
      <w:pPr>
        <w:spacing w:line="360" w:lineRule="auto"/>
        <w:rPr>
          <w:rFonts w:ascii="Arial" w:hAnsi="Arial" w:cs="Arial"/>
          <w:b/>
          <w:bCs/>
          <w:sz w:val="24"/>
          <w:szCs w:val="24"/>
        </w:rPr>
      </w:pPr>
    </w:p>
    <w:tbl>
      <w:tblPr>
        <w:tblW w:w="15890" w:type="dxa"/>
        <w:tblInd w:w="-128" w:type="dxa"/>
        <w:tblLayout w:type="fixed"/>
        <w:tblLook w:val="04A0" w:firstRow="1" w:lastRow="0" w:firstColumn="1" w:lastColumn="0" w:noHBand="0" w:noVBand="1"/>
      </w:tblPr>
      <w:tblGrid>
        <w:gridCol w:w="2716"/>
        <w:gridCol w:w="2716"/>
        <w:gridCol w:w="2716"/>
        <w:gridCol w:w="2716"/>
        <w:gridCol w:w="2716"/>
        <w:gridCol w:w="2310"/>
      </w:tblGrid>
      <w:tr w:rsidR="0063068C" w14:paraId="1177295E" w14:textId="77777777">
        <w:trPr>
          <w:trHeight w:val="1070"/>
          <w:tblHeader/>
        </w:trPr>
        <w:tc>
          <w:tcPr>
            <w:tcW w:w="2716" w:type="dxa"/>
            <w:tcBorders>
              <w:top w:val="single" w:sz="12" w:space="0" w:color="666666"/>
              <w:left w:val="nil"/>
              <w:bottom w:val="single" w:sz="12" w:space="0" w:color="666666"/>
              <w:right w:val="nil"/>
            </w:tcBorders>
            <w:shd w:val="clear" w:color="auto" w:fill="FFFFFF"/>
            <w:tcMar>
              <w:left w:w="0" w:type="dxa"/>
              <w:right w:w="0" w:type="dxa"/>
            </w:tcMar>
            <w:vAlign w:val="center"/>
          </w:tcPr>
          <w:p w14:paraId="6E2B4488" w14:textId="77777777" w:rsidR="0063068C" w:rsidRDefault="00000000">
            <w:pPr>
              <w:jc w:val="center"/>
              <w:rPr>
                <w:rFonts w:ascii="Arial" w:hAnsi="Arial" w:cs="Arial"/>
                <w:b/>
                <w:bCs/>
                <w:sz w:val="20"/>
                <w:szCs w:val="20"/>
              </w:rPr>
            </w:pPr>
            <w:r>
              <w:rPr>
                <w:rFonts w:ascii="Arial" w:hAnsi="Arial" w:cs="Arial" w:hint="eastAsia"/>
                <w:b/>
                <w:bCs/>
                <w:sz w:val="20"/>
                <w:szCs w:val="20"/>
              </w:rPr>
              <w:t>Cancer</w:t>
            </w:r>
          </w:p>
        </w:tc>
        <w:tc>
          <w:tcPr>
            <w:tcW w:w="2716" w:type="dxa"/>
            <w:tcBorders>
              <w:top w:val="single" w:sz="12" w:space="0" w:color="666666"/>
              <w:left w:val="nil"/>
              <w:bottom w:val="single" w:sz="12" w:space="0" w:color="666666"/>
              <w:right w:val="nil"/>
            </w:tcBorders>
            <w:shd w:val="clear" w:color="auto" w:fill="FFFFFF"/>
            <w:tcMar>
              <w:left w:w="0" w:type="dxa"/>
              <w:right w:w="0" w:type="dxa"/>
            </w:tcMar>
            <w:vAlign w:val="center"/>
          </w:tcPr>
          <w:p w14:paraId="0CF1178F" w14:textId="77777777" w:rsidR="0063068C" w:rsidRDefault="00000000">
            <w:pPr>
              <w:jc w:val="center"/>
              <w:rPr>
                <w:rFonts w:ascii="Arial" w:hAnsi="Arial" w:cs="Arial"/>
                <w:b/>
                <w:bCs/>
                <w:sz w:val="20"/>
                <w:szCs w:val="20"/>
              </w:rPr>
            </w:pPr>
            <w:proofErr w:type="spellStart"/>
            <w:r>
              <w:rPr>
                <w:rFonts w:ascii="Arial" w:hAnsi="Arial" w:cs="Arial"/>
                <w:b/>
                <w:bCs/>
                <w:sz w:val="20"/>
                <w:szCs w:val="20"/>
              </w:rPr>
              <w:t>Consistently.low</w:t>
            </w:r>
            <w:proofErr w:type="spellEnd"/>
          </w:p>
        </w:tc>
        <w:tc>
          <w:tcPr>
            <w:tcW w:w="2716" w:type="dxa"/>
            <w:tcBorders>
              <w:top w:val="single" w:sz="12" w:space="0" w:color="666666"/>
              <w:left w:val="nil"/>
              <w:bottom w:val="single" w:sz="12" w:space="0" w:color="666666"/>
              <w:right w:val="nil"/>
            </w:tcBorders>
            <w:shd w:val="clear" w:color="auto" w:fill="FFFFFF"/>
            <w:tcMar>
              <w:left w:w="0" w:type="dxa"/>
              <w:right w:w="0" w:type="dxa"/>
            </w:tcMar>
            <w:vAlign w:val="center"/>
          </w:tcPr>
          <w:p w14:paraId="1821900F" w14:textId="77777777" w:rsidR="0063068C" w:rsidRDefault="00000000">
            <w:pPr>
              <w:jc w:val="center"/>
              <w:rPr>
                <w:rFonts w:ascii="Arial" w:hAnsi="Arial" w:cs="Arial"/>
                <w:b/>
                <w:bCs/>
                <w:sz w:val="20"/>
                <w:szCs w:val="20"/>
              </w:rPr>
            </w:pPr>
            <w:r>
              <w:rPr>
                <w:rFonts w:ascii="Arial" w:hAnsi="Arial" w:cs="Arial"/>
                <w:b/>
                <w:bCs/>
                <w:sz w:val="20"/>
                <w:szCs w:val="20"/>
              </w:rPr>
              <w:t>Decreasing</w:t>
            </w:r>
          </w:p>
        </w:tc>
        <w:tc>
          <w:tcPr>
            <w:tcW w:w="2716" w:type="dxa"/>
            <w:tcBorders>
              <w:top w:val="single" w:sz="12" w:space="0" w:color="666666"/>
              <w:left w:val="nil"/>
              <w:bottom w:val="single" w:sz="12" w:space="0" w:color="666666"/>
              <w:right w:val="nil"/>
            </w:tcBorders>
            <w:shd w:val="clear" w:color="auto" w:fill="FFFFFF"/>
            <w:tcMar>
              <w:left w:w="0" w:type="dxa"/>
              <w:right w:w="0" w:type="dxa"/>
            </w:tcMar>
            <w:vAlign w:val="center"/>
          </w:tcPr>
          <w:p w14:paraId="5AA05163" w14:textId="77777777" w:rsidR="0063068C" w:rsidRDefault="00000000">
            <w:pPr>
              <w:jc w:val="center"/>
              <w:rPr>
                <w:rFonts w:ascii="Arial" w:hAnsi="Arial" w:cs="Arial"/>
                <w:b/>
                <w:bCs/>
                <w:sz w:val="20"/>
                <w:szCs w:val="20"/>
              </w:rPr>
            </w:pPr>
            <w:r>
              <w:rPr>
                <w:rFonts w:ascii="Arial" w:hAnsi="Arial" w:cs="Arial"/>
                <w:b/>
                <w:bCs/>
                <w:sz w:val="20"/>
                <w:szCs w:val="20"/>
              </w:rPr>
              <w:t>Fluctuating</w:t>
            </w:r>
          </w:p>
        </w:tc>
        <w:tc>
          <w:tcPr>
            <w:tcW w:w="2716" w:type="dxa"/>
            <w:tcBorders>
              <w:top w:val="single" w:sz="12" w:space="0" w:color="666666"/>
              <w:left w:val="nil"/>
              <w:bottom w:val="single" w:sz="12" w:space="0" w:color="666666"/>
              <w:right w:val="nil"/>
            </w:tcBorders>
            <w:shd w:val="clear" w:color="auto" w:fill="FFFFFF"/>
            <w:tcMar>
              <w:left w:w="0" w:type="dxa"/>
              <w:right w:w="0" w:type="dxa"/>
            </w:tcMar>
            <w:vAlign w:val="center"/>
          </w:tcPr>
          <w:p w14:paraId="535F16CF" w14:textId="77777777" w:rsidR="0063068C" w:rsidRDefault="00000000">
            <w:pPr>
              <w:jc w:val="center"/>
              <w:rPr>
                <w:rFonts w:ascii="Arial" w:hAnsi="Arial" w:cs="Arial"/>
                <w:b/>
                <w:bCs/>
                <w:sz w:val="20"/>
                <w:szCs w:val="20"/>
              </w:rPr>
            </w:pPr>
            <w:r>
              <w:rPr>
                <w:rFonts w:ascii="Arial" w:hAnsi="Arial" w:cs="Arial"/>
                <w:b/>
                <w:bCs/>
                <w:sz w:val="20"/>
                <w:szCs w:val="20"/>
              </w:rPr>
              <w:t>Increasing</w:t>
            </w:r>
          </w:p>
        </w:tc>
        <w:tc>
          <w:tcPr>
            <w:tcW w:w="2310" w:type="dxa"/>
            <w:tcBorders>
              <w:top w:val="single" w:sz="12" w:space="0" w:color="666666"/>
              <w:left w:val="nil"/>
              <w:bottom w:val="single" w:sz="12" w:space="0" w:color="666666"/>
              <w:right w:val="nil"/>
            </w:tcBorders>
            <w:shd w:val="clear" w:color="auto" w:fill="FFFFFF"/>
            <w:tcMar>
              <w:left w:w="0" w:type="dxa"/>
              <w:right w:w="0" w:type="dxa"/>
            </w:tcMar>
            <w:vAlign w:val="center"/>
          </w:tcPr>
          <w:p w14:paraId="01FAE6DC" w14:textId="77777777" w:rsidR="0063068C" w:rsidRDefault="00000000">
            <w:pPr>
              <w:jc w:val="center"/>
              <w:rPr>
                <w:rFonts w:ascii="Arial" w:hAnsi="Arial" w:cs="Arial"/>
                <w:b/>
                <w:bCs/>
                <w:sz w:val="20"/>
                <w:szCs w:val="20"/>
              </w:rPr>
            </w:pPr>
            <w:proofErr w:type="spellStart"/>
            <w:r>
              <w:rPr>
                <w:rFonts w:ascii="Arial" w:hAnsi="Arial" w:cs="Arial"/>
                <w:b/>
                <w:bCs/>
                <w:color w:val="000000"/>
                <w:sz w:val="20"/>
                <w:szCs w:val="20"/>
              </w:rPr>
              <w:t>Consistently</w:t>
            </w:r>
            <w:r>
              <w:rPr>
                <w:rFonts w:ascii="Arial" w:hAnsi="Arial" w:cs="Arial"/>
                <w:b/>
                <w:bCs/>
                <w:sz w:val="20"/>
                <w:szCs w:val="20"/>
              </w:rPr>
              <w:t>.high</w:t>
            </w:r>
            <w:proofErr w:type="spellEnd"/>
          </w:p>
        </w:tc>
      </w:tr>
      <w:tr w:rsidR="0063068C" w14:paraId="2FF8EB74" w14:textId="77777777">
        <w:trPr>
          <w:trHeight w:val="1320"/>
        </w:trPr>
        <w:tc>
          <w:tcPr>
            <w:tcW w:w="2716" w:type="dxa"/>
            <w:tcBorders>
              <w:top w:val="single" w:sz="12" w:space="0" w:color="666666"/>
              <w:left w:val="nil"/>
              <w:bottom w:val="nil"/>
              <w:right w:val="nil"/>
            </w:tcBorders>
            <w:shd w:val="clear" w:color="auto" w:fill="FFFFFF"/>
            <w:tcMar>
              <w:left w:w="0" w:type="dxa"/>
              <w:right w:w="0" w:type="dxa"/>
            </w:tcMar>
            <w:vAlign w:val="center"/>
          </w:tcPr>
          <w:p w14:paraId="237AAB68" w14:textId="77777777" w:rsidR="0063068C" w:rsidRDefault="00000000">
            <w:pPr>
              <w:widowControl/>
              <w:pBdr>
                <w:top w:val="none" w:sz="0" w:space="0" w:color="000000"/>
                <w:left w:val="none" w:sz="0" w:space="0" w:color="000000"/>
                <w:bottom w:val="none" w:sz="0" w:space="0" w:color="000000"/>
                <w:right w:val="none" w:sz="0" w:space="0" w:color="000000"/>
              </w:pBdr>
              <w:spacing w:before="100" w:after="100" w:line="276" w:lineRule="auto"/>
              <w:ind w:left="100" w:right="100"/>
              <w:jc w:val="center"/>
              <w:rPr>
                <w:rFonts w:ascii="Arial" w:hAnsi="Arial" w:cs="Arial"/>
                <w:color w:val="000000"/>
                <w:sz w:val="20"/>
                <w:szCs w:val="20"/>
              </w:rPr>
            </w:pPr>
            <w:r>
              <w:rPr>
                <w:rFonts w:ascii="Arial" w:eastAsia="等线" w:hAnsi="Arial" w:cs="Arial"/>
                <w:color w:val="000000"/>
                <w:sz w:val="18"/>
                <w:szCs w:val="18"/>
                <w:lang w:bidi="ar"/>
              </w:rPr>
              <w:t>ELSA</w:t>
            </w:r>
          </w:p>
        </w:tc>
        <w:tc>
          <w:tcPr>
            <w:tcW w:w="2716" w:type="dxa"/>
            <w:tcBorders>
              <w:top w:val="single" w:sz="12" w:space="0" w:color="666666"/>
              <w:left w:val="nil"/>
              <w:bottom w:val="nil"/>
              <w:right w:val="nil"/>
            </w:tcBorders>
            <w:shd w:val="clear" w:color="auto" w:fill="FFFFFF"/>
            <w:tcMar>
              <w:left w:w="0" w:type="dxa"/>
              <w:right w:w="0" w:type="dxa"/>
            </w:tcMar>
            <w:vAlign w:val="center"/>
          </w:tcPr>
          <w:p w14:paraId="340E7E5D" w14:textId="77777777" w:rsidR="0063068C" w:rsidRDefault="00000000">
            <w:pPr>
              <w:jc w:val="center"/>
              <w:rPr>
                <w:rFonts w:ascii="Arial" w:hAnsi="Arial" w:cs="Arial"/>
                <w:color w:val="000000"/>
                <w:sz w:val="20"/>
                <w:szCs w:val="20"/>
              </w:rPr>
            </w:pPr>
            <w:r>
              <w:rPr>
                <w:rFonts w:ascii="Arial" w:hAnsi="Arial" w:cs="Arial"/>
                <w:color w:val="000000"/>
                <w:sz w:val="20"/>
                <w:szCs w:val="20"/>
              </w:rPr>
              <w:t>370</w:t>
            </w:r>
          </w:p>
        </w:tc>
        <w:tc>
          <w:tcPr>
            <w:tcW w:w="2716" w:type="dxa"/>
            <w:tcBorders>
              <w:top w:val="single" w:sz="12" w:space="0" w:color="666666"/>
              <w:left w:val="nil"/>
              <w:bottom w:val="nil"/>
              <w:right w:val="nil"/>
            </w:tcBorders>
            <w:shd w:val="clear" w:color="auto" w:fill="FFFFFF"/>
            <w:tcMar>
              <w:left w:w="0" w:type="dxa"/>
              <w:right w:w="0" w:type="dxa"/>
            </w:tcMar>
            <w:vAlign w:val="center"/>
          </w:tcPr>
          <w:p w14:paraId="2B127780" w14:textId="77777777" w:rsidR="0063068C" w:rsidRDefault="00000000">
            <w:pPr>
              <w:jc w:val="center"/>
              <w:rPr>
                <w:rFonts w:ascii="Arial" w:hAnsi="Arial" w:cs="Arial"/>
                <w:color w:val="000000"/>
                <w:sz w:val="20"/>
                <w:szCs w:val="20"/>
              </w:rPr>
            </w:pPr>
            <w:r>
              <w:rPr>
                <w:rFonts w:ascii="Arial" w:hAnsi="Arial" w:cs="Arial"/>
                <w:color w:val="000000"/>
                <w:sz w:val="20"/>
                <w:szCs w:val="20"/>
              </w:rPr>
              <w:t>11</w:t>
            </w:r>
          </w:p>
        </w:tc>
        <w:tc>
          <w:tcPr>
            <w:tcW w:w="2716" w:type="dxa"/>
            <w:tcBorders>
              <w:top w:val="single" w:sz="12" w:space="0" w:color="666666"/>
              <w:left w:val="nil"/>
              <w:bottom w:val="nil"/>
              <w:right w:val="nil"/>
            </w:tcBorders>
            <w:shd w:val="clear" w:color="auto" w:fill="FFFFFF"/>
            <w:tcMar>
              <w:left w:w="0" w:type="dxa"/>
              <w:right w:w="0" w:type="dxa"/>
            </w:tcMar>
            <w:vAlign w:val="center"/>
          </w:tcPr>
          <w:p w14:paraId="7E7F2870" w14:textId="77777777" w:rsidR="0063068C" w:rsidRDefault="00000000">
            <w:pPr>
              <w:jc w:val="center"/>
              <w:rPr>
                <w:rFonts w:ascii="Arial" w:hAnsi="Arial" w:cs="Arial"/>
                <w:color w:val="000000"/>
                <w:sz w:val="20"/>
                <w:szCs w:val="20"/>
              </w:rPr>
            </w:pPr>
            <w:r>
              <w:rPr>
                <w:rFonts w:ascii="Arial" w:hAnsi="Arial" w:cs="Arial"/>
                <w:color w:val="000000"/>
                <w:sz w:val="20"/>
                <w:szCs w:val="20"/>
              </w:rPr>
              <w:t>1300</w:t>
            </w:r>
          </w:p>
        </w:tc>
        <w:tc>
          <w:tcPr>
            <w:tcW w:w="2716" w:type="dxa"/>
            <w:tcBorders>
              <w:top w:val="single" w:sz="12" w:space="0" w:color="666666"/>
              <w:left w:val="nil"/>
              <w:bottom w:val="nil"/>
              <w:right w:val="nil"/>
            </w:tcBorders>
            <w:shd w:val="clear" w:color="auto" w:fill="FFFFFF"/>
            <w:tcMar>
              <w:left w:w="0" w:type="dxa"/>
              <w:right w:w="0" w:type="dxa"/>
            </w:tcMar>
            <w:vAlign w:val="center"/>
          </w:tcPr>
          <w:p w14:paraId="6F3F40B4" w14:textId="77777777" w:rsidR="0063068C" w:rsidRDefault="00000000">
            <w:pPr>
              <w:jc w:val="center"/>
              <w:rPr>
                <w:rFonts w:ascii="Arial" w:hAnsi="Arial" w:cs="Arial"/>
                <w:color w:val="000000"/>
                <w:sz w:val="20"/>
                <w:szCs w:val="20"/>
              </w:rPr>
            </w:pPr>
            <w:r>
              <w:rPr>
                <w:rFonts w:ascii="Arial" w:hAnsi="Arial" w:cs="Arial"/>
                <w:color w:val="000000"/>
                <w:sz w:val="20"/>
                <w:szCs w:val="20"/>
              </w:rPr>
              <w:t>20</w:t>
            </w:r>
          </w:p>
        </w:tc>
        <w:tc>
          <w:tcPr>
            <w:tcW w:w="2310" w:type="dxa"/>
            <w:tcBorders>
              <w:top w:val="single" w:sz="12" w:space="0" w:color="666666"/>
              <w:left w:val="nil"/>
              <w:bottom w:val="nil"/>
              <w:right w:val="nil"/>
            </w:tcBorders>
            <w:shd w:val="clear" w:color="auto" w:fill="FFFFFF"/>
            <w:tcMar>
              <w:left w:w="0" w:type="dxa"/>
              <w:right w:w="0" w:type="dxa"/>
            </w:tcMar>
            <w:vAlign w:val="center"/>
          </w:tcPr>
          <w:p w14:paraId="68A22882" w14:textId="77777777" w:rsidR="0063068C" w:rsidRDefault="00000000">
            <w:pPr>
              <w:jc w:val="center"/>
              <w:rPr>
                <w:rFonts w:ascii="Arial" w:hAnsi="Arial" w:cs="Arial"/>
                <w:color w:val="000000"/>
                <w:sz w:val="20"/>
                <w:szCs w:val="20"/>
              </w:rPr>
            </w:pPr>
            <w:r>
              <w:rPr>
                <w:rFonts w:ascii="Arial" w:hAnsi="Arial" w:cs="Arial"/>
                <w:color w:val="000000"/>
                <w:sz w:val="20"/>
                <w:szCs w:val="20"/>
              </w:rPr>
              <w:t>53</w:t>
            </w:r>
          </w:p>
        </w:tc>
      </w:tr>
      <w:tr w:rsidR="0063068C" w14:paraId="29751768" w14:textId="77777777">
        <w:trPr>
          <w:trHeight w:val="1204"/>
        </w:trPr>
        <w:tc>
          <w:tcPr>
            <w:tcW w:w="2716" w:type="dxa"/>
            <w:shd w:val="clear" w:color="auto" w:fill="FFFFFF"/>
            <w:tcMar>
              <w:left w:w="0" w:type="dxa"/>
              <w:right w:w="0" w:type="dxa"/>
            </w:tcMar>
            <w:vAlign w:val="center"/>
          </w:tcPr>
          <w:p w14:paraId="7B6D8E04" w14:textId="77777777" w:rsidR="0063068C" w:rsidRDefault="00000000">
            <w:pPr>
              <w:widowControl/>
              <w:pBdr>
                <w:top w:val="none" w:sz="0" w:space="0" w:color="000000"/>
                <w:left w:val="none" w:sz="0" w:space="0" w:color="000000"/>
                <w:bottom w:val="none" w:sz="0" w:space="0" w:color="000000"/>
                <w:right w:val="none" w:sz="0" w:space="0" w:color="000000"/>
              </w:pBdr>
              <w:spacing w:before="100" w:after="100" w:line="276" w:lineRule="auto"/>
              <w:ind w:left="100" w:right="100"/>
              <w:jc w:val="center"/>
              <w:rPr>
                <w:rFonts w:ascii="Arial" w:hAnsi="Arial" w:cs="Arial"/>
                <w:color w:val="000000"/>
                <w:sz w:val="20"/>
                <w:szCs w:val="20"/>
              </w:rPr>
            </w:pPr>
            <w:r>
              <w:rPr>
                <w:rFonts w:ascii="Arial" w:eastAsia="等线" w:hAnsi="Arial" w:cs="Arial"/>
                <w:color w:val="000000"/>
                <w:sz w:val="18"/>
                <w:szCs w:val="18"/>
                <w:lang w:bidi="ar"/>
              </w:rPr>
              <w:t>HRS</w:t>
            </w:r>
          </w:p>
        </w:tc>
        <w:tc>
          <w:tcPr>
            <w:tcW w:w="2716" w:type="dxa"/>
            <w:shd w:val="clear" w:color="auto" w:fill="FFFFFF"/>
            <w:tcMar>
              <w:left w:w="0" w:type="dxa"/>
              <w:right w:w="0" w:type="dxa"/>
            </w:tcMar>
            <w:vAlign w:val="center"/>
          </w:tcPr>
          <w:p w14:paraId="34EE173B" w14:textId="77777777" w:rsidR="0063068C" w:rsidRDefault="00000000">
            <w:pPr>
              <w:jc w:val="center"/>
              <w:rPr>
                <w:rFonts w:ascii="Arial" w:hAnsi="Arial" w:cs="Arial"/>
                <w:color w:val="000000"/>
                <w:sz w:val="20"/>
                <w:szCs w:val="20"/>
              </w:rPr>
            </w:pPr>
            <w:r>
              <w:rPr>
                <w:rFonts w:ascii="Arial" w:hAnsi="Arial" w:cs="Arial"/>
                <w:color w:val="000000"/>
                <w:sz w:val="20"/>
                <w:szCs w:val="20"/>
              </w:rPr>
              <w:t>731</w:t>
            </w:r>
          </w:p>
        </w:tc>
        <w:tc>
          <w:tcPr>
            <w:tcW w:w="2716" w:type="dxa"/>
            <w:shd w:val="clear" w:color="auto" w:fill="FFFFFF"/>
            <w:tcMar>
              <w:left w:w="0" w:type="dxa"/>
              <w:right w:w="0" w:type="dxa"/>
            </w:tcMar>
            <w:vAlign w:val="center"/>
          </w:tcPr>
          <w:p w14:paraId="2CFDFBF1" w14:textId="77777777" w:rsidR="0063068C" w:rsidRDefault="00000000">
            <w:pPr>
              <w:jc w:val="center"/>
              <w:rPr>
                <w:rFonts w:ascii="Arial" w:hAnsi="Arial" w:cs="Arial"/>
                <w:color w:val="000000"/>
                <w:sz w:val="20"/>
                <w:szCs w:val="20"/>
              </w:rPr>
            </w:pPr>
            <w:r>
              <w:rPr>
                <w:rFonts w:ascii="Arial" w:hAnsi="Arial" w:cs="Arial"/>
                <w:color w:val="000000"/>
                <w:sz w:val="20"/>
                <w:szCs w:val="20"/>
              </w:rPr>
              <w:t>21</w:t>
            </w:r>
          </w:p>
        </w:tc>
        <w:tc>
          <w:tcPr>
            <w:tcW w:w="2716" w:type="dxa"/>
            <w:shd w:val="clear" w:color="auto" w:fill="FFFFFF"/>
            <w:tcMar>
              <w:left w:w="0" w:type="dxa"/>
              <w:right w:w="0" w:type="dxa"/>
            </w:tcMar>
            <w:vAlign w:val="center"/>
          </w:tcPr>
          <w:p w14:paraId="26B7074C" w14:textId="77777777" w:rsidR="0063068C" w:rsidRDefault="00000000">
            <w:pPr>
              <w:jc w:val="center"/>
              <w:rPr>
                <w:rFonts w:ascii="Arial" w:hAnsi="Arial" w:cs="Arial"/>
                <w:color w:val="000000"/>
                <w:sz w:val="20"/>
                <w:szCs w:val="20"/>
              </w:rPr>
            </w:pPr>
            <w:r>
              <w:rPr>
                <w:rFonts w:ascii="Arial" w:hAnsi="Arial" w:cs="Arial"/>
                <w:color w:val="000000"/>
                <w:sz w:val="20"/>
                <w:szCs w:val="20"/>
              </w:rPr>
              <w:t>2550</w:t>
            </w:r>
          </w:p>
        </w:tc>
        <w:tc>
          <w:tcPr>
            <w:tcW w:w="2716" w:type="dxa"/>
            <w:shd w:val="clear" w:color="auto" w:fill="FFFFFF"/>
            <w:tcMar>
              <w:left w:w="0" w:type="dxa"/>
              <w:right w:w="0" w:type="dxa"/>
            </w:tcMar>
            <w:vAlign w:val="center"/>
          </w:tcPr>
          <w:p w14:paraId="569FB1AB" w14:textId="77777777" w:rsidR="0063068C" w:rsidRDefault="00000000">
            <w:pPr>
              <w:jc w:val="center"/>
              <w:rPr>
                <w:rFonts w:ascii="Arial" w:hAnsi="Arial" w:cs="Arial"/>
                <w:color w:val="000000"/>
                <w:sz w:val="20"/>
                <w:szCs w:val="20"/>
              </w:rPr>
            </w:pPr>
            <w:r>
              <w:rPr>
                <w:rFonts w:ascii="Arial" w:hAnsi="Arial" w:cs="Arial"/>
                <w:color w:val="000000"/>
                <w:sz w:val="20"/>
                <w:szCs w:val="20"/>
              </w:rPr>
              <w:t>30</w:t>
            </w:r>
          </w:p>
        </w:tc>
        <w:tc>
          <w:tcPr>
            <w:tcW w:w="2310" w:type="dxa"/>
            <w:shd w:val="clear" w:color="auto" w:fill="FFFFFF"/>
            <w:tcMar>
              <w:left w:w="0" w:type="dxa"/>
              <w:right w:w="0" w:type="dxa"/>
            </w:tcMar>
            <w:vAlign w:val="center"/>
          </w:tcPr>
          <w:p w14:paraId="476FDCC4" w14:textId="77777777" w:rsidR="0063068C" w:rsidRDefault="00000000">
            <w:pPr>
              <w:jc w:val="center"/>
              <w:rPr>
                <w:rFonts w:ascii="Arial" w:hAnsi="Arial" w:cs="Arial"/>
                <w:color w:val="000000"/>
                <w:sz w:val="20"/>
                <w:szCs w:val="20"/>
              </w:rPr>
            </w:pPr>
            <w:r>
              <w:rPr>
                <w:rFonts w:ascii="Arial" w:hAnsi="Arial" w:cs="Arial"/>
                <w:color w:val="000000"/>
                <w:sz w:val="20"/>
                <w:szCs w:val="20"/>
              </w:rPr>
              <w:t>104</w:t>
            </w:r>
          </w:p>
        </w:tc>
      </w:tr>
      <w:tr w:rsidR="0063068C" w14:paraId="5255AC4D" w14:textId="77777777">
        <w:trPr>
          <w:trHeight w:val="1204"/>
        </w:trPr>
        <w:tc>
          <w:tcPr>
            <w:tcW w:w="2716" w:type="dxa"/>
            <w:tcBorders>
              <w:bottom w:val="single" w:sz="12" w:space="0" w:color="auto"/>
            </w:tcBorders>
            <w:shd w:val="clear" w:color="auto" w:fill="FFFFFF"/>
            <w:tcMar>
              <w:left w:w="0" w:type="dxa"/>
              <w:right w:w="0" w:type="dxa"/>
            </w:tcMar>
            <w:vAlign w:val="center"/>
          </w:tcPr>
          <w:p w14:paraId="0C0FC035" w14:textId="77777777" w:rsidR="0063068C" w:rsidRDefault="00000000">
            <w:pPr>
              <w:widowControl/>
              <w:pBdr>
                <w:top w:val="none" w:sz="0" w:space="0" w:color="000000"/>
                <w:left w:val="none" w:sz="0" w:space="0" w:color="000000"/>
                <w:bottom w:val="none" w:sz="0" w:space="0" w:color="000000"/>
                <w:right w:val="none" w:sz="0" w:space="0" w:color="000000"/>
              </w:pBdr>
              <w:spacing w:before="100" w:after="100" w:line="276" w:lineRule="auto"/>
              <w:ind w:left="100" w:right="100"/>
              <w:jc w:val="center"/>
              <w:rPr>
                <w:rFonts w:ascii="Arial" w:hAnsi="Arial" w:cs="Arial"/>
                <w:color w:val="000000"/>
                <w:sz w:val="20"/>
                <w:szCs w:val="20"/>
              </w:rPr>
            </w:pPr>
            <w:r>
              <w:rPr>
                <w:rFonts w:ascii="Arial" w:eastAsia="等线" w:hAnsi="Arial" w:cs="Arial"/>
                <w:color w:val="000000"/>
                <w:sz w:val="18"/>
                <w:szCs w:val="18"/>
                <w:lang w:bidi="ar"/>
              </w:rPr>
              <w:t>All</w:t>
            </w:r>
          </w:p>
        </w:tc>
        <w:tc>
          <w:tcPr>
            <w:tcW w:w="2716" w:type="dxa"/>
            <w:tcBorders>
              <w:bottom w:val="single" w:sz="12" w:space="0" w:color="auto"/>
            </w:tcBorders>
            <w:shd w:val="clear" w:color="auto" w:fill="FFFFFF"/>
            <w:tcMar>
              <w:left w:w="0" w:type="dxa"/>
              <w:right w:w="0" w:type="dxa"/>
            </w:tcMar>
            <w:vAlign w:val="center"/>
          </w:tcPr>
          <w:p w14:paraId="534D7969" w14:textId="77777777" w:rsidR="0063068C" w:rsidRDefault="00000000">
            <w:pPr>
              <w:jc w:val="center"/>
              <w:rPr>
                <w:rFonts w:ascii="Arial" w:hAnsi="Arial" w:cs="Arial"/>
                <w:color w:val="000000"/>
                <w:sz w:val="20"/>
                <w:szCs w:val="20"/>
              </w:rPr>
            </w:pPr>
            <w:r>
              <w:rPr>
                <w:rFonts w:ascii="Arial" w:hAnsi="Arial" w:cs="Arial"/>
                <w:color w:val="000000"/>
                <w:sz w:val="20"/>
                <w:szCs w:val="20"/>
              </w:rPr>
              <w:t>1101</w:t>
            </w:r>
          </w:p>
        </w:tc>
        <w:tc>
          <w:tcPr>
            <w:tcW w:w="2716" w:type="dxa"/>
            <w:tcBorders>
              <w:bottom w:val="single" w:sz="12" w:space="0" w:color="auto"/>
            </w:tcBorders>
            <w:shd w:val="clear" w:color="auto" w:fill="FFFFFF"/>
            <w:tcMar>
              <w:left w:w="0" w:type="dxa"/>
              <w:right w:w="0" w:type="dxa"/>
            </w:tcMar>
            <w:vAlign w:val="center"/>
          </w:tcPr>
          <w:p w14:paraId="5E3787E9" w14:textId="77777777" w:rsidR="0063068C" w:rsidRDefault="00000000">
            <w:pPr>
              <w:jc w:val="center"/>
              <w:rPr>
                <w:rFonts w:ascii="Arial" w:hAnsi="Arial" w:cs="Arial"/>
                <w:color w:val="000000"/>
                <w:sz w:val="20"/>
                <w:szCs w:val="20"/>
              </w:rPr>
            </w:pPr>
            <w:r>
              <w:rPr>
                <w:rFonts w:ascii="Arial" w:hAnsi="Arial" w:cs="Arial"/>
                <w:color w:val="000000"/>
                <w:sz w:val="20"/>
                <w:szCs w:val="20"/>
              </w:rPr>
              <w:t>32</w:t>
            </w:r>
          </w:p>
        </w:tc>
        <w:tc>
          <w:tcPr>
            <w:tcW w:w="2716" w:type="dxa"/>
            <w:tcBorders>
              <w:bottom w:val="single" w:sz="12" w:space="0" w:color="auto"/>
            </w:tcBorders>
            <w:shd w:val="clear" w:color="auto" w:fill="FFFFFF"/>
            <w:tcMar>
              <w:left w:w="0" w:type="dxa"/>
              <w:right w:w="0" w:type="dxa"/>
            </w:tcMar>
            <w:vAlign w:val="center"/>
          </w:tcPr>
          <w:p w14:paraId="1365DC86" w14:textId="77777777" w:rsidR="0063068C" w:rsidRDefault="00000000">
            <w:pPr>
              <w:jc w:val="center"/>
              <w:rPr>
                <w:rFonts w:ascii="Arial" w:hAnsi="Arial" w:cs="Arial"/>
                <w:color w:val="000000"/>
                <w:sz w:val="20"/>
                <w:szCs w:val="20"/>
              </w:rPr>
            </w:pPr>
            <w:r>
              <w:rPr>
                <w:rFonts w:ascii="Arial" w:hAnsi="Arial" w:cs="Arial"/>
                <w:color w:val="000000"/>
                <w:sz w:val="20"/>
                <w:szCs w:val="20"/>
              </w:rPr>
              <w:t>3850</w:t>
            </w:r>
          </w:p>
        </w:tc>
        <w:tc>
          <w:tcPr>
            <w:tcW w:w="2716" w:type="dxa"/>
            <w:tcBorders>
              <w:bottom w:val="single" w:sz="12" w:space="0" w:color="auto"/>
            </w:tcBorders>
            <w:shd w:val="clear" w:color="auto" w:fill="FFFFFF"/>
            <w:tcMar>
              <w:left w:w="0" w:type="dxa"/>
              <w:right w:w="0" w:type="dxa"/>
            </w:tcMar>
            <w:vAlign w:val="center"/>
          </w:tcPr>
          <w:p w14:paraId="45C9C337" w14:textId="77777777" w:rsidR="0063068C" w:rsidRDefault="00000000">
            <w:pPr>
              <w:jc w:val="center"/>
              <w:rPr>
                <w:rFonts w:ascii="Arial" w:hAnsi="Arial" w:cs="Arial"/>
                <w:color w:val="000000"/>
                <w:sz w:val="20"/>
                <w:szCs w:val="20"/>
              </w:rPr>
            </w:pPr>
            <w:bookmarkStart w:id="3" w:name="OLE_LINK3"/>
            <w:r>
              <w:rPr>
                <w:rFonts w:ascii="Arial" w:hAnsi="Arial" w:cs="Arial"/>
                <w:color w:val="000000"/>
                <w:sz w:val="20"/>
                <w:szCs w:val="20"/>
              </w:rPr>
              <w:t>51</w:t>
            </w:r>
            <w:bookmarkEnd w:id="3"/>
          </w:p>
        </w:tc>
        <w:tc>
          <w:tcPr>
            <w:tcW w:w="2310" w:type="dxa"/>
            <w:tcBorders>
              <w:bottom w:val="single" w:sz="12" w:space="0" w:color="auto"/>
            </w:tcBorders>
            <w:shd w:val="clear" w:color="auto" w:fill="FFFFFF"/>
            <w:tcMar>
              <w:left w:w="0" w:type="dxa"/>
              <w:right w:w="0" w:type="dxa"/>
            </w:tcMar>
            <w:vAlign w:val="center"/>
          </w:tcPr>
          <w:p w14:paraId="6852FA35" w14:textId="77777777" w:rsidR="0063068C" w:rsidRDefault="00000000">
            <w:pPr>
              <w:jc w:val="center"/>
              <w:rPr>
                <w:rFonts w:ascii="Arial" w:hAnsi="Arial" w:cs="Arial"/>
                <w:color w:val="000000"/>
                <w:sz w:val="20"/>
                <w:szCs w:val="20"/>
              </w:rPr>
            </w:pPr>
            <w:r>
              <w:rPr>
                <w:rFonts w:ascii="Arial" w:hAnsi="Arial" w:cs="Arial"/>
                <w:color w:val="000000"/>
                <w:sz w:val="20"/>
                <w:szCs w:val="20"/>
              </w:rPr>
              <w:t>157</w:t>
            </w:r>
          </w:p>
        </w:tc>
      </w:tr>
    </w:tbl>
    <w:p w14:paraId="75413F59" w14:textId="77777777" w:rsidR="001B34DB" w:rsidRPr="001B34DB" w:rsidRDefault="001B34DB" w:rsidP="001B34DB">
      <w:pPr>
        <w:spacing w:line="360" w:lineRule="auto"/>
        <w:rPr>
          <w:rFonts w:ascii="Arial" w:hAnsi="Arial" w:cs="Arial" w:hint="eastAsia"/>
          <w:szCs w:val="21"/>
        </w:rPr>
      </w:pPr>
      <w:bookmarkStart w:id="4" w:name="_Hlk207745322"/>
      <w:bookmarkStart w:id="5" w:name="OLE_LINK28"/>
      <w:r w:rsidRPr="001B34DB">
        <w:rPr>
          <w:rFonts w:ascii="Arial" w:hAnsi="Arial" w:cs="Arial"/>
          <w:szCs w:val="21"/>
        </w:rPr>
        <w:t xml:space="preserve">This table reports the number of incident cancer cases accrued during follow-up among participants in five depressive symptom trajectories. Data were derived from the Health and Retirement Study (HRS, USA) and the English Longitudinal Study of Ageing (ELSA, UK). The follow-up period covered </w:t>
      </w:r>
      <w:bookmarkStart w:id="6" w:name="OLE_LINK30"/>
      <w:r w:rsidRPr="001B34DB">
        <w:rPr>
          <w:rFonts w:ascii="Arial" w:hAnsi="Arial" w:cs="Arial"/>
          <w:szCs w:val="21"/>
        </w:rPr>
        <w:t>HRS Rounds 8–12 (200</w:t>
      </w:r>
      <w:r w:rsidRPr="001B34DB">
        <w:rPr>
          <w:rFonts w:ascii="Arial" w:hAnsi="Arial" w:cs="Arial" w:hint="eastAsia"/>
          <w:szCs w:val="21"/>
        </w:rPr>
        <w:t>4</w:t>
      </w:r>
      <w:r w:rsidRPr="001B34DB">
        <w:rPr>
          <w:rFonts w:ascii="Arial" w:hAnsi="Arial" w:cs="Arial"/>
          <w:szCs w:val="21"/>
        </w:rPr>
        <w:t>–2014) and ELSA Rounds 5–9 (2008–2018)</w:t>
      </w:r>
      <w:bookmarkEnd w:id="6"/>
      <w:r w:rsidRPr="001B34DB">
        <w:rPr>
          <w:rFonts w:ascii="Arial" w:hAnsi="Arial" w:cs="Arial"/>
          <w:szCs w:val="21"/>
        </w:rPr>
        <w:t>, during which incident cancer cases were counted within each depressive-symptom trajectory group</w:t>
      </w:r>
      <w:r w:rsidRPr="001B34DB">
        <w:rPr>
          <w:rFonts w:ascii="Arial" w:hAnsi="Arial" w:cs="Arial" w:hint="eastAsia"/>
          <w:szCs w:val="21"/>
        </w:rPr>
        <w:t>.</w:t>
      </w:r>
      <w:bookmarkEnd w:id="5"/>
    </w:p>
    <w:bookmarkEnd w:id="4"/>
    <w:p w14:paraId="6FE177A2" w14:textId="77777777" w:rsidR="0063068C" w:rsidRDefault="0063068C">
      <w:pPr>
        <w:spacing w:line="360" w:lineRule="auto"/>
        <w:rPr>
          <w:rFonts w:ascii="Arial" w:hAnsi="Arial" w:cs="Arial"/>
          <w:b/>
          <w:bCs/>
          <w:sz w:val="24"/>
          <w:szCs w:val="24"/>
        </w:rPr>
      </w:pPr>
    </w:p>
    <w:p w14:paraId="50FE3DA5" w14:textId="77777777" w:rsidR="001B34DB" w:rsidRDefault="001B34DB">
      <w:pPr>
        <w:spacing w:line="360" w:lineRule="auto"/>
        <w:rPr>
          <w:rFonts w:ascii="Arial" w:hAnsi="Arial" w:cs="Arial"/>
          <w:b/>
          <w:bCs/>
          <w:sz w:val="24"/>
          <w:szCs w:val="24"/>
        </w:rPr>
      </w:pPr>
    </w:p>
    <w:p w14:paraId="2A167133" w14:textId="77777777" w:rsidR="001B34DB" w:rsidRPr="001B34DB" w:rsidRDefault="001B34DB">
      <w:pPr>
        <w:spacing w:line="360" w:lineRule="auto"/>
        <w:rPr>
          <w:rFonts w:ascii="Arial" w:hAnsi="Arial" w:cs="Arial" w:hint="eastAsia"/>
          <w:b/>
          <w:bCs/>
          <w:sz w:val="24"/>
          <w:szCs w:val="24"/>
        </w:rPr>
      </w:pPr>
    </w:p>
    <w:p w14:paraId="37B7735E" w14:textId="77777777" w:rsidR="0063068C" w:rsidRDefault="0063068C">
      <w:pPr>
        <w:spacing w:line="360" w:lineRule="auto"/>
        <w:rPr>
          <w:rFonts w:ascii="Arial" w:hAnsi="Arial" w:cs="Arial"/>
          <w:b/>
          <w:bCs/>
          <w:sz w:val="24"/>
          <w:szCs w:val="24"/>
        </w:rPr>
      </w:pPr>
    </w:p>
    <w:p w14:paraId="13D1BE2F" w14:textId="77777777" w:rsidR="0063068C" w:rsidRDefault="0063068C">
      <w:pPr>
        <w:spacing w:line="360" w:lineRule="auto"/>
        <w:rPr>
          <w:rFonts w:ascii="Arial" w:hAnsi="Arial" w:cs="Arial"/>
          <w:b/>
          <w:bCs/>
          <w:sz w:val="24"/>
          <w:szCs w:val="24"/>
        </w:rPr>
      </w:pPr>
    </w:p>
    <w:p w14:paraId="7079CD2A" w14:textId="77777777" w:rsidR="0063068C" w:rsidRDefault="0063068C">
      <w:pPr>
        <w:spacing w:line="360" w:lineRule="auto"/>
        <w:rPr>
          <w:rFonts w:ascii="Arial" w:hAnsi="Arial" w:cs="Arial"/>
          <w:b/>
          <w:bCs/>
          <w:sz w:val="24"/>
          <w:szCs w:val="24"/>
        </w:rPr>
      </w:pPr>
    </w:p>
    <w:p w14:paraId="0BC0B807" w14:textId="77777777" w:rsidR="0063068C" w:rsidRDefault="0063068C">
      <w:pPr>
        <w:spacing w:line="360" w:lineRule="auto"/>
        <w:rPr>
          <w:rFonts w:ascii="Arial" w:hAnsi="Arial" w:cs="Arial"/>
          <w:b/>
          <w:bCs/>
          <w:sz w:val="24"/>
          <w:szCs w:val="24"/>
        </w:rPr>
      </w:pPr>
    </w:p>
    <w:p w14:paraId="0BF83DFF" w14:textId="77777777" w:rsidR="00E8452B" w:rsidRDefault="00E8452B">
      <w:pPr>
        <w:spacing w:line="360" w:lineRule="auto"/>
        <w:rPr>
          <w:rFonts w:ascii="Arial" w:hAnsi="Arial" w:cs="Arial"/>
          <w:b/>
          <w:bCs/>
          <w:sz w:val="24"/>
          <w:szCs w:val="24"/>
        </w:rPr>
      </w:pPr>
    </w:p>
    <w:p w14:paraId="7B608A14" w14:textId="77777777" w:rsidR="0063068C" w:rsidRDefault="00000000">
      <w:pPr>
        <w:spacing w:line="360" w:lineRule="auto"/>
        <w:rPr>
          <w:rFonts w:ascii="Arial" w:hAnsi="Arial" w:cs="Arial"/>
          <w:b/>
          <w:bCs/>
          <w:sz w:val="24"/>
          <w:szCs w:val="24"/>
        </w:rPr>
      </w:pPr>
      <w:r>
        <w:rPr>
          <w:rFonts w:ascii="Arial" w:hAnsi="Arial" w:cs="Arial"/>
          <w:b/>
          <w:bCs/>
          <w:sz w:val="24"/>
          <w:szCs w:val="24"/>
        </w:rPr>
        <w:lastRenderedPageBreak/>
        <w:t xml:space="preserve">Supplementary </w:t>
      </w:r>
      <w:r>
        <w:rPr>
          <w:rFonts w:ascii="Arial" w:hAnsi="Arial" w:cs="Arial" w:hint="eastAsia"/>
          <w:b/>
          <w:bCs/>
          <w:sz w:val="24"/>
          <w:szCs w:val="24"/>
        </w:rPr>
        <w:t>Figure</w:t>
      </w:r>
      <w:r>
        <w:rPr>
          <w:rFonts w:ascii="Arial" w:hAnsi="Arial" w:cs="Arial"/>
          <w:b/>
          <w:bCs/>
          <w:sz w:val="24"/>
          <w:szCs w:val="24"/>
        </w:rPr>
        <w:t>.</w:t>
      </w:r>
      <w:r>
        <w:rPr>
          <w:rFonts w:ascii="Arial" w:hAnsi="Arial" w:cs="Arial" w:hint="eastAsia"/>
          <w:b/>
          <w:bCs/>
          <w:sz w:val="24"/>
          <w:szCs w:val="24"/>
        </w:rPr>
        <w:t xml:space="preserve"> 1</w:t>
      </w:r>
      <w:r>
        <w:rPr>
          <w:rFonts w:ascii="Arial" w:hAnsi="Arial" w:cs="Arial"/>
          <w:b/>
          <w:bCs/>
          <w:sz w:val="24"/>
          <w:szCs w:val="24"/>
        </w:rPr>
        <w:t xml:space="preserve"> Forest plot visualization of Model 1. </w:t>
      </w:r>
    </w:p>
    <w:p w14:paraId="419E218B" w14:textId="77777777" w:rsidR="0063068C" w:rsidRDefault="0063068C">
      <w:pPr>
        <w:rPr>
          <w:rFonts w:ascii="Arial" w:hAnsi="Arial" w:cs="Arial"/>
          <w:b/>
          <w:bCs/>
          <w:sz w:val="20"/>
          <w:szCs w:val="20"/>
        </w:rPr>
      </w:pPr>
    </w:p>
    <w:p w14:paraId="6A79AA22" w14:textId="0A86E18F" w:rsidR="0063068C" w:rsidRDefault="00000000">
      <w:pPr>
        <w:pStyle w:val="a9"/>
        <w:spacing w:before="0" w:beforeAutospacing="0" w:after="0" w:line="25" w:lineRule="atLeast"/>
        <w:rPr>
          <w:rFonts w:ascii="Arial" w:hAnsi="Arial" w:cs="Arial"/>
          <w:b/>
          <w:bCs/>
          <w:sz w:val="20"/>
          <w:szCs w:val="20"/>
        </w:rPr>
      </w:pPr>
      <w:r>
        <w:rPr>
          <w:noProof/>
        </w:rPr>
        <w:drawing>
          <wp:inline distT="0" distB="0" distL="114300" distR="114300" wp14:anchorId="604CD945" wp14:editId="7F382346">
            <wp:extent cx="9359900" cy="3852545"/>
            <wp:effectExtent l="0" t="0" r="3175" b="508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rcRect t="18552" b="19749"/>
                    <a:stretch>
                      <a:fillRect/>
                    </a:stretch>
                  </pic:blipFill>
                  <pic:spPr>
                    <a:xfrm>
                      <a:off x="0" y="0"/>
                      <a:ext cx="9359900" cy="3852545"/>
                    </a:xfrm>
                    <a:prstGeom prst="rect">
                      <a:avLst/>
                    </a:prstGeom>
                    <a:noFill/>
                    <a:ln>
                      <a:noFill/>
                    </a:ln>
                  </pic:spPr>
                </pic:pic>
              </a:graphicData>
            </a:graphic>
          </wp:inline>
        </w:drawing>
      </w:r>
    </w:p>
    <w:p w14:paraId="4A9B032D" w14:textId="77777777" w:rsidR="001B34DB" w:rsidRPr="00A70477" w:rsidRDefault="00000000" w:rsidP="001B34DB">
      <w:pPr>
        <w:pStyle w:val="a9"/>
        <w:spacing w:before="120" w:after="180"/>
        <w:jc w:val="both"/>
        <w:rPr>
          <w:rFonts w:ascii="Times New Roman" w:hAnsi="Times New Roman" w:cs="Times New Roman"/>
          <w:bCs/>
          <w:color w:val="FF0000"/>
        </w:rPr>
      </w:pPr>
      <w:r>
        <w:rPr>
          <w:rFonts w:ascii="Arial" w:hAnsi="Arial" w:cs="Arial"/>
          <w:b/>
          <w:bCs/>
          <w:szCs w:val="21"/>
        </w:rPr>
        <w:t xml:space="preserve">Supplementary </w:t>
      </w:r>
      <w:r>
        <w:rPr>
          <w:rFonts w:ascii="Arial" w:hAnsi="Arial" w:cs="Arial" w:hint="eastAsia"/>
          <w:b/>
          <w:bCs/>
          <w:szCs w:val="21"/>
        </w:rPr>
        <w:t>Figure</w:t>
      </w:r>
      <w:r>
        <w:rPr>
          <w:rFonts w:ascii="Arial" w:hAnsi="Arial" w:cs="Arial"/>
          <w:b/>
          <w:bCs/>
          <w:szCs w:val="21"/>
        </w:rPr>
        <w:t>.</w:t>
      </w:r>
      <w:r>
        <w:rPr>
          <w:rFonts w:ascii="Arial" w:hAnsi="Arial" w:cs="Arial" w:hint="eastAsia"/>
          <w:b/>
          <w:bCs/>
          <w:szCs w:val="21"/>
        </w:rPr>
        <w:t xml:space="preserve"> 1</w:t>
      </w:r>
      <w:r>
        <w:rPr>
          <w:rFonts w:ascii="Arial" w:hAnsi="Arial" w:cs="Arial"/>
          <w:b/>
          <w:bCs/>
          <w:szCs w:val="21"/>
        </w:rPr>
        <w:t xml:space="preserve"> Forest plot visualization of Model 1. </w:t>
      </w:r>
      <w:r>
        <w:rPr>
          <w:rFonts w:ascii="Arial" w:hAnsi="Arial" w:cs="Arial"/>
          <w:szCs w:val="21"/>
        </w:rPr>
        <w:t>This forest plot displays the hazard ratios (HR) and 95% confidence intervals (CI) for each variable in Model 1 of Table 2. Each horizontal line represents a variable, with the square indicating the point estimate of the HR, and the horizontal line representing the 95% CI. The vertical dashed line (HR = 1) denotes no effect, with values to the right (HR &gt; 1) indicating an increased risk.</w:t>
      </w:r>
      <w:r w:rsidR="00247251" w:rsidRPr="001B34DB">
        <w:rPr>
          <w:rFonts w:ascii="Arial" w:hAnsi="Arial" w:cs="Arial"/>
          <w:szCs w:val="21"/>
        </w:rPr>
        <w:t xml:space="preserve"> </w:t>
      </w:r>
      <w:r w:rsidR="001B34DB" w:rsidRPr="001B34DB">
        <w:rPr>
          <w:rFonts w:ascii="Arial" w:hAnsi="Arial" w:cs="Arial"/>
          <w:szCs w:val="21"/>
        </w:rPr>
        <w:t>The analysis was based on participants from two population-based cohorts, the Health and Retirement Study (HRS, USA) and the English Longitudinal Study of Ageing (ELSA, UK). Data covered HRS Rounds 4–12 (1998–2014) and ELSA Rounds 1–9 (2002–2018), providing up to 10 years of follow-up. This figure illustrates the association between depressive symptom trajectories and subsequent cancer incidence.</w:t>
      </w:r>
    </w:p>
    <w:p w14:paraId="475F415A" w14:textId="77777777" w:rsidR="001B34DB" w:rsidRDefault="001B34DB" w:rsidP="001B34DB">
      <w:pPr>
        <w:spacing w:line="360" w:lineRule="auto"/>
        <w:rPr>
          <w:rFonts w:ascii="Arial" w:hAnsi="Arial" w:cs="Arial" w:hint="eastAsia"/>
          <w:b/>
          <w:bCs/>
          <w:sz w:val="20"/>
          <w:szCs w:val="20"/>
        </w:rPr>
      </w:pPr>
    </w:p>
    <w:p w14:paraId="383F1057" w14:textId="77777777" w:rsidR="001B34DB" w:rsidRPr="001B34DB" w:rsidRDefault="001B34DB" w:rsidP="001B34DB">
      <w:pPr>
        <w:spacing w:line="360" w:lineRule="auto"/>
        <w:rPr>
          <w:rFonts w:ascii="Arial" w:hAnsi="Arial" w:cs="Arial" w:hint="eastAsia"/>
          <w:b/>
          <w:bCs/>
          <w:sz w:val="20"/>
          <w:szCs w:val="20"/>
        </w:rPr>
      </w:pPr>
    </w:p>
    <w:p w14:paraId="261BA262" w14:textId="77777777" w:rsidR="00247251" w:rsidRDefault="00247251">
      <w:pPr>
        <w:rPr>
          <w:rFonts w:ascii="Arial" w:hAnsi="Arial" w:cs="Arial"/>
          <w:b/>
          <w:bCs/>
          <w:sz w:val="20"/>
          <w:szCs w:val="20"/>
        </w:rPr>
      </w:pPr>
    </w:p>
    <w:p w14:paraId="474CA12C" w14:textId="77777777" w:rsidR="0063068C" w:rsidRDefault="00000000">
      <w:pPr>
        <w:spacing w:line="360" w:lineRule="auto"/>
        <w:rPr>
          <w:rFonts w:ascii="Arial" w:hAnsi="Arial" w:cs="Arial"/>
          <w:b/>
          <w:bCs/>
          <w:sz w:val="24"/>
          <w:szCs w:val="24"/>
        </w:rPr>
      </w:pPr>
      <w:r>
        <w:rPr>
          <w:rFonts w:ascii="Arial" w:hAnsi="Arial" w:cs="Arial"/>
          <w:b/>
          <w:bCs/>
          <w:sz w:val="24"/>
          <w:szCs w:val="24"/>
        </w:rPr>
        <w:lastRenderedPageBreak/>
        <w:t xml:space="preserve">Supplementary </w:t>
      </w:r>
      <w:r>
        <w:rPr>
          <w:rFonts w:ascii="Arial" w:hAnsi="Arial" w:cs="Arial" w:hint="eastAsia"/>
          <w:b/>
          <w:bCs/>
          <w:sz w:val="24"/>
          <w:szCs w:val="24"/>
        </w:rPr>
        <w:t>Figure</w:t>
      </w:r>
      <w:r>
        <w:rPr>
          <w:rFonts w:ascii="Arial" w:hAnsi="Arial" w:cs="Arial"/>
          <w:b/>
          <w:bCs/>
          <w:sz w:val="24"/>
          <w:szCs w:val="24"/>
        </w:rPr>
        <w:t>.</w:t>
      </w:r>
      <w:r>
        <w:rPr>
          <w:rFonts w:ascii="Arial" w:hAnsi="Arial" w:cs="Arial" w:hint="eastAsia"/>
          <w:b/>
          <w:bCs/>
          <w:sz w:val="24"/>
          <w:szCs w:val="24"/>
        </w:rPr>
        <w:t xml:space="preserve"> 2</w:t>
      </w:r>
      <w:r>
        <w:rPr>
          <w:rFonts w:ascii="Arial" w:hAnsi="Arial" w:cs="Arial"/>
          <w:b/>
          <w:bCs/>
          <w:sz w:val="24"/>
          <w:szCs w:val="24"/>
        </w:rPr>
        <w:t xml:space="preserve"> Forest plot visualization of Model 2. </w:t>
      </w:r>
    </w:p>
    <w:p w14:paraId="61CFF6B0" w14:textId="77777777" w:rsidR="0063068C" w:rsidRDefault="0063068C">
      <w:pPr>
        <w:rPr>
          <w:rFonts w:ascii="Arial" w:hAnsi="Arial" w:cs="Arial"/>
          <w:b/>
          <w:bCs/>
          <w:sz w:val="20"/>
          <w:szCs w:val="20"/>
        </w:rPr>
      </w:pPr>
    </w:p>
    <w:p w14:paraId="0237B8C0" w14:textId="77777777" w:rsidR="0063068C" w:rsidRDefault="00000000">
      <w:pPr>
        <w:spacing w:line="360" w:lineRule="auto"/>
        <w:rPr>
          <w:rFonts w:ascii="Arial" w:hAnsi="Arial" w:cs="Arial"/>
          <w:szCs w:val="21"/>
        </w:rPr>
      </w:pPr>
      <w:r>
        <w:rPr>
          <w:rFonts w:ascii="Arial" w:hAnsi="Arial" w:cs="Arial"/>
          <w:noProof/>
          <w:szCs w:val="21"/>
        </w:rPr>
        <w:drawing>
          <wp:inline distT="0" distB="0" distL="114300" distR="114300" wp14:anchorId="27AE3FB9" wp14:editId="62CF6975">
            <wp:extent cx="9359900" cy="3817620"/>
            <wp:effectExtent l="0" t="0" r="3175" b="190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7"/>
                    <a:srcRect t="18875" b="19969"/>
                    <a:stretch>
                      <a:fillRect/>
                    </a:stretch>
                  </pic:blipFill>
                  <pic:spPr>
                    <a:xfrm>
                      <a:off x="0" y="0"/>
                      <a:ext cx="9359900" cy="3817620"/>
                    </a:xfrm>
                    <a:prstGeom prst="rect">
                      <a:avLst/>
                    </a:prstGeom>
                    <a:noFill/>
                    <a:ln>
                      <a:noFill/>
                    </a:ln>
                  </pic:spPr>
                </pic:pic>
              </a:graphicData>
            </a:graphic>
          </wp:inline>
        </w:drawing>
      </w:r>
    </w:p>
    <w:p w14:paraId="5A514EEB" w14:textId="77777777" w:rsidR="001B34DB" w:rsidRPr="001B34DB" w:rsidRDefault="00000000" w:rsidP="001B34DB">
      <w:pPr>
        <w:pStyle w:val="a9"/>
        <w:spacing w:before="120" w:after="180"/>
        <w:jc w:val="both"/>
        <w:rPr>
          <w:rFonts w:ascii="Arial" w:hAnsi="Arial" w:cs="Arial"/>
          <w:szCs w:val="21"/>
        </w:rPr>
      </w:pPr>
      <w:r>
        <w:rPr>
          <w:rFonts w:ascii="Arial" w:hAnsi="Arial" w:cs="Arial"/>
          <w:b/>
          <w:bCs/>
          <w:szCs w:val="21"/>
        </w:rPr>
        <w:t xml:space="preserve">Supplementary </w:t>
      </w:r>
      <w:r>
        <w:rPr>
          <w:rFonts w:ascii="Arial" w:hAnsi="Arial" w:cs="Arial" w:hint="eastAsia"/>
          <w:b/>
          <w:bCs/>
          <w:szCs w:val="21"/>
        </w:rPr>
        <w:t>Figure</w:t>
      </w:r>
      <w:r>
        <w:rPr>
          <w:rFonts w:ascii="Arial" w:hAnsi="Arial" w:cs="Arial"/>
          <w:b/>
          <w:bCs/>
          <w:szCs w:val="21"/>
        </w:rPr>
        <w:t>.</w:t>
      </w:r>
      <w:r>
        <w:rPr>
          <w:rFonts w:ascii="Arial" w:hAnsi="Arial" w:cs="Arial" w:hint="eastAsia"/>
          <w:b/>
          <w:bCs/>
          <w:szCs w:val="21"/>
        </w:rPr>
        <w:t xml:space="preserve"> 2</w:t>
      </w:r>
      <w:r>
        <w:rPr>
          <w:rFonts w:ascii="Arial" w:hAnsi="Arial" w:cs="Arial"/>
          <w:b/>
          <w:bCs/>
          <w:szCs w:val="21"/>
        </w:rPr>
        <w:t xml:space="preserve"> Forest plot visualization of Model 2. </w:t>
      </w:r>
      <w:r>
        <w:rPr>
          <w:rFonts w:ascii="Arial" w:hAnsi="Arial" w:cs="Arial"/>
          <w:szCs w:val="21"/>
        </w:rPr>
        <w:t>This forest plot displays the hazard ratios (HR) and 95% confidence intervals (CI) for each variable in Model 2 of Table 2. Each horizontal line represents a variable, with the square indicating the point estimate of the HR, and the horizontal line representing the 95% CI. The vertical dashed line (HR = 1) denotes no effect, with values to the right (HR &gt; 1) indicating an increased risk.</w:t>
      </w:r>
      <w:bookmarkStart w:id="7" w:name="OLE_LINK24"/>
      <w:r w:rsidR="00247251" w:rsidRPr="001B34DB">
        <w:rPr>
          <w:rFonts w:ascii="Arial" w:hAnsi="Arial" w:cs="Arial"/>
          <w:szCs w:val="21"/>
        </w:rPr>
        <w:t xml:space="preserve"> </w:t>
      </w:r>
      <w:bookmarkEnd w:id="7"/>
      <w:r w:rsidR="001B34DB" w:rsidRPr="001B34DB">
        <w:rPr>
          <w:rFonts w:ascii="Arial" w:hAnsi="Arial" w:cs="Arial"/>
          <w:szCs w:val="21"/>
        </w:rPr>
        <w:t>The analysis was based on participants from two population-based cohorts, the Health and Retirement Study (HRS, USA) and the English Longitudinal Study of Ageing (ELSA, UK). Data covered HRS Rounds 4–12 (1998–2014) and ELSA Rounds 1–9 (2002–2018), providing up to 10 years of follow-up. This figure illustrates the association between depressive symptom trajectories and subsequent cancer incidence.</w:t>
      </w:r>
    </w:p>
    <w:p w14:paraId="1CBF9781" w14:textId="7C4D7239" w:rsidR="0063068C" w:rsidRPr="001B34DB" w:rsidRDefault="0063068C">
      <w:pPr>
        <w:spacing w:line="360" w:lineRule="auto"/>
        <w:rPr>
          <w:rFonts w:ascii="Arial" w:hAnsi="Arial" w:cs="Arial"/>
          <w:b/>
          <w:bCs/>
          <w:sz w:val="24"/>
          <w:szCs w:val="24"/>
        </w:rPr>
      </w:pPr>
    </w:p>
    <w:p w14:paraId="4B72CF91" w14:textId="77777777" w:rsidR="00247251" w:rsidRDefault="00247251">
      <w:pPr>
        <w:spacing w:line="360" w:lineRule="auto"/>
        <w:rPr>
          <w:rFonts w:ascii="Arial" w:hAnsi="Arial" w:cs="Arial"/>
          <w:b/>
          <w:bCs/>
          <w:sz w:val="24"/>
          <w:szCs w:val="24"/>
        </w:rPr>
      </w:pPr>
    </w:p>
    <w:p w14:paraId="15B027CF" w14:textId="77777777" w:rsidR="00247251" w:rsidRDefault="00247251">
      <w:pPr>
        <w:spacing w:line="360" w:lineRule="auto"/>
        <w:rPr>
          <w:rFonts w:ascii="Arial" w:hAnsi="Arial" w:cs="Arial"/>
          <w:b/>
          <w:bCs/>
          <w:sz w:val="24"/>
          <w:szCs w:val="24"/>
        </w:rPr>
      </w:pPr>
    </w:p>
    <w:p w14:paraId="7D23FCE3" w14:textId="77777777" w:rsidR="0063068C" w:rsidRDefault="00000000">
      <w:pPr>
        <w:spacing w:line="360" w:lineRule="auto"/>
        <w:rPr>
          <w:rFonts w:ascii="Arial" w:hAnsi="Arial" w:cs="Arial"/>
          <w:b/>
          <w:bCs/>
          <w:sz w:val="24"/>
          <w:szCs w:val="24"/>
        </w:rPr>
      </w:pPr>
      <w:r>
        <w:rPr>
          <w:rFonts w:ascii="Arial" w:hAnsi="Arial" w:cs="Arial"/>
          <w:b/>
          <w:bCs/>
          <w:sz w:val="24"/>
          <w:szCs w:val="24"/>
        </w:rPr>
        <w:lastRenderedPageBreak/>
        <w:t xml:space="preserve">Supplementary </w:t>
      </w:r>
      <w:r>
        <w:rPr>
          <w:rFonts w:ascii="Arial" w:hAnsi="Arial" w:cs="Arial" w:hint="eastAsia"/>
          <w:b/>
          <w:bCs/>
          <w:sz w:val="24"/>
          <w:szCs w:val="24"/>
        </w:rPr>
        <w:t>Figure</w:t>
      </w:r>
      <w:r>
        <w:rPr>
          <w:rFonts w:ascii="Arial" w:hAnsi="Arial" w:cs="Arial"/>
          <w:b/>
          <w:bCs/>
          <w:sz w:val="24"/>
          <w:szCs w:val="24"/>
        </w:rPr>
        <w:t>.</w:t>
      </w:r>
      <w:r>
        <w:rPr>
          <w:rFonts w:ascii="Arial" w:hAnsi="Arial" w:cs="Arial" w:hint="eastAsia"/>
          <w:b/>
          <w:bCs/>
          <w:sz w:val="24"/>
          <w:szCs w:val="24"/>
        </w:rPr>
        <w:t xml:space="preserve"> 3 </w:t>
      </w:r>
      <w:r>
        <w:rPr>
          <w:rFonts w:ascii="Arial" w:hAnsi="Arial" w:cs="Arial"/>
          <w:b/>
          <w:bCs/>
          <w:sz w:val="24"/>
          <w:szCs w:val="24"/>
        </w:rPr>
        <w:t xml:space="preserve">Forest plot visualization of Model 3. </w:t>
      </w:r>
    </w:p>
    <w:p w14:paraId="68A9862D" w14:textId="77777777" w:rsidR="0063068C" w:rsidRDefault="0063068C">
      <w:pPr>
        <w:rPr>
          <w:rFonts w:ascii="Arial" w:hAnsi="Arial" w:cs="Arial"/>
          <w:b/>
          <w:bCs/>
          <w:sz w:val="20"/>
          <w:szCs w:val="20"/>
        </w:rPr>
      </w:pPr>
    </w:p>
    <w:p w14:paraId="4A8D53F9" w14:textId="77777777" w:rsidR="0063068C" w:rsidRDefault="00000000">
      <w:pPr>
        <w:pStyle w:val="a9"/>
        <w:spacing w:before="0" w:beforeAutospacing="0" w:after="0" w:line="25" w:lineRule="atLeast"/>
        <w:rPr>
          <w:rFonts w:hint="eastAsia"/>
        </w:rPr>
      </w:pPr>
      <w:r>
        <w:rPr>
          <w:noProof/>
        </w:rPr>
        <w:drawing>
          <wp:inline distT="0" distB="0" distL="114300" distR="114300" wp14:anchorId="4A0D91C2" wp14:editId="059D9AAB">
            <wp:extent cx="9359900" cy="3936365"/>
            <wp:effectExtent l="0" t="0" r="3175" b="6985"/>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8"/>
                    <a:srcRect t="18333" b="18573"/>
                    <a:stretch>
                      <a:fillRect/>
                    </a:stretch>
                  </pic:blipFill>
                  <pic:spPr>
                    <a:xfrm>
                      <a:off x="0" y="0"/>
                      <a:ext cx="9359900" cy="3936365"/>
                    </a:xfrm>
                    <a:prstGeom prst="rect">
                      <a:avLst/>
                    </a:prstGeom>
                    <a:noFill/>
                    <a:ln>
                      <a:noFill/>
                    </a:ln>
                  </pic:spPr>
                </pic:pic>
              </a:graphicData>
            </a:graphic>
          </wp:inline>
        </w:drawing>
      </w:r>
    </w:p>
    <w:p w14:paraId="7CC33357" w14:textId="77777777" w:rsidR="001B34DB" w:rsidRPr="001B34DB" w:rsidRDefault="00000000" w:rsidP="001B34DB">
      <w:pPr>
        <w:pStyle w:val="a9"/>
        <w:spacing w:before="120" w:after="180"/>
        <w:jc w:val="both"/>
        <w:rPr>
          <w:rFonts w:ascii="Arial" w:hAnsi="Arial" w:cs="Arial"/>
          <w:szCs w:val="21"/>
        </w:rPr>
      </w:pPr>
      <w:r>
        <w:rPr>
          <w:rFonts w:ascii="Arial" w:hAnsi="Arial" w:cs="Arial"/>
          <w:b/>
          <w:bCs/>
          <w:szCs w:val="21"/>
        </w:rPr>
        <w:t xml:space="preserve">Supplementary </w:t>
      </w:r>
      <w:r>
        <w:rPr>
          <w:rFonts w:ascii="Arial" w:hAnsi="Arial" w:cs="Arial" w:hint="eastAsia"/>
          <w:b/>
          <w:bCs/>
          <w:szCs w:val="21"/>
        </w:rPr>
        <w:t>Figure</w:t>
      </w:r>
      <w:r>
        <w:rPr>
          <w:rFonts w:ascii="Arial" w:hAnsi="Arial" w:cs="Arial"/>
          <w:b/>
          <w:bCs/>
          <w:szCs w:val="21"/>
        </w:rPr>
        <w:t>.</w:t>
      </w:r>
      <w:r>
        <w:rPr>
          <w:rFonts w:ascii="Arial" w:hAnsi="Arial" w:cs="Arial" w:hint="eastAsia"/>
          <w:b/>
          <w:bCs/>
          <w:szCs w:val="21"/>
        </w:rPr>
        <w:t xml:space="preserve"> 3 </w:t>
      </w:r>
      <w:r>
        <w:rPr>
          <w:rFonts w:ascii="Arial" w:hAnsi="Arial" w:cs="Arial"/>
          <w:b/>
          <w:bCs/>
          <w:szCs w:val="21"/>
        </w:rPr>
        <w:t>Forest plot visualization of Model 3.</w:t>
      </w:r>
      <w:r>
        <w:rPr>
          <w:rFonts w:ascii="Arial" w:hAnsi="Arial" w:cs="Arial"/>
          <w:b/>
          <w:bCs/>
        </w:rPr>
        <w:t xml:space="preserve"> </w:t>
      </w:r>
      <w:r>
        <w:rPr>
          <w:rFonts w:ascii="Arial" w:hAnsi="Arial" w:cs="Arial"/>
          <w:szCs w:val="21"/>
        </w:rPr>
        <w:t>This forest plot displays the hazard ratios (HR) and 95% confidence intervals (CI) for each variable in Model 3 of Table 2. Each horizontal line represents a variable, with the square indicating the point estimate of the HR, and the horizontal line representing the 95% CI. The vertical dashed line (HR = 1) denotes no effect, with values to the right (HR &gt; 1) indicating an increased risk.</w:t>
      </w:r>
      <w:r w:rsidR="00247251" w:rsidRPr="001B34DB">
        <w:rPr>
          <w:rFonts w:ascii="Arial" w:hAnsi="Arial" w:cs="Arial"/>
          <w:szCs w:val="21"/>
        </w:rPr>
        <w:t xml:space="preserve"> </w:t>
      </w:r>
      <w:r w:rsidR="001B34DB" w:rsidRPr="001B34DB">
        <w:rPr>
          <w:rFonts w:ascii="Arial" w:hAnsi="Arial" w:cs="Arial"/>
          <w:szCs w:val="21"/>
        </w:rPr>
        <w:t>The analysis was based on participants from two population-based cohorts, the Health and Retirement Study (HRS, USA) and the English Longitudinal Study of Ageing (ELSA, UK). Data covered HRS Rounds 4–12 (1998–2014) and ELSA Rounds 1–9 (2002–2018), providing up to 10 years of follow-up. This figure illustrates the association between depressive symptom trajectories and subsequent cancer incidence.</w:t>
      </w:r>
    </w:p>
    <w:p w14:paraId="39622206" w14:textId="67959587" w:rsidR="00247251" w:rsidRDefault="00247251" w:rsidP="001B34DB">
      <w:pPr>
        <w:spacing w:line="360" w:lineRule="auto"/>
      </w:pPr>
    </w:p>
    <w:p w14:paraId="60278C39" w14:textId="77777777" w:rsidR="001B34DB" w:rsidRPr="001B34DB" w:rsidRDefault="001B34DB" w:rsidP="001B34DB">
      <w:pPr>
        <w:spacing w:line="360" w:lineRule="auto"/>
        <w:rPr>
          <w:rFonts w:hint="eastAsia"/>
        </w:rPr>
      </w:pPr>
    </w:p>
    <w:p w14:paraId="58120ABB" w14:textId="77777777" w:rsidR="00247251" w:rsidRDefault="00247251">
      <w:pPr>
        <w:rPr>
          <w:rFonts w:ascii="Arial" w:hAnsi="Arial" w:cs="Arial"/>
          <w:b/>
          <w:bCs/>
          <w:sz w:val="16"/>
          <w:szCs w:val="16"/>
        </w:rPr>
      </w:pPr>
    </w:p>
    <w:p w14:paraId="6A7FFF80" w14:textId="77777777" w:rsidR="0063068C" w:rsidRDefault="0063068C">
      <w:pPr>
        <w:rPr>
          <w:rFonts w:ascii="Arial" w:hAnsi="Arial" w:cs="Arial"/>
          <w:b/>
          <w:bCs/>
          <w:sz w:val="16"/>
          <w:szCs w:val="16"/>
        </w:rPr>
      </w:pPr>
    </w:p>
    <w:p w14:paraId="4B79C8EF" w14:textId="6E19083C" w:rsidR="0063068C" w:rsidRDefault="00000000">
      <w:pPr>
        <w:spacing w:line="360" w:lineRule="auto"/>
        <w:rPr>
          <w:rFonts w:ascii="Arial" w:hAnsi="Arial" w:cs="Arial"/>
          <w:b/>
          <w:bCs/>
          <w:sz w:val="24"/>
          <w:szCs w:val="24"/>
        </w:rPr>
      </w:pPr>
      <w:r>
        <w:rPr>
          <w:rFonts w:ascii="Arial" w:hAnsi="Arial" w:cs="Arial"/>
          <w:b/>
          <w:bCs/>
          <w:sz w:val="24"/>
          <w:szCs w:val="24"/>
        </w:rPr>
        <w:lastRenderedPageBreak/>
        <w:t xml:space="preserve">Supplementary table </w:t>
      </w:r>
      <w:r>
        <w:rPr>
          <w:rFonts w:ascii="Arial" w:hAnsi="Arial" w:cs="Arial" w:hint="eastAsia"/>
          <w:b/>
          <w:bCs/>
          <w:sz w:val="24"/>
          <w:szCs w:val="24"/>
        </w:rPr>
        <w:t>3</w:t>
      </w:r>
      <w:r>
        <w:rPr>
          <w:rFonts w:ascii="Arial" w:hAnsi="Arial" w:cs="Arial"/>
          <w:b/>
          <w:bCs/>
          <w:sz w:val="24"/>
          <w:szCs w:val="24"/>
        </w:rPr>
        <w:t xml:space="preserve">. </w:t>
      </w:r>
      <w:bookmarkStart w:id="8" w:name="_Hlk207703208"/>
      <w:r>
        <w:rPr>
          <w:rFonts w:ascii="Arial" w:hAnsi="Arial" w:cs="Arial"/>
          <w:b/>
          <w:bCs/>
          <w:sz w:val="24"/>
          <w:szCs w:val="24"/>
        </w:rPr>
        <w:t xml:space="preserve">Cox Proportional Hazards Ratios for the Association Between Depressive Symptom Trajectories and Cancer During </w:t>
      </w:r>
      <w:r w:rsidR="008450FD" w:rsidRPr="008450FD">
        <w:rPr>
          <w:rFonts w:ascii="Arial" w:hAnsi="Arial" w:cs="Arial" w:hint="eastAsia"/>
          <w:b/>
          <w:bCs/>
          <w:sz w:val="24"/>
          <w:szCs w:val="24"/>
        </w:rPr>
        <w:t>10-year</w:t>
      </w:r>
      <w:r w:rsidR="008450FD">
        <w:rPr>
          <w:rFonts w:ascii="Arial" w:hAnsi="Arial" w:cs="Arial" w:hint="eastAsia"/>
          <w:b/>
          <w:bCs/>
          <w:sz w:val="24"/>
          <w:szCs w:val="24"/>
        </w:rPr>
        <w:t xml:space="preserve"> and</w:t>
      </w:r>
      <w:r>
        <w:rPr>
          <w:rFonts w:ascii="Arial" w:hAnsi="Arial" w:cs="Arial"/>
          <w:b/>
          <w:bCs/>
          <w:sz w:val="24"/>
          <w:szCs w:val="24"/>
        </w:rPr>
        <w:t xml:space="preserve"> 16-year Follow-up</w:t>
      </w:r>
      <w:bookmarkEnd w:id="8"/>
    </w:p>
    <w:p w14:paraId="1A1E6732" w14:textId="77777777" w:rsidR="0063068C" w:rsidRDefault="0063068C">
      <w:pPr>
        <w:rPr>
          <w:rFonts w:ascii="Arial" w:hAnsi="Arial" w:cs="Arial"/>
          <w:b/>
          <w:bCs/>
          <w:sz w:val="16"/>
          <w:szCs w:val="16"/>
        </w:rPr>
      </w:pPr>
    </w:p>
    <w:tbl>
      <w:tblPr>
        <w:tblpPr w:leftFromText="180" w:rightFromText="180" w:vertAnchor="page" w:horzAnchor="page" w:tblpX="1497" w:tblpY="2740"/>
        <w:tblW w:w="16043" w:type="dxa"/>
        <w:tblLook w:val="04A0" w:firstRow="1" w:lastRow="0" w:firstColumn="1" w:lastColumn="0" w:noHBand="0" w:noVBand="1"/>
      </w:tblPr>
      <w:tblGrid>
        <w:gridCol w:w="2603"/>
        <w:gridCol w:w="2217"/>
        <w:gridCol w:w="2263"/>
        <w:gridCol w:w="2415"/>
        <w:gridCol w:w="2065"/>
        <w:gridCol w:w="2187"/>
        <w:gridCol w:w="2293"/>
      </w:tblGrid>
      <w:tr w:rsidR="00580EEF" w14:paraId="2722F0C1" w14:textId="77777777">
        <w:trPr>
          <w:trHeight w:val="735"/>
        </w:trPr>
        <w:tc>
          <w:tcPr>
            <w:tcW w:w="2603" w:type="dxa"/>
            <w:tcBorders>
              <w:top w:val="single" w:sz="12" w:space="0" w:color="auto"/>
            </w:tcBorders>
            <w:noWrap/>
            <w:vAlign w:val="center"/>
          </w:tcPr>
          <w:p w14:paraId="1B69B1FF" w14:textId="77777777" w:rsidR="00580EEF" w:rsidRDefault="00580EEF" w:rsidP="00580EEF">
            <w:pPr>
              <w:rPr>
                <w:rFonts w:ascii="Arial" w:hAnsi="Arial" w:cs="Arial"/>
                <w:sz w:val="20"/>
                <w:szCs w:val="20"/>
              </w:rPr>
            </w:pPr>
            <w:bookmarkStart w:id="9" w:name="OLE_LINK2"/>
          </w:p>
        </w:tc>
        <w:tc>
          <w:tcPr>
            <w:tcW w:w="4480" w:type="dxa"/>
            <w:gridSpan w:val="2"/>
            <w:tcBorders>
              <w:top w:val="single" w:sz="12" w:space="0" w:color="auto"/>
            </w:tcBorders>
            <w:noWrap/>
            <w:vAlign w:val="center"/>
          </w:tcPr>
          <w:p w14:paraId="40DE4C64" w14:textId="2B802197" w:rsidR="00580EEF" w:rsidRDefault="00580EEF" w:rsidP="00580EEF">
            <w:pPr>
              <w:rPr>
                <w:rFonts w:ascii="Arial" w:hAnsi="Arial" w:cs="Arial"/>
                <w:sz w:val="20"/>
                <w:szCs w:val="20"/>
              </w:rPr>
            </w:pPr>
            <w:r w:rsidRPr="0032430D">
              <w:rPr>
                <w:rFonts w:ascii="Arial" w:hAnsi="Arial" w:cs="Arial"/>
                <w:sz w:val="20"/>
                <w:szCs w:val="20"/>
              </w:rPr>
              <w:t>Total Depressive Symptom Trajectory</w:t>
            </w:r>
          </w:p>
        </w:tc>
        <w:tc>
          <w:tcPr>
            <w:tcW w:w="4480" w:type="dxa"/>
            <w:gridSpan w:val="2"/>
            <w:tcBorders>
              <w:top w:val="single" w:sz="12" w:space="0" w:color="auto"/>
            </w:tcBorders>
            <w:noWrap/>
            <w:vAlign w:val="center"/>
          </w:tcPr>
          <w:p w14:paraId="2B25807B" w14:textId="26F2A88A" w:rsidR="00580EEF" w:rsidRDefault="00580EEF" w:rsidP="00580EEF">
            <w:pPr>
              <w:rPr>
                <w:rFonts w:ascii="Arial" w:hAnsi="Arial" w:cs="Arial"/>
                <w:sz w:val="20"/>
                <w:szCs w:val="20"/>
              </w:rPr>
            </w:pPr>
            <w:r w:rsidRPr="0032430D">
              <w:rPr>
                <w:rFonts w:ascii="Arial" w:hAnsi="Arial" w:cs="Arial"/>
                <w:sz w:val="20"/>
                <w:szCs w:val="20"/>
              </w:rPr>
              <w:t xml:space="preserve">Somatic Trajectory </w:t>
            </w:r>
          </w:p>
        </w:tc>
        <w:tc>
          <w:tcPr>
            <w:tcW w:w="4480" w:type="dxa"/>
            <w:gridSpan w:val="2"/>
            <w:tcBorders>
              <w:top w:val="single" w:sz="12" w:space="0" w:color="auto"/>
            </w:tcBorders>
            <w:noWrap/>
            <w:vAlign w:val="center"/>
          </w:tcPr>
          <w:p w14:paraId="58BEB497" w14:textId="0034F4F2" w:rsidR="00580EEF" w:rsidRDefault="00580EEF" w:rsidP="00580EEF">
            <w:pPr>
              <w:rPr>
                <w:rFonts w:ascii="Arial" w:hAnsi="Arial" w:cs="Arial"/>
                <w:sz w:val="20"/>
                <w:szCs w:val="20"/>
              </w:rPr>
            </w:pPr>
            <w:r w:rsidRPr="0032430D">
              <w:rPr>
                <w:rFonts w:ascii="Arial" w:hAnsi="Arial" w:cs="Arial"/>
                <w:sz w:val="20"/>
                <w:szCs w:val="20"/>
              </w:rPr>
              <w:t>Cognitive-affective</w:t>
            </w:r>
          </w:p>
        </w:tc>
      </w:tr>
      <w:tr w:rsidR="00580EEF" w14:paraId="531A7DDF" w14:textId="77777777" w:rsidTr="00440476">
        <w:trPr>
          <w:trHeight w:val="735"/>
        </w:trPr>
        <w:tc>
          <w:tcPr>
            <w:tcW w:w="2603" w:type="dxa"/>
            <w:tcBorders>
              <w:bottom w:val="single" w:sz="6" w:space="0" w:color="auto"/>
            </w:tcBorders>
            <w:noWrap/>
            <w:vAlign w:val="center"/>
          </w:tcPr>
          <w:p w14:paraId="027AE52C" w14:textId="77777777" w:rsidR="00580EEF" w:rsidRDefault="00580EEF" w:rsidP="00580EEF">
            <w:pPr>
              <w:rPr>
                <w:rFonts w:ascii="Arial" w:hAnsi="Arial" w:cs="Arial"/>
                <w:sz w:val="20"/>
                <w:szCs w:val="20"/>
              </w:rPr>
            </w:pPr>
          </w:p>
        </w:tc>
        <w:tc>
          <w:tcPr>
            <w:tcW w:w="2217" w:type="dxa"/>
            <w:tcBorders>
              <w:bottom w:val="single" w:sz="6" w:space="0" w:color="auto"/>
            </w:tcBorders>
            <w:noWrap/>
            <w:vAlign w:val="center"/>
          </w:tcPr>
          <w:p w14:paraId="3FB68048" w14:textId="2D9D1D0D" w:rsidR="00580EEF" w:rsidRDefault="00580EEF" w:rsidP="00580EEF">
            <w:pPr>
              <w:rPr>
                <w:rFonts w:ascii="Arial" w:hAnsi="Arial" w:cs="Arial"/>
                <w:sz w:val="20"/>
                <w:szCs w:val="20"/>
              </w:rPr>
            </w:pPr>
            <w:r>
              <w:rPr>
                <w:rFonts w:ascii="Arial" w:hAnsi="Arial" w:cs="Arial" w:hint="eastAsia"/>
                <w:sz w:val="20"/>
                <w:szCs w:val="20"/>
              </w:rPr>
              <w:t xml:space="preserve">10-year </w:t>
            </w:r>
            <w:r>
              <w:rPr>
                <w:rFonts w:ascii="Arial" w:hAnsi="Arial" w:cs="Arial"/>
                <w:sz w:val="20"/>
                <w:szCs w:val="20"/>
              </w:rPr>
              <w:t>HR</w:t>
            </w:r>
            <w:r>
              <w:rPr>
                <w:rFonts w:ascii="Arial" w:hAnsi="Arial" w:cs="Arial" w:hint="eastAsia"/>
                <w:sz w:val="20"/>
                <w:szCs w:val="20"/>
              </w:rPr>
              <w:t xml:space="preserve"> </w:t>
            </w:r>
            <w:r>
              <w:rPr>
                <w:rFonts w:ascii="Arial" w:hAnsi="Arial" w:cs="Arial"/>
                <w:sz w:val="20"/>
                <w:szCs w:val="20"/>
              </w:rPr>
              <w:t>(95% CI)</w:t>
            </w:r>
          </w:p>
        </w:tc>
        <w:tc>
          <w:tcPr>
            <w:tcW w:w="2263" w:type="dxa"/>
            <w:tcBorders>
              <w:bottom w:val="single" w:sz="6" w:space="0" w:color="auto"/>
            </w:tcBorders>
            <w:noWrap/>
            <w:vAlign w:val="center"/>
          </w:tcPr>
          <w:p w14:paraId="576425F2" w14:textId="662702D2" w:rsidR="00580EEF" w:rsidRDefault="00580EEF" w:rsidP="00580EEF">
            <w:pPr>
              <w:rPr>
                <w:rFonts w:ascii="Arial" w:hAnsi="Arial" w:cs="Arial"/>
                <w:sz w:val="20"/>
                <w:szCs w:val="20"/>
              </w:rPr>
            </w:pPr>
            <w:r>
              <w:rPr>
                <w:rFonts w:ascii="Arial" w:hAnsi="Arial" w:cs="Arial" w:hint="eastAsia"/>
                <w:sz w:val="20"/>
                <w:szCs w:val="20"/>
              </w:rPr>
              <w:t xml:space="preserve">16-year </w:t>
            </w:r>
            <w:r>
              <w:rPr>
                <w:rFonts w:ascii="Arial" w:hAnsi="Arial" w:cs="Arial"/>
                <w:sz w:val="20"/>
                <w:szCs w:val="20"/>
              </w:rPr>
              <w:t>HR</w:t>
            </w:r>
            <w:r>
              <w:rPr>
                <w:rFonts w:ascii="Arial" w:hAnsi="Arial" w:cs="Arial" w:hint="eastAsia"/>
                <w:sz w:val="20"/>
                <w:szCs w:val="20"/>
              </w:rPr>
              <w:t xml:space="preserve"> </w:t>
            </w:r>
            <w:r>
              <w:rPr>
                <w:rFonts w:ascii="Arial" w:hAnsi="Arial" w:cs="Arial"/>
                <w:sz w:val="20"/>
                <w:szCs w:val="20"/>
              </w:rPr>
              <w:t>(95% CI)</w:t>
            </w:r>
          </w:p>
        </w:tc>
        <w:tc>
          <w:tcPr>
            <w:tcW w:w="2415" w:type="dxa"/>
            <w:tcBorders>
              <w:bottom w:val="single" w:sz="6" w:space="0" w:color="auto"/>
            </w:tcBorders>
            <w:noWrap/>
            <w:vAlign w:val="center"/>
          </w:tcPr>
          <w:p w14:paraId="381092F3" w14:textId="3A032F2D" w:rsidR="00580EEF" w:rsidRDefault="00580EEF" w:rsidP="00580EEF">
            <w:pPr>
              <w:rPr>
                <w:rFonts w:ascii="Arial" w:hAnsi="Arial" w:cs="Arial"/>
                <w:sz w:val="20"/>
                <w:szCs w:val="20"/>
              </w:rPr>
            </w:pPr>
            <w:r>
              <w:rPr>
                <w:rFonts w:ascii="Arial" w:hAnsi="Arial" w:cs="Arial" w:hint="eastAsia"/>
                <w:sz w:val="20"/>
                <w:szCs w:val="20"/>
              </w:rPr>
              <w:t xml:space="preserve">10-year </w:t>
            </w:r>
            <w:r>
              <w:rPr>
                <w:rFonts w:ascii="Arial" w:hAnsi="Arial" w:cs="Arial"/>
                <w:sz w:val="20"/>
                <w:szCs w:val="20"/>
              </w:rPr>
              <w:t>HR</w:t>
            </w:r>
            <w:r>
              <w:rPr>
                <w:rFonts w:ascii="Arial" w:hAnsi="Arial" w:cs="Arial" w:hint="eastAsia"/>
                <w:sz w:val="20"/>
                <w:szCs w:val="20"/>
              </w:rPr>
              <w:t xml:space="preserve"> </w:t>
            </w:r>
            <w:r>
              <w:rPr>
                <w:rFonts w:ascii="Arial" w:hAnsi="Arial" w:cs="Arial"/>
                <w:sz w:val="20"/>
                <w:szCs w:val="20"/>
              </w:rPr>
              <w:t>(95% CI)</w:t>
            </w:r>
          </w:p>
        </w:tc>
        <w:tc>
          <w:tcPr>
            <w:tcW w:w="2065" w:type="dxa"/>
            <w:tcBorders>
              <w:bottom w:val="single" w:sz="6" w:space="0" w:color="auto"/>
            </w:tcBorders>
            <w:noWrap/>
            <w:vAlign w:val="center"/>
          </w:tcPr>
          <w:p w14:paraId="6EE24C8A" w14:textId="4F1DB751" w:rsidR="00580EEF" w:rsidRDefault="00580EEF" w:rsidP="00580EEF">
            <w:pPr>
              <w:rPr>
                <w:rFonts w:ascii="Arial" w:hAnsi="Arial" w:cs="Arial"/>
                <w:sz w:val="20"/>
                <w:szCs w:val="20"/>
              </w:rPr>
            </w:pPr>
            <w:r>
              <w:rPr>
                <w:rFonts w:ascii="Arial" w:hAnsi="Arial" w:cs="Arial" w:hint="eastAsia"/>
                <w:sz w:val="20"/>
                <w:szCs w:val="20"/>
              </w:rPr>
              <w:t xml:space="preserve">16-year </w:t>
            </w:r>
            <w:r>
              <w:rPr>
                <w:rFonts w:ascii="Arial" w:hAnsi="Arial" w:cs="Arial"/>
                <w:sz w:val="20"/>
                <w:szCs w:val="20"/>
              </w:rPr>
              <w:t>HR</w:t>
            </w:r>
            <w:r>
              <w:rPr>
                <w:rFonts w:ascii="Arial" w:hAnsi="Arial" w:cs="Arial" w:hint="eastAsia"/>
                <w:sz w:val="20"/>
                <w:szCs w:val="20"/>
              </w:rPr>
              <w:t xml:space="preserve"> </w:t>
            </w:r>
            <w:r>
              <w:rPr>
                <w:rFonts w:ascii="Arial" w:hAnsi="Arial" w:cs="Arial"/>
                <w:sz w:val="20"/>
                <w:szCs w:val="20"/>
              </w:rPr>
              <w:t>(95% CI)</w:t>
            </w:r>
          </w:p>
        </w:tc>
        <w:tc>
          <w:tcPr>
            <w:tcW w:w="2187" w:type="dxa"/>
            <w:tcBorders>
              <w:bottom w:val="single" w:sz="6" w:space="0" w:color="auto"/>
            </w:tcBorders>
            <w:noWrap/>
            <w:vAlign w:val="center"/>
          </w:tcPr>
          <w:p w14:paraId="7A9F4948" w14:textId="0C17EF38" w:rsidR="00580EEF" w:rsidRDefault="00580EEF" w:rsidP="00580EEF">
            <w:pPr>
              <w:rPr>
                <w:rFonts w:ascii="Arial" w:hAnsi="Arial" w:cs="Arial"/>
                <w:sz w:val="20"/>
                <w:szCs w:val="20"/>
              </w:rPr>
            </w:pPr>
            <w:r>
              <w:rPr>
                <w:rFonts w:ascii="Arial" w:hAnsi="Arial" w:cs="Arial" w:hint="eastAsia"/>
                <w:sz w:val="20"/>
                <w:szCs w:val="20"/>
              </w:rPr>
              <w:t xml:space="preserve">10-year </w:t>
            </w:r>
            <w:r>
              <w:rPr>
                <w:rFonts w:ascii="Arial" w:hAnsi="Arial" w:cs="Arial"/>
                <w:sz w:val="20"/>
                <w:szCs w:val="20"/>
              </w:rPr>
              <w:t>HR</w:t>
            </w:r>
            <w:r>
              <w:rPr>
                <w:rFonts w:ascii="Arial" w:hAnsi="Arial" w:cs="Arial" w:hint="eastAsia"/>
                <w:sz w:val="20"/>
                <w:szCs w:val="20"/>
              </w:rPr>
              <w:t xml:space="preserve"> </w:t>
            </w:r>
            <w:r>
              <w:rPr>
                <w:rFonts w:ascii="Arial" w:hAnsi="Arial" w:cs="Arial"/>
                <w:sz w:val="20"/>
                <w:szCs w:val="20"/>
              </w:rPr>
              <w:t>(95% CI)</w:t>
            </w:r>
          </w:p>
        </w:tc>
        <w:tc>
          <w:tcPr>
            <w:tcW w:w="2293" w:type="dxa"/>
            <w:tcBorders>
              <w:bottom w:val="single" w:sz="6" w:space="0" w:color="auto"/>
            </w:tcBorders>
            <w:noWrap/>
            <w:vAlign w:val="center"/>
          </w:tcPr>
          <w:p w14:paraId="4BCB58CD" w14:textId="1015799A" w:rsidR="00580EEF" w:rsidRDefault="00580EEF" w:rsidP="00580EEF">
            <w:pPr>
              <w:rPr>
                <w:rFonts w:ascii="Arial" w:hAnsi="Arial" w:cs="Arial"/>
                <w:sz w:val="20"/>
                <w:szCs w:val="20"/>
              </w:rPr>
            </w:pPr>
            <w:r>
              <w:rPr>
                <w:rFonts w:ascii="Arial" w:hAnsi="Arial" w:cs="Arial" w:hint="eastAsia"/>
                <w:sz w:val="20"/>
                <w:szCs w:val="20"/>
              </w:rPr>
              <w:t xml:space="preserve">16-year </w:t>
            </w:r>
            <w:r>
              <w:rPr>
                <w:rFonts w:ascii="Arial" w:hAnsi="Arial" w:cs="Arial"/>
                <w:sz w:val="20"/>
                <w:szCs w:val="20"/>
              </w:rPr>
              <w:t>HR</w:t>
            </w:r>
            <w:r>
              <w:rPr>
                <w:rFonts w:ascii="Arial" w:hAnsi="Arial" w:cs="Arial" w:hint="eastAsia"/>
                <w:sz w:val="20"/>
                <w:szCs w:val="20"/>
              </w:rPr>
              <w:t xml:space="preserve"> </w:t>
            </w:r>
            <w:r>
              <w:rPr>
                <w:rFonts w:ascii="Arial" w:hAnsi="Arial" w:cs="Arial"/>
                <w:sz w:val="20"/>
                <w:szCs w:val="20"/>
              </w:rPr>
              <w:t>(95% CI)</w:t>
            </w:r>
          </w:p>
        </w:tc>
      </w:tr>
      <w:tr w:rsidR="00580EEF" w14:paraId="1D43ED0A" w14:textId="77777777" w:rsidTr="00440476">
        <w:trPr>
          <w:trHeight w:val="735"/>
        </w:trPr>
        <w:tc>
          <w:tcPr>
            <w:tcW w:w="2603" w:type="dxa"/>
            <w:noWrap/>
            <w:vAlign w:val="center"/>
          </w:tcPr>
          <w:p w14:paraId="3A5BC634" w14:textId="41A962D7" w:rsidR="00580EEF" w:rsidRDefault="00580EEF" w:rsidP="00580EEF">
            <w:pPr>
              <w:rPr>
                <w:rFonts w:ascii="Arial" w:hAnsi="Arial" w:cs="Arial"/>
                <w:sz w:val="20"/>
                <w:szCs w:val="20"/>
              </w:rPr>
            </w:pPr>
            <w:r>
              <w:rPr>
                <w:rFonts w:ascii="Arial" w:hAnsi="Arial" w:cs="Arial" w:hint="eastAsia"/>
                <w:sz w:val="20"/>
                <w:szCs w:val="20"/>
              </w:rPr>
              <w:t>Con</w:t>
            </w:r>
            <w:r>
              <w:rPr>
                <w:rFonts w:ascii="Arial" w:hAnsi="Arial" w:cs="Arial"/>
                <w:sz w:val="20"/>
                <w:szCs w:val="20"/>
              </w:rPr>
              <w:t>sistently low</w:t>
            </w:r>
          </w:p>
        </w:tc>
        <w:tc>
          <w:tcPr>
            <w:tcW w:w="2217" w:type="dxa"/>
            <w:noWrap/>
            <w:vAlign w:val="center"/>
          </w:tcPr>
          <w:p w14:paraId="6DCF8BD5" w14:textId="10BC8A06" w:rsidR="00580EEF" w:rsidRDefault="00580EEF" w:rsidP="00580EEF">
            <w:pPr>
              <w:rPr>
                <w:rFonts w:ascii="Arial" w:hAnsi="Arial" w:cs="Arial"/>
                <w:sz w:val="20"/>
                <w:szCs w:val="20"/>
              </w:rPr>
            </w:pPr>
            <w:r>
              <w:rPr>
                <w:rFonts w:ascii="Arial" w:hAnsi="Arial" w:cs="Arial"/>
                <w:sz w:val="20"/>
                <w:szCs w:val="20"/>
              </w:rPr>
              <w:t>reference</w:t>
            </w:r>
          </w:p>
        </w:tc>
        <w:tc>
          <w:tcPr>
            <w:tcW w:w="2263" w:type="dxa"/>
            <w:noWrap/>
            <w:vAlign w:val="center"/>
          </w:tcPr>
          <w:p w14:paraId="4E346D81" w14:textId="3E583D7B" w:rsidR="00580EEF" w:rsidRDefault="00580EEF" w:rsidP="00580EEF">
            <w:pPr>
              <w:rPr>
                <w:rFonts w:ascii="Arial" w:hAnsi="Arial" w:cs="Arial"/>
                <w:sz w:val="20"/>
                <w:szCs w:val="20"/>
              </w:rPr>
            </w:pPr>
            <w:r>
              <w:rPr>
                <w:rFonts w:ascii="Arial" w:hAnsi="Arial" w:cs="Arial"/>
                <w:sz w:val="20"/>
                <w:szCs w:val="20"/>
              </w:rPr>
              <w:t>reference</w:t>
            </w:r>
          </w:p>
        </w:tc>
        <w:tc>
          <w:tcPr>
            <w:tcW w:w="2415" w:type="dxa"/>
            <w:noWrap/>
            <w:vAlign w:val="center"/>
          </w:tcPr>
          <w:p w14:paraId="4C59C2E8" w14:textId="1EB178F7" w:rsidR="00580EEF" w:rsidRDefault="00580EEF" w:rsidP="00580EEF">
            <w:pPr>
              <w:rPr>
                <w:rFonts w:ascii="Arial" w:hAnsi="Arial" w:cs="Arial"/>
                <w:sz w:val="20"/>
                <w:szCs w:val="20"/>
              </w:rPr>
            </w:pPr>
            <w:r w:rsidRPr="0032430D">
              <w:rPr>
                <w:rFonts w:ascii="Arial" w:hAnsi="Arial" w:cs="Arial"/>
                <w:sz w:val="20"/>
                <w:szCs w:val="20"/>
              </w:rPr>
              <w:t>reference</w:t>
            </w:r>
          </w:p>
        </w:tc>
        <w:tc>
          <w:tcPr>
            <w:tcW w:w="2065" w:type="dxa"/>
            <w:noWrap/>
            <w:vAlign w:val="center"/>
          </w:tcPr>
          <w:p w14:paraId="2A971E57" w14:textId="05E6E2CA" w:rsidR="00580EEF" w:rsidRDefault="00580EEF" w:rsidP="00580EEF">
            <w:pPr>
              <w:rPr>
                <w:rFonts w:ascii="Arial" w:hAnsi="Arial" w:cs="Arial"/>
                <w:sz w:val="20"/>
                <w:szCs w:val="20"/>
              </w:rPr>
            </w:pPr>
            <w:r w:rsidRPr="0032430D">
              <w:rPr>
                <w:rFonts w:ascii="Arial" w:hAnsi="Arial" w:cs="Arial"/>
                <w:sz w:val="20"/>
                <w:szCs w:val="20"/>
              </w:rPr>
              <w:t>reference</w:t>
            </w:r>
          </w:p>
        </w:tc>
        <w:tc>
          <w:tcPr>
            <w:tcW w:w="2187" w:type="dxa"/>
            <w:noWrap/>
            <w:vAlign w:val="center"/>
          </w:tcPr>
          <w:p w14:paraId="0273C434" w14:textId="73AE19CB" w:rsidR="00580EEF" w:rsidRDefault="00580EEF" w:rsidP="00580EEF">
            <w:pPr>
              <w:rPr>
                <w:rFonts w:ascii="Arial" w:hAnsi="Arial" w:cs="Arial"/>
                <w:sz w:val="20"/>
                <w:szCs w:val="20"/>
              </w:rPr>
            </w:pPr>
            <w:r w:rsidRPr="0032430D">
              <w:rPr>
                <w:rFonts w:ascii="Arial" w:hAnsi="Arial" w:cs="Arial"/>
                <w:sz w:val="20"/>
                <w:szCs w:val="20"/>
              </w:rPr>
              <w:t>reference</w:t>
            </w:r>
          </w:p>
        </w:tc>
        <w:tc>
          <w:tcPr>
            <w:tcW w:w="2293" w:type="dxa"/>
            <w:noWrap/>
            <w:vAlign w:val="center"/>
          </w:tcPr>
          <w:p w14:paraId="2E3AB524" w14:textId="6C0E9DE8" w:rsidR="00580EEF" w:rsidRDefault="00580EEF" w:rsidP="00580EEF">
            <w:pPr>
              <w:rPr>
                <w:rFonts w:ascii="Arial" w:hAnsi="Arial" w:cs="Arial"/>
                <w:sz w:val="20"/>
                <w:szCs w:val="20"/>
              </w:rPr>
            </w:pPr>
            <w:r w:rsidRPr="0032430D">
              <w:rPr>
                <w:rFonts w:ascii="Arial" w:hAnsi="Arial" w:cs="Arial"/>
                <w:sz w:val="20"/>
                <w:szCs w:val="20"/>
              </w:rPr>
              <w:t>reference</w:t>
            </w:r>
          </w:p>
        </w:tc>
      </w:tr>
      <w:tr w:rsidR="00580EEF" w14:paraId="1DC2F8A6" w14:textId="77777777" w:rsidTr="00440476">
        <w:trPr>
          <w:trHeight w:val="735"/>
        </w:trPr>
        <w:tc>
          <w:tcPr>
            <w:tcW w:w="2603" w:type="dxa"/>
            <w:noWrap/>
            <w:vAlign w:val="center"/>
          </w:tcPr>
          <w:p w14:paraId="6219FB8D" w14:textId="2AE62F05" w:rsidR="00580EEF" w:rsidRDefault="00580EEF" w:rsidP="00580EEF">
            <w:pPr>
              <w:rPr>
                <w:rFonts w:ascii="Arial" w:hAnsi="Arial" w:cs="Arial"/>
                <w:sz w:val="20"/>
                <w:szCs w:val="20"/>
              </w:rPr>
            </w:pPr>
            <w:r>
              <w:rPr>
                <w:rFonts w:ascii="Arial" w:hAnsi="Arial" w:cs="Arial"/>
                <w:sz w:val="20"/>
                <w:szCs w:val="20"/>
              </w:rPr>
              <w:t>Consistently high</w:t>
            </w:r>
          </w:p>
        </w:tc>
        <w:tc>
          <w:tcPr>
            <w:tcW w:w="2217" w:type="dxa"/>
            <w:noWrap/>
            <w:vAlign w:val="center"/>
          </w:tcPr>
          <w:p w14:paraId="19D42C50" w14:textId="3B5C3B75" w:rsidR="00580EEF" w:rsidRDefault="00580EEF" w:rsidP="00580EEF">
            <w:pPr>
              <w:rPr>
                <w:rFonts w:ascii="Arial" w:hAnsi="Arial" w:cs="Arial"/>
                <w:sz w:val="20"/>
                <w:szCs w:val="20"/>
              </w:rPr>
            </w:pPr>
            <w:r w:rsidRPr="0032430D">
              <w:rPr>
                <w:rFonts w:ascii="Arial" w:hAnsi="Arial" w:cs="Arial"/>
                <w:sz w:val="20"/>
                <w:szCs w:val="20"/>
              </w:rPr>
              <w:t>1.46 (1.39-1.50)</w:t>
            </w:r>
          </w:p>
        </w:tc>
        <w:tc>
          <w:tcPr>
            <w:tcW w:w="2263" w:type="dxa"/>
            <w:noWrap/>
            <w:vAlign w:val="center"/>
          </w:tcPr>
          <w:p w14:paraId="7BB4B59A" w14:textId="01C82CF4" w:rsidR="00580EEF" w:rsidRDefault="00580EEF" w:rsidP="00580EEF">
            <w:pPr>
              <w:rPr>
                <w:rFonts w:ascii="Arial" w:hAnsi="Arial" w:cs="Arial"/>
                <w:sz w:val="20"/>
                <w:szCs w:val="20"/>
              </w:rPr>
            </w:pPr>
            <w:r>
              <w:rPr>
                <w:rFonts w:ascii="Arial" w:hAnsi="Arial" w:cs="Arial"/>
                <w:sz w:val="20"/>
                <w:szCs w:val="20"/>
              </w:rPr>
              <w:t>1.54 (1.37-1.68)</w:t>
            </w:r>
          </w:p>
        </w:tc>
        <w:tc>
          <w:tcPr>
            <w:tcW w:w="2415" w:type="dxa"/>
            <w:noWrap/>
            <w:vAlign w:val="center"/>
          </w:tcPr>
          <w:p w14:paraId="5EA7CC28" w14:textId="1310B177" w:rsidR="00580EEF" w:rsidRDefault="00580EEF" w:rsidP="00580EEF">
            <w:pPr>
              <w:rPr>
                <w:rFonts w:ascii="Arial" w:hAnsi="Arial" w:cs="Arial"/>
                <w:sz w:val="20"/>
                <w:szCs w:val="20"/>
              </w:rPr>
            </w:pPr>
            <w:r w:rsidRPr="0032430D">
              <w:rPr>
                <w:rFonts w:ascii="Arial" w:hAnsi="Arial" w:cs="Arial"/>
                <w:sz w:val="20"/>
                <w:szCs w:val="20"/>
              </w:rPr>
              <w:t>1.38 (1.21-1.41)</w:t>
            </w:r>
          </w:p>
        </w:tc>
        <w:tc>
          <w:tcPr>
            <w:tcW w:w="2065" w:type="dxa"/>
            <w:noWrap/>
            <w:vAlign w:val="center"/>
          </w:tcPr>
          <w:p w14:paraId="664FF412" w14:textId="6BE6E339" w:rsidR="00580EEF" w:rsidRDefault="00580EEF" w:rsidP="00580EEF">
            <w:pPr>
              <w:rPr>
                <w:rFonts w:ascii="Arial" w:hAnsi="Arial" w:cs="Arial"/>
                <w:sz w:val="20"/>
                <w:szCs w:val="20"/>
              </w:rPr>
            </w:pPr>
            <w:r w:rsidRPr="0032430D">
              <w:rPr>
                <w:rFonts w:ascii="Arial" w:hAnsi="Arial" w:cs="Arial"/>
                <w:sz w:val="20"/>
                <w:szCs w:val="20"/>
              </w:rPr>
              <w:t>1.56 (1.44-1.68)</w:t>
            </w:r>
          </w:p>
        </w:tc>
        <w:tc>
          <w:tcPr>
            <w:tcW w:w="2187" w:type="dxa"/>
            <w:noWrap/>
            <w:vAlign w:val="center"/>
          </w:tcPr>
          <w:p w14:paraId="245332B4" w14:textId="52CB13CC" w:rsidR="00580EEF" w:rsidRDefault="00580EEF" w:rsidP="00580EEF">
            <w:pPr>
              <w:rPr>
                <w:rFonts w:ascii="Arial" w:hAnsi="Arial" w:cs="Arial"/>
                <w:sz w:val="20"/>
                <w:szCs w:val="20"/>
              </w:rPr>
            </w:pPr>
            <w:r w:rsidRPr="0032430D">
              <w:rPr>
                <w:rFonts w:ascii="Arial" w:hAnsi="Arial" w:cs="Arial"/>
                <w:sz w:val="20"/>
                <w:szCs w:val="20"/>
              </w:rPr>
              <w:t>1.23 (1.07-1.43)</w:t>
            </w:r>
          </w:p>
        </w:tc>
        <w:tc>
          <w:tcPr>
            <w:tcW w:w="2293" w:type="dxa"/>
            <w:noWrap/>
            <w:vAlign w:val="center"/>
          </w:tcPr>
          <w:p w14:paraId="26CCE6E7" w14:textId="16DAE1F3" w:rsidR="00580EEF" w:rsidRDefault="00580EEF" w:rsidP="00580EEF">
            <w:pPr>
              <w:rPr>
                <w:rFonts w:ascii="Arial" w:hAnsi="Arial" w:cs="Arial"/>
                <w:sz w:val="20"/>
                <w:szCs w:val="20"/>
              </w:rPr>
            </w:pPr>
            <w:r w:rsidRPr="0032430D">
              <w:rPr>
                <w:rFonts w:ascii="Arial" w:hAnsi="Arial" w:cs="Arial"/>
                <w:sz w:val="20"/>
                <w:szCs w:val="20"/>
              </w:rPr>
              <w:t>1.49 (1.37-1.62)</w:t>
            </w:r>
          </w:p>
        </w:tc>
      </w:tr>
      <w:tr w:rsidR="00580EEF" w14:paraId="097DFCE4" w14:textId="77777777" w:rsidTr="00440476">
        <w:trPr>
          <w:trHeight w:val="735"/>
        </w:trPr>
        <w:tc>
          <w:tcPr>
            <w:tcW w:w="2603" w:type="dxa"/>
            <w:noWrap/>
            <w:vAlign w:val="center"/>
          </w:tcPr>
          <w:p w14:paraId="5BC9ABC7" w14:textId="71AA48BA" w:rsidR="00580EEF" w:rsidRDefault="00580EEF" w:rsidP="00580EEF">
            <w:pPr>
              <w:rPr>
                <w:rFonts w:ascii="Arial" w:hAnsi="Arial" w:cs="Arial"/>
                <w:sz w:val="20"/>
                <w:szCs w:val="20"/>
              </w:rPr>
            </w:pPr>
            <w:r>
              <w:rPr>
                <w:rFonts w:ascii="Arial" w:hAnsi="Arial" w:cs="Arial"/>
                <w:sz w:val="20"/>
                <w:szCs w:val="20"/>
              </w:rPr>
              <w:t>Fluctuating</w:t>
            </w:r>
          </w:p>
        </w:tc>
        <w:tc>
          <w:tcPr>
            <w:tcW w:w="2217" w:type="dxa"/>
            <w:noWrap/>
            <w:vAlign w:val="center"/>
          </w:tcPr>
          <w:p w14:paraId="62CFE954" w14:textId="312FDD0E" w:rsidR="00580EEF" w:rsidRDefault="00580EEF" w:rsidP="00580EEF">
            <w:pPr>
              <w:rPr>
                <w:rFonts w:ascii="Arial" w:hAnsi="Arial" w:cs="Arial"/>
                <w:sz w:val="20"/>
                <w:szCs w:val="20"/>
              </w:rPr>
            </w:pPr>
            <w:r w:rsidRPr="0032430D">
              <w:rPr>
                <w:rFonts w:ascii="Arial" w:hAnsi="Arial" w:cs="Arial"/>
                <w:sz w:val="20"/>
                <w:szCs w:val="20"/>
              </w:rPr>
              <w:t>1.79 (1.70-1.90)</w:t>
            </w:r>
          </w:p>
        </w:tc>
        <w:tc>
          <w:tcPr>
            <w:tcW w:w="2263" w:type="dxa"/>
            <w:noWrap/>
            <w:vAlign w:val="center"/>
          </w:tcPr>
          <w:p w14:paraId="5D3714E7" w14:textId="683E9BDF" w:rsidR="00580EEF" w:rsidRDefault="00580EEF" w:rsidP="00580EEF">
            <w:pPr>
              <w:rPr>
                <w:rFonts w:ascii="Arial" w:hAnsi="Arial" w:cs="Arial"/>
                <w:sz w:val="20"/>
                <w:szCs w:val="20"/>
              </w:rPr>
            </w:pPr>
            <w:r>
              <w:rPr>
                <w:rFonts w:ascii="Arial" w:hAnsi="Arial" w:cs="Arial"/>
                <w:sz w:val="20"/>
                <w:szCs w:val="20"/>
              </w:rPr>
              <w:t>1.81 (1.69-1.93)</w:t>
            </w:r>
          </w:p>
        </w:tc>
        <w:tc>
          <w:tcPr>
            <w:tcW w:w="2415" w:type="dxa"/>
            <w:noWrap/>
            <w:vAlign w:val="center"/>
          </w:tcPr>
          <w:p w14:paraId="2529D682" w14:textId="572EB2D0" w:rsidR="00580EEF" w:rsidRDefault="00580EEF" w:rsidP="00580EEF">
            <w:pPr>
              <w:rPr>
                <w:rFonts w:ascii="Arial" w:hAnsi="Arial" w:cs="Arial"/>
                <w:sz w:val="20"/>
                <w:szCs w:val="20"/>
              </w:rPr>
            </w:pPr>
            <w:r w:rsidRPr="0032430D">
              <w:rPr>
                <w:rFonts w:ascii="Arial" w:hAnsi="Arial" w:cs="Arial"/>
                <w:sz w:val="20"/>
                <w:szCs w:val="20"/>
              </w:rPr>
              <w:t>1.69 (1.52-1.76)</w:t>
            </w:r>
          </w:p>
        </w:tc>
        <w:tc>
          <w:tcPr>
            <w:tcW w:w="2065" w:type="dxa"/>
            <w:noWrap/>
            <w:vAlign w:val="center"/>
          </w:tcPr>
          <w:p w14:paraId="511704FA" w14:textId="09D6BA37" w:rsidR="00580EEF" w:rsidRDefault="00580EEF" w:rsidP="00580EEF">
            <w:pPr>
              <w:rPr>
                <w:rFonts w:ascii="Arial" w:hAnsi="Arial" w:cs="Arial"/>
                <w:sz w:val="20"/>
                <w:szCs w:val="20"/>
              </w:rPr>
            </w:pPr>
            <w:r w:rsidRPr="0032430D">
              <w:rPr>
                <w:rFonts w:ascii="Arial" w:hAnsi="Arial" w:cs="Arial"/>
                <w:sz w:val="20"/>
                <w:szCs w:val="20"/>
              </w:rPr>
              <w:t>1.69 (1.58-1.76)</w:t>
            </w:r>
          </w:p>
        </w:tc>
        <w:tc>
          <w:tcPr>
            <w:tcW w:w="2187" w:type="dxa"/>
            <w:noWrap/>
            <w:vAlign w:val="center"/>
          </w:tcPr>
          <w:p w14:paraId="7B26DD28" w14:textId="06BC8CAE" w:rsidR="00580EEF" w:rsidRDefault="00580EEF" w:rsidP="00580EEF">
            <w:pPr>
              <w:rPr>
                <w:rFonts w:ascii="Arial" w:hAnsi="Arial" w:cs="Arial"/>
                <w:sz w:val="20"/>
                <w:szCs w:val="20"/>
              </w:rPr>
            </w:pPr>
            <w:r w:rsidRPr="0032430D">
              <w:rPr>
                <w:rFonts w:ascii="Arial" w:hAnsi="Arial" w:cs="Arial"/>
                <w:sz w:val="20"/>
                <w:szCs w:val="20"/>
              </w:rPr>
              <w:t>1.59 (1.53-1.72)</w:t>
            </w:r>
          </w:p>
        </w:tc>
        <w:tc>
          <w:tcPr>
            <w:tcW w:w="2293" w:type="dxa"/>
            <w:noWrap/>
            <w:vAlign w:val="center"/>
          </w:tcPr>
          <w:p w14:paraId="1CFF4EC7" w14:textId="26CCA1A6" w:rsidR="00580EEF" w:rsidRDefault="00580EEF" w:rsidP="00580EEF">
            <w:pPr>
              <w:rPr>
                <w:rFonts w:ascii="Arial" w:hAnsi="Arial" w:cs="Arial"/>
                <w:sz w:val="20"/>
                <w:szCs w:val="20"/>
              </w:rPr>
            </w:pPr>
            <w:r w:rsidRPr="0032430D">
              <w:rPr>
                <w:rFonts w:ascii="Arial" w:hAnsi="Arial" w:cs="Arial"/>
                <w:sz w:val="20"/>
                <w:szCs w:val="20"/>
              </w:rPr>
              <w:t>1.77 (1.62-1.88)</w:t>
            </w:r>
          </w:p>
        </w:tc>
      </w:tr>
      <w:tr w:rsidR="00580EEF" w14:paraId="77C68491" w14:textId="77777777" w:rsidTr="00440476">
        <w:trPr>
          <w:trHeight w:val="735"/>
        </w:trPr>
        <w:tc>
          <w:tcPr>
            <w:tcW w:w="2603" w:type="dxa"/>
            <w:noWrap/>
            <w:vAlign w:val="center"/>
          </w:tcPr>
          <w:p w14:paraId="415B6D14" w14:textId="1078C5E6" w:rsidR="00580EEF" w:rsidRDefault="00580EEF" w:rsidP="00580EEF">
            <w:pPr>
              <w:rPr>
                <w:rFonts w:ascii="Arial" w:hAnsi="Arial" w:cs="Arial"/>
                <w:sz w:val="20"/>
                <w:szCs w:val="20"/>
              </w:rPr>
            </w:pPr>
            <w:r>
              <w:rPr>
                <w:rFonts w:ascii="Arial" w:hAnsi="Arial" w:cs="Arial"/>
                <w:sz w:val="20"/>
                <w:szCs w:val="20"/>
              </w:rPr>
              <w:t>Increasing</w:t>
            </w:r>
          </w:p>
        </w:tc>
        <w:tc>
          <w:tcPr>
            <w:tcW w:w="2217" w:type="dxa"/>
            <w:noWrap/>
            <w:vAlign w:val="center"/>
          </w:tcPr>
          <w:p w14:paraId="6B745F38" w14:textId="7BB5ADE4" w:rsidR="00580EEF" w:rsidRDefault="00580EEF" w:rsidP="00580EEF">
            <w:pPr>
              <w:rPr>
                <w:rFonts w:ascii="Arial" w:hAnsi="Arial" w:cs="Arial"/>
                <w:sz w:val="20"/>
                <w:szCs w:val="20"/>
              </w:rPr>
            </w:pPr>
            <w:r w:rsidRPr="0032430D">
              <w:rPr>
                <w:rFonts w:ascii="Arial" w:hAnsi="Arial" w:cs="Arial"/>
                <w:sz w:val="20"/>
                <w:szCs w:val="20"/>
              </w:rPr>
              <w:t>1.21 (1.18-1.25)</w:t>
            </w:r>
          </w:p>
        </w:tc>
        <w:tc>
          <w:tcPr>
            <w:tcW w:w="2263" w:type="dxa"/>
            <w:noWrap/>
            <w:vAlign w:val="center"/>
          </w:tcPr>
          <w:p w14:paraId="6A75E811" w14:textId="14268C22" w:rsidR="00580EEF" w:rsidRDefault="00580EEF" w:rsidP="00580EEF">
            <w:pPr>
              <w:rPr>
                <w:rFonts w:ascii="Arial" w:hAnsi="Arial" w:cs="Arial"/>
                <w:sz w:val="20"/>
                <w:szCs w:val="20"/>
              </w:rPr>
            </w:pPr>
            <w:r>
              <w:rPr>
                <w:rFonts w:ascii="Arial" w:hAnsi="Arial" w:cs="Arial"/>
                <w:sz w:val="20"/>
                <w:szCs w:val="20"/>
              </w:rPr>
              <w:t>1.15 (1.09-1.24)</w:t>
            </w:r>
          </w:p>
        </w:tc>
        <w:tc>
          <w:tcPr>
            <w:tcW w:w="2415" w:type="dxa"/>
            <w:noWrap/>
            <w:vAlign w:val="center"/>
          </w:tcPr>
          <w:p w14:paraId="4854D6C7" w14:textId="3FB4F688" w:rsidR="00580EEF" w:rsidRDefault="00580EEF" w:rsidP="00580EEF">
            <w:pPr>
              <w:rPr>
                <w:rFonts w:ascii="Arial" w:hAnsi="Arial" w:cs="Arial"/>
                <w:sz w:val="20"/>
                <w:szCs w:val="20"/>
              </w:rPr>
            </w:pPr>
            <w:r w:rsidRPr="0032430D">
              <w:rPr>
                <w:rFonts w:ascii="Arial" w:hAnsi="Arial" w:cs="Arial"/>
                <w:sz w:val="20"/>
                <w:szCs w:val="20"/>
              </w:rPr>
              <w:t>1.18 (1.02-1.39)</w:t>
            </w:r>
          </w:p>
        </w:tc>
        <w:tc>
          <w:tcPr>
            <w:tcW w:w="2065" w:type="dxa"/>
            <w:noWrap/>
            <w:vAlign w:val="center"/>
          </w:tcPr>
          <w:p w14:paraId="79C05AC5" w14:textId="198557BF" w:rsidR="00580EEF" w:rsidRDefault="00580EEF" w:rsidP="00580EEF">
            <w:pPr>
              <w:rPr>
                <w:rFonts w:ascii="Arial" w:hAnsi="Arial" w:cs="Arial"/>
                <w:sz w:val="20"/>
                <w:szCs w:val="20"/>
              </w:rPr>
            </w:pPr>
            <w:r w:rsidRPr="0032430D">
              <w:rPr>
                <w:rFonts w:ascii="Arial" w:hAnsi="Arial" w:cs="Arial"/>
                <w:sz w:val="20"/>
                <w:szCs w:val="20"/>
              </w:rPr>
              <w:t>1.18 (1.09-1.26)</w:t>
            </w:r>
          </w:p>
        </w:tc>
        <w:tc>
          <w:tcPr>
            <w:tcW w:w="2187" w:type="dxa"/>
            <w:noWrap/>
            <w:vAlign w:val="center"/>
          </w:tcPr>
          <w:p w14:paraId="63672689" w14:textId="289467CE" w:rsidR="00580EEF" w:rsidRDefault="00580EEF" w:rsidP="00580EEF">
            <w:pPr>
              <w:rPr>
                <w:rFonts w:ascii="Arial" w:hAnsi="Arial" w:cs="Arial"/>
                <w:sz w:val="20"/>
                <w:szCs w:val="20"/>
              </w:rPr>
            </w:pPr>
            <w:r w:rsidRPr="0032430D">
              <w:rPr>
                <w:rFonts w:ascii="Arial" w:hAnsi="Arial" w:cs="Arial"/>
                <w:sz w:val="20"/>
                <w:szCs w:val="20"/>
              </w:rPr>
              <w:t>1.35 (1.07-1.71)</w:t>
            </w:r>
          </w:p>
        </w:tc>
        <w:tc>
          <w:tcPr>
            <w:tcW w:w="2293" w:type="dxa"/>
            <w:noWrap/>
            <w:vAlign w:val="center"/>
          </w:tcPr>
          <w:p w14:paraId="073E3010" w14:textId="7EFBA63B" w:rsidR="00580EEF" w:rsidRDefault="00580EEF" w:rsidP="00580EEF">
            <w:pPr>
              <w:rPr>
                <w:rFonts w:ascii="Arial" w:hAnsi="Arial" w:cs="Arial"/>
                <w:sz w:val="20"/>
                <w:szCs w:val="20"/>
              </w:rPr>
            </w:pPr>
            <w:r w:rsidRPr="0032430D">
              <w:rPr>
                <w:rFonts w:ascii="Arial" w:hAnsi="Arial" w:cs="Arial"/>
                <w:sz w:val="20"/>
                <w:szCs w:val="20"/>
              </w:rPr>
              <w:t>1.23 (1.12-1.41)</w:t>
            </w:r>
          </w:p>
        </w:tc>
      </w:tr>
      <w:tr w:rsidR="00580EEF" w14:paraId="1C6A49FB" w14:textId="77777777" w:rsidTr="00440476">
        <w:trPr>
          <w:trHeight w:val="735"/>
        </w:trPr>
        <w:tc>
          <w:tcPr>
            <w:tcW w:w="2603" w:type="dxa"/>
            <w:tcBorders>
              <w:bottom w:val="single" w:sz="12" w:space="0" w:color="auto"/>
            </w:tcBorders>
            <w:noWrap/>
            <w:vAlign w:val="center"/>
          </w:tcPr>
          <w:p w14:paraId="77F816E4" w14:textId="0CB223C3" w:rsidR="00580EEF" w:rsidRDefault="00580EEF" w:rsidP="00580EEF">
            <w:pPr>
              <w:rPr>
                <w:rFonts w:ascii="Arial" w:hAnsi="Arial" w:cs="Arial"/>
                <w:sz w:val="20"/>
                <w:szCs w:val="20"/>
              </w:rPr>
            </w:pPr>
            <w:r>
              <w:rPr>
                <w:rFonts w:ascii="Arial" w:hAnsi="Arial" w:cs="Arial"/>
                <w:sz w:val="20"/>
                <w:szCs w:val="20"/>
              </w:rPr>
              <w:t>Decreasing</w:t>
            </w:r>
          </w:p>
        </w:tc>
        <w:tc>
          <w:tcPr>
            <w:tcW w:w="2217" w:type="dxa"/>
            <w:tcBorders>
              <w:bottom w:val="single" w:sz="12" w:space="0" w:color="auto"/>
            </w:tcBorders>
            <w:noWrap/>
            <w:vAlign w:val="center"/>
          </w:tcPr>
          <w:p w14:paraId="03933253" w14:textId="51CAEED3" w:rsidR="00580EEF" w:rsidRDefault="00580EEF" w:rsidP="00580EEF">
            <w:pPr>
              <w:rPr>
                <w:rFonts w:ascii="Arial" w:hAnsi="Arial" w:cs="Arial"/>
                <w:sz w:val="20"/>
                <w:szCs w:val="20"/>
              </w:rPr>
            </w:pPr>
            <w:r w:rsidRPr="0032430D">
              <w:rPr>
                <w:rFonts w:ascii="Arial" w:hAnsi="Arial" w:cs="Arial"/>
                <w:sz w:val="20"/>
                <w:szCs w:val="20"/>
              </w:rPr>
              <w:t>0.95 (0.35-1.21)</w:t>
            </w:r>
          </w:p>
        </w:tc>
        <w:tc>
          <w:tcPr>
            <w:tcW w:w="2263" w:type="dxa"/>
            <w:tcBorders>
              <w:bottom w:val="single" w:sz="12" w:space="0" w:color="auto"/>
            </w:tcBorders>
            <w:noWrap/>
            <w:vAlign w:val="center"/>
          </w:tcPr>
          <w:p w14:paraId="40FE599E" w14:textId="584D4CEA" w:rsidR="00580EEF" w:rsidRDefault="00580EEF" w:rsidP="00580EEF">
            <w:pPr>
              <w:rPr>
                <w:rFonts w:ascii="Arial" w:hAnsi="Arial" w:cs="Arial"/>
                <w:sz w:val="20"/>
                <w:szCs w:val="20"/>
              </w:rPr>
            </w:pPr>
            <w:r>
              <w:rPr>
                <w:rFonts w:ascii="Arial" w:hAnsi="Arial" w:cs="Arial"/>
                <w:sz w:val="20"/>
                <w:szCs w:val="20"/>
              </w:rPr>
              <w:t>0.83 (0.76-1.48)</w:t>
            </w:r>
          </w:p>
        </w:tc>
        <w:tc>
          <w:tcPr>
            <w:tcW w:w="2415" w:type="dxa"/>
            <w:tcBorders>
              <w:bottom w:val="single" w:sz="12" w:space="0" w:color="auto"/>
            </w:tcBorders>
            <w:noWrap/>
            <w:vAlign w:val="center"/>
          </w:tcPr>
          <w:p w14:paraId="78C0D677" w14:textId="0BBAED4A" w:rsidR="00580EEF" w:rsidRDefault="00580EEF" w:rsidP="00580EEF">
            <w:pPr>
              <w:rPr>
                <w:rFonts w:ascii="Arial" w:hAnsi="Arial" w:cs="Arial"/>
                <w:sz w:val="20"/>
                <w:szCs w:val="20"/>
              </w:rPr>
            </w:pPr>
            <w:r w:rsidRPr="0032430D">
              <w:rPr>
                <w:rFonts w:ascii="Arial" w:hAnsi="Arial" w:cs="Arial"/>
                <w:sz w:val="20"/>
                <w:szCs w:val="20"/>
              </w:rPr>
              <w:t>1.02 (0.37-2.80)</w:t>
            </w:r>
          </w:p>
        </w:tc>
        <w:tc>
          <w:tcPr>
            <w:tcW w:w="2065" w:type="dxa"/>
            <w:tcBorders>
              <w:bottom w:val="single" w:sz="12" w:space="0" w:color="auto"/>
            </w:tcBorders>
            <w:noWrap/>
            <w:vAlign w:val="center"/>
          </w:tcPr>
          <w:p w14:paraId="18F08BCB" w14:textId="4C57E300" w:rsidR="00580EEF" w:rsidRDefault="00580EEF" w:rsidP="00580EEF">
            <w:pPr>
              <w:rPr>
                <w:rFonts w:ascii="Arial" w:hAnsi="Arial" w:cs="Arial"/>
                <w:sz w:val="20"/>
                <w:szCs w:val="20"/>
              </w:rPr>
            </w:pPr>
            <w:r w:rsidRPr="0032430D">
              <w:rPr>
                <w:rFonts w:ascii="Arial" w:hAnsi="Arial" w:cs="Arial"/>
                <w:sz w:val="20"/>
                <w:szCs w:val="20"/>
              </w:rPr>
              <w:t>0.89 (0.64-1.25)</w:t>
            </w:r>
          </w:p>
        </w:tc>
        <w:tc>
          <w:tcPr>
            <w:tcW w:w="2187" w:type="dxa"/>
            <w:tcBorders>
              <w:bottom w:val="single" w:sz="12" w:space="0" w:color="auto"/>
            </w:tcBorders>
            <w:noWrap/>
            <w:vAlign w:val="center"/>
          </w:tcPr>
          <w:p w14:paraId="5F2FA843" w14:textId="397E9CD6" w:rsidR="00580EEF" w:rsidRDefault="00580EEF" w:rsidP="00580EEF">
            <w:pPr>
              <w:rPr>
                <w:rFonts w:ascii="Arial" w:hAnsi="Arial" w:cs="Arial"/>
                <w:sz w:val="20"/>
                <w:szCs w:val="20"/>
              </w:rPr>
            </w:pPr>
            <w:r w:rsidRPr="0032430D">
              <w:rPr>
                <w:rFonts w:ascii="Arial" w:hAnsi="Arial" w:cs="Arial"/>
                <w:sz w:val="20"/>
                <w:szCs w:val="20"/>
              </w:rPr>
              <w:t>0.87 (0.60-1.26)</w:t>
            </w:r>
          </w:p>
        </w:tc>
        <w:tc>
          <w:tcPr>
            <w:tcW w:w="2293" w:type="dxa"/>
            <w:tcBorders>
              <w:bottom w:val="single" w:sz="12" w:space="0" w:color="auto"/>
            </w:tcBorders>
            <w:noWrap/>
            <w:vAlign w:val="center"/>
          </w:tcPr>
          <w:p w14:paraId="4256F10D" w14:textId="7D681DE7" w:rsidR="00580EEF" w:rsidRDefault="00580EEF" w:rsidP="00580EEF">
            <w:pPr>
              <w:rPr>
                <w:rFonts w:ascii="Arial" w:hAnsi="Arial" w:cs="Arial"/>
                <w:sz w:val="20"/>
                <w:szCs w:val="20"/>
              </w:rPr>
            </w:pPr>
            <w:r w:rsidRPr="0032430D">
              <w:rPr>
                <w:rFonts w:ascii="Arial" w:hAnsi="Arial" w:cs="Arial"/>
                <w:sz w:val="20"/>
                <w:szCs w:val="20"/>
              </w:rPr>
              <w:t>0.96 (0.73-1.53)</w:t>
            </w:r>
          </w:p>
        </w:tc>
      </w:tr>
      <w:bookmarkEnd w:id="9"/>
    </w:tbl>
    <w:p w14:paraId="34A4D5E3" w14:textId="77777777" w:rsidR="0063068C" w:rsidRDefault="0063068C">
      <w:pPr>
        <w:rPr>
          <w:rFonts w:ascii="Arial" w:hAnsi="Arial" w:cs="Arial"/>
          <w:b/>
          <w:bCs/>
          <w:sz w:val="16"/>
          <w:szCs w:val="16"/>
        </w:rPr>
      </w:pPr>
    </w:p>
    <w:p w14:paraId="32AE25AE" w14:textId="77777777" w:rsidR="0063068C" w:rsidRDefault="0063068C">
      <w:pPr>
        <w:rPr>
          <w:rFonts w:ascii="Arial" w:hAnsi="Arial" w:cs="Arial"/>
          <w:b/>
          <w:bCs/>
          <w:sz w:val="16"/>
          <w:szCs w:val="16"/>
        </w:rPr>
      </w:pPr>
    </w:p>
    <w:p w14:paraId="5DE8513C" w14:textId="77777777" w:rsidR="0063068C" w:rsidRDefault="0063068C">
      <w:pPr>
        <w:rPr>
          <w:rFonts w:ascii="Arial" w:hAnsi="Arial" w:cs="Arial"/>
          <w:b/>
          <w:bCs/>
          <w:sz w:val="16"/>
          <w:szCs w:val="16"/>
        </w:rPr>
      </w:pPr>
    </w:p>
    <w:p w14:paraId="34816083" w14:textId="77777777" w:rsidR="0063068C" w:rsidRDefault="0063068C">
      <w:pPr>
        <w:rPr>
          <w:rFonts w:ascii="Arial" w:hAnsi="Arial" w:cs="Arial"/>
          <w:b/>
          <w:bCs/>
          <w:sz w:val="16"/>
          <w:szCs w:val="16"/>
        </w:rPr>
      </w:pPr>
    </w:p>
    <w:p w14:paraId="626042C7" w14:textId="77777777" w:rsidR="0063068C" w:rsidRDefault="0063068C">
      <w:pPr>
        <w:rPr>
          <w:rFonts w:ascii="Arial" w:hAnsi="Arial" w:cs="Arial"/>
          <w:b/>
          <w:bCs/>
          <w:sz w:val="16"/>
          <w:szCs w:val="16"/>
        </w:rPr>
      </w:pPr>
    </w:p>
    <w:p w14:paraId="21EEA72F" w14:textId="77777777" w:rsidR="0063068C" w:rsidRDefault="0063068C">
      <w:pPr>
        <w:rPr>
          <w:rFonts w:ascii="Arial" w:hAnsi="Arial" w:cs="Arial"/>
          <w:b/>
          <w:bCs/>
          <w:sz w:val="16"/>
          <w:szCs w:val="16"/>
        </w:rPr>
      </w:pPr>
    </w:p>
    <w:p w14:paraId="5B907636" w14:textId="77777777" w:rsidR="0063068C" w:rsidRDefault="0063068C">
      <w:pPr>
        <w:rPr>
          <w:rFonts w:ascii="Arial" w:hAnsi="Arial" w:cs="Arial"/>
          <w:b/>
          <w:bCs/>
          <w:sz w:val="16"/>
          <w:szCs w:val="16"/>
        </w:rPr>
      </w:pPr>
    </w:p>
    <w:p w14:paraId="5013E20A" w14:textId="77777777" w:rsidR="0063068C" w:rsidRDefault="0063068C">
      <w:pPr>
        <w:rPr>
          <w:rFonts w:ascii="Arial" w:hAnsi="Arial" w:cs="Arial"/>
          <w:b/>
          <w:bCs/>
          <w:sz w:val="16"/>
          <w:szCs w:val="16"/>
        </w:rPr>
      </w:pPr>
    </w:p>
    <w:p w14:paraId="25D36D1B" w14:textId="77777777" w:rsidR="0063068C" w:rsidRDefault="0063068C">
      <w:pPr>
        <w:rPr>
          <w:rFonts w:ascii="Arial" w:hAnsi="Arial" w:cs="Arial"/>
          <w:b/>
          <w:bCs/>
          <w:sz w:val="16"/>
          <w:szCs w:val="16"/>
        </w:rPr>
      </w:pPr>
    </w:p>
    <w:p w14:paraId="3B0D659F" w14:textId="77777777" w:rsidR="0063068C" w:rsidRDefault="0063068C">
      <w:pPr>
        <w:rPr>
          <w:rFonts w:ascii="Arial" w:hAnsi="Arial" w:cs="Arial"/>
          <w:b/>
          <w:bCs/>
          <w:sz w:val="16"/>
          <w:szCs w:val="16"/>
        </w:rPr>
      </w:pPr>
    </w:p>
    <w:p w14:paraId="0C00632D" w14:textId="77777777" w:rsidR="0063068C" w:rsidRDefault="0063068C">
      <w:pPr>
        <w:rPr>
          <w:rFonts w:ascii="Arial" w:hAnsi="Arial" w:cs="Arial"/>
          <w:b/>
          <w:bCs/>
          <w:sz w:val="16"/>
          <w:szCs w:val="16"/>
        </w:rPr>
      </w:pPr>
    </w:p>
    <w:p w14:paraId="05E963BB" w14:textId="77777777" w:rsidR="0063068C" w:rsidRDefault="0063068C">
      <w:pPr>
        <w:rPr>
          <w:rFonts w:ascii="Arial" w:hAnsi="Arial" w:cs="Arial"/>
          <w:b/>
          <w:bCs/>
          <w:sz w:val="16"/>
          <w:szCs w:val="16"/>
        </w:rPr>
      </w:pPr>
    </w:p>
    <w:p w14:paraId="65A3C11E" w14:textId="77777777" w:rsidR="0063068C" w:rsidRDefault="0063068C">
      <w:pPr>
        <w:rPr>
          <w:rFonts w:ascii="Arial" w:hAnsi="Arial" w:cs="Arial"/>
          <w:b/>
          <w:bCs/>
          <w:sz w:val="16"/>
          <w:szCs w:val="16"/>
        </w:rPr>
      </w:pPr>
    </w:p>
    <w:p w14:paraId="563480FA" w14:textId="77777777" w:rsidR="0063068C" w:rsidRDefault="0063068C">
      <w:pPr>
        <w:rPr>
          <w:rFonts w:ascii="Arial" w:hAnsi="Arial" w:cs="Arial"/>
          <w:b/>
          <w:bCs/>
          <w:sz w:val="16"/>
          <w:szCs w:val="16"/>
        </w:rPr>
      </w:pPr>
    </w:p>
    <w:p w14:paraId="3744D1EF" w14:textId="77777777" w:rsidR="0063068C" w:rsidRDefault="0063068C">
      <w:pPr>
        <w:rPr>
          <w:rFonts w:ascii="Arial" w:hAnsi="Arial" w:cs="Arial"/>
          <w:b/>
          <w:bCs/>
          <w:sz w:val="16"/>
          <w:szCs w:val="16"/>
        </w:rPr>
      </w:pPr>
    </w:p>
    <w:p w14:paraId="02A1B67C" w14:textId="049BFBA6" w:rsidR="00580EEF" w:rsidRDefault="00580EEF">
      <w:pPr>
        <w:spacing w:line="360" w:lineRule="auto"/>
        <w:rPr>
          <w:rFonts w:ascii="Arial" w:hAnsi="Arial" w:cs="Arial"/>
          <w:szCs w:val="21"/>
        </w:rPr>
      </w:pPr>
    </w:p>
    <w:p w14:paraId="0083EDF7" w14:textId="0314C148" w:rsidR="0063068C" w:rsidRPr="001B34DB" w:rsidRDefault="00000000" w:rsidP="001B34DB">
      <w:pPr>
        <w:spacing w:line="360" w:lineRule="auto"/>
        <w:rPr>
          <w:rFonts w:ascii="Arial" w:hAnsi="Arial" w:cs="Arial"/>
          <w:szCs w:val="21"/>
        </w:rPr>
      </w:pPr>
      <w:r>
        <w:rPr>
          <w:rFonts w:ascii="Arial" w:hAnsi="Arial" w:cs="Arial"/>
          <w:szCs w:val="21"/>
        </w:rPr>
        <w:t>Consistently low depressive symptoms are used as the reference category. Adjusts for sociodemographic factors (age, sex, education, and marital status), health behaviors (smoking and alcohol consumption), and health conditions (hypertension and diabetes).</w:t>
      </w:r>
      <w:r w:rsidR="001C7F2D">
        <w:rPr>
          <w:rFonts w:ascii="Arial" w:hAnsi="Arial" w:cs="Arial" w:hint="eastAsia"/>
          <w:szCs w:val="21"/>
        </w:rPr>
        <w:t xml:space="preserve"> </w:t>
      </w:r>
      <w:bookmarkStart w:id="10" w:name="_Hlk207878687"/>
      <w:r w:rsidR="001B34DB" w:rsidRPr="001B34DB">
        <w:rPr>
          <w:rFonts w:ascii="Arial" w:hAnsi="Arial" w:cs="Arial"/>
          <w:szCs w:val="21"/>
        </w:rPr>
        <w:t>Participants were drawn from two population-based cohorts, the Health and Retirement Study (HRS, USA) and the English Longitudinal Study of Ageing (ELSA, UK). The study period covered HRS Rounds 4–12 (1998–2014) and ELSA Rounds 1–9 (2002–2018</w:t>
      </w:r>
      <w:r w:rsidR="001B34DB" w:rsidRPr="001B34DB">
        <w:rPr>
          <w:rFonts w:ascii="Arial" w:hAnsi="Arial" w:cs="Arial" w:hint="eastAsia"/>
          <w:szCs w:val="21"/>
        </w:rPr>
        <w:t>)</w:t>
      </w:r>
      <w:r w:rsidR="001B34DB" w:rsidRPr="001B34DB">
        <w:rPr>
          <w:rFonts w:ascii="Arial" w:hAnsi="Arial" w:cs="Arial"/>
          <w:szCs w:val="21"/>
        </w:rPr>
        <w:t>. This table presents hazard ratios (HR) and 95% confidence intervals (CI) for both follow-up periods, providing a direct comparison between 10-year and 16-year outcomes.</w:t>
      </w:r>
      <w:bookmarkEnd w:id="10"/>
    </w:p>
    <w:sectPr w:rsidR="0063068C" w:rsidRPr="001B34DB">
      <w:pgSz w:w="20636" w:h="14570"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AB293" w14:textId="77777777" w:rsidR="00C43ADF" w:rsidRDefault="00C43ADF" w:rsidP="002D2B24">
      <w:pPr>
        <w:rPr>
          <w:rFonts w:hint="eastAsia"/>
        </w:rPr>
      </w:pPr>
      <w:r>
        <w:separator/>
      </w:r>
    </w:p>
  </w:endnote>
  <w:endnote w:type="continuationSeparator" w:id="0">
    <w:p w14:paraId="02B74441" w14:textId="77777777" w:rsidR="00C43ADF" w:rsidRDefault="00C43ADF" w:rsidP="002D2B2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AD7F0" w14:textId="77777777" w:rsidR="00C43ADF" w:rsidRDefault="00C43ADF" w:rsidP="002D2B24">
      <w:pPr>
        <w:rPr>
          <w:rFonts w:hint="eastAsia"/>
        </w:rPr>
      </w:pPr>
      <w:r>
        <w:separator/>
      </w:r>
    </w:p>
  </w:footnote>
  <w:footnote w:type="continuationSeparator" w:id="0">
    <w:p w14:paraId="15C5D868" w14:textId="77777777" w:rsidR="00C43ADF" w:rsidRDefault="00C43ADF" w:rsidP="002D2B2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420"/>
  <w:drawingGridHorizontalSpacing w:val="105"/>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677"/>
    <w:rsid w:val="00002AA2"/>
    <w:rsid w:val="0000522A"/>
    <w:rsid w:val="000109DD"/>
    <w:rsid w:val="00014986"/>
    <w:rsid w:val="00051FE1"/>
    <w:rsid w:val="000836FE"/>
    <w:rsid w:val="000854C5"/>
    <w:rsid w:val="000A573B"/>
    <w:rsid w:val="000D3ADE"/>
    <w:rsid w:val="00164CC7"/>
    <w:rsid w:val="001B34DB"/>
    <w:rsid w:val="001C1F19"/>
    <w:rsid w:val="001C7F2D"/>
    <w:rsid w:val="00200700"/>
    <w:rsid w:val="00247251"/>
    <w:rsid w:val="002618BB"/>
    <w:rsid w:val="00272689"/>
    <w:rsid w:val="002D2B24"/>
    <w:rsid w:val="002E1F1B"/>
    <w:rsid w:val="002E7D67"/>
    <w:rsid w:val="0032430D"/>
    <w:rsid w:val="00324687"/>
    <w:rsid w:val="003252CF"/>
    <w:rsid w:val="003511BD"/>
    <w:rsid w:val="00370DA7"/>
    <w:rsid w:val="00371857"/>
    <w:rsid w:val="00377D03"/>
    <w:rsid w:val="00393DF9"/>
    <w:rsid w:val="003E1B9D"/>
    <w:rsid w:val="00436794"/>
    <w:rsid w:val="00440476"/>
    <w:rsid w:val="00442BF2"/>
    <w:rsid w:val="00447A51"/>
    <w:rsid w:val="004502A5"/>
    <w:rsid w:val="00533CCA"/>
    <w:rsid w:val="00540B2B"/>
    <w:rsid w:val="00546020"/>
    <w:rsid w:val="00575285"/>
    <w:rsid w:val="00577700"/>
    <w:rsid w:val="00580EEF"/>
    <w:rsid w:val="00595031"/>
    <w:rsid w:val="00604FE2"/>
    <w:rsid w:val="006127BB"/>
    <w:rsid w:val="0063068C"/>
    <w:rsid w:val="00680EC8"/>
    <w:rsid w:val="006C2B1C"/>
    <w:rsid w:val="0075088F"/>
    <w:rsid w:val="0078603F"/>
    <w:rsid w:val="007A3D5F"/>
    <w:rsid w:val="007D4A12"/>
    <w:rsid w:val="00810373"/>
    <w:rsid w:val="00837A89"/>
    <w:rsid w:val="008450FD"/>
    <w:rsid w:val="0086545D"/>
    <w:rsid w:val="0091352B"/>
    <w:rsid w:val="009C182B"/>
    <w:rsid w:val="00A36BD2"/>
    <w:rsid w:val="00A51601"/>
    <w:rsid w:val="00A651BD"/>
    <w:rsid w:val="00A96677"/>
    <w:rsid w:val="00AE111F"/>
    <w:rsid w:val="00B71B2F"/>
    <w:rsid w:val="00BF6363"/>
    <w:rsid w:val="00BF793D"/>
    <w:rsid w:val="00C238E1"/>
    <w:rsid w:val="00C43ADF"/>
    <w:rsid w:val="00C72957"/>
    <w:rsid w:val="00C73151"/>
    <w:rsid w:val="00D20702"/>
    <w:rsid w:val="00D67A20"/>
    <w:rsid w:val="00E067DE"/>
    <w:rsid w:val="00E12EA8"/>
    <w:rsid w:val="00E16649"/>
    <w:rsid w:val="00E35359"/>
    <w:rsid w:val="00E53462"/>
    <w:rsid w:val="00E71042"/>
    <w:rsid w:val="00E76E97"/>
    <w:rsid w:val="00E84137"/>
    <w:rsid w:val="00E8452B"/>
    <w:rsid w:val="00E91930"/>
    <w:rsid w:val="00EA0DFD"/>
    <w:rsid w:val="00F5295A"/>
    <w:rsid w:val="00FA287B"/>
    <w:rsid w:val="00FA749D"/>
    <w:rsid w:val="00FB0042"/>
    <w:rsid w:val="00FC3F6B"/>
    <w:rsid w:val="00FC46D3"/>
    <w:rsid w:val="00FD0B8F"/>
    <w:rsid w:val="00FE330F"/>
    <w:rsid w:val="00FF499D"/>
    <w:rsid w:val="0DE26547"/>
    <w:rsid w:val="15795DBF"/>
    <w:rsid w:val="1FAC2BA8"/>
    <w:rsid w:val="52406BD0"/>
    <w:rsid w:val="6E2828AA"/>
    <w:rsid w:val="77E0528E"/>
    <w:rsid w:val="7FBD5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B672B"/>
  <w15:docId w15:val="{E2407831-AA0C-4491-B762-1D701811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annotation subject"/>
    <w:basedOn w:val="a3"/>
    <w:next w:val="a3"/>
    <w:link w:val="ab"/>
    <w:uiPriority w:val="99"/>
    <w:semiHidden/>
    <w:unhideWhenUsed/>
    <w:qFormat/>
    <w:rPr>
      <w:b/>
      <w:bCs/>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qFormat/>
    <w:rPr>
      <w:sz w:val="21"/>
      <w:szCs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a4">
    <w:name w:val="批注文字 字符"/>
    <w:basedOn w:val="a0"/>
    <w:link w:val="a3"/>
    <w:uiPriority w:val="99"/>
    <w:semiHidden/>
    <w:qFormat/>
  </w:style>
  <w:style w:type="character" w:customStyle="1" w:styleId="ab">
    <w:name w:val="批注主题 字符"/>
    <w:basedOn w:val="a4"/>
    <w:link w:val="aa"/>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891</Words>
  <Characters>5027</Characters>
  <Application>Microsoft Office Word</Application>
  <DocSecurity>0</DocSecurity>
  <Lines>418</Lines>
  <Paragraphs>328</Paragraphs>
  <ScaleCrop>false</ScaleCrop>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1342841269@qq.com</dc:creator>
  <cp:lastModifiedBy>ling ding</cp:lastModifiedBy>
  <cp:revision>12</cp:revision>
  <dcterms:created xsi:type="dcterms:W3CDTF">2025-09-02T01:06:00Z</dcterms:created>
  <dcterms:modified xsi:type="dcterms:W3CDTF">2025-09-04T03:49:00Z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eyJoZGlkIjoiNjU3OWQyYjY1ZThiYzEyZmUyZmM3N2RlMGZiN2Q1MmYiLCJ1c2VySWQiOiIxMjUxNzY5MTU2In0=</vt:lpwstr>
  </property>
  <property fmtid="{D5CDD505-2E9C-101B-9397-08002B2CF9AE}" pid="3" name="KSOProductBuildVer">
    <vt:lpwstr>2052-12.1.0.21915</vt:lpwstr>
  </property>
  <property fmtid="{D5CDD505-2E9C-101B-9397-08002B2CF9AE}" pid="4" name="ICV">
    <vt:lpwstr>ED303F0FB3C84A4A8B9DA404E891641B_13</vt:lpwstr>
  </property>
</Properties>
</file>