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6B3DA" w14:textId="77777777" w:rsidR="00B71A58" w:rsidRPr="00B71A58" w:rsidRDefault="00B71A58" w:rsidP="00B71A58">
      <w:pPr>
        <w:spacing w:before="100" w:beforeAutospacing="1" w:after="100" w:afterAutospacing="1" w:line="240" w:lineRule="auto"/>
        <w:outlineLvl w:val="2"/>
        <w:rPr>
          <w:rFonts w:ascii="Times New Roman" w:eastAsia="Times New Roman" w:hAnsi="Times New Roman" w:cs="Times New Roman"/>
          <w:b/>
          <w:bCs/>
        </w:rPr>
      </w:pPr>
      <w:r w:rsidRPr="00B71A58">
        <w:rPr>
          <w:rFonts w:ascii="Times New Roman" w:eastAsia="Times New Roman" w:hAnsi="Times New Roman" w:cs="Times New Roman"/>
          <w:b/>
          <w:bCs/>
        </w:rPr>
        <w:t>Appendix Table A1. Robustness Checks Across Alternative Model Specifications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320"/>
        <w:gridCol w:w="2720"/>
        <w:gridCol w:w="2250"/>
        <w:gridCol w:w="630"/>
        <w:gridCol w:w="870"/>
        <w:gridCol w:w="570"/>
      </w:tblGrid>
      <w:tr w:rsidR="00B71A58" w:rsidRPr="00B71A58" w14:paraId="48FA8B9D" w14:textId="77777777" w:rsidTr="00B50D8A">
        <w:trPr>
          <w:tblHeader/>
          <w:tblCellSpacing w:w="15" w:type="dxa"/>
        </w:trPr>
        <w:tc>
          <w:tcPr>
            <w:tcW w:w="0" w:type="auto"/>
            <w:tcBorders>
              <w:top w:val="nil"/>
              <w:bottom w:val="single" w:sz="4" w:space="0" w:color="auto"/>
            </w:tcBorders>
            <w:vAlign w:val="center"/>
            <w:hideMark/>
          </w:tcPr>
          <w:p w14:paraId="06EE8F2F" w14:textId="77777777" w:rsidR="00B71A58" w:rsidRPr="00B71A58" w:rsidRDefault="00B71A58" w:rsidP="00B71A58">
            <w:pPr>
              <w:spacing w:after="0" w:line="240" w:lineRule="auto"/>
              <w:jc w:val="center"/>
              <w:rPr>
                <w:rFonts w:ascii="Times New Roman" w:eastAsia="Times New Roman" w:hAnsi="Times New Roman" w:cs="Times New Roman"/>
                <w:b/>
                <w:bCs/>
              </w:rPr>
            </w:pPr>
            <w:r w:rsidRPr="00B71A58">
              <w:rPr>
                <w:rFonts w:ascii="Times New Roman" w:eastAsia="Times New Roman" w:hAnsi="Times New Roman" w:cs="Times New Roman"/>
                <w:b/>
                <w:bCs/>
              </w:rPr>
              <w:t>Model</w:t>
            </w:r>
          </w:p>
        </w:tc>
        <w:tc>
          <w:tcPr>
            <w:tcW w:w="2690" w:type="dxa"/>
            <w:tcBorders>
              <w:top w:val="nil"/>
              <w:bottom w:val="single" w:sz="4" w:space="0" w:color="auto"/>
            </w:tcBorders>
            <w:vAlign w:val="center"/>
            <w:hideMark/>
          </w:tcPr>
          <w:p w14:paraId="08F7C183" w14:textId="77777777" w:rsidR="00B71A58" w:rsidRPr="00B71A58" w:rsidRDefault="00B71A58" w:rsidP="00B71A58">
            <w:pPr>
              <w:spacing w:after="0" w:line="240" w:lineRule="auto"/>
              <w:jc w:val="center"/>
              <w:rPr>
                <w:rFonts w:ascii="Times New Roman" w:eastAsia="Times New Roman" w:hAnsi="Times New Roman" w:cs="Times New Roman"/>
                <w:b/>
                <w:bCs/>
              </w:rPr>
            </w:pPr>
            <w:r w:rsidRPr="00B71A58">
              <w:rPr>
                <w:rFonts w:ascii="Times New Roman" w:eastAsia="Times New Roman" w:hAnsi="Times New Roman" w:cs="Times New Roman"/>
                <w:b/>
                <w:bCs/>
              </w:rPr>
              <w:t>Coefficient / IRR (Discrimination = “Any”)</w:t>
            </w:r>
          </w:p>
        </w:tc>
        <w:tc>
          <w:tcPr>
            <w:tcW w:w="2220" w:type="dxa"/>
            <w:tcBorders>
              <w:top w:val="nil"/>
              <w:bottom w:val="single" w:sz="4" w:space="0" w:color="auto"/>
            </w:tcBorders>
            <w:vAlign w:val="center"/>
            <w:hideMark/>
          </w:tcPr>
          <w:p w14:paraId="23C7845A" w14:textId="77777777" w:rsidR="00B71A58" w:rsidRPr="00B71A58" w:rsidRDefault="00B71A58" w:rsidP="00B71A58">
            <w:pPr>
              <w:spacing w:after="0" w:line="240" w:lineRule="auto"/>
              <w:jc w:val="center"/>
              <w:rPr>
                <w:rFonts w:ascii="Times New Roman" w:eastAsia="Times New Roman" w:hAnsi="Times New Roman" w:cs="Times New Roman"/>
                <w:b/>
                <w:bCs/>
              </w:rPr>
            </w:pPr>
            <w:r w:rsidRPr="00B71A58">
              <w:rPr>
                <w:rFonts w:ascii="Times New Roman" w:eastAsia="Times New Roman" w:hAnsi="Times New Roman" w:cs="Times New Roman"/>
                <w:b/>
                <w:bCs/>
              </w:rPr>
              <w:t>95% CI (If Applicable)</w:t>
            </w:r>
          </w:p>
        </w:tc>
        <w:tc>
          <w:tcPr>
            <w:tcW w:w="600" w:type="dxa"/>
            <w:tcBorders>
              <w:top w:val="nil"/>
              <w:bottom w:val="single" w:sz="4" w:space="0" w:color="auto"/>
            </w:tcBorders>
            <w:vAlign w:val="center"/>
            <w:hideMark/>
          </w:tcPr>
          <w:p w14:paraId="382D284B" w14:textId="77777777" w:rsidR="00B71A58" w:rsidRPr="00B71A58" w:rsidRDefault="00B71A58" w:rsidP="00B71A58">
            <w:pPr>
              <w:spacing w:after="0" w:line="240" w:lineRule="auto"/>
              <w:jc w:val="center"/>
              <w:rPr>
                <w:rFonts w:ascii="Times New Roman" w:eastAsia="Times New Roman" w:hAnsi="Times New Roman" w:cs="Times New Roman"/>
                <w:b/>
                <w:bCs/>
              </w:rPr>
            </w:pPr>
            <w:r w:rsidRPr="00B71A58">
              <w:rPr>
                <w:rFonts w:ascii="Times New Roman" w:eastAsia="Times New Roman" w:hAnsi="Times New Roman" w:cs="Times New Roman"/>
                <w:b/>
                <w:bCs/>
              </w:rPr>
              <w:t>SE</w:t>
            </w:r>
          </w:p>
        </w:tc>
        <w:tc>
          <w:tcPr>
            <w:tcW w:w="840" w:type="dxa"/>
            <w:tcBorders>
              <w:top w:val="nil"/>
              <w:bottom w:val="single" w:sz="4" w:space="0" w:color="auto"/>
            </w:tcBorders>
            <w:vAlign w:val="center"/>
            <w:hideMark/>
          </w:tcPr>
          <w:p w14:paraId="376F968B" w14:textId="77777777" w:rsidR="00B71A58" w:rsidRPr="00B71A58" w:rsidRDefault="00B71A58" w:rsidP="00B71A58">
            <w:pPr>
              <w:spacing w:after="0" w:line="240" w:lineRule="auto"/>
              <w:jc w:val="center"/>
              <w:rPr>
                <w:rFonts w:ascii="Times New Roman" w:eastAsia="Times New Roman" w:hAnsi="Times New Roman" w:cs="Times New Roman"/>
                <w:b/>
                <w:bCs/>
              </w:rPr>
            </w:pPr>
            <w:r w:rsidRPr="00B71A58">
              <w:rPr>
                <w:rFonts w:ascii="Times New Roman" w:eastAsia="Times New Roman" w:hAnsi="Times New Roman" w:cs="Times New Roman"/>
                <w:b/>
                <w:bCs/>
              </w:rPr>
              <w:t>AIC</w:t>
            </w:r>
          </w:p>
        </w:tc>
        <w:tc>
          <w:tcPr>
            <w:tcW w:w="0" w:type="auto"/>
            <w:tcBorders>
              <w:top w:val="nil"/>
              <w:bottom w:val="single" w:sz="4" w:space="0" w:color="auto"/>
            </w:tcBorders>
            <w:vAlign w:val="center"/>
            <w:hideMark/>
          </w:tcPr>
          <w:p w14:paraId="4EEF2F68" w14:textId="77777777" w:rsidR="00B71A58" w:rsidRPr="00B71A58" w:rsidRDefault="00B71A58" w:rsidP="00B71A58">
            <w:pPr>
              <w:spacing w:after="0" w:line="240" w:lineRule="auto"/>
              <w:jc w:val="center"/>
              <w:rPr>
                <w:rFonts w:ascii="Times New Roman" w:eastAsia="Times New Roman" w:hAnsi="Times New Roman" w:cs="Times New Roman"/>
                <w:b/>
                <w:bCs/>
              </w:rPr>
            </w:pPr>
            <w:r w:rsidRPr="00B71A58">
              <w:rPr>
                <w:rFonts w:ascii="Times New Roman" w:eastAsia="Times New Roman" w:hAnsi="Times New Roman" w:cs="Times New Roman"/>
                <w:b/>
                <w:bCs/>
              </w:rPr>
              <w:t>N</w:t>
            </w:r>
          </w:p>
        </w:tc>
      </w:tr>
      <w:tr w:rsidR="00B71A58" w:rsidRPr="00B71A58" w14:paraId="1AA5044C" w14:textId="77777777" w:rsidTr="00B50D8A">
        <w:trPr>
          <w:tblCellSpacing w:w="15" w:type="dxa"/>
        </w:trPr>
        <w:tc>
          <w:tcPr>
            <w:tcW w:w="0" w:type="auto"/>
            <w:vAlign w:val="center"/>
            <w:hideMark/>
          </w:tcPr>
          <w:p w14:paraId="4ECACFEA"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b/>
                <w:bCs/>
              </w:rPr>
              <w:t>OLS (Robust)</w:t>
            </w:r>
          </w:p>
        </w:tc>
        <w:tc>
          <w:tcPr>
            <w:tcW w:w="2690" w:type="dxa"/>
            <w:vAlign w:val="center"/>
            <w:hideMark/>
          </w:tcPr>
          <w:p w14:paraId="55972198"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rPr>
              <w:t>**B = 0.39 ***</w:t>
            </w:r>
          </w:p>
        </w:tc>
        <w:tc>
          <w:tcPr>
            <w:tcW w:w="2220" w:type="dxa"/>
            <w:vAlign w:val="center"/>
            <w:hideMark/>
          </w:tcPr>
          <w:p w14:paraId="21F0990A"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rPr>
              <w:t>—</w:t>
            </w:r>
          </w:p>
        </w:tc>
        <w:tc>
          <w:tcPr>
            <w:tcW w:w="600" w:type="dxa"/>
            <w:vAlign w:val="center"/>
            <w:hideMark/>
          </w:tcPr>
          <w:p w14:paraId="262BDFCA"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rPr>
              <w:t>0.05</w:t>
            </w:r>
          </w:p>
        </w:tc>
        <w:tc>
          <w:tcPr>
            <w:tcW w:w="840" w:type="dxa"/>
            <w:vAlign w:val="center"/>
            <w:hideMark/>
          </w:tcPr>
          <w:p w14:paraId="7C3502F9"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rPr>
              <w:t>11,006</w:t>
            </w:r>
          </w:p>
        </w:tc>
        <w:tc>
          <w:tcPr>
            <w:tcW w:w="0" w:type="auto"/>
            <w:vAlign w:val="center"/>
            <w:hideMark/>
          </w:tcPr>
          <w:p w14:paraId="18C00C4F"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rPr>
              <w:t>3,654</w:t>
            </w:r>
          </w:p>
        </w:tc>
      </w:tr>
      <w:tr w:rsidR="00B71A58" w:rsidRPr="00B71A58" w14:paraId="169C7D30" w14:textId="77777777" w:rsidTr="00B50D8A">
        <w:trPr>
          <w:tblCellSpacing w:w="15" w:type="dxa"/>
        </w:trPr>
        <w:tc>
          <w:tcPr>
            <w:tcW w:w="0" w:type="auto"/>
            <w:vAlign w:val="center"/>
            <w:hideMark/>
          </w:tcPr>
          <w:p w14:paraId="47A2AA08"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b/>
                <w:bCs/>
              </w:rPr>
              <w:t>Poisson</w:t>
            </w:r>
          </w:p>
        </w:tc>
        <w:tc>
          <w:tcPr>
            <w:tcW w:w="2690" w:type="dxa"/>
            <w:vAlign w:val="center"/>
            <w:hideMark/>
          </w:tcPr>
          <w:p w14:paraId="4661C741"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rPr>
              <w:t>**IRR = 1.45 ***</w:t>
            </w:r>
          </w:p>
        </w:tc>
        <w:tc>
          <w:tcPr>
            <w:tcW w:w="2220" w:type="dxa"/>
            <w:vAlign w:val="center"/>
            <w:hideMark/>
          </w:tcPr>
          <w:p w14:paraId="3025D3FE"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rPr>
              <w:t>[1.34, 1.57]</w:t>
            </w:r>
          </w:p>
        </w:tc>
        <w:tc>
          <w:tcPr>
            <w:tcW w:w="600" w:type="dxa"/>
            <w:vAlign w:val="center"/>
            <w:hideMark/>
          </w:tcPr>
          <w:p w14:paraId="364286C6"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rPr>
              <w:t>0.04</w:t>
            </w:r>
          </w:p>
        </w:tc>
        <w:tc>
          <w:tcPr>
            <w:tcW w:w="840" w:type="dxa"/>
            <w:vAlign w:val="center"/>
            <w:hideMark/>
          </w:tcPr>
          <w:p w14:paraId="3139290E"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rPr>
              <w:t>9,384</w:t>
            </w:r>
          </w:p>
        </w:tc>
        <w:tc>
          <w:tcPr>
            <w:tcW w:w="0" w:type="auto"/>
            <w:vAlign w:val="center"/>
            <w:hideMark/>
          </w:tcPr>
          <w:p w14:paraId="78E8D0BB"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rPr>
              <w:t>3,654</w:t>
            </w:r>
          </w:p>
        </w:tc>
      </w:tr>
      <w:tr w:rsidR="00B71A58" w:rsidRPr="00B71A58" w14:paraId="09AF2C66" w14:textId="77777777" w:rsidTr="00B50D8A">
        <w:trPr>
          <w:tblCellSpacing w:w="15" w:type="dxa"/>
        </w:trPr>
        <w:tc>
          <w:tcPr>
            <w:tcW w:w="0" w:type="auto"/>
            <w:vAlign w:val="center"/>
            <w:hideMark/>
          </w:tcPr>
          <w:p w14:paraId="0C7B599B"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b/>
                <w:bCs/>
              </w:rPr>
              <w:t>Negative Binomial (Primary)</w:t>
            </w:r>
          </w:p>
        </w:tc>
        <w:tc>
          <w:tcPr>
            <w:tcW w:w="2690" w:type="dxa"/>
            <w:vAlign w:val="center"/>
            <w:hideMark/>
          </w:tcPr>
          <w:p w14:paraId="73294781"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rPr>
              <w:t>**IRR = 1.47 ***</w:t>
            </w:r>
          </w:p>
        </w:tc>
        <w:tc>
          <w:tcPr>
            <w:tcW w:w="2220" w:type="dxa"/>
            <w:vAlign w:val="center"/>
            <w:hideMark/>
          </w:tcPr>
          <w:p w14:paraId="11A9028C"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rPr>
              <w:t>[1.34, 1.62]</w:t>
            </w:r>
          </w:p>
        </w:tc>
        <w:tc>
          <w:tcPr>
            <w:tcW w:w="600" w:type="dxa"/>
            <w:vAlign w:val="center"/>
            <w:hideMark/>
          </w:tcPr>
          <w:p w14:paraId="1BD370E1"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rPr>
              <w:t>0.05</w:t>
            </w:r>
          </w:p>
        </w:tc>
        <w:tc>
          <w:tcPr>
            <w:tcW w:w="840" w:type="dxa"/>
            <w:vAlign w:val="center"/>
            <w:hideMark/>
          </w:tcPr>
          <w:p w14:paraId="199E2E2C"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rPr>
              <w:t>9,265</w:t>
            </w:r>
          </w:p>
        </w:tc>
        <w:tc>
          <w:tcPr>
            <w:tcW w:w="0" w:type="auto"/>
            <w:vAlign w:val="center"/>
            <w:hideMark/>
          </w:tcPr>
          <w:p w14:paraId="645E1DEE" w14:textId="77777777" w:rsidR="00B71A58" w:rsidRPr="00B71A58" w:rsidRDefault="00B71A58" w:rsidP="00B71A58">
            <w:pPr>
              <w:spacing w:after="0" w:line="240" w:lineRule="auto"/>
              <w:rPr>
                <w:rFonts w:ascii="Times New Roman" w:eastAsia="Times New Roman" w:hAnsi="Times New Roman" w:cs="Times New Roman"/>
              </w:rPr>
            </w:pPr>
            <w:r w:rsidRPr="00B71A58">
              <w:rPr>
                <w:rFonts w:ascii="Times New Roman" w:eastAsia="Times New Roman" w:hAnsi="Times New Roman" w:cs="Times New Roman"/>
              </w:rPr>
              <w:t>3,654</w:t>
            </w:r>
          </w:p>
        </w:tc>
      </w:tr>
    </w:tbl>
    <w:p w14:paraId="2046FEFA" w14:textId="77777777" w:rsidR="00B71A58" w:rsidRPr="00B71A58" w:rsidRDefault="00B71A58" w:rsidP="00B71A58">
      <w:pPr>
        <w:spacing w:after="0" w:line="240" w:lineRule="auto"/>
        <w:rPr>
          <w:rFonts w:ascii="Times New Roman" w:eastAsia="Times New Roman" w:hAnsi="Times New Roman" w:cs="Times New Roman"/>
          <w:sz w:val="20"/>
          <w:szCs w:val="20"/>
        </w:rPr>
      </w:pPr>
      <w:r w:rsidRPr="00B71A58">
        <w:rPr>
          <w:rFonts w:ascii="Times New Roman" w:eastAsia="Times New Roman" w:hAnsi="Times New Roman" w:cs="Times New Roman"/>
          <w:b/>
          <w:bCs/>
          <w:i/>
          <w:iCs/>
          <w:sz w:val="20"/>
          <w:szCs w:val="20"/>
        </w:rPr>
        <w:t>Note.</w:t>
      </w:r>
      <w:r w:rsidRPr="00B71A58">
        <w:rPr>
          <w:rFonts w:ascii="Times New Roman" w:eastAsia="Times New Roman" w:hAnsi="Times New Roman" w:cs="Times New Roman"/>
          <w:sz w:val="20"/>
          <w:szCs w:val="20"/>
        </w:rPr>
        <w:t xml:space="preserve"> OLS model estimated using robust (HC3) standard errors. Poisson and Negative Binomial models estimated via maximum likelihood. IRR = incidence-rate ratio. **</w:t>
      </w:r>
      <w:r w:rsidRPr="00B71A58">
        <w:rPr>
          <w:rFonts w:ascii="Times New Roman" w:eastAsia="Times New Roman" w:hAnsi="Times New Roman" w:cs="Times New Roman"/>
          <w:i/>
          <w:iCs/>
          <w:sz w:val="20"/>
          <w:szCs w:val="20"/>
        </w:rPr>
        <w:t>p &lt; .001.</w:t>
      </w:r>
    </w:p>
    <w:p w14:paraId="3429AA41" w14:textId="3D7547B2" w:rsidR="00B71A58" w:rsidRPr="00B71A58" w:rsidRDefault="00B71A58">
      <w:pPr>
        <w:rPr>
          <w:rFonts w:ascii="Times New Roman" w:hAnsi="Times New Roman" w:cs="Times New Roman"/>
        </w:rPr>
      </w:pPr>
    </w:p>
    <w:p w14:paraId="574C4776" w14:textId="529A56FC" w:rsidR="00B71A58" w:rsidRPr="00B71A58" w:rsidRDefault="00B71A58" w:rsidP="00B71A58">
      <w:pPr>
        <w:ind w:firstLine="720"/>
        <w:rPr>
          <w:rFonts w:ascii="Times New Roman" w:hAnsi="Times New Roman" w:cs="Times New Roman"/>
        </w:rPr>
      </w:pPr>
      <w:r w:rsidRPr="00B71A58">
        <w:rPr>
          <w:rFonts w:ascii="Times New Roman" w:hAnsi="Times New Roman" w:cs="Times New Roman"/>
        </w:rPr>
        <w:t xml:space="preserve">To verify the stability of the discrimination effect across different distributional assumptions, ordinary least squares (OLS), Poisson, and negative binomial (NB) models were estimated using identical covariates. As shown in Table A1, the estimated discrimination effect was substantively consistent across specifications, with OLS coefficients and count-model incidence-rate ratios differing by less than 0.02 in magnitude. Model fit indices improved markedly under the count specifications (AIC = 9,384 for Poisson; 9,265 for NB) relative to OLS (11,006), supporting the appropriateness of the NB model given overdispersion in the outcome. </w:t>
      </w:r>
      <w:r w:rsidR="002C45CD" w:rsidRPr="002C45CD">
        <w:rPr>
          <w:rFonts w:ascii="Times New Roman" w:hAnsi="Times New Roman" w:cs="Times New Roman"/>
        </w:rPr>
        <w:t>These robustness checks confirm that the central finding that perceived discrimination is the strongest and most consistent predictor of healthcare access barriers among resettled refugees is not an artifact of model specification.</w:t>
      </w:r>
    </w:p>
    <w:sectPr w:rsidR="00B71A58" w:rsidRPr="00B71A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A58"/>
    <w:rsid w:val="002C45CD"/>
    <w:rsid w:val="002D13D7"/>
    <w:rsid w:val="00826FD1"/>
    <w:rsid w:val="00B50D8A"/>
    <w:rsid w:val="00B71A58"/>
    <w:rsid w:val="00CD31A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03A3"/>
  <w15:chartTrackingRefBased/>
  <w15:docId w15:val="{120BE12A-8185-4A48-A1B0-7C06315E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autoRedefine/>
    <w:uiPriority w:val="9"/>
    <w:unhideWhenUsed/>
    <w:qFormat/>
    <w:rsid w:val="002D13D7"/>
    <w:pPr>
      <w:keepNext/>
      <w:keepLines/>
      <w:spacing w:after="0" w:line="240" w:lineRule="auto"/>
      <w:contextualSpacing/>
      <w:outlineLvl w:val="2"/>
    </w:pPr>
    <w:rPr>
      <w:rFonts w:ascii="Times New Roman" w:eastAsiaTheme="majorEastAsia" w:hAnsi="Times New Roman" w:cstheme="majorBidi"/>
      <w:color w:val="2F5496"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D13D7"/>
    <w:rPr>
      <w:rFonts w:ascii="Times New Roman" w:eastAsiaTheme="majorEastAsia" w:hAnsi="Times New Roman" w:cstheme="majorBidi"/>
      <w:color w:val="2F5496" w:themeColor="accent1" w:themeShade="BF"/>
      <w:szCs w:val="28"/>
    </w:rPr>
  </w:style>
  <w:style w:type="paragraph" w:styleId="NormalWeb">
    <w:name w:val="Normal (Web)"/>
    <w:basedOn w:val="Normal"/>
    <w:uiPriority w:val="99"/>
    <w:semiHidden/>
    <w:unhideWhenUsed/>
    <w:rsid w:val="00B71A5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71A58"/>
    <w:rPr>
      <w:i/>
      <w:iCs/>
    </w:rPr>
  </w:style>
  <w:style w:type="character" w:styleId="Strong">
    <w:name w:val="Strong"/>
    <w:basedOn w:val="DefaultParagraphFont"/>
    <w:uiPriority w:val="22"/>
    <w:qFormat/>
    <w:rsid w:val="00B71A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232661">
      <w:bodyDiv w:val="1"/>
      <w:marLeft w:val="0"/>
      <w:marRight w:val="0"/>
      <w:marTop w:val="0"/>
      <w:marBottom w:val="0"/>
      <w:divBdr>
        <w:top w:val="none" w:sz="0" w:space="0" w:color="auto"/>
        <w:left w:val="none" w:sz="0" w:space="0" w:color="auto"/>
        <w:bottom w:val="none" w:sz="0" w:space="0" w:color="auto"/>
        <w:right w:val="none" w:sz="0" w:space="0" w:color="auto"/>
      </w:divBdr>
    </w:div>
    <w:div w:id="1033458029">
      <w:bodyDiv w:val="1"/>
      <w:marLeft w:val="0"/>
      <w:marRight w:val="0"/>
      <w:marTop w:val="0"/>
      <w:marBottom w:val="0"/>
      <w:divBdr>
        <w:top w:val="none" w:sz="0" w:space="0" w:color="auto"/>
        <w:left w:val="none" w:sz="0" w:space="0" w:color="auto"/>
        <w:bottom w:val="none" w:sz="0" w:space="0" w:color="auto"/>
        <w:right w:val="none" w:sz="0" w:space="0" w:color="auto"/>
      </w:divBdr>
      <w:divsChild>
        <w:div w:id="851802497">
          <w:marLeft w:val="0"/>
          <w:marRight w:val="0"/>
          <w:marTop w:val="0"/>
          <w:marBottom w:val="0"/>
          <w:divBdr>
            <w:top w:val="none" w:sz="0" w:space="0" w:color="auto"/>
            <w:left w:val="none" w:sz="0" w:space="0" w:color="auto"/>
            <w:bottom w:val="none" w:sz="0" w:space="0" w:color="auto"/>
            <w:right w:val="none" w:sz="0" w:space="0" w:color="auto"/>
          </w:divBdr>
          <w:divsChild>
            <w:div w:id="897323507">
              <w:marLeft w:val="0"/>
              <w:marRight w:val="0"/>
              <w:marTop w:val="0"/>
              <w:marBottom w:val="0"/>
              <w:divBdr>
                <w:top w:val="none" w:sz="0" w:space="0" w:color="auto"/>
                <w:left w:val="none" w:sz="0" w:space="0" w:color="auto"/>
                <w:bottom w:val="none" w:sz="0" w:space="0" w:color="auto"/>
                <w:right w:val="none" w:sz="0" w:space="0" w:color="auto"/>
              </w:divBdr>
            </w:div>
          </w:divsChild>
        </w:div>
        <w:div w:id="1912419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9375971">
      <w:bodyDiv w:val="1"/>
      <w:marLeft w:val="0"/>
      <w:marRight w:val="0"/>
      <w:marTop w:val="0"/>
      <w:marBottom w:val="0"/>
      <w:divBdr>
        <w:top w:val="none" w:sz="0" w:space="0" w:color="auto"/>
        <w:left w:val="none" w:sz="0" w:space="0" w:color="auto"/>
        <w:bottom w:val="none" w:sz="0" w:space="0" w:color="auto"/>
        <w:right w:val="none" w:sz="0" w:space="0" w:color="auto"/>
      </w:divBdr>
      <w:divsChild>
        <w:div w:id="1286305602">
          <w:marLeft w:val="0"/>
          <w:marRight w:val="0"/>
          <w:marTop w:val="0"/>
          <w:marBottom w:val="0"/>
          <w:divBdr>
            <w:top w:val="none" w:sz="0" w:space="0" w:color="auto"/>
            <w:left w:val="none" w:sz="0" w:space="0" w:color="auto"/>
            <w:bottom w:val="none" w:sz="0" w:space="0" w:color="auto"/>
            <w:right w:val="none" w:sz="0" w:space="0" w:color="auto"/>
          </w:divBdr>
          <w:divsChild>
            <w:div w:id="1916544491">
              <w:marLeft w:val="0"/>
              <w:marRight w:val="0"/>
              <w:marTop w:val="0"/>
              <w:marBottom w:val="0"/>
              <w:divBdr>
                <w:top w:val="none" w:sz="0" w:space="0" w:color="auto"/>
                <w:left w:val="none" w:sz="0" w:space="0" w:color="auto"/>
                <w:bottom w:val="none" w:sz="0" w:space="0" w:color="auto"/>
                <w:right w:val="none" w:sz="0" w:space="0" w:color="auto"/>
              </w:divBdr>
            </w:div>
          </w:divsChild>
        </w:div>
        <w:div w:id="1126894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81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207</Words>
  <Characters>1182</Characters>
  <Application>Microsoft Office Word</Application>
  <DocSecurity>0</DocSecurity>
  <Lines>9</Lines>
  <Paragraphs>2</Paragraphs>
  <ScaleCrop>false</ScaleCrop>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Hyojin Im</dc:creator>
  <cp:keywords/>
  <dc:description/>
  <cp:lastModifiedBy>Hyojin Im</cp:lastModifiedBy>
  <cp:revision>6</cp:revision>
  <dcterms:created xsi:type="dcterms:W3CDTF">2025-10-14T20:30:00Z</dcterms:created>
  <dcterms:modified xsi:type="dcterms:W3CDTF">2025-10-15T13:27:00Z</dcterms:modified>
</cp:coreProperties>
</file>