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BC810" w14:textId="77777777" w:rsidR="00482C9E" w:rsidRPr="00482C9E" w:rsidRDefault="00482C9E" w:rsidP="00482C9E">
      <w:pPr>
        <w:spacing w:after="0" w:line="240" w:lineRule="auto"/>
        <w:jc w:val="center"/>
        <w:rPr>
          <w:rFonts w:asciiTheme="majorBidi" w:eastAsiaTheme="minorEastAsia" w:hAnsiTheme="majorBidi" w:cs="Arial"/>
          <w:b/>
          <w:color w:val="000000" w:themeColor="text1"/>
          <w:sz w:val="24"/>
          <w:szCs w:val="24"/>
          <w:lang w:val="en-US"/>
        </w:rPr>
      </w:pPr>
      <w:bookmarkStart w:id="0" w:name="_Hlk218547794"/>
      <w:bookmarkEnd w:id="0"/>
      <w:r w:rsidRPr="00482C9E">
        <w:rPr>
          <w:rFonts w:asciiTheme="majorBidi" w:eastAsiaTheme="minorEastAsia" w:hAnsiTheme="majorBidi" w:cs="Arial"/>
          <w:b/>
          <w:color w:val="000000" w:themeColor="text1"/>
          <w:sz w:val="24"/>
          <w:szCs w:val="24"/>
          <w:lang w:val="en-US"/>
        </w:rPr>
        <w:t>Additional File 3. Monthly age- and sex-standardized percentages of all antibiotic dispensations that are a fluoroquinolone</w:t>
      </w:r>
    </w:p>
    <w:p w14:paraId="2A86F3B7" w14:textId="77777777" w:rsidR="00482C9E" w:rsidRPr="00482C9E" w:rsidRDefault="00482C9E" w:rsidP="00482C9E">
      <w:pPr>
        <w:spacing w:after="0" w:line="240" w:lineRule="auto"/>
        <w:rPr>
          <w:rFonts w:asciiTheme="majorBidi" w:eastAsiaTheme="minorEastAsia" w:hAnsiTheme="majorBidi" w:cs="Arial"/>
          <w:b/>
          <w:color w:val="000000" w:themeColor="text1"/>
          <w:sz w:val="24"/>
          <w:szCs w:val="24"/>
          <w:lang w:val="en-US"/>
        </w:rPr>
      </w:pPr>
    </w:p>
    <w:p w14:paraId="12F8429E" w14:textId="4890BEBE" w:rsidR="0020761D" w:rsidRDefault="0020761D">
      <w:pPr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</w:pPr>
      <w:r w:rsidRPr="00482C9E">
        <w:rPr>
          <w:rFonts w:asciiTheme="majorBidi" w:eastAsiaTheme="minorEastAsia" w:hAnsiTheme="majorBidi" w:cs="Arial"/>
          <w:b/>
          <w:color w:val="000000" w:themeColor="text1"/>
          <w:sz w:val="24"/>
          <w:szCs w:val="24"/>
          <w:lang w:val="en-US"/>
        </w:rPr>
        <w:t xml:space="preserve">Figure </w:t>
      </w:r>
      <w:r>
        <w:rPr>
          <w:rFonts w:asciiTheme="majorBidi" w:eastAsiaTheme="minorEastAsia" w:hAnsiTheme="majorBidi" w:cs="Arial"/>
          <w:b/>
          <w:color w:val="000000" w:themeColor="text1"/>
          <w:sz w:val="24"/>
          <w:szCs w:val="24"/>
          <w:lang w:val="en-US"/>
        </w:rPr>
        <w:t>1</w:t>
      </w:r>
      <w:r w:rsidRPr="00482C9E">
        <w:rPr>
          <w:rFonts w:asciiTheme="majorBidi" w:eastAsiaTheme="minorEastAsia" w:hAnsiTheme="majorBidi" w:cs="Arial"/>
          <w:b/>
          <w:color w:val="000000" w:themeColor="text1"/>
          <w:sz w:val="24"/>
          <w:szCs w:val="24"/>
          <w:lang w:val="en-US"/>
        </w:rPr>
        <w:t xml:space="preserve">: </w:t>
      </w:r>
      <w:r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>Overall</w:t>
      </w:r>
      <w:r w:rsidRPr="004343A8"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 xml:space="preserve"> </w:t>
      </w:r>
      <w:r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 xml:space="preserve">smoothed </w:t>
      </w:r>
      <w:r w:rsidRPr="004343A8"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 xml:space="preserve">trends in age- and sex-adjusted fluoroquinolone dispensation percentages by principal indication </w:t>
      </w:r>
    </w:p>
    <w:p w14:paraId="6E5C1B94" w14:textId="69331B79" w:rsidR="0020761D" w:rsidRDefault="00541B78" w:rsidP="0020761D">
      <w:pPr>
        <w:pStyle w:val="BodyCopyWorking"/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</w:pPr>
      <w:r>
        <w:rPr>
          <w:rFonts w:asciiTheme="majorBidi" w:eastAsia="MS Mincho" w:hAnsiTheme="majorBidi" w:cstheme="majorBidi"/>
          <w:bCs/>
          <w:noProof/>
          <w:color w:val="000000" w:themeColor="text1"/>
          <w:sz w:val="24"/>
          <w:szCs w:val="24"/>
          <w:lang w:val="en-CA"/>
        </w:rPr>
        <w:drawing>
          <wp:inline distT="0" distB="0" distL="0" distR="0" wp14:anchorId="68B1EAB7" wp14:editId="7A8C9DE0">
            <wp:extent cx="5943600" cy="3634105"/>
            <wp:effectExtent l="0" t="0" r="0" b="4445"/>
            <wp:docPr id="860932242" name="Picture 1" descr="A graph showing the number of years and ye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932242" name="Picture 1" descr="A graph showing the number of years and year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761D" w:rsidRPr="004343A8"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 xml:space="preserve"> </w:t>
      </w:r>
    </w:p>
    <w:p w14:paraId="12B285BC" w14:textId="6245FB1D" w:rsidR="0020761D" w:rsidRPr="004343A8" w:rsidRDefault="0020761D" w:rsidP="0020761D">
      <w:pPr>
        <w:pStyle w:val="BodyCopyWorking"/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</w:pPr>
      <w:r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 xml:space="preserve">Note: </w:t>
      </w:r>
      <w:r w:rsidRPr="004343A8"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 xml:space="preserve">Monthly values were averaged across provinces; </w:t>
      </w:r>
      <w:r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 xml:space="preserve">smoothed trend </w:t>
      </w:r>
      <w:r w:rsidRPr="004343A8"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 xml:space="preserve">lines </w:t>
      </w:r>
      <w:r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 xml:space="preserve">were produced using </w:t>
      </w:r>
      <w:r w:rsidRPr="0020761D"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 xml:space="preserve">Locally Estimated Scatterplot Smoothing </w:t>
      </w:r>
      <w:r w:rsidRPr="004343A8"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>(</w:t>
      </w:r>
      <w:r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>LOESS)</w:t>
      </w:r>
      <w:r w:rsidRPr="004343A8"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>. AECOPD = acute exacerbation of chronic obstructive pulmonary disease; UTI = urinary tract infection</w:t>
      </w:r>
      <w:r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>;</w:t>
      </w:r>
      <w:r w:rsidRPr="0020761D"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 xml:space="preserve"> </w:t>
      </w:r>
      <w:r w:rsidRPr="004343A8"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 xml:space="preserve">ABS = acute bacterial </w:t>
      </w:r>
      <w:proofErr w:type="gramStart"/>
      <w:r w:rsidRPr="004343A8"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>sinusitis;;</w:t>
      </w:r>
      <w:proofErr w:type="gramEnd"/>
      <w:r w:rsidRPr="004343A8">
        <w:rPr>
          <w:rFonts w:asciiTheme="majorBidi" w:eastAsia="MS Mincho" w:hAnsiTheme="majorBidi" w:cstheme="majorBidi"/>
          <w:bCs/>
          <w:color w:val="000000" w:themeColor="text1"/>
          <w:sz w:val="24"/>
          <w:szCs w:val="24"/>
          <w:lang w:val="en-CA"/>
        </w:rPr>
        <w:t xml:space="preserve"> RMM = risk mitigation measure.</w:t>
      </w:r>
    </w:p>
    <w:p w14:paraId="66F8D05A" w14:textId="5AFE0FD5" w:rsidR="0020761D" w:rsidRDefault="0020761D">
      <w:pPr>
        <w:rPr>
          <w:rFonts w:asciiTheme="majorBidi" w:eastAsiaTheme="minorEastAsia" w:hAnsiTheme="majorBidi" w:cs="Arial"/>
          <w:b/>
          <w:color w:val="000000" w:themeColor="text1"/>
          <w:sz w:val="24"/>
          <w:szCs w:val="24"/>
          <w:lang w:val="en-US"/>
        </w:rPr>
      </w:pPr>
      <w:r>
        <w:rPr>
          <w:rFonts w:asciiTheme="majorBidi" w:eastAsiaTheme="minorEastAsia" w:hAnsiTheme="majorBidi" w:cs="Arial"/>
          <w:b/>
          <w:color w:val="000000" w:themeColor="text1"/>
          <w:sz w:val="24"/>
          <w:szCs w:val="24"/>
          <w:lang w:val="en-US"/>
        </w:rPr>
        <w:br w:type="page"/>
      </w:r>
    </w:p>
    <w:p w14:paraId="16408E85" w14:textId="6A9B682F" w:rsidR="00482C9E" w:rsidRPr="00482C9E" w:rsidRDefault="00482C9E" w:rsidP="00482C9E">
      <w:pPr>
        <w:spacing w:after="0" w:line="240" w:lineRule="auto"/>
        <w:rPr>
          <w:rFonts w:asciiTheme="majorBidi" w:eastAsiaTheme="minorEastAsia" w:hAnsiTheme="majorBidi" w:cs="Arial"/>
          <w:b/>
          <w:color w:val="000000" w:themeColor="text1"/>
          <w:sz w:val="24"/>
          <w:szCs w:val="24"/>
          <w:lang w:val="en-US"/>
        </w:rPr>
      </w:pPr>
      <w:bookmarkStart w:id="1" w:name="_Hlk218547640"/>
      <w:r w:rsidRPr="00482C9E">
        <w:rPr>
          <w:rFonts w:asciiTheme="majorBidi" w:eastAsiaTheme="minorEastAsia" w:hAnsiTheme="majorBidi" w:cs="Arial"/>
          <w:b/>
          <w:color w:val="000000" w:themeColor="text1"/>
          <w:sz w:val="24"/>
          <w:szCs w:val="24"/>
          <w:lang w:val="en-US"/>
        </w:rPr>
        <w:lastRenderedPageBreak/>
        <w:t xml:space="preserve">Figure </w:t>
      </w:r>
      <w:r w:rsidR="0020761D">
        <w:rPr>
          <w:rFonts w:asciiTheme="majorBidi" w:eastAsiaTheme="minorEastAsia" w:hAnsiTheme="majorBidi" w:cs="Arial"/>
          <w:b/>
          <w:color w:val="000000" w:themeColor="text1"/>
          <w:sz w:val="24"/>
          <w:szCs w:val="24"/>
          <w:lang w:val="en-US"/>
        </w:rPr>
        <w:t>2</w:t>
      </w:r>
      <w:r w:rsidRPr="00482C9E">
        <w:rPr>
          <w:rFonts w:asciiTheme="majorBidi" w:eastAsiaTheme="minorEastAsia" w:hAnsiTheme="majorBidi" w:cs="Arial"/>
          <w:b/>
          <w:color w:val="000000" w:themeColor="text1"/>
          <w:sz w:val="24"/>
          <w:szCs w:val="24"/>
          <w:lang w:val="en-US"/>
        </w:rPr>
        <w:t>: Monthly percentages for the ABS indication by province and RMM segment</w:t>
      </w:r>
      <w:bookmarkEnd w:id="1"/>
    </w:p>
    <w:p w14:paraId="45A85264" w14:textId="77777777" w:rsidR="00482C9E" w:rsidRPr="00482C9E" w:rsidRDefault="00482C9E" w:rsidP="00482C9E">
      <w:pPr>
        <w:spacing w:after="0" w:line="240" w:lineRule="auto"/>
        <w:rPr>
          <w:rFonts w:asciiTheme="majorBidi" w:eastAsiaTheme="minorEastAsia" w:hAnsiTheme="majorBidi" w:cs="Arial"/>
          <w:color w:val="000000" w:themeColor="text1"/>
          <w:sz w:val="24"/>
          <w:szCs w:val="24"/>
          <w:lang w:val="en-US"/>
        </w:rPr>
      </w:pPr>
    </w:p>
    <w:p w14:paraId="656DAA81" w14:textId="259FEAD0" w:rsidR="00482C9E" w:rsidRPr="00482C9E" w:rsidRDefault="0020761D" w:rsidP="00482C9E">
      <w:pPr>
        <w:spacing w:after="0" w:line="240" w:lineRule="auto"/>
        <w:rPr>
          <w:rFonts w:asciiTheme="majorBidi" w:eastAsiaTheme="minorEastAsia" w:hAnsiTheme="majorBidi" w:cs="Arial"/>
          <w:color w:val="000000" w:themeColor="text1"/>
          <w:sz w:val="24"/>
          <w:szCs w:val="24"/>
          <w:lang w:val="en-US"/>
        </w:rPr>
      </w:pPr>
      <w:r>
        <w:rPr>
          <w:rFonts w:asciiTheme="majorBidi" w:eastAsiaTheme="minorEastAsia" w:hAnsiTheme="majorBidi" w:cs="Arial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3820CA37" wp14:editId="5DC6906F">
            <wp:extent cx="5944235" cy="2822575"/>
            <wp:effectExtent l="0" t="0" r="0" b="0"/>
            <wp:docPr id="1179487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282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331172" w14:textId="77777777" w:rsidR="00482C9E" w:rsidRPr="00482C9E" w:rsidRDefault="00482C9E" w:rsidP="00482C9E">
      <w:pPr>
        <w:spacing w:after="200" w:line="276" w:lineRule="auto"/>
        <w:rPr>
          <w:rFonts w:asciiTheme="majorBidi" w:eastAsiaTheme="minorEastAsia" w:hAnsiTheme="majorBidi" w:cstheme="majorBidi"/>
          <w:sz w:val="24"/>
          <w:szCs w:val="24"/>
          <w:lang w:val="en-US"/>
        </w:rPr>
      </w:pPr>
      <w:r w:rsidRPr="00482C9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Note: Data available in Nova Scotia and Ontario for ≥ 66 years, and in other provinces for ≥ 18 years. Percentages are for four fluoroquinolones: ciprofloxacin, levofloxacin, moxifloxacin, norfloxacin. ABS = acute bacterial sinusitis; RMM = risk mitigation measure.</w:t>
      </w:r>
      <w:r w:rsidRPr="00482C9E">
        <w:rPr>
          <w:rFonts w:asciiTheme="majorBidi" w:eastAsiaTheme="minorEastAsia" w:hAnsiTheme="majorBidi" w:cstheme="majorBidi"/>
          <w:sz w:val="24"/>
          <w:szCs w:val="24"/>
          <w:lang w:val="en-US"/>
        </w:rPr>
        <w:br w:type="page"/>
      </w:r>
    </w:p>
    <w:p w14:paraId="3131228C" w14:textId="04074D9B" w:rsidR="00482C9E" w:rsidRPr="00482C9E" w:rsidRDefault="00482C9E" w:rsidP="00482C9E">
      <w:pPr>
        <w:spacing w:after="200" w:line="276" w:lineRule="auto"/>
        <w:rPr>
          <w:rFonts w:asciiTheme="majorBidi" w:eastAsiaTheme="minorEastAsia" w:hAnsiTheme="majorBidi" w:cstheme="majorBidi"/>
          <w:b/>
          <w:sz w:val="24"/>
          <w:szCs w:val="24"/>
          <w:lang w:val="en-US"/>
        </w:rPr>
      </w:pPr>
      <w:r w:rsidRPr="00482C9E">
        <w:rPr>
          <w:rFonts w:asciiTheme="majorBidi" w:eastAsiaTheme="minorEastAsia" w:hAnsiTheme="majorBidi" w:cstheme="majorBidi"/>
          <w:b/>
          <w:sz w:val="24"/>
          <w:szCs w:val="24"/>
          <w:lang w:val="en-US"/>
        </w:rPr>
        <w:lastRenderedPageBreak/>
        <w:t xml:space="preserve">Figure </w:t>
      </w:r>
      <w:r w:rsidR="0020761D">
        <w:rPr>
          <w:rFonts w:asciiTheme="majorBidi" w:eastAsiaTheme="minorEastAsia" w:hAnsiTheme="majorBidi" w:cstheme="majorBidi"/>
          <w:b/>
          <w:sz w:val="24"/>
          <w:szCs w:val="24"/>
          <w:lang w:val="en-US"/>
        </w:rPr>
        <w:t>3</w:t>
      </w:r>
      <w:r w:rsidRPr="00482C9E">
        <w:rPr>
          <w:rFonts w:asciiTheme="majorBidi" w:eastAsiaTheme="minorEastAsia" w:hAnsiTheme="majorBidi" w:cstheme="majorBidi"/>
          <w:b/>
          <w:sz w:val="24"/>
          <w:szCs w:val="24"/>
          <w:lang w:val="en-US"/>
        </w:rPr>
        <w:t xml:space="preserve">: Monthly percentages for the AECOPD indication by province and RMM segment </w:t>
      </w:r>
    </w:p>
    <w:p w14:paraId="4507306C" w14:textId="5E868091" w:rsidR="00482C9E" w:rsidRPr="00482C9E" w:rsidRDefault="0020761D" w:rsidP="00482C9E">
      <w:pPr>
        <w:spacing w:after="200" w:line="276" w:lineRule="auto"/>
        <w:rPr>
          <w:rFonts w:asciiTheme="majorBidi" w:eastAsiaTheme="minorEastAsia" w:hAnsiTheme="majorBidi" w:cstheme="majorBidi"/>
          <w:sz w:val="24"/>
          <w:szCs w:val="24"/>
          <w:lang w:val="en-US"/>
        </w:rPr>
      </w:pPr>
      <w:r>
        <w:rPr>
          <w:rFonts w:asciiTheme="majorBidi" w:eastAsiaTheme="minorEastAsia" w:hAnsiTheme="majorBidi" w:cstheme="majorBidi"/>
          <w:noProof/>
          <w:sz w:val="24"/>
          <w:szCs w:val="24"/>
          <w:lang w:val="en-US"/>
        </w:rPr>
        <w:drawing>
          <wp:inline distT="0" distB="0" distL="0" distR="0" wp14:anchorId="397EA6FE" wp14:editId="0BABF299">
            <wp:extent cx="5944235" cy="2792095"/>
            <wp:effectExtent l="0" t="0" r="0" b="8255"/>
            <wp:docPr id="10866512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279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D977BA" w14:textId="77777777" w:rsidR="00482C9E" w:rsidRPr="00482C9E" w:rsidRDefault="00482C9E" w:rsidP="00482C9E">
      <w:pPr>
        <w:spacing w:after="200" w:line="276" w:lineRule="auto"/>
        <w:rPr>
          <w:rFonts w:asciiTheme="majorBidi" w:eastAsiaTheme="minorEastAsia" w:hAnsiTheme="majorBidi" w:cstheme="majorBidi"/>
          <w:sz w:val="24"/>
          <w:szCs w:val="24"/>
          <w:lang w:val="en-US"/>
        </w:rPr>
      </w:pPr>
      <w:r w:rsidRPr="00482C9E">
        <w:rPr>
          <w:rFonts w:asciiTheme="majorBidi" w:eastAsiaTheme="minorEastAsia" w:hAnsiTheme="majorBidi" w:cstheme="majorBidi"/>
          <w:sz w:val="24"/>
          <w:szCs w:val="24"/>
          <w:lang w:val="en-US"/>
        </w:rPr>
        <w:t xml:space="preserve">Note: Data available for ≥ 66 years. Percentages are for four fluoroquinolones: ciprofloxacin, levofloxacin, moxifloxacin, norfloxacin. AECOPD = acute exacerbation of </w:t>
      </w:r>
      <w:r w:rsidRPr="00482C9E">
        <w:rPr>
          <w:rFonts w:asciiTheme="majorBidi" w:eastAsia="MS Mincho" w:hAnsiTheme="majorBidi" w:cstheme="majorBidi"/>
          <w:color w:val="000000" w:themeColor="text1"/>
          <w:sz w:val="24"/>
          <w:szCs w:val="24"/>
        </w:rPr>
        <w:t>chronic obstructive pulmonary disease</w:t>
      </w:r>
      <w:r w:rsidRPr="00482C9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; RMM = risk mitigation measure.</w:t>
      </w:r>
    </w:p>
    <w:p w14:paraId="14D2E1E8" w14:textId="77777777" w:rsidR="00482C9E" w:rsidRPr="00482C9E" w:rsidRDefault="00482C9E" w:rsidP="00482C9E">
      <w:pPr>
        <w:spacing w:after="200" w:line="276" w:lineRule="auto"/>
        <w:rPr>
          <w:rFonts w:asciiTheme="majorBidi" w:eastAsiaTheme="minorEastAsia" w:hAnsiTheme="majorBidi" w:cstheme="majorBidi"/>
          <w:sz w:val="24"/>
          <w:szCs w:val="24"/>
          <w:lang w:val="en-US"/>
        </w:rPr>
      </w:pPr>
      <w:r w:rsidRPr="00482C9E">
        <w:rPr>
          <w:rFonts w:asciiTheme="majorBidi" w:eastAsiaTheme="minorEastAsia" w:hAnsiTheme="majorBidi" w:cstheme="majorBidi"/>
          <w:sz w:val="24"/>
          <w:szCs w:val="24"/>
          <w:lang w:val="en-US"/>
        </w:rPr>
        <w:br w:type="page"/>
      </w:r>
    </w:p>
    <w:p w14:paraId="793131C2" w14:textId="4F12CE81" w:rsidR="00482C9E" w:rsidRPr="00482C9E" w:rsidRDefault="00482C9E" w:rsidP="00482C9E">
      <w:pPr>
        <w:spacing w:after="200" w:line="276" w:lineRule="auto"/>
        <w:rPr>
          <w:rFonts w:asciiTheme="majorBidi" w:eastAsiaTheme="minorEastAsia" w:hAnsiTheme="majorBidi" w:cstheme="majorBidi"/>
          <w:b/>
          <w:sz w:val="24"/>
          <w:szCs w:val="24"/>
          <w:lang w:val="en-US"/>
        </w:rPr>
      </w:pPr>
      <w:r w:rsidRPr="00482C9E">
        <w:rPr>
          <w:rFonts w:asciiTheme="majorBidi" w:eastAsiaTheme="minorEastAsia" w:hAnsiTheme="majorBidi" w:cstheme="majorBidi"/>
          <w:b/>
          <w:sz w:val="24"/>
          <w:szCs w:val="24"/>
          <w:lang w:val="en-US"/>
        </w:rPr>
        <w:lastRenderedPageBreak/>
        <w:t xml:space="preserve">Figure </w:t>
      </w:r>
      <w:r w:rsidR="0020761D">
        <w:rPr>
          <w:rFonts w:asciiTheme="majorBidi" w:eastAsiaTheme="minorEastAsia" w:hAnsiTheme="majorBidi" w:cstheme="majorBidi"/>
          <w:b/>
          <w:sz w:val="24"/>
          <w:szCs w:val="24"/>
          <w:lang w:val="en-US"/>
        </w:rPr>
        <w:t>4</w:t>
      </w:r>
      <w:r w:rsidRPr="00482C9E">
        <w:rPr>
          <w:rFonts w:asciiTheme="majorBidi" w:eastAsiaTheme="minorEastAsia" w:hAnsiTheme="majorBidi" w:cstheme="majorBidi"/>
          <w:b/>
          <w:sz w:val="24"/>
          <w:szCs w:val="24"/>
          <w:lang w:val="en-US"/>
        </w:rPr>
        <w:t xml:space="preserve">: Monthly percentages for the UTI indication by province and RMM segment </w:t>
      </w:r>
    </w:p>
    <w:p w14:paraId="6F4ECD52" w14:textId="27678264" w:rsidR="00482C9E" w:rsidRPr="00482C9E" w:rsidRDefault="0020761D" w:rsidP="00482C9E">
      <w:pPr>
        <w:spacing w:after="200" w:line="276" w:lineRule="auto"/>
        <w:rPr>
          <w:rFonts w:asciiTheme="majorBidi" w:eastAsiaTheme="minorEastAsia" w:hAnsiTheme="majorBidi" w:cstheme="majorBidi"/>
          <w:b/>
          <w:sz w:val="24"/>
          <w:szCs w:val="24"/>
          <w:lang w:val="en-US"/>
        </w:rPr>
      </w:pPr>
      <w:r>
        <w:rPr>
          <w:rFonts w:asciiTheme="majorBidi" w:eastAsiaTheme="minorEastAsia" w:hAnsiTheme="majorBidi" w:cstheme="majorBidi"/>
          <w:b/>
          <w:noProof/>
          <w:sz w:val="24"/>
          <w:szCs w:val="24"/>
          <w:lang w:val="en-US"/>
        </w:rPr>
        <w:drawing>
          <wp:inline distT="0" distB="0" distL="0" distR="0" wp14:anchorId="086DAF54" wp14:editId="3C0BAFE4">
            <wp:extent cx="5944235" cy="2798445"/>
            <wp:effectExtent l="0" t="0" r="0" b="1905"/>
            <wp:docPr id="15069296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279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27A7B8" w14:textId="77777777" w:rsidR="00482C9E" w:rsidRPr="00482C9E" w:rsidRDefault="00482C9E" w:rsidP="00482C9E">
      <w:pPr>
        <w:spacing w:after="200" w:line="276" w:lineRule="auto"/>
        <w:rPr>
          <w:rFonts w:eastAsiaTheme="minorEastAsia"/>
          <w:lang w:val="en-US"/>
        </w:rPr>
      </w:pPr>
      <w:r w:rsidRPr="00482C9E">
        <w:rPr>
          <w:rFonts w:asciiTheme="majorBidi" w:eastAsiaTheme="minorEastAsia" w:hAnsiTheme="majorBidi" w:cstheme="majorBidi"/>
          <w:sz w:val="24"/>
          <w:szCs w:val="24"/>
          <w:lang w:val="en-US"/>
        </w:rPr>
        <w:t xml:space="preserve">Note: Data available in Nova Scotia and Ontario for ≥ 66 years, and in other provinces for </w:t>
      </w:r>
      <w:r w:rsidRPr="00482C9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 xml:space="preserve">≥ </w:t>
      </w:r>
      <w:r w:rsidRPr="00482C9E">
        <w:rPr>
          <w:rFonts w:asciiTheme="majorBidi" w:eastAsiaTheme="minorEastAsia" w:hAnsiTheme="majorBidi" w:cstheme="majorBidi"/>
          <w:sz w:val="24"/>
          <w:szCs w:val="24"/>
          <w:lang w:val="en-US"/>
        </w:rPr>
        <w:t xml:space="preserve">18 years. Percentages are for four fluoroquinolones: ciprofloxacin, levofloxacin, moxifloxacin, norfloxacin. </w:t>
      </w:r>
      <w:r w:rsidRPr="00482C9E">
        <w:rPr>
          <w:rFonts w:asciiTheme="majorBidi" w:eastAsiaTheme="minorEastAsia" w:hAnsiTheme="majorBidi" w:cstheme="majorBidi"/>
          <w:color w:val="000000" w:themeColor="text1"/>
          <w:sz w:val="24"/>
          <w:szCs w:val="24"/>
          <w:lang w:val="en-US"/>
        </w:rPr>
        <w:t>RMM = risk mitigation measure; UTI = urinary tract infection.</w:t>
      </w:r>
    </w:p>
    <w:p w14:paraId="355A0B19" w14:textId="77777777" w:rsidR="00E800F7" w:rsidRDefault="00E800F7"/>
    <w:sectPr w:rsidR="00E800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280BC" w14:textId="77777777" w:rsidR="00921685" w:rsidRDefault="00921685" w:rsidP="00482C9E">
      <w:pPr>
        <w:spacing w:after="0" w:line="240" w:lineRule="auto"/>
      </w:pPr>
      <w:r>
        <w:separator/>
      </w:r>
    </w:p>
  </w:endnote>
  <w:endnote w:type="continuationSeparator" w:id="0">
    <w:p w14:paraId="0C8C8543" w14:textId="77777777" w:rsidR="00921685" w:rsidRDefault="00921685" w:rsidP="00482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95222" w14:textId="77777777" w:rsidR="00482C9E" w:rsidRDefault="00482C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8262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DC995B6" w14:textId="77777777" w:rsidR="00482C9E" w:rsidRPr="00482C9E" w:rsidRDefault="00482C9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2C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2C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2C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82C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9816872" w14:textId="77777777" w:rsidR="00E800F7" w:rsidRDefault="00E800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0E595" w14:textId="77777777" w:rsidR="00482C9E" w:rsidRDefault="00482C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C0533" w14:textId="77777777" w:rsidR="00921685" w:rsidRDefault="00921685" w:rsidP="00482C9E">
      <w:pPr>
        <w:spacing w:after="0" w:line="240" w:lineRule="auto"/>
      </w:pPr>
      <w:r>
        <w:separator/>
      </w:r>
    </w:p>
  </w:footnote>
  <w:footnote w:type="continuationSeparator" w:id="0">
    <w:p w14:paraId="3E6AE879" w14:textId="77777777" w:rsidR="00921685" w:rsidRDefault="00921685" w:rsidP="00482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02BC3" w14:textId="77777777" w:rsidR="00482C9E" w:rsidRDefault="00482C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C277C" w14:textId="77777777" w:rsidR="00482C9E" w:rsidRDefault="00482C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A2A5C" w14:textId="77777777" w:rsidR="00482C9E" w:rsidRDefault="00482C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C9E"/>
    <w:rsid w:val="00132513"/>
    <w:rsid w:val="0020761D"/>
    <w:rsid w:val="00383616"/>
    <w:rsid w:val="00403D4D"/>
    <w:rsid w:val="00482C9E"/>
    <w:rsid w:val="00541B78"/>
    <w:rsid w:val="00921685"/>
    <w:rsid w:val="00980071"/>
    <w:rsid w:val="00E800F7"/>
    <w:rsid w:val="00F12CEC"/>
    <w:rsid w:val="00FC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27F8D"/>
  <w15:chartTrackingRefBased/>
  <w15:docId w15:val="{C06AC919-D35C-414E-9A1C-8771E6C8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82C9E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82C9E"/>
    <w:rPr>
      <w:rFonts w:eastAsiaTheme="minorEastAs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82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C9E"/>
  </w:style>
  <w:style w:type="paragraph" w:customStyle="1" w:styleId="BodyCopyWorking">
    <w:name w:val="Body Copy (Working)"/>
    <w:basedOn w:val="Normal"/>
    <w:link w:val="BodyCopyWorkingChar"/>
    <w:qFormat/>
    <w:rsid w:val="0020761D"/>
    <w:pPr>
      <w:spacing w:before="160" w:after="120" w:line="276" w:lineRule="auto"/>
    </w:pPr>
    <w:rPr>
      <w:rFonts w:ascii="Arial" w:eastAsiaTheme="minorEastAsia" w:hAnsi="Arial" w:cs="Arial"/>
      <w:sz w:val="18"/>
      <w:szCs w:val="18"/>
      <w:shd w:val="clear" w:color="auto" w:fill="FFFFFF"/>
      <w:lang w:val="en-US"/>
    </w:rPr>
  </w:style>
  <w:style w:type="character" w:customStyle="1" w:styleId="BodyCopyWorkingChar">
    <w:name w:val="Body Copy (Working) Char"/>
    <w:basedOn w:val="DefaultParagraphFont"/>
    <w:link w:val="BodyCopyWorking"/>
    <w:rsid w:val="0020761D"/>
    <w:rPr>
      <w:rFonts w:ascii="Arial" w:eastAsiaTheme="minorEastAsia" w:hAnsi="Arial" w:cs="Arial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Lix</dc:creator>
  <cp:keywords/>
  <dc:description/>
  <cp:lastModifiedBy>Lisa Lix</cp:lastModifiedBy>
  <cp:revision>3</cp:revision>
  <dcterms:created xsi:type="dcterms:W3CDTF">2025-09-21T21:04:00Z</dcterms:created>
  <dcterms:modified xsi:type="dcterms:W3CDTF">2026-01-20T06:07:00Z</dcterms:modified>
</cp:coreProperties>
</file>