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8C66B" w14:textId="40DDA9EE" w:rsidR="00376D25" w:rsidRDefault="00000000">
      <w:pPr>
        <w:widowControl/>
        <w:spacing w:line="240" w:lineRule="auto"/>
        <w:ind w:firstLineChars="0" w:firstLine="0"/>
        <w:jc w:val="left"/>
        <w:textAlignment w:val="center"/>
        <w:rPr>
          <w:rFonts w:eastAsia="黑体" w:cs="等线"/>
          <w:b/>
          <w:bCs/>
          <w:color w:val="000000"/>
          <w:kern w:val="0"/>
          <w:sz w:val="21"/>
          <w:szCs w:val="21"/>
          <w:lang w:bidi="ar"/>
        </w:rPr>
      </w:pPr>
      <w:r>
        <w:rPr>
          <w:rFonts w:eastAsia="黑体" w:cs="等线" w:hint="eastAsia"/>
          <w:b/>
          <w:bCs/>
          <w:color w:val="000000"/>
          <w:kern w:val="0"/>
          <w:sz w:val="21"/>
          <w:szCs w:val="21"/>
          <w:lang w:bidi="ar"/>
        </w:rPr>
        <w:t xml:space="preserve">Table 1. </w:t>
      </w:r>
      <w:r>
        <w:rPr>
          <w:rFonts w:eastAsia="黑体" w:cs="等线" w:hint="eastAsia"/>
          <w:color w:val="000000"/>
          <w:kern w:val="0"/>
          <w:sz w:val="21"/>
          <w:szCs w:val="21"/>
          <w:lang w:bidi="ar"/>
        </w:rPr>
        <w:t xml:space="preserve">Preferred Reporting Items for Systematic </w:t>
      </w:r>
      <w:r w:rsidR="00622453">
        <w:rPr>
          <w:rFonts w:eastAsia="黑体" w:cs="等线" w:hint="eastAsia"/>
          <w:color w:val="000000"/>
          <w:kern w:val="0"/>
          <w:sz w:val="21"/>
          <w:szCs w:val="21"/>
          <w:lang w:bidi="ar"/>
        </w:rPr>
        <w:t>r</w:t>
      </w:r>
      <w:r>
        <w:rPr>
          <w:rFonts w:eastAsia="黑体" w:cs="等线" w:hint="eastAsia"/>
          <w:color w:val="000000"/>
          <w:kern w:val="0"/>
          <w:sz w:val="21"/>
          <w:szCs w:val="21"/>
          <w:lang w:bidi="ar"/>
        </w:rPr>
        <w:t>eviews and Meta-Analyses (PRISMA) 2020 checklist for the systematic review of distributional cost-effectiveness analysis studies in healthcare published from inception to 30th August 2025.</w:t>
      </w:r>
    </w:p>
    <w:tbl>
      <w:tblPr>
        <w:tblW w:w="15200" w:type="dxa"/>
        <w:tblLook w:val="04A0" w:firstRow="1" w:lastRow="0" w:firstColumn="1" w:lastColumn="0" w:noHBand="0" w:noVBand="1"/>
      </w:tblPr>
      <w:tblGrid>
        <w:gridCol w:w="1660"/>
        <w:gridCol w:w="616"/>
        <w:gridCol w:w="11497"/>
        <w:gridCol w:w="1427"/>
      </w:tblGrid>
      <w:tr w:rsidR="00376D25" w14:paraId="361215AB"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290CBEA" w14:textId="77777777" w:rsidR="00376D25" w:rsidRDefault="00000000">
            <w:pPr>
              <w:pStyle w:val="Default"/>
              <w:spacing w:line="240" w:lineRule="exact"/>
              <w:rPr>
                <w:rFonts w:ascii="Times New Roman" w:hAnsi="Times New Roman" w:cs="Times New Roman"/>
                <w:color w:val="FFFFFF"/>
                <w:sz w:val="20"/>
                <w:szCs w:val="20"/>
              </w:rPr>
            </w:pPr>
            <w:r>
              <w:rPr>
                <w:rFonts w:ascii="Times New Roman" w:hAnsi="Times New Roman" w:cs="Times New Roman"/>
                <w:b/>
                <w:bCs/>
                <w:color w:val="FFFFFF"/>
                <w:sz w:val="20"/>
                <w:szCs w:val="20"/>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7EBB010" w14:textId="77777777" w:rsidR="00376D25" w:rsidRDefault="00000000">
            <w:pPr>
              <w:pStyle w:val="Default"/>
              <w:spacing w:line="240" w:lineRule="exact"/>
              <w:rPr>
                <w:rFonts w:ascii="Times New Roman" w:hAnsi="Times New Roman" w:cs="Times New Roman"/>
                <w:b/>
                <w:bCs/>
                <w:color w:val="FFFFFF"/>
                <w:sz w:val="20"/>
                <w:szCs w:val="20"/>
              </w:rPr>
            </w:pPr>
            <w:r>
              <w:rPr>
                <w:rFonts w:ascii="Times New Roman" w:hAnsi="Times New Roman" w:cs="Times New Roman"/>
                <w:b/>
                <w:bCs/>
                <w:color w:val="FFFFFF"/>
                <w:sz w:val="20"/>
                <w:szCs w:val="20"/>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7CE50C5" w14:textId="77777777" w:rsidR="00376D25" w:rsidRDefault="00000000">
            <w:pPr>
              <w:pStyle w:val="Default"/>
              <w:spacing w:line="240" w:lineRule="exact"/>
              <w:rPr>
                <w:rFonts w:ascii="Times New Roman" w:hAnsi="Times New Roman" w:cs="Times New Roman"/>
                <w:color w:val="FFFFFF"/>
                <w:sz w:val="20"/>
                <w:szCs w:val="20"/>
              </w:rPr>
            </w:pPr>
            <w:r>
              <w:rPr>
                <w:rFonts w:ascii="Times New Roman" w:hAnsi="Times New Roman" w:cs="Times New Roman"/>
                <w:b/>
                <w:bCs/>
                <w:color w:val="FFFFFF"/>
                <w:sz w:val="20"/>
                <w:szCs w:val="20"/>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20FD722E" w14:textId="77777777" w:rsidR="00376D25" w:rsidRDefault="00000000">
            <w:pPr>
              <w:pStyle w:val="Default"/>
              <w:spacing w:line="240" w:lineRule="exact"/>
              <w:rPr>
                <w:rFonts w:ascii="Times New Roman" w:hAnsi="Times New Roman" w:cs="Times New Roman"/>
                <w:color w:val="FFFFFF"/>
                <w:sz w:val="20"/>
                <w:szCs w:val="20"/>
              </w:rPr>
            </w:pPr>
            <w:r>
              <w:rPr>
                <w:rFonts w:ascii="Times New Roman" w:hAnsi="Times New Roman" w:cs="Times New Roman"/>
                <w:b/>
                <w:bCs/>
                <w:color w:val="FFFFFF"/>
                <w:sz w:val="20"/>
                <w:szCs w:val="20"/>
              </w:rPr>
              <w:t xml:space="preserve">Location where item is reported </w:t>
            </w:r>
          </w:p>
        </w:tc>
      </w:tr>
      <w:tr w:rsidR="00376D25" w14:paraId="5D4E3B55"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ED61B7B" w14:textId="77777777" w:rsidR="00376D25" w:rsidRDefault="00000000">
            <w:pPr>
              <w:pStyle w:val="Default"/>
              <w:spacing w:line="240" w:lineRule="exact"/>
              <w:rPr>
                <w:rFonts w:ascii="Times New Roman" w:hAnsi="Times New Roman" w:cs="Times New Roman"/>
                <w:sz w:val="20"/>
                <w:szCs w:val="20"/>
              </w:rPr>
            </w:pPr>
            <w:r>
              <w:rPr>
                <w:rFonts w:ascii="Times New Roman" w:hAnsi="Times New Roman" w:cs="Times New Roman"/>
                <w:b/>
                <w:bCs/>
                <w:sz w:val="20"/>
                <w:szCs w:val="20"/>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6E94023" w14:textId="77777777" w:rsidR="00376D25" w:rsidRDefault="00376D25">
            <w:pPr>
              <w:pStyle w:val="Default"/>
              <w:spacing w:line="240" w:lineRule="exact"/>
              <w:jc w:val="right"/>
              <w:rPr>
                <w:rFonts w:ascii="Times New Roman" w:hAnsi="Times New Roman" w:cs="Times New Roman"/>
                <w:color w:val="auto"/>
                <w:sz w:val="20"/>
                <w:szCs w:val="20"/>
              </w:rPr>
            </w:pPr>
          </w:p>
        </w:tc>
      </w:tr>
      <w:tr w:rsidR="00376D25" w14:paraId="3AA64B07"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1D4703B3"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48659902"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w:t>
            </w:r>
          </w:p>
        </w:tc>
        <w:tc>
          <w:tcPr>
            <w:tcW w:w="11745" w:type="dxa"/>
            <w:tcBorders>
              <w:top w:val="single" w:sz="4" w:space="0" w:color="000000"/>
              <w:left w:val="single" w:sz="4" w:space="0" w:color="000000"/>
              <w:bottom w:val="double" w:sz="4" w:space="0" w:color="000000"/>
              <w:right w:val="single" w:sz="4" w:space="0" w:color="000000"/>
            </w:tcBorders>
          </w:tcPr>
          <w:p w14:paraId="7CABB74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62A3A2B8"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eastAsia="Segoe UI" w:hAnsi="Times New Roman" w:cs="Times New Roman"/>
                <w:sz w:val="20"/>
                <w:szCs w:val="20"/>
                <w:lang w:val="en-US" w:eastAsia="zh-CN" w:bidi="ar"/>
                <w14:ligatures w14:val="standardContextual"/>
              </w:rPr>
              <w:t>Front page</w:t>
            </w:r>
          </w:p>
        </w:tc>
      </w:tr>
      <w:tr w:rsidR="00376D25" w14:paraId="182C80C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89931BF"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ABSTRACT</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8163CEF" w14:textId="77777777" w:rsidR="00376D25" w:rsidRDefault="00376D25">
            <w:pPr>
              <w:pStyle w:val="Default"/>
              <w:spacing w:line="240" w:lineRule="exact"/>
              <w:jc w:val="right"/>
              <w:rPr>
                <w:rFonts w:ascii="Times New Roman" w:hAnsi="Times New Roman" w:cs="Times New Roman"/>
                <w:color w:val="auto"/>
                <w:sz w:val="20"/>
                <w:szCs w:val="20"/>
              </w:rPr>
            </w:pPr>
          </w:p>
        </w:tc>
      </w:tr>
      <w:tr w:rsidR="00376D25" w14:paraId="6523F0C1"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E5537F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26511198"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w:t>
            </w:r>
          </w:p>
        </w:tc>
        <w:tc>
          <w:tcPr>
            <w:tcW w:w="11745" w:type="dxa"/>
            <w:tcBorders>
              <w:top w:val="single" w:sz="4" w:space="0" w:color="000000"/>
              <w:left w:val="single" w:sz="4" w:space="0" w:color="000000"/>
              <w:bottom w:val="double" w:sz="4" w:space="0" w:color="000000"/>
              <w:right w:val="single" w:sz="4" w:space="0" w:color="000000"/>
            </w:tcBorders>
          </w:tcPr>
          <w:p w14:paraId="0F1CA84C"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5971284D"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eastAsia="Segoe UI" w:hAnsi="Times New Roman" w:cs="Times New Roman"/>
                <w:sz w:val="20"/>
                <w:szCs w:val="20"/>
                <w:lang w:val="en-US" w:eastAsia="zh-CN" w:bidi="ar"/>
                <w14:ligatures w14:val="standardContextual"/>
              </w:rPr>
              <w:t xml:space="preserve">Abstract </w:t>
            </w:r>
          </w:p>
        </w:tc>
      </w:tr>
      <w:tr w:rsidR="00376D25" w14:paraId="5638040B"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ED813B3"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INTRODUCTION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32788FF9" w14:textId="77777777" w:rsidR="00376D25" w:rsidRDefault="00376D25">
            <w:pPr>
              <w:pStyle w:val="Default"/>
              <w:spacing w:line="240" w:lineRule="exact"/>
              <w:jc w:val="right"/>
              <w:rPr>
                <w:rFonts w:ascii="Times New Roman" w:hAnsi="Times New Roman" w:cs="Times New Roman"/>
                <w:color w:val="auto"/>
                <w:sz w:val="20"/>
                <w:szCs w:val="20"/>
              </w:rPr>
            </w:pPr>
          </w:p>
        </w:tc>
      </w:tr>
      <w:tr w:rsidR="00376D25" w14:paraId="4BDCD0E5"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E0009D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22874465"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3</w:t>
            </w:r>
          </w:p>
        </w:tc>
        <w:tc>
          <w:tcPr>
            <w:tcW w:w="11745" w:type="dxa"/>
            <w:tcBorders>
              <w:top w:val="single" w:sz="4" w:space="0" w:color="000000"/>
              <w:left w:val="single" w:sz="4" w:space="0" w:color="000000"/>
              <w:bottom w:val="single" w:sz="4" w:space="0" w:color="000000"/>
              <w:right w:val="single" w:sz="4" w:space="0" w:color="000000"/>
            </w:tcBorders>
          </w:tcPr>
          <w:p w14:paraId="3A5799C1"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4DB24A65"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eastAsia="Segoe UI" w:hAnsi="Times New Roman" w:cs="Times New Roman"/>
                <w:sz w:val="20"/>
                <w:szCs w:val="20"/>
                <w:lang w:val="en-US" w:eastAsia="zh-CN" w:bidi="ar"/>
                <w14:ligatures w14:val="standardContextual"/>
              </w:rPr>
              <w:t>Introduction</w:t>
            </w:r>
          </w:p>
        </w:tc>
      </w:tr>
      <w:tr w:rsidR="00376D25" w14:paraId="0A44B1D5"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7146B09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3FF2658E"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4</w:t>
            </w:r>
          </w:p>
        </w:tc>
        <w:tc>
          <w:tcPr>
            <w:tcW w:w="11745" w:type="dxa"/>
            <w:tcBorders>
              <w:top w:val="single" w:sz="4" w:space="0" w:color="000000"/>
              <w:left w:val="single" w:sz="4" w:space="0" w:color="000000"/>
              <w:bottom w:val="double" w:sz="4" w:space="0" w:color="000000"/>
              <w:right w:val="single" w:sz="4" w:space="0" w:color="000000"/>
            </w:tcBorders>
          </w:tcPr>
          <w:p w14:paraId="512ECF6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0BD87672"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eastAsia="Segoe UI" w:hAnsi="Times New Roman" w:cs="Times New Roman"/>
                <w:sz w:val="20"/>
                <w:szCs w:val="20"/>
                <w:lang w:val="en-US" w:eastAsia="zh-CN" w:bidi="ar"/>
                <w14:ligatures w14:val="standardContextual"/>
              </w:rPr>
              <w:t>Introduction</w:t>
            </w:r>
          </w:p>
        </w:tc>
      </w:tr>
      <w:tr w:rsidR="00376D25" w14:paraId="4B585BA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866F79F"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METHODS</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1364DEC" w14:textId="77777777" w:rsidR="00376D25" w:rsidRDefault="00376D25">
            <w:pPr>
              <w:pStyle w:val="Default"/>
              <w:spacing w:line="240" w:lineRule="exact"/>
              <w:jc w:val="right"/>
              <w:rPr>
                <w:rFonts w:ascii="Times New Roman" w:hAnsi="Times New Roman" w:cs="Times New Roman"/>
                <w:color w:val="auto"/>
                <w:sz w:val="20"/>
                <w:szCs w:val="20"/>
              </w:rPr>
            </w:pPr>
          </w:p>
        </w:tc>
      </w:tr>
      <w:tr w:rsidR="00376D25" w14:paraId="6388D70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7C11ED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66C9CE2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5</w:t>
            </w:r>
          </w:p>
        </w:tc>
        <w:tc>
          <w:tcPr>
            <w:tcW w:w="11745" w:type="dxa"/>
            <w:tcBorders>
              <w:top w:val="single" w:sz="4" w:space="0" w:color="000000"/>
              <w:left w:val="single" w:sz="4" w:space="0" w:color="000000"/>
              <w:bottom w:val="single" w:sz="4" w:space="0" w:color="000000"/>
              <w:right w:val="single" w:sz="4" w:space="0" w:color="000000"/>
            </w:tcBorders>
          </w:tcPr>
          <w:p w14:paraId="66F6FED7"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B794A"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3A3F439D"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13AE553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22086D8F"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6</w:t>
            </w:r>
          </w:p>
        </w:tc>
        <w:tc>
          <w:tcPr>
            <w:tcW w:w="11745" w:type="dxa"/>
            <w:tcBorders>
              <w:top w:val="single" w:sz="4" w:space="0" w:color="000000"/>
              <w:left w:val="single" w:sz="4" w:space="0" w:color="000000"/>
              <w:bottom w:val="single" w:sz="4" w:space="0" w:color="000000"/>
              <w:right w:val="single" w:sz="4" w:space="0" w:color="000000"/>
            </w:tcBorders>
          </w:tcPr>
          <w:p w14:paraId="385FD879"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06569"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435FF98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811A90A"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488EB7A7"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7</w:t>
            </w:r>
          </w:p>
        </w:tc>
        <w:tc>
          <w:tcPr>
            <w:tcW w:w="11745" w:type="dxa"/>
            <w:tcBorders>
              <w:top w:val="single" w:sz="4" w:space="0" w:color="000000"/>
              <w:left w:val="single" w:sz="4" w:space="0" w:color="000000"/>
              <w:bottom w:val="single" w:sz="4" w:space="0" w:color="000000"/>
              <w:right w:val="single" w:sz="4" w:space="0" w:color="000000"/>
            </w:tcBorders>
          </w:tcPr>
          <w:p w14:paraId="26286566"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6CAD3"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3D32CE4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3F3EFFA"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504A3E68"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8</w:t>
            </w:r>
          </w:p>
        </w:tc>
        <w:tc>
          <w:tcPr>
            <w:tcW w:w="11745" w:type="dxa"/>
            <w:tcBorders>
              <w:top w:val="single" w:sz="4" w:space="0" w:color="000000"/>
              <w:left w:val="single" w:sz="4" w:space="0" w:color="000000"/>
              <w:bottom w:val="single" w:sz="4" w:space="0" w:color="000000"/>
              <w:right w:val="single" w:sz="4" w:space="0" w:color="000000"/>
            </w:tcBorders>
          </w:tcPr>
          <w:p w14:paraId="4B490DE6"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6FC88"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510F3F89"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6120C166"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40A86210"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9</w:t>
            </w:r>
          </w:p>
        </w:tc>
        <w:tc>
          <w:tcPr>
            <w:tcW w:w="11745" w:type="dxa"/>
            <w:tcBorders>
              <w:top w:val="single" w:sz="4" w:space="0" w:color="000000"/>
              <w:left w:val="single" w:sz="4" w:space="0" w:color="000000"/>
              <w:bottom w:val="single" w:sz="4" w:space="0" w:color="000000"/>
              <w:right w:val="single" w:sz="4" w:space="0" w:color="000000"/>
            </w:tcBorders>
          </w:tcPr>
          <w:p w14:paraId="16C6CAE5"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266D1"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64DA7F40" w14:textId="77777777">
        <w:trPr>
          <w:trHeight w:val="48"/>
        </w:trPr>
        <w:tc>
          <w:tcPr>
            <w:tcW w:w="1668" w:type="dxa"/>
            <w:vMerge w:val="restart"/>
            <w:tcBorders>
              <w:top w:val="single" w:sz="4" w:space="0" w:color="000000"/>
              <w:left w:val="single" w:sz="4" w:space="0" w:color="000000"/>
              <w:right w:val="single" w:sz="4" w:space="0" w:color="000000"/>
            </w:tcBorders>
          </w:tcPr>
          <w:p w14:paraId="51053BE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50D87558"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10a</w:t>
            </w:r>
          </w:p>
        </w:tc>
        <w:tc>
          <w:tcPr>
            <w:tcW w:w="11745" w:type="dxa"/>
            <w:tcBorders>
              <w:top w:val="single" w:sz="4" w:space="0" w:color="000000"/>
              <w:left w:val="single" w:sz="4" w:space="0" w:color="000000"/>
              <w:bottom w:val="single" w:sz="4" w:space="0" w:color="000000"/>
              <w:right w:val="single" w:sz="4" w:space="0" w:color="000000"/>
            </w:tcBorders>
          </w:tcPr>
          <w:p w14:paraId="1B1A9C0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66E11B20"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eastAsia="Segoe UI" w:hAnsi="Times New Roman" w:cs="Times New Roman"/>
                <w:sz w:val="20"/>
                <w:szCs w:val="20"/>
                <w:lang w:val="en-US" w:eastAsia="zh-CN" w:bidi="ar"/>
                <w14:ligatures w14:val="standardContextual"/>
              </w:rPr>
              <w:t>Methods</w:t>
            </w:r>
          </w:p>
        </w:tc>
      </w:tr>
      <w:tr w:rsidR="00376D25" w14:paraId="4288CDB3" w14:textId="77777777">
        <w:trPr>
          <w:trHeight w:val="48"/>
        </w:trPr>
        <w:tc>
          <w:tcPr>
            <w:tcW w:w="1668" w:type="dxa"/>
            <w:vMerge/>
            <w:tcBorders>
              <w:left w:val="single" w:sz="4" w:space="0" w:color="000000"/>
              <w:bottom w:val="single" w:sz="4" w:space="0" w:color="000000"/>
              <w:right w:val="single" w:sz="4" w:space="0" w:color="000000"/>
            </w:tcBorders>
          </w:tcPr>
          <w:p w14:paraId="2D50B848"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0CBA6991"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10b</w:t>
            </w:r>
          </w:p>
        </w:tc>
        <w:tc>
          <w:tcPr>
            <w:tcW w:w="11745" w:type="dxa"/>
            <w:tcBorders>
              <w:top w:val="single" w:sz="4" w:space="0" w:color="000000"/>
              <w:left w:val="single" w:sz="4" w:space="0" w:color="000000"/>
              <w:bottom w:val="single" w:sz="4" w:space="0" w:color="000000"/>
              <w:right w:val="single" w:sz="4" w:space="0" w:color="000000"/>
            </w:tcBorders>
          </w:tcPr>
          <w:p w14:paraId="6670971F"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269FD"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5B54158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5482E1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0D1DB919"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11</w:t>
            </w:r>
          </w:p>
        </w:tc>
        <w:tc>
          <w:tcPr>
            <w:tcW w:w="11745" w:type="dxa"/>
            <w:tcBorders>
              <w:top w:val="single" w:sz="4" w:space="0" w:color="000000"/>
              <w:left w:val="single" w:sz="4" w:space="0" w:color="000000"/>
              <w:bottom w:val="single" w:sz="4" w:space="0" w:color="000000"/>
              <w:right w:val="single" w:sz="4" w:space="0" w:color="000000"/>
            </w:tcBorders>
          </w:tcPr>
          <w:p w14:paraId="4852AE27"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FDF3E"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46507E5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3CACB3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lastRenderedPageBreak/>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55E3ABE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12</w:t>
            </w:r>
          </w:p>
        </w:tc>
        <w:tc>
          <w:tcPr>
            <w:tcW w:w="11745" w:type="dxa"/>
            <w:tcBorders>
              <w:top w:val="single" w:sz="4" w:space="0" w:color="000000"/>
              <w:left w:val="single" w:sz="4" w:space="0" w:color="000000"/>
              <w:bottom w:val="single" w:sz="4" w:space="0" w:color="000000"/>
              <w:right w:val="single" w:sz="4" w:space="0" w:color="000000"/>
            </w:tcBorders>
          </w:tcPr>
          <w:p w14:paraId="1A471829"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6A2CE"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1BFFF786" w14:textId="77777777">
        <w:trPr>
          <w:trHeight w:val="48"/>
        </w:trPr>
        <w:tc>
          <w:tcPr>
            <w:tcW w:w="1668" w:type="dxa"/>
            <w:vMerge w:val="restart"/>
            <w:tcBorders>
              <w:top w:val="single" w:sz="4" w:space="0" w:color="000000"/>
              <w:left w:val="single" w:sz="4" w:space="0" w:color="000000"/>
              <w:right w:val="single" w:sz="4" w:space="0" w:color="000000"/>
            </w:tcBorders>
          </w:tcPr>
          <w:p w14:paraId="190CCB92"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1AEA5757"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13a</w:t>
            </w:r>
          </w:p>
        </w:tc>
        <w:tc>
          <w:tcPr>
            <w:tcW w:w="11745" w:type="dxa"/>
            <w:tcBorders>
              <w:top w:val="single" w:sz="4" w:space="0" w:color="000000"/>
              <w:left w:val="single" w:sz="4" w:space="0" w:color="000000"/>
              <w:bottom w:val="single" w:sz="4" w:space="0" w:color="000000"/>
              <w:right w:val="single" w:sz="4" w:space="0" w:color="000000"/>
            </w:tcBorders>
          </w:tcPr>
          <w:p w14:paraId="2B255A0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BABF0"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71467220" w14:textId="77777777">
        <w:trPr>
          <w:trHeight w:val="48"/>
        </w:trPr>
        <w:tc>
          <w:tcPr>
            <w:tcW w:w="1668" w:type="dxa"/>
            <w:vMerge/>
            <w:tcBorders>
              <w:left w:val="single" w:sz="4" w:space="0" w:color="000000"/>
              <w:right w:val="single" w:sz="4" w:space="0" w:color="000000"/>
            </w:tcBorders>
          </w:tcPr>
          <w:p w14:paraId="45C78148"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11B78A70"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13b</w:t>
            </w:r>
          </w:p>
        </w:tc>
        <w:tc>
          <w:tcPr>
            <w:tcW w:w="11745" w:type="dxa"/>
            <w:tcBorders>
              <w:top w:val="single" w:sz="4" w:space="0" w:color="000000"/>
              <w:left w:val="single" w:sz="4" w:space="0" w:color="000000"/>
              <w:bottom w:val="single" w:sz="4" w:space="0" w:color="000000"/>
              <w:right w:val="single" w:sz="4" w:space="0" w:color="000000"/>
            </w:tcBorders>
          </w:tcPr>
          <w:p w14:paraId="4946B803"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E3650"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21F67787" w14:textId="77777777">
        <w:trPr>
          <w:trHeight w:val="48"/>
        </w:trPr>
        <w:tc>
          <w:tcPr>
            <w:tcW w:w="1668" w:type="dxa"/>
            <w:vMerge/>
            <w:tcBorders>
              <w:left w:val="single" w:sz="4" w:space="0" w:color="000000"/>
              <w:right w:val="single" w:sz="4" w:space="0" w:color="000000"/>
            </w:tcBorders>
          </w:tcPr>
          <w:p w14:paraId="36953860"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15A0935E"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13c</w:t>
            </w:r>
          </w:p>
        </w:tc>
        <w:tc>
          <w:tcPr>
            <w:tcW w:w="11745" w:type="dxa"/>
            <w:tcBorders>
              <w:top w:val="single" w:sz="4" w:space="0" w:color="000000"/>
              <w:left w:val="single" w:sz="4" w:space="0" w:color="000000"/>
              <w:bottom w:val="single" w:sz="4" w:space="0" w:color="000000"/>
              <w:right w:val="single" w:sz="4" w:space="0" w:color="000000"/>
            </w:tcBorders>
          </w:tcPr>
          <w:p w14:paraId="4C42447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9F987"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Methods</w:t>
            </w:r>
          </w:p>
        </w:tc>
      </w:tr>
      <w:tr w:rsidR="00376D25" w14:paraId="2B998B28" w14:textId="77777777">
        <w:trPr>
          <w:trHeight w:val="48"/>
        </w:trPr>
        <w:tc>
          <w:tcPr>
            <w:tcW w:w="1668" w:type="dxa"/>
            <w:vMerge/>
            <w:tcBorders>
              <w:left w:val="single" w:sz="4" w:space="0" w:color="000000"/>
              <w:right w:val="single" w:sz="4" w:space="0" w:color="000000"/>
            </w:tcBorders>
          </w:tcPr>
          <w:p w14:paraId="07543476"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446D521B"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13d</w:t>
            </w:r>
          </w:p>
        </w:tc>
        <w:tc>
          <w:tcPr>
            <w:tcW w:w="11745" w:type="dxa"/>
            <w:tcBorders>
              <w:top w:val="single" w:sz="4" w:space="0" w:color="000000"/>
              <w:left w:val="single" w:sz="4" w:space="0" w:color="000000"/>
              <w:bottom w:val="single" w:sz="4" w:space="0" w:color="000000"/>
              <w:right w:val="single" w:sz="4" w:space="0" w:color="000000"/>
            </w:tcBorders>
          </w:tcPr>
          <w:p w14:paraId="30F3BB56"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66B0CE"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37AF3007" w14:textId="77777777">
        <w:trPr>
          <w:trHeight w:val="48"/>
        </w:trPr>
        <w:tc>
          <w:tcPr>
            <w:tcW w:w="1668" w:type="dxa"/>
            <w:vMerge/>
            <w:tcBorders>
              <w:left w:val="single" w:sz="4" w:space="0" w:color="000000"/>
              <w:right w:val="single" w:sz="4" w:space="0" w:color="000000"/>
            </w:tcBorders>
          </w:tcPr>
          <w:p w14:paraId="3C7C3979"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04B5BCC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13e</w:t>
            </w:r>
          </w:p>
        </w:tc>
        <w:tc>
          <w:tcPr>
            <w:tcW w:w="11745" w:type="dxa"/>
            <w:tcBorders>
              <w:top w:val="single" w:sz="4" w:space="0" w:color="000000"/>
              <w:left w:val="single" w:sz="4" w:space="0" w:color="000000"/>
              <w:bottom w:val="single" w:sz="4" w:space="0" w:color="000000"/>
              <w:right w:val="single" w:sz="4" w:space="0" w:color="000000"/>
            </w:tcBorders>
          </w:tcPr>
          <w:p w14:paraId="4B183F17"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9278C"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1676B460" w14:textId="77777777">
        <w:trPr>
          <w:trHeight w:val="50"/>
        </w:trPr>
        <w:tc>
          <w:tcPr>
            <w:tcW w:w="1668" w:type="dxa"/>
            <w:vMerge/>
            <w:tcBorders>
              <w:left w:val="single" w:sz="4" w:space="0" w:color="000000"/>
              <w:bottom w:val="single" w:sz="4" w:space="0" w:color="000000"/>
              <w:right w:val="single" w:sz="4" w:space="0" w:color="000000"/>
            </w:tcBorders>
          </w:tcPr>
          <w:p w14:paraId="56D25448"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5DF842E5"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13f</w:t>
            </w:r>
          </w:p>
        </w:tc>
        <w:tc>
          <w:tcPr>
            <w:tcW w:w="11745" w:type="dxa"/>
            <w:tcBorders>
              <w:top w:val="single" w:sz="4" w:space="0" w:color="000000"/>
              <w:left w:val="single" w:sz="4" w:space="0" w:color="000000"/>
              <w:bottom w:val="single" w:sz="4" w:space="0" w:color="000000"/>
              <w:right w:val="single" w:sz="4" w:space="0" w:color="000000"/>
            </w:tcBorders>
          </w:tcPr>
          <w:p w14:paraId="182B24E2"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2B5D6" w14:textId="77777777" w:rsidR="00376D25" w:rsidRDefault="00000000">
            <w:pPr>
              <w:widowControl/>
              <w:spacing w:line="240" w:lineRule="exact"/>
              <w:ind w:firstLineChars="0" w:firstLine="0"/>
              <w:rPr>
                <w:rFonts w:eastAsia="Segoe UI" w:cs="Times New Roman"/>
                <w:color w:val="000000"/>
                <w:sz w:val="20"/>
                <w:szCs w:val="20"/>
              </w:rPr>
            </w:pPr>
            <w:r>
              <w:rPr>
                <w:rFonts w:eastAsia="Segoe UI" w:cs="Times New Roman"/>
                <w:color w:val="000000"/>
                <w:kern w:val="0"/>
                <w:sz w:val="20"/>
                <w:szCs w:val="20"/>
                <w:lang w:bidi="ar"/>
              </w:rPr>
              <w:t>NA</w:t>
            </w:r>
          </w:p>
        </w:tc>
      </w:tr>
      <w:tr w:rsidR="00376D25" w14:paraId="5BC8553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2F29459"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0F32137F"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14</w:t>
            </w:r>
          </w:p>
        </w:tc>
        <w:tc>
          <w:tcPr>
            <w:tcW w:w="11745" w:type="dxa"/>
            <w:tcBorders>
              <w:top w:val="single" w:sz="4" w:space="0" w:color="000000"/>
              <w:left w:val="single" w:sz="4" w:space="0" w:color="000000"/>
              <w:bottom w:val="single" w:sz="4" w:space="0" w:color="000000"/>
              <w:right w:val="single" w:sz="4" w:space="0" w:color="000000"/>
            </w:tcBorders>
          </w:tcPr>
          <w:p w14:paraId="0F22979A"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1EA5B8"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Methods</w:t>
            </w:r>
          </w:p>
        </w:tc>
      </w:tr>
      <w:tr w:rsidR="00376D25" w14:paraId="21788B7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F7A02DC"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76CC90A1"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15</w:t>
            </w:r>
          </w:p>
        </w:tc>
        <w:tc>
          <w:tcPr>
            <w:tcW w:w="11745" w:type="dxa"/>
            <w:tcBorders>
              <w:top w:val="single" w:sz="4" w:space="0" w:color="000000"/>
              <w:left w:val="single" w:sz="4" w:space="0" w:color="000000"/>
              <w:bottom w:val="single" w:sz="4" w:space="0" w:color="000000"/>
              <w:right w:val="single" w:sz="4" w:space="0" w:color="000000"/>
            </w:tcBorders>
          </w:tcPr>
          <w:p w14:paraId="20D5611C"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any methods used to assess certainty (or confidence) in the body of evidence for an outcome.</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B22F3"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Methods</w:t>
            </w:r>
          </w:p>
        </w:tc>
      </w:tr>
      <w:tr w:rsidR="00376D25" w14:paraId="3E8FBFB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88AF6C6"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RESULTS</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629D9A7" w14:textId="77777777" w:rsidR="00376D25" w:rsidRDefault="00376D25">
            <w:pPr>
              <w:pStyle w:val="Default"/>
              <w:spacing w:line="240" w:lineRule="exact"/>
              <w:jc w:val="center"/>
              <w:rPr>
                <w:rFonts w:ascii="Times New Roman" w:hAnsi="Times New Roman" w:cs="Times New Roman"/>
                <w:color w:val="auto"/>
                <w:sz w:val="20"/>
                <w:szCs w:val="20"/>
              </w:rPr>
            </w:pPr>
          </w:p>
        </w:tc>
      </w:tr>
      <w:tr w:rsidR="00376D25" w14:paraId="2F02D901" w14:textId="77777777">
        <w:trPr>
          <w:trHeight w:val="48"/>
        </w:trPr>
        <w:tc>
          <w:tcPr>
            <w:tcW w:w="1668" w:type="dxa"/>
            <w:vMerge w:val="restart"/>
            <w:tcBorders>
              <w:top w:val="single" w:sz="4" w:space="0" w:color="000000"/>
              <w:left w:val="single" w:sz="4" w:space="0" w:color="000000"/>
              <w:right w:val="single" w:sz="4" w:space="0" w:color="000000"/>
            </w:tcBorders>
          </w:tcPr>
          <w:p w14:paraId="2BB9FC63"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19142AF3"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16a</w:t>
            </w:r>
          </w:p>
        </w:tc>
        <w:tc>
          <w:tcPr>
            <w:tcW w:w="11745" w:type="dxa"/>
            <w:tcBorders>
              <w:top w:val="single" w:sz="4" w:space="0" w:color="000000"/>
              <w:left w:val="single" w:sz="4" w:space="0" w:color="000000"/>
              <w:bottom w:val="single" w:sz="4" w:space="0" w:color="000000"/>
              <w:right w:val="single" w:sz="4" w:space="0" w:color="000000"/>
            </w:tcBorders>
          </w:tcPr>
          <w:p w14:paraId="35C05C9B"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AD8638"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Results</w:t>
            </w:r>
          </w:p>
        </w:tc>
      </w:tr>
      <w:tr w:rsidR="00376D25" w14:paraId="19323878" w14:textId="77777777">
        <w:trPr>
          <w:trHeight w:val="48"/>
        </w:trPr>
        <w:tc>
          <w:tcPr>
            <w:tcW w:w="1668" w:type="dxa"/>
            <w:vMerge/>
            <w:tcBorders>
              <w:left w:val="single" w:sz="4" w:space="0" w:color="000000"/>
              <w:bottom w:val="single" w:sz="4" w:space="0" w:color="000000"/>
              <w:right w:val="single" w:sz="4" w:space="0" w:color="000000"/>
            </w:tcBorders>
          </w:tcPr>
          <w:p w14:paraId="1B4BB9DB"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4325CCC4"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16b</w:t>
            </w:r>
          </w:p>
        </w:tc>
        <w:tc>
          <w:tcPr>
            <w:tcW w:w="11745" w:type="dxa"/>
            <w:tcBorders>
              <w:top w:val="single" w:sz="4" w:space="0" w:color="000000"/>
              <w:left w:val="single" w:sz="4" w:space="0" w:color="000000"/>
              <w:bottom w:val="single" w:sz="4" w:space="0" w:color="000000"/>
              <w:right w:val="single" w:sz="4" w:space="0" w:color="000000"/>
            </w:tcBorders>
          </w:tcPr>
          <w:p w14:paraId="1C2D5C9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46AB9C"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Results</w:t>
            </w:r>
          </w:p>
        </w:tc>
      </w:tr>
      <w:tr w:rsidR="00376D25" w14:paraId="0C95C58C"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36AD214C"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2AE321F3"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17</w:t>
            </w:r>
          </w:p>
        </w:tc>
        <w:tc>
          <w:tcPr>
            <w:tcW w:w="11745" w:type="dxa"/>
            <w:tcBorders>
              <w:top w:val="single" w:sz="4" w:space="0" w:color="000000"/>
              <w:left w:val="single" w:sz="4" w:space="0" w:color="000000"/>
              <w:bottom w:val="single" w:sz="4" w:space="0" w:color="000000"/>
              <w:right w:val="single" w:sz="4" w:space="0" w:color="000000"/>
            </w:tcBorders>
          </w:tcPr>
          <w:p w14:paraId="669A29BD"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015EC"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Results</w:t>
            </w:r>
          </w:p>
        </w:tc>
      </w:tr>
      <w:tr w:rsidR="00376D25" w14:paraId="409506DC"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8C831EC"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63300F10"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18</w:t>
            </w:r>
          </w:p>
        </w:tc>
        <w:tc>
          <w:tcPr>
            <w:tcW w:w="11745" w:type="dxa"/>
            <w:tcBorders>
              <w:top w:val="single" w:sz="4" w:space="0" w:color="000000"/>
              <w:left w:val="single" w:sz="4" w:space="0" w:color="000000"/>
              <w:bottom w:val="single" w:sz="4" w:space="0" w:color="000000"/>
              <w:right w:val="single" w:sz="4" w:space="0" w:color="000000"/>
            </w:tcBorders>
          </w:tcPr>
          <w:p w14:paraId="45BEBAF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793FC"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0A053872"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034F75F"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7B02BBFE"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19</w:t>
            </w:r>
          </w:p>
        </w:tc>
        <w:tc>
          <w:tcPr>
            <w:tcW w:w="11745" w:type="dxa"/>
            <w:tcBorders>
              <w:top w:val="single" w:sz="4" w:space="0" w:color="000000"/>
              <w:left w:val="single" w:sz="4" w:space="0" w:color="000000"/>
              <w:bottom w:val="single" w:sz="4" w:space="0" w:color="000000"/>
              <w:right w:val="single" w:sz="4" w:space="0" w:color="000000"/>
            </w:tcBorders>
          </w:tcPr>
          <w:p w14:paraId="32F3003A"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For all outcomes, present, for each study: (a) summary statistics for each group (where appropriate) and (b) an effect </w:t>
            </w:r>
            <w:proofErr w:type="gramStart"/>
            <w:r>
              <w:rPr>
                <w:rFonts w:ascii="Times New Roman" w:hAnsi="Times New Roman" w:cs="Times New Roman"/>
                <w:sz w:val="20"/>
                <w:szCs w:val="20"/>
              </w:rPr>
              <w:t>estimate</w:t>
            </w:r>
            <w:proofErr w:type="gramEnd"/>
            <w:r>
              <w:rPr>
                <w:rFonts w:ascii="Times New Roman" w:hAnsi="Times New Roman" w:cs="Times New Roman"/>
                <w:sz w:val="20"/>
                <w:szCs w:val="20"/>
              </w:rPr>
              <w:t xml:space="preserv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C7BC6"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356749CD" w14:textId="77777777">
        <w:trPr>
          <w:trHeight w:val="48"/>
        </w:trPr>
        <w:tc>
          <w:tcPr>
            <w:tcW w:w="1668" w:type="dxa"/>
            <w:vMerge w:val="restart"/>
            <w:tcBorders>
              <w:top w:val="single" w:sz="4" w:space="0" w:color="000000"/>
              <w:left w:val="single" w:sz="4" w:space="0" w:color="000000"/>
              <w:right w:val="single" w:sz="4" w:space="0" w:color="000000"/>
            </w:tcBorders>
          </w:tcPr>
          <w:p w14:paraId="055314E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Results of </w:t>
            </w:r>
            <w:r>
              <w:rPr>
                <w:rFonts w:ascii="Times New Roman" w:hAnsi="Times New Roman" w:cs="Times New Roman"/>
                <w:sz w:val="20"/>
                <w:szCs w:val="20"/>
              </w:rPr>
              <w:lastRenderedPageBreak/>
              <w:t>syntheses</w:t>
            </w:r>
          </w:p>
        </w:tc>
        <w:tc>
          <w:tcPr>
            <w:tcW w:w="587" w:type="dxa"/>
            <w:tcBorders>
              <w:top w:val="single" w:sz="4" w:space="0" w:color="000000"/>
              <w:left w:val="single" w:sz="4" w:space="0" w:color="000000"/>
              <w:bottom w:val="single" w:sz="4" w:space="0" w:color="000000"/>
              <w:right w:val="single" w:sz="4" w:space="0" w:color="000000"/>
            </w:tcBorders>
          </w:tcPr>
          <w:p w14:paraId="5F55B131"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lastRenderedPageBreak/>
              <w:t>20a</w:t>
            </w:r>
          </w:p>
        </w:tc>
        <w:tc>
          <w:tcPr>
            <w:tcW w:w="11745" w:type="dxa"/>
            <w:tcBorders>
              <w:top w:val="single" w:sz="4" w:space="0" w:color="000000"/>
              <w:left w:val="single" w:sz="4" w:space="0" w:color="000000"/>
              <w:bottom w:val="single" w:sz="4" w:space="0" w:color="000000"/>
              <w:right w:val="single" w:sz="4" w:space="0" w:color="000000"/>
            </w:tcBorders>
          </w:tcPr>
          <w:p w14:paraId="757B8561"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8DF9D" w14:textId="77777777" w:rsidR="00376D25" w:rsidRDefault="00000000">
            <w:pPr>
              <w:widowControl/>
              <w:spacing w:line="240" w:lineRule="exact"/>
              <w:ind w:firstLineChars="0" w:firstLine="0"/>
              <w:rPr>
                <w:rFonts w:eastAsiaTheme="minorEastAsia" w:cs="Times New Roman"/>
                <w:color w:val="000000"/>
                <w:kern w:val="0"/>
                <w:sz w:val="20"/>
                <w:szCs w:val="20"/>
                <w:lang w:bidi="ar"/>
              </w:rPr>
            </w:pPr>
            <w:r>
              <w:rPr>
                <w:rFonts w:eastAsia="Segoe UI" w:cs="Times New Roman"/>
                <w:color w:val="000000"/>
                <w:kern w:val="0"/>
                <w:sz w:val="20"/>
                <w:szCs w:val="20"/>
                <w:lang w:bidi="ar"/>
              </w:rPr>
              <w:t xml:space="preserve">Supplementary </w:t>
            </w:r>
            <w:r>
              <w:rPr>
                <w:rFonts w:eastAsia="Segoe UI" w:cs="Times New Roman"/>
                <w:color w:val="000000"/>
                <w:kern w:val="0"/>
                <w:sz w:val="20"/>
                <w:szCs w:val="20"/>
                <w:lang w:bidi="ar"/>
              </w:rPr>
              <w:lastRenderedPageBreak/>
              <w:t>materia</w:t>
            </w:r>
            <w:r>
              <w:rPr>
                <w:rFonts w:eastAsiaTheme="minorEastAsia" w:cs="Times New Roman" w:hint="eastAsia"/>
                <w:color w:val="000000"/>
                <w:kern w:val="0"/>
                <w:sz w:val="20"/>
                <w:szCs w:val="20"/>
                <w:lang w:bidi="ar"/>
              </w:rPr>
              <w:t>l 1</w:t>
            </w:r>
          </w:p>
        </w:tc>
      </w:tr>
      <w:tr w:rsidR="00376D25" w14:paraId="12A8F804" w14:textId="77777777">
        <w:trPr>
          <w:trHeight w:val="203"/>
        </w:trPr>
        <w:tc>
          <w:tcPr>
            <w:tcW w:w="1668" w:type="dxa"/>
            <w:vMerge/>
            <w:tcBorders>
              <w:left w:val="single" w:sz="4" w:space="0" w:color="000000"/>
              <w:right w:val="single" w:sz="4" w:space="0" w:color="000000"/>
            </w:tcBorders>
          </w:tcPr>
          <w:p w14:paraId="5687070D"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152665CD"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20b</w:t>
            </w:r>
          </w:p>
        </w:tc>
        <w:tc>
          <w:tcPr>
            <w:tcW w:w="11745" w:type="dxa"/>
            <w:tcBorders>
              <w:top w:val="single" w:sz="4" w:space="0" w:color="000000"/>
              <w:left w:val="single" w:sz="4" w:space="0" w:color="000000"/>
              <w:bottom w:val="single" w:sz="4" w:space="0" w:color="000000"/>
              <w:right w:val="single" w:sz="4" w:space="0" w:color="000000"/>
            </w:tcBorders>
          </w:tcPr>
          <w:p w14:paraId="7D1C2869"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47342A"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41B8905F" w14:textId="77777777">
        <w:trPr>
          <w:trHeight w:val="48"/>
        </w:trPr>
        <w:tc>
          <w:tcPr>
            <w:tcW w:w="1668" w:type="dxa"/>
            <w:vMerge/>
            <w:tcBorders>
              <w:left w:val="single" w:sz="4" w:space="0" w:color="000000"/>
              <w:right w:val="single" w:sz="4" w:space="0" w:color="000000"/>
            </w:tcBorders>
          </w:tcPr>
          <w:p w14:paraId="773F733D"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5834D76E"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20c</w:t>
            </w:r>
          </w:p>
        </w:tc>
        <w:tc>
          <w:tcPr>
            <w:tcW w:w="11745" w:type="dxa"/>
            <w:tcBorders>
              <w:top w:val="single" w:sz="4" w:space="0" w:color="000000"/>
              <w:left w:val="single" w:sz="4" w:space="0" w:color="000000"/>
              <w:bottom w:val="single" w:sz="4" w:space="0" w:color="000000"/>
              <w:right w:val="single" w:sz="4" w:space="0" w:color="000000"/>
            </w:tcBorders>
          </w:tcPr>
          <w:p w14:paraId="7E3982EE"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0DAD8"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2567FFFC" w14:textId="77777777">
        <w:trPr>
          <w:trHeight w:val="48"/>
        </w:trPr>
        <w:tc>
          <w:tcPr>
            <w:tcW w:w="1668" w:type="dxa"/>
            <w:vMerge/>
            <w:tcBorders>
              <w:left w:val="single" w:sz="4" w:space="0" w:color="000000"/>
              <w:bottom w:val="single" w:sz="4" w:space="0" w:color="000000"/>
              <w:right w:val="single" w:sz="4" w:space="0" w:color="000000"/>
            </w:tcBorders>
          </w:tcPr>
          <w:p w14:paraId="608768BF"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45CA583B"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20d</w:t>
            </w:r>
          </w:p>
        </w:tc>
        <w:tc>
          <w:tcPr>
            <w:tcW w:w="11745" w:type="dxa"/>
            <w:tcBorders>
              <w:top w:val="single" w:sz="4" w:space="0" w:color="000000"/>
              <w:left w:val="single" w:sz="4" w:space="0" w:color="000000"/>
              <w:bottom w:val="single" w:sz="4" w:space="0" w:color="000000"/>
              <w:right w:val="single" w:sz="4" w:space="0" w:color="000000"/>
            </w:tcBorders>
          </w:tcPr>
          <w:p w14:paraId="7EA79809"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091D8"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6A792533"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1D42B6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63920BD9"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21</w:t>
            </w:r>
          </w:p>
        </w:tc>
        <w:tc>
          <w:tcPr>
            <w:tcW w:w="11745" w:type="dxa"/>
            <w:tcBorders>
              <w:top w:val="single" w:sz="4" w:space="0" w:color="000000"/>
              <w:left w:val="single" w:sz="4" w:space="0" w:color="000000"/>
              <w:bottom w:val="single" w:sz="4" w:space="0" w:color="000000"/>
              <w:right w:val="single" w:sz="4" w:space="0" w:color="000000"/>
            </w:tcBorders>
          </w:tcPr>
          <w:p w14:paraId="74DD6037"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C11CC2"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20B6BF4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49516EE"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269D768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22</w:t>
            </w:r>
          </w:p>
        </w:tc>
        <w:tc>
          <w:tcPr>
            <w:tcW w:w="11745" w:type="dxa"/>
            <w:tcBorders>
              <w:top w:val="single" w:sz="4" w:space="0" w:color="000000"/>
              <w:left w:val="single" w:sz="4" w:space="0" w:color="000000"/>
              <w:bottom w:val="single" w:sz="4" w:space="0" w:color="000000"/>
              <w:right w:val="single" w:sz="4" w:space="0" w:color="000000"/>
            </w:tcBorders>
          </w:tcPr>
          <w:p w14:paraId="01D949F4"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6C380"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NA</w:t>
            </w:r>
          </w:p>
        </w:tc>
      </w:tr>
      <w:tr w:rsidR="00376D25" w14:paraId="2E0304B3"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DD4ACA0"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DISCUSSION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2EF364E" w14:textId="77777777" w:rsidR="00376D25" w:rsidRDefault="00376D25">
            <w:pPr>
              <w:pStyle w:val="Default"/>
              <w:spacing w:line="240" w:lineRule="exact"/>
              <w:jc w:val="center"/>
              <w:rPr>
                <w:rFonts w:ascii="Times New Roman" w:hAnsi="Times New Roman" w:cs="Times New Roman"/>
                <w:color w:val="auto"/>
                <w:sz w:val="20"/>
                <w:szCs w:val="20"/>
              </w:rPr>
            </w:pPr>
          </w:p>
        </w:tc>
      </w:tr>
      <w:tr w:rsidR="00376D25" w14:paraId="45E1D5A9" w14:textId="77777777">
        <w:trPr>
          <w:trHeight w:val="48"/>
        </w:trPr>
        <w:tc>
          <w:tcPr>
            <w:tcW w:w="1668" w:type="dxa"/>
            <w:vMerge w:val="restart"/>
            <w:tcBorders>
              <w:top w:val="single" w:sz="4" w:space="0" w:color="000000"/>
              <w:left w:val="single" w:sz="4" w:space="0" w:color="000000"/>
              <w:right w:val="single" w:sz="4" w:space="0" w:color="000000"/>
            </w:tcBorders>
            <w:vAlign w:val="center"/>
          </w:tcPr>
          <w:p w14:paraId="44D80542" w14:textId="77777777" w:rsidR="00376D25" w:rsidRDefault="00000000">
            <w:pPr>
              <w:pStyle w:val="Default"/>
              <w:spacing w:before="40" w:after="40" w:line="240" w:lineRule="exact"/>
              <w:jc w:val="both"/>
              <w:rPr>
                <w:rFonts w:ascii="Times New Roman" w:hAnsi="Times New Roman" w:cs="Times New Roman"/>
                <w:sz w:val="20"/>
                <w:szCs w:val="20"/>
              </w:rPr>
            </w:pPr>
            <w:r>
              <w:rPr>
                <w:rFonts w:ascii="Times New Roman" w:hAnsi="Times New Roman" w:cs="Times New Roman"/>
                <w:sz w:val="20"/>
                <w:szCs w:val="20"/>
              </w:rPr>
              <w:t>Discussion</w:t>
            </w:r>
          </w:p>
        </w:tc>
        <w:tc>
          <w:tcPr>
            <w:tcW w:w="587" w:type="dxa"/>
            <w:tcBorders>
              <w:top w:val="single" w:sz="4" w:space="0" w:color="000000"/>
              <w:left w:val="single" w:sz="4" w:space="0" w:color="000000"/>
              <w:bottom w:val="single" w:sz="4" w:space="0" w:color="000000"/>
              <w:right w:val="single" w:sz="4" w:space="0" w:color="000000"/>
            </w:tcBorders>
          </w:tcPr>
          <w:p w14:paraId="2E4E8CFB"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23a</w:t>
            </w:r>
          </w:p>
        </w:tc>
        <w:tc>
          <w:tcPr>
            <w:tcW w:w="11745" w:type="dxa"/>
            <w:tcBorders>
              <w:top w:val="single" w:sz="4" w:space="0" w:color="000000"/>
              <w:left w:val="single" w:sz="4" w:space="0" w:color="000000"/>
              <w:bottom w:val="single" w:sz="4" w:space="0" w:color="000000"/>
              <w:right w:val="single" w:sz="4" w:space="0" w:color="000000"/>
            </w:tcBorders>
          </w:tcPr>
          <w:p w14:paraId="16834CCE"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hAnsi="Times New Roman" w:cs="Times New Roman"/>
                <w:color w:val="auto"/>
                <w:sz w:val="20"/>
                <w:szCs w:val="20"/>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64996" w14:textId="77777777" w:rsidR="00376D25" w:rsidRDefault="00000000">
            <w:pPr>
              <w:widowControl/>
              <w:spacing w:line="240" w:lineRule="exact"/>
              <w:ind w:firstLineChars="0" w:firstLine="0"/>
              <w:rPr>
                <w:rFonts w:eastAsia="Segoe UI" w:cs="Times New Roman"/>
                <w:kern w:val="0"/>
                <w:sz w:val="20"/>
                <w:szCs w:val="20"/>
                <w:lang w:bidi="ar"/>
              </w:rPr>
            </w:pPr>
            <w:r>
              <w:rPr>
                <w:rFonts w:eastAsia="Segoe UI" w:cs="Times New Roman"/>
                <w:kern w:val="0"/>
                <w:sz w:val="20"/>
                <w:szCs w:val="20"/>
                <w:lang w:bidi="ar"/>
              </w:rPr>
              <w:t>Discussion</w:t>
            </w:r>
          </w:p>
        </w:tc>
      </w:tr>
      <w:tr w:rsidR="00376D25" w14:paraId="5C3FC647" w14:textId="77777777">
        <w:trPr>
          <w:trHeight w:val="48"/>
        </w:trPr>
        <w:tc>
          <w:tcPr>
            <w:tcW w:w="1668" w:type="dxa"/>
            <w:vMerge/>
            <w:tcBorders>
              <w:left w:val="single" w:sz="4" w:space="0" w:color="000000"/>
              <w:right w:val="single" w:sz="4" w:space="0" w:color="000000"/>
            </w:tcBorders>
          </w:tcPr>
          <w:p w14:paraId="03CE89E4"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258CACF9"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23b</w:t>
            </w:r>
          </w:p>
        </w:tc>
        <w:tc>
          <w:tcPr>
            <w:tcW w:w="11745" w:type="dxa"/>
            <w:tcBorders>
              <w:top w:val="single" w:sz="4" w:space="0" w:color="000000"/>
              <w:left w:val="single" w:sz="4" w:space="0" w:color="000000"/>
              <w:bottom w:val="single" w:sz="4" w:space="0" w:color="000000"/>
              <w:right w:val="single" w:sz="4" w:space="0" w:color="000000"/>
            </w:tcBorders>
          </w:tcPr>
          <w:p w14:paraId="20D48854"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hAnsi="Times New Roman" w:cs="Times New Roman"/>
                <w:color w:val="auto"/>
                <w:sz w:val="20"/>
                <w:szCs w:val="20"/>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EB704" w14:textId="77777777" w:rsidR="00376D25" w:rsidRDefault="00000000">
            <w:pPr>
              <w:widowControl/>
              <w:spacing w:line="240" w:lineRule="exact"/>
              <w:ind w:firstLineChars="0" w:firstLine="0"/>
              <w:rPr>
                <w:rFonts w:eastAsia="Segoe UI" w:cs="Times New Roman"/>
                <w:kern w:val="0"/>
                <w:sz w:val="20"/>
                <w:szCs w:val="20"/>
                <w:lang w:bidi="ar"/>
              </w:rPr>
            </w:pPr>
            <w:r>
              <w:rPr>
                <w:rFonts w:eastAsia="Segoe UI" w:cs="Times New Roman"/>
                <w:kern w:val="0"/>
                <w:sz w:val="20"/>
                <w:szCs w:val="20"/>
                <w:lang w:bidi="ar"/>
              </w:rPr>
              <w:t>Limitations</w:t>
            </w:r>
          </w:p>
        </w:tc>
      </w:tr>
      <w:tr w:rsidR="00376D25" w14:paraId="34351466" w14:textId="77777777">
        <w:trPr>
          <w:trHeight w:val="48"/>
        </w:trPr>
        <w:tc>
          <w:tcPr>
            <w:tcW w:w="1668" w:type="dxa"/>
            <w:vMerge/>
            <w:tcBorders>
              <w:left w:val="single" w:sz="4" w:space="0" w:color="000000"/>
              <w:right w:val="single" w:sz="4" w:space="0" w:color="000000"/>
            </w:tcBorders>
          </w:tcPr>
          <w:p w14:paraId="15A689FB"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auto"/>
              <w:right w:val="single" w:sz="4" w:space="0" w:color="000000"/>
            </w:tcBorders>
          </w:tcPr>
          <w:p w14:paraId="31082326"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23c</w:t>
            </w:r>
          </w:p>
        </w:tc>
        <w:tc>
          <w:tcPr>
            <w:tcW w:w="11745" w:type="dxa"/>
            <w:tcBorders>
              <w:top w:val="single" w:sz="4" w:space="0" w:color="000000"/>
              <w:left w:val="single" w:sz="4" w:space="0" w:color="000000"/>
              <w:bottom w:val="single" w:sz="4" w:space="0" w:color="000000"/>
              <w:right w:val="single" w:sz="4" w:space="0" w:color="000000"/>
            </w:tcBorders>
          </w:tcPr>
          <w:p w14:paraId="20392ECA"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hAnsi="Times New Roman" w:cs="Times New Roman"/>
                <w:color w:val="auto"/>
                <w:sz w:val="20"/>
                <w:szCs w:val="20"/>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C4C7E2" w14:textId="77777777" w:rsidR="00376D25" w:rsidRDefault="00000000">
            <w:pPr>
              <w:widowControl/>
              <w:spacing w:line="240" w:lineRule="exact"/>
              <w:ind w:firstLineChars="0" w:firstLine="0"/>
              <w:rPr>
                <w:rFonts w:eastAsia="Segoe UI" w:cs="Times New Roman"/>
                <w:kern w:val="0"/>
                <w:sz w:val="20"/>
                <w:szCs w:val="20"/>
                <w:lang w:bidi="ar"/>
              </w:rPr>
            </w:pPr>
            <w:r>
              <w:rPr>
                <w:rFonts w:eastAsia="Segoe UI" w:cs="Times New Roman"/>
                <w:kern w:val="0"/>
                <w:sz w:val="20"/>
                <w:szCs w:val="20"/>
                <w:lang w:bidi="ar"/>
              </w:rPr>
              <w:t>Limitations</w:t>
            </w:r>
          </w:p>
        </w:tc>
      </w:tr>
      <w:tr w:rsidR="00376D25" w14:paraId="13066341" w14:textId="77777777">
        <w:trPr>
          <w:trHeight w:val="48"/>
        </w:trPr>
        <w:tc>
          <w:tcPr>
            <w:tcW w:w="1668" w:type="dxa"/>
            <w:vMerge/>
            <w:tcBorders>
              <w:left w:val="single" w:sz="4" w:space="0" w:color="000000"/>
              <w:bottom w:val="single" w:sz="4" w:space="0" w:color="auto"/>
              <w:right w:val="single" w:sz="4" w:space="0" w:color="000000"/>
            </w:tcBorders>
          </w:tcPr>
          <w:p w14:paraId="735C6B16"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auto"/>
              <w:left w:val="single" w:sz="4" w:space="0" w:color="000000"/>
              <w:bottom w:val="single" w:sz="4" w:space="0" w:color="auto"/>
              <w:right w:val="single" w:sz="4" w:space="0" w:color="auto"/>
            </w:tcBorders>
          </w:tcPr>
          <w:p w14:paraId="3B85299F"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23d</w:t>
            </w:r>
          </w:p>
        </w:tc>
        <w:tc>
          <w:tcPr>
            <w:tcW w:w="11745" w:type="dxa"/>
            <w:tcBorders>
              <w:top w:val="single" w:sz="4" w:space="0" w:color="000000"/>
              <w:left w:val="single" w:sz="4" w:space="0" w:color="auto"/>
              <w:bottom w:val="double" w:sz="4" w:space="0" w:color="000000"/>
              <w:right w:val="single" w:sz="4" w:space="0" w:color="000000"/>
            </w:tcBorders>
          </w:tcPr>
          <w:p w14:paraId="7E9A91B3" w14:textId="77777777" w:rsidR="00376D25" w:rsidRDefault="00000000">
            <w:pPr>
              <w:pStyle w:val="Default"/>
              <w:spacing w:before="40" w:after="40" w:line="240" w:lineRule="exact"/>
              <w:rPr>
                <w:rFonts w:ascii="Times New Roman" w:hAnsi="Times New Roman" w:cs="Times New Roman"/>
                <w:color w:val="auto"/>
                <w:sz w:val="20"/>
                <w:szCs w:val="20"/>
              </w:rPr>
            </w:pPr>
            <w:r>
              <w:rPr>
                <w:rFonts w:ascii="Times New Roman" w:hAnsi="Times New Roman" w:cs="Times New Roman"/>
                <w:color w:val="auto"/>
                <w:sz w:val="20"/>
                <w:szCs w:val="20"/>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shd w:val="clear" w:color="auto" w:fill="FFFFFF"/>
            <w:vAlign w:val="center"/>
          </w:tcPr>
          <w:p w14:paraId="0AD4712C" w14:textId="77777777" w:rsidR="00376D25" w:rsidRDefault="00000000">
            <w:pPr>
              <w:widowControl/>
              <w:spacing w:line="240" w:lineRule="exact"/>
              <w:ind w:firstLineChars="0" w:firstLine="0"/>
              <w:rPr>
                <w:rFonts w:eastAsia="Segoe UI" w:cs="Times New Roman"/>
                <w:kern w:val="0"/>
                <w:sz w:val="20"/>
                <w:szCs w:val="20"/>
                <w:lang w:bidi="ar"/>
              </w:rPr>
            </w:pPr>
            <w:r>
              <w:rPr>
                <w:rFonts w:eastAsia="Segoe UI" w:cs="Times New Roman"/>
                <w:kern w:val="0"/>
                <w:sz w:val="20"/>
                <w:szCs w:val="20"/>
                <w:lang w:bidi="ar"/>
              </w:rPr>
              <w:t>Conclusion</w:t>
            </w:r>
          </w:p>
        </w:tc>
      </w:tr>
      <w:tr w:rsidR="00376D25" w14:paraId="7698432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71A65EA" w14:textId="77777777" w:rsidR="00376D25" w:rsidRDefault="00000000">
            <w:pPr>
              <w:pStyle w:val="Default"/>
              <w:spacing w:line="240" w:lineRule="exact"/>
              <w:jc w:val="center"/>
              <w:rPr>
                <w:rFonts w:ascii="Times New Roman" w:hAnsi="Times New Roman" w:cs="Times New Roman"/>
                <w:sz w:val="20"/>
                <w:szCs w:val="20"/>
              </w:rPr>
            </w:pPr>
            <w:r>
              <w:rPr>
                <w:rFonts w:ascii="Times New Roman" w:hAnsi="Times New Roman" w:cs="Times New Roman"/>
                <w:b/>
                <w:bCs/>
                <w:sz w:val="20"/>
                <w:szCs w:val="20"/>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4AC4AFC7" w14:textId="77777777" w:rsidR="00376D25" w:rsidRDefault="00376D25">
            <w:pPr>
              <w:pStyle w:val="Default"/>
              <w:spacing w:line="240" w:lineRule="exact"/>
              <w:jc w:val="center"/>
              <w:rPr>
                <w:rFonts w:ascii="Times New Roman" w:hAnsi="Times New Roman" w:cs="Times New Roman"/>
                <w:color w:val="auto"/>
                <w:sz w:val="20"/>
                <w:szCs w:val="20"/>
              </w:rPr>
            </w:pPr>
          </w:p>
        </w:tc>
      </w:tr>
      <w:tr w:rsidR="00376D25" w14:paraId="47597C81" w14:textId="77777777">
        <w:trPr>
          <w:trHeight w:val="48"/>
        </w:trPr>
        <w:tc>
          <w:tcPr>
            <w:tcW w:w="1668" w:type="dxa"/>
            <w:vMerge w:val="restart"/>
            <w:tcBorders>
              <w:top w:val="single" w:sz="4" w:space="0" w:color="000000"/>
              <w:left w:val="single" w:sz="4" w:space="0" w:color="000000"/>
              <w:right w:val="single" w:sz="4" w:space="0" w:color="000000"/>
            </w:tcBorders>
          </w:tcPr>
          <w:p w14:paraId="4A56060A"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61328EA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24a</w:t>
            </w:r>
          </w:p>
        </w:tc>
        <w:tc>
          <w:tcPr>
            <w:tcW w:w="11745" w:type="dxa"/>
            <w:tcBorders>
              <w:top w:val="single" w:sz="4" w:space="0" w:color="000000"/>
              <w:left w:val="single" w:sz="4" w:space="0" w:color="000000"/>
              <w:bottom w:val="single" w:sz="4" w:space="0" w:color="000000"/>
              <w:right w:val="single" w:sz="4" w:space="0" w:color="000000"/>
            </w:tcBorders>
          </w:tcPr>
          <w:p w14:paraId="6B97F236"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3F562"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Methods</w:t>
            </w:r>
          </w:p>
        </w:tc>
      </w:tr>
      <w:tr w:rsidR="00376D25" w14:paraId="5C6D7F05" w14:textId="77777777">
        <w:trPr>
          <w:trHeight w:val="57"/>
        </w:trPr>
        <w:tc>
          <w:tcPr>
            <w:tcW w:w="1668" w:type="dxa"/>
            <w:vMerge/>
            <w:tcBorders>
              <w:left w:val="single" w:sz="4" w:space="0" w:color="000000"/>
              <w:right w:val="single" w:sz="4" w:space="0" w:color="000000"/>
            </w:tcBorders>
          </w:tcPr>
          <w:p w14:paraId="4F0A3AC7"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567DBCEF"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24b</w:t>
            </w:r>
          </w:p>
        </w:tc>
        <w:tc>
          <w:tcPr>
            <w:tcW w:w="11745" w:type="dxa"/>
            <w:tcBorders>
              <w:top w:val="single" w:sz="4" w:space="0" w:color="000000"/>
              <w:left w:val="single" w:sz="4" w:space="0" w:color="000000"/>
              <w:bottom w:val="single" w:sz="4" w:space="0" w:color="000000"/>
              <w:right w:val="single" w:sz="4" w:space="0" w:color="000000"/>
            </w:tcBorders>
          </w:tcPr>
          <w:p w14:paraId="30C5F218"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55152"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Methods</w:t>
            </w:r>
          </w:p>
        </w:tc>
      </w:tr>
      <w:tr w:rsidR="00376D25" w14:paraId="7A1C7EF8" w14:textId="77777777">
        <w:trPr>
          <w:trHeight w:val="48"/>
        </w:trPr>
        <w:tc>
          <w:tcPr>
            <w:tcW w:w="1668" w:type="dxa"/>
            <w:vMerge/>
            <w:tcBorders>
              <w:left w:val="single" w:sz="4" w:space="0" w:color="000000"/>
              <w:bottom w:val="single" w:sz="4" w:space="0" w:color="000000"/>
              <w:right w:val="single" w:sz="4" w:space="0" w:color="000000"/>
            </w:tcBorders>
          </w:tcPr>
          <w:p w14:paraId="6FAEC08D" w14:textId="77777777" w:rsidR="00376D25" w:rsidRDefault="00376D25">
            <w:pPr>
              <w:pStyle w:val="Default"/>
              <w:spacing w:before="40" w:after="40" w:line="240" w:lineRule="exact"/>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4" w:space="0" w:color="000000"/>
            </w:tcBorders>
          </w:tcPr>
          <w:p w14:paraId="1E1DC3FB"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24c</w:t>
            </w:r>
          </w:p>
        </w:tc>
        <w:tc>
          <w:tcPr>
            <w:tcW w:w="11745" w:type="dxa"/>
            <w:tcBorders>
              <w:top w:val="single" w:sz="4" w:space="0" w:color="000000"/>
              <w:left w:val="single" w:sz="4" w:space="0" w:color="000000"/>
              <w:bottom w:val="single" w:sz="4" w:space="0" w:color="000000"/>
              <w:right w:val="single" w:sz="4" w:space="0" w:color="000000"/>
            </w:tcBorders>
          </w:tcPr>
          <w:p w14:paraId="76F4373E"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8352B"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Methods</w:t>
            </w:r>
          </w:p>
        </w:tc>
      </w:tr>
      <w:tr w:rsidR="00376D25" w14:paraId="6DD63B7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23FF3D2"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Support</w:t>
            </w:r>
          </w:p>
        </w:tc>
        <w:tc>
          <w:tcPr>
            <w:tcW w:w="587" w:type="dxa"/>
            <w:tcBorders>
              <w:top w:val="single" w:sz="4" w:space="0" w:color="000000"/>
              <w:left w:val="single" w:sz="4" w:space="0" w:color="000000"/>
              <w:bottom w:val="single" w:sz="4" w:space="0" w:color="000000"/>
              <w:right w:val="single" w:sz="4" w:space="0" w:color="000000"/>
            </w:tcBorders>
          </w:tcPr>
          <w:p w14:paraId="5A797F5A"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25</w:t>
            </w:r>
          </w:p>
        </w:tc>
        <w:tc>
          <w:tcPr>
            <w:tcW w:w="11745" w:type="dxa"/>
            <w:tcBorders>
              <w:top w:val="single" w:sz="4" w:space="0" w:color="000000"/>
              <w:left w:val="single" w:sz="4" w:space="0" w:color="000000"/>
              <w:bottom w:val="single" w:sz="4" w:space="0" w:color="000000"/>
              <w:right w:val="single" w:sz="4" w:space="0" w:color="000000"/>
            </w:tcBorders>
          </w:tcPr>
          <w:p w14:paraId="02178527"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BDA65"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 xml:space="preserve">Declaration </w:t>
            </w:r>
          </w:p>
        </w:tc>
      </w:tr>
      <w:tr w:rsidR="00376D25" w14:paraId="65D7066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EB549B5"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1BD98530"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26</w:t>
            </w:r>
          </w:p>
        </w:tc>
        <w:tc>
          <w:tcPr>
            <w:tcW w:w="11745" w:type="dxa"/>
            <w:tcBorders>
              <w:top w:val="single" w:sz="4" w:space="0" w:color="000000"/>
              <w:left w:val="single" w:sz="4" w:space="0" w:color="000000"/>
              <w:bottom w:val="single" w:sz="4" w:space="0" w:color="000000"/>
              <w:right w:val="single" w:sz="4" w:space="0" w:color="000000"/>
            </w:tcBorders>
          </w:tcPr>
          <w:p w14:paraId="02D75384"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B9099" w14:textId="77777777" w:rsidR="00376D25" w:rsidRDefault="00000000">
            <w:pPr>
              <w:widowControl/>
              <w:spacing w:line="240" w:lineRule="exact"/>
              <w:ind w:firstLineChars="0" w:firstLine="0"/>
              <w:rPr>
                <w:rFonts w:eastAsia="Segoe UI" w:cs="Times New Roman"/>
                <w:color w:val="000000"/>
                <w:kern w:val="0"/>
                <w:sz w:val="20"/>
                <w:szCs w:val="20"/>
                <w:lang w:bidi="ar"/>
              </w:rPr>
            </w:pPr>
            <w:r>
              <w:rPr>
                <w:rFonts w:eastAsia="Segoe UI" w:cs="Times New Roman"/>
                <w:color w:val="000000"/>
                <w:kern w:val="0"/>
                <w:sz w:val="20"/>
                <w:szCs w:val="20"/>
                <w:lang w:bidi="ar"/>
              </w:rPr>
              <w:t xml:space="preserve">Declaration </w:t>
            </w:r>
          </w:p>
        </w:tc>
      </w:tr>
      <w:tr w:rsidR="00376D25" w14:paraId="324CE683"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051DF045"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68973FC9" w14:textId="77777777" w:rsidR="00376D25" w:rsidRDefault="00000000">
            <w:pPr>
              <w:pStyle w:val="Default"/>
              <w:spacing w:before="40" w:after="40" w:line="240" w:lineRule="exact"/>
              <w:jc w:val="center"/>
              <w:rPr>
                <w:rFonts w:ascii="Times New Roman" w:hAnsi="Times New Roman" w:cs="Times New Roman"/>
                <w:sz w:val="20"/>
                <w:szCs w:val="20"/>
              </w:rPr>
            </w:pPr>
            <w:r>
              <w:rPr>
                <w:rFonts w:ascii="Times New Roman" w:hAnsi="Times New Roman" w:cs="Times New Roman"/>
                <w:sz w:val="20"/>
                <w:szCs w:val="20"/>
              </w:rPr>
              <w:t>27</w:t>
            </w:r>
          </w:p>
        </w:tc>
        <w:tc>
          <w:tcPr>
            <w:tcW w:w="11745" w:type="dxa"/>
            <w:tcBorders>
              <w:top w:val="single" w:sz="4" w:space="0" w:color="000000"/>
              <w:left w:val="single" w:sz="4" w:space="0" w:color="000000"/>
              <w:bottom w:val="double" w:sz="4" w:space="0" w:color="000000"/>
              <w:right w:val="single" w:sz="4" w:space="0" w:color="000000"/>
            </w:tcBorders>
          </w:tcPr>
          <w:p w14:paraId="0D76EF1E" w14:textId="77777777" w:rsidR="00376D25" w:rsidRDefault="00000000">
            <w:pPr>
              <w:pStyle w:val="Default"/>
              <w:spacing w:before="40" w:after="40" w:line="240" w:lineRule="exact"/>
              <w:rPr>
                <w:rFonts w:ascii="Times New Roman" w:hAnsi="Times New Roman" w:cs="Times New Roman"/>
                <w:sz w:val="20"/>
                <w:szCs w:val="20"/>
              </w:rPr>
            </w:pPr>
            <w:r>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shd w:val="clear" w:color="auto" w:fill="FFFFFF"/>
            <w:vAlign w:val="center"/>
          </w:tcPr>
          <w:p w14:paraId="26C0175C" w14:textId="77777777" w:rsidR="00376D25" w:rsidRDefault="00000000">
            <w:pPr>
              <w:widowControl/>
              <w:spacing w:line="240" w:lineRule="exact"/>
              <w:ind w:firstLineChars="0" w:firstLine="0"/>
              <w:rPr>
                <w:rFonts w:eastAsiaTheme="minorEastAsia" w:cs="Times New Roman"/>
                <w:color w:val="000000"/>
                <w:kern w:val="0"/>
                <w:sz w:val="20"/>
                <w:szCs w:val="20"/>
                <w:lang w:bidi="ar"/>
              </w:rPr>
            </w:pPr>
            <w:r>
              <w:rPr>
                <w:rFonts w:eastAsia="Segoe UI" w:cs="Times New Roman"/>
                <w:color w:val="000000"/>
                <w:kern w:val="0"/>
                <w:sz w:val="20"/>
                <w:szCs w:val="20"/>
                <w:lang w:bidi="ar"/>
              </w:rPr>
              <w:t>NA</w:t>
            </w:r>
            <w:r>
              <w:rPr>
                <w:rFonts w:eastAsiaTheme="minorEastAsia" w:cs="Times New Roman" w:hint="eastAsia"/>
                <w:color w:val="000000"/>
                <w:kern w:val="0"/>
                <w:sz w:val="20"/>
                <w:szCs w:val="20"/>
                <w:lang w:bidi="ar"/>
              </w:rPr>
              <w:t xml:space="preserve"> </w:t>
            </w:r>
          </w:p>
        </w:tc>
      </w:tr>
    </w:tbl>
    <w:p w14:paraId="4B33EB02" w14:textId="77777777" w:rsidR="00376D25" w:rsidRDefault="00000000">
      <w:pPr>
        <w:pStyle w:val="Default"/>
        <w:spacing w:line="183" w:lineRule="atLeast"/>
        <w:jc w:val="both"/>
        <w:rPr>
          <w:rFonts w:eastAsia="黑体" w:cs="等线"/>
          <w:b/>
          <w:bCs/>
          <w:sz w:val="28"/>
          <w:szCs w:val="28"/>
          <w:lang w:bidi="ar"/>
        </w:rPr>
        <w:sectPr w:rsidR="00376D25">
          <w:headerReference w:type="even" r:id="rId6"/>
          <w:headerReference w:type="default" r:id="rId7"/>
          <w:footerReference w:type="even" r:id="rId8"/>
          <w:footerReference w:type="default" r:id="rId9"/>
          <w:headerReference w:type="first" r:id="rId10"/>
          <w:footerReference w:type="first" r:id="rId11"/>
          <w:endnotePr>
            <w:numFmt w:val="decimal"/>
          </w:endnotePr>
          <w:pgSz w:w="16838" w:h="11906" w:orient="landscape"/>
          <w:pgMar w:top="1800" w:right="1440" w:bottom="1800" w:left="1440" w:header="851" w:footer="992" w:gutter="0"/>
          <w:cols w:space="425"/>
          <w:docGrid w:type="lines" w:linePitch="312"/>
        </w:sectPr>
      </w:pPr>
      <w:r>
        <w:rPr>
          <w:rFonts w:ascii="Times New Roman" w:eastAsia="宋体" w:hAnsi="Times New Roman" w:cs="Times New Roman" w:hint="eastAsia"/>
          <w:i/>
          <w:iCs/>
          <w:color w:val="auto"/>
          <w:sz w:val="16"/>
          <w:szCs w:val="16"/>
          <w:lang w:val="en-US" w:eastAsia="zh-CN"/>
        </w:rPr>
        <w:t>Note</w:t>
      </w:r>
      <w:r>
        <w:rPr>
          <w:rFonts w:ascii="Times New Roman" w:hAnsi="Times New Roman" w:cs="Times New Roman"/>
          <w:i/>
          <w:iCs/>
          <w:color w:val="auto"/>
          <w:sz w:val="16"/>
          <w:szCs w:val="16"/>
        </w:rPr>
        <w:t xml:space="preserve">: </w:t>
      </w:r>
      <w:r>
        <w:rPr>
          <w:rFonts w:ascii="Times New Roman" w:hAnsi="Times New Roman" w:cs="Times New Roman"/>
          <w:color w:val="auto"/>
          <w:sz w:val="16"/>
          <w:szCs w:val="16"/>
        </w:rPr>
        <w:t xml:space="preserve">Page MJ, McKenzie JE, Bossuyt PM, </w:t>
      </w:r>
      <w:proofErr w:type="spellStart"/>
      <w:r>
        <w:rPr>
          <w:rFonts w:ascii="Times New Roman" w:hAnsi="Times New Roman" w:cs="Times New Roman"/>
          <w:color w:val="auto"/>
          <w:sz w:val="16"/>
          <w:szCs w:val="16"/>
        </w:rPr>
        <w:t>Boutron</w:t>
      </w:r>
      <w:proofErr w:type="spellEnd"/>
      <w:r>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Pr>
          <w:rFonts w:ascii="Times New Roman" w:hAnsi="Times New Roman" w:cs="Times New Roman"/>
          <w:color w:val="auto"/>
          <w:sz w:val="16"/>
          <w:szCs w:val="16"/>
        </w:rPr>
        <w:t>372:n</w:t>
      </w:r>
      <w:proofErr w:type="gramEnd"/>
      <w:r>
        <w:rPr>
          <w:rFonts w:ascii="Times New Roman" w:hAnsi="Times New Roman" w:cs="Times New Roman"/>
          <w:color w:val="auto"/>
          <w:sz w:val="16"/>
          <w:szCs w:val="16"/>
        </w:rPr>
        <w:t xml:space="preserve">71. </w:t>
      </w:r>
      <w:proofErr w:type="spellStart"/>
      <w:r>
        <w:rPr>
          <w:rFonts w:ascii="Times New Roman" w:hAnsi="Times New Roman" w:cs="Times New Roman"/>
          <w:color w:val="auto"/>
          <w:sz w:val="16"/>
          <w:szCs w:val="16"/>
        </w:rPr>
        <w:t>doi</w:t>
      </w:r>
      <w:proofErr w:type="spellEnd"/>
      <w:r>
        <w:rPr>
          <w:rFonts w:ascii="Times New Roman" w:hAnsi="Times New Roman" w:cs="Times New Roman"/>
          <w:color w:val="auto"/>
          <w:sz w:val="16"/>
          <w:szCs w:val="16"/>
        </w:rPr>
        <w:t>: 10.1136/</w:t>
      </w:r>
      <w:proofErr w:type="gramStart"/>
      <w:r>
        <w:rPr>
          <w:rFonts w:ascii="Times New Roman" w:hAnsi="Times New Roman" w:cs="Times New Roman"/>
          <w:color w:val="auto"/>
          <w:sz w:val="16"/>
          <w:szCs w:val="16"/>
        </w:rPr>
        <w:t>bmj.n</w:t>
      </w:r>
      <w:proofErr w:type="gramEnd"/>
      <w:r>
        <w:rPr>
          <w:rFonts w:ascii="Times New Roman" w:hAnsi="Times New Roman" w:cs="Times New Roman"/>
          <w:color w:val="auto"/>
          <w:sz w:val="16"/>
          <w:szCs w:val="16"/>
        </w:rPr>
        <w:t xml:space="preserve">71. This work is licensed under CC BY 4.0. To view a copy of this license, visit </w:t>
      </w:r>
      <w:hyperlink r:id="rId12" w:history="1">
        <w:r>
          <w:rPr>
            <w:rStyle w:val="ac"/>
            <w:rFonts w:ascii="Times New Roman" w:hAnsi="Times New Roman" w:cs="Times New Roman"/>
            <w:sz w:val="16"/>
            <w:szCs w:val="16"/>
          </w:rPr>
          <w:t>https://creativecommons.org/licenses/by/4.0/</w:t>
        </w:r>
      </w:hyperlink>
      <w:r>
        <w:rPr>
          <w:rFonts w:ascii="Arial" w:hAnsi="Arial" w:cs="Arial"/>
          <w:color w:val="auto"/>
          <w:sz w:val="16"/>
          <w:szCs w:val="16"/>
        </w:rPr>
        <w:t xml:space="preserve"> </w:t>
      </w:r>
    </w:p>
    <w:p w14:paraId="21CB8724" w14:textId="77777777" w:rsidR="00376D25" w:rsidRDefault="00000000">
      <w:pPr>
        <w:widowControl/>
        <w:spacing w:line="240" w:lineRule="auto"/>
        <w:ind w:firstLineChars="0" w:firstLine="0"/>
        <w:jc w:val="left"/>
        <w:textAlignment w:val="center"/>
        <w:rPr>
          <w:rFonts w:eastAsia="黑体" w:cs="等线"/>
          <w:color w:val="000000"/>
          <w:kern w:val="0"/>
          <w:sz w:val="21"/>
          <w:szCs w:val="21"/>
          <w:lang w:bidi="ar"/>
        </w:rPr>
      </w:pPr>
      <w:r>
        <w:rPr>
          <w:rFonts w:eastAsia="黑体" w:cs="等线" w:hint="eastAsia"/>
          <w:b/>
          <w:bCs/>
          <w:color w:val="000000"/>
          <w:kern w:val="0"/>
          <w:sz w:val="21"/>
          <w:szCs w:val="21"/>
          <w:lang w:bidi="ar"/>
        </w:rPr>
        <w:lastRenderedPageBreak/>
        <w:t>Table 2.</w:t>
      </w:r>
      <w:r>
        <w:rPr>
          <w:rFonts w:eastAsia="黑体" w:cs="等线" w:hint="eastAsia"/>
          <w:color w:val="000000"/>
          <w:kern w:val="0"/>
          <w:sz w:val="21"/>
          <w:szCs w:val="21"/>
          <w:lang w:bidi="ar"/>
        </w:rPr>
        <w:t xml:space="preserve"> Search strategies and number of records retrieved from each database for the systematic review of distributional cost-effectiveness analysis studies in healthcare published from inception to 30th August 2025.</w:t>
      </w:r>
    </w:p>
    <w:tbl>
      <w:tblPr>
        <w:tblW w:w="15001" w:type="dxa"/>
        <w:tblInd w:w="-176" w:type="dxa"/>
        <w:tblLayout w:type="fixed"/>
        <w:tblLook w:val="04A0" w:firstRow="1" w:lastRow="0" w:firstColumn="1" w:lastColumn="0" w:noHBand="0" w:noVBand="1"/>
      </w:tblPr>
      <w:tblGrid>
        <w:gridCol w:w="1496"/>
        <w:gridCol w:w="764"/>
        <w:gridCol w:w="12741"/>
      </w:tblGrid>
      <w:tr w:rsidR="00376D25" w14:paraId="380B5BD4" w14:textId="77777777">
        <w:trPr>
          <w:trHeight w:val="277"/>
        </w:trPr>
        <w:tc>
          <w:tcPr>
            <w:tcW w:w="1496" w:type="dxa"/>
            <w:tcBorders>
              <w:top w:val="single" w:sz="12" w:space="0" w:color="auto"/>
              <w:left w:val="nil"/>
              <w:bottom w:val="single" w:sz="8" w:space="0" w:color="auto"/>
              <w:right w:val="nil"/>
            </w:tcBorders>
            <w:noWrap/>
            <w:vAlign w:val="center"/>
          </w:tcPr>
          <w:p w14:paraId="180C3AA2" w14:textId="77777777" w:rsidR="00376D25" w:rsidRDefault="00000000">
            <w:pPr>
              <w:widowControl/>
              <w:spacing w:line="240" w:lineRule="atLeast"/>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Retrieval Database</w:t>
            </w:r>
          </w:p>
        </w:tc>
        <w:tc>
          <w:tcPr>
            <w:tcW w:w="764" w:type="dxa"/>
            <w:tcBorders>
              <w:top w:val="single" w:sz="12" w:space="0" w:color="auto"/>
              <w:left w:val="nil"/>
              <w:bottom w:val="single" w:sz="8" w:space="0" w:color="auto"/>
              <w:right w:val="nil"/>
            </w:tcBorders>
            <w:noWrap/>
            <w:vAlign w:val="center"/>
          </w:tcPr>
          <w:p w14:paraId="2832286D" w14:textId="77777777" w:rsidR="00376D25" w:rsidRDefault="00000000">
            <w:pPr>
              <w:widowControl/>
              <w:spacing w:line="240" w:lineRule="atLeast"/>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Item</w:t>
            </w:r>
          </w:p>
        </w:tc>
        <w:tc>
          <w:tcPr>
            <w:tcW w:w="12741" w:type="dxa"/>
            <w:tcBorders>
              <w:top w:val="single" w:sz="12" w:space="0" w:color="auto"/>
              <w:left w:val="nil"/>
              <w:bottom w:val="single" w:sz="8" w:space="0" w:color="auto"/>
              <w:right w:val="nil"/>
            </w:tcBorders>
            <w:noWrap/>
            <w:vAlign w:val="center"/>
          </w:tcPr>
          <w:p w14:paraId="2745B3B1" w14:textId="77777777" w:rsidR="00376D25" w:rsidRDefault="00000000">
            <w:pPr>
              <w:widowControl/>
              <w:spacing w:line="240" w:lineRule="atLeast"/>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Search query</w:t>
            </w:r>
          </w:p>
        </w:tc>
      </w:tr>
      <w:tr w:rsidR="00376D25" w14:paraId="29CF6A76" w14:textId="77777777">
        <w:trPr>
          <w:trHeight w:val="277"/>
        </w:trPr>
        <w:tc>
          <w:tcPr>
            <w:tcW w:w="1496" w:type="dxa"/>
            <w:vMerge w:val="restart"/>
            <w:tcBorders>
              <w:top w:val="single" w:sz="8" w:space="0" w:color="auto"/>
            </w:tcBorders>
            <w:noWrap/>
            <w:vAlign w:val="center"/>
          </w:tcPr>
          <w:p w14:paraId="26CE954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web of science</w:t>
            </w:r>
          </w:p>
          <w:p w14:paraId="5E41A6A6" w14:textId="77777777" w:rsidR="00376D25" w:rsidRDefault="00376D25">
            <w:pPr>
              <w:widowControl/>
              <w:spacing w:line="240" w:lineRule="atLeast"/>
              <w:ind w:firstLineChars="0" w:firstLine="0"/>
              <w:jc w:val="center"/>
              <w:textAlignment w:val="center"/>
              <w:rPr>
                <w:rFonts w:cs="Times New Roman"/>
                <w:color w:val="000000"/>
                <w:sz w:val="20"/>
                <w:szCs w:val="20"/>
              </w:rPr>
            </w:pPr>
          </w:p>
        </w:tc>
        <w:tc>
          <w:tcPr>
            <w:tcW w:w="764" w:type="dxa"/>
            <w:tcBorders>
              <w:top w:val="single" w:sz="8" w:space="0" w:color="auto"/>
            </w:tcBorders>
            <w:noWrap/>
            <w:vAlign w:val="center"/>
          </w:tcPr>
          <w:p w14:paraId="17A310B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single" w:sz="8" w:space="0" w:color="auto"/>
            </w:tcBorders>
            <w:noWrap/>
            <w:vAlign w:val="center"/>
          </w:tcPr>
          <w:p w14:paraId="65C3F65E"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 xml:space="preserve">((To= (Distributional cost effectiveness analysis) OR (DCEA) OR (distributional economic evaluation) AND AB=(equity) OR (inequality) OR (fairness) OR (opportunity cost) </w:t>
            </w:r>
          </w:p>
        </w:tc>
      </w:tr>
      <w:tr w:rsidR="00376D25" w14:paraId="77D37577" w14:textId="77777777">
        <w:trPr>
          <w:trHeight w:val="277"/>
        </w:trPr>
        <w:tc>
          <w:tcPr>
            <w:tcW w:w="1496" w:type="dxa"/>
            <w:vMerge/>
            <w:noWrap/>
            <w:vAlign w:val="center"/>
          </w:tcPr>
          <w:p w14:paraId="15340371" w14:textId="77777777" w:rsidR="00376D25" w:rsidRDefault="00376D25">
            <w:pPr>
              <w:widowControl/>
              <w:spacing w:line="240" w:lineRule="atLeast"/>
              <w:ind w:firstLineChars="0" w:firstLine="0"/>
              <w:jc w:val="center"/>
              <w:textAlignment w:val="center"/>
              <w:rPr>
                <w:rFonts w:cs="Times New Roman"/>
                <w:color w:val="000000"/>
                <w:sz w:val="20"/>
                <w:szCs w:val="20"/>
              </w:rPr>
            </w:pPr>
          </w:p>
        </w:tc>
        <w:tc>
          <w:tcPr>
            <w:tcW w:w="764" w:type="dxa"/>
            <w:noWrap/>
            <w:vAlign w:val="center"/>
          </w:tcPr>
          <w:p w14:paraId="0774BFF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12741" w:type="dxa"/>
            <w:noWrap/>
            <w:vAlign w:val="center"/>
          </w:tcPr>
          <w:p w14:paraId="24F57698"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w:t>
            </w:r>
            <w:r>
              <w:rPr>
                <w:rFonts w:cs="Times New Roman"/>
                <w:color w:val="000000"/>
                <w:kern w:val="0"/>
                <w:sz w:val="20"/>
                <w:szCs w:val="20"/>
                <w:lang w:bidi="ar"/>
              </w:rPr>
              <w:t>Topic</w:t>
            </w:r>
            <w:r>
              <w:rPr>
                <w:rFonts w:cs="Times New Roman"/>
                <w:color w:val="000000"/>
                <w:kern w:val="0"/>
                <w:sz w:val="20"/>
                <w:szCs w:val="20"/>
                <w:lang w:bidi="ar"/>
              </w:rPr>
              <w:t>】</w:t>
            </w:r>
            <w:r>
              <w:rPr>
                <w:rFonts w:cs="Times New Roman"/>
                <w:color w:val="000000"/>
                <w:kern w:val="0"/>
                <w:sz w:val="20"/>
                <w:szCs w:val="20"/>
                <w:lang w:bidi="ar"/>
              </w:rPr>
              <w:t xml:space="preserve">(Distributional cost effectiveness analysis) OR (DCEA) OR (distributional economic evaluation) </w:t>
            </w:r>
          </w:p>
        </w:tc>
      </w:tr>
      <w:tr w:rsidR="00376D25" w14:paraId="699F377E" w14:textId="77777777">
        <w:trPr>
          <w:trHeight w:val="277"/>
        </w:trPr>
        <w:tc>
          <w:tcPr>
            <w:tcW w:w="1496" w:type="dxa"/>
            <w:vMerge/>
            <w:noWrap/>
            <w:vAlign w:val="center"/>
          </w:tcPr>
          <w:p w14:paraId="064E44AE"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noWrap/>
            <w:vAlign w:val="center"/>
          </w:tcPr>
          <w:p w14:paraId="03AD70C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12741" w:type="dxa"/>
            <w:noWrap/>
            <w:vAlign w:val="center"/>
          </w:tcPr>
          <w:p w14:paraId="2FCD14AF"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w:t>
            </w:r>
            <w:r>
              <w:rPr>
                <w:rFonts w:cs="Times New Roman"/>
                <w:color w:val="000000"/>
                <w:kern w:val="0"/>
                <w:sz w:val="20"/>
                <w:szCs w:val="20"/>
                <w:lang w:bidi="ar"/>
              </w:rPr>
              <w:t>Abstract</w:t>
            </w:r>
            <w:r>
              <w:rPr>
                <w:rFonts w:cs="Times New Roman"/>
                <w:color w:val="000000"/>
                <w:kern w:val="0"/>
                <w:sz w:val="20"/>
                <w:szCs w:val="20"/>
                <w:lang w:bidi="ar"/>
              </w:rPr>
              <w:t>】</w:t>
            </w:r>
            <w:r>
              <w:rPr>
                <w:rFonts w:cs="Times New Roman"/>
                <w:color w:val="000000"/>
                <w:kern w:val="0"/>
                <w:sz w:val="20"/>
                <w:szCs w:val="20"/>
                <w:lang w:bidi="ar"/>
              </w:rPr>
              <w:t>(equity) OR (inequality) OR (fairness) OR (opportunity cost)</w:t>
            </w:r>
          </w:p>
        </w:tc>
      </w:tr>
      <w:tr w:rsidR="00376D25" w14:paraId="022FEF0C" w14:textId="77777777">
        <w:trPr>
          <w:trHeight w:val="277"/>
        </w:trPr>
        <w:tc>
          <w:tcPr>
            <w:tcW w:w="1496" w:type="dxa"/>
            <w:vMerge/>
            <w:tcBorders>
              <w:bottom w:val="single" w:sz="8" w:space="0" w:color="auto"/>
            </w:tcBorders>
            <w:noWrap/>
            <w:vAlign w:val="center"/>
          </w:tcPr>
          <w:p w14:paraId="1C20C646"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bottom w:val="single" w:sz="8" w:space="0" w:color="auto"/>
            </w:tcBorders>
            <w:noWrap/>
            <w:vAlign w:val="center"/>
          </w:tcPr>
          <w:p w14:paraId="30633BA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sz w:val="20"/>
                <w:szCs w:val="20"/>
              </w:rPr>
              <w:t>Result</w:t>
            </w:r>
          </w:p>
        </w:tc>
        <w:tc>
          <w:tcPr>
            <w:tcW w:w="12741" w:type="dxa"/>
            <w:tcBorders>
              <w:bottom w:val="single" w:sz="8" w:space="0" w:color="auto"/>
            </w:tcBorders>
            <w:noWrap/>
            <w:vAlign w:val="center"/>
          </w:tcPr>
          <w:p w14:paraId="69F54A4A"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252</w:t>
            </w:r>
          </w:p>
        </w:tc>
      </w:tr>
      <w:tr w:rsidR="00376D25" w14:paraId="4CC6E031" w14:textId="77777777">
        <w:trPr>
          <w:trHeight w:val="277"/>
        </w:trPr>
        <w:tc>
          <w:tcPr>
            <w:tcW w:w="1496" w:type="dxa"/>
            <w:vMerge w:val="restart"/>
            <w:tcBorders>
              <w:top w:val="single" w:sz="8" w:space="0" w:color="auto"/>
            </w:tcBorders>
            <w:noWrap/>
            <w:vAlign w:val="center"/>
          </w:tcPr>
          <w:p w14:paraId="03F263F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PubMed</w:t>
            </w:r>
          </w:p>
          <w:p w14:paraId="04F2EFCE" w14:textId="77777777" w:rsidR="00376D25" w:rsidRDefault="00376D25">
            <w:pPr>
              <w:widowControl/>
              <w:spacing w:line="240" w:lineRule="atLeast"/>
              <w:ind w:firstLineChars="0" w:firstLine="0"/>
              <w:jc w:val="center"/>
              <w:textAlignment w:val="center"/>
              <w:rPr>
                <w:rFonts w:cs="Times New Roman"/>
                <w:color w:val="000000"/>
                <w:sz w:val="20"/>
                <w:szCs w:val="20"/>
              </w:rPr>
            </w:pPr>
          </w:p>
        </w:tc>
        <w:tc>
          <w:tcPr>
            <w:tcW w:w="764" w:type="dxa"/>
            <w:tcBorders>
              <w:top w:val="single" w:sz="8" w:space="0" w:color="auto"/>
            </w:tcBorders>
            <w:noWrap/>
            <w:vAlign w:val="center"/>
          </w:tcPr>
          <w:p w14:paraId="76E664D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single" w:sz="8" w:space="0" w:color="auto"/>
            </w:tcBorders>
            <w:noWrap/>
            <w:vAlign w:val="center"/>
          </w:tcPr>
          <w:p w14:paraId="7FB7E486"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((Distributional cost effectiveness analysis [Title/Abstract]) OR (DCEA[Title/Abstract]) OR (distributional economic evaluation [Title/Abstract]) OR (health distribution [Title/Abstract])) AND ((economic evaluation) OR (equity) OR (inequality) OR (opportunity cost) OR (fairness))</w:t>
            </w:r>
          </w:p>
        </w:tc>
      </w:tr>
      <w:tr w:rsidR="00376D25" w14:paraId="1616169C" w14:textId="77777777">
        <w:trPr>
          <w:trHeight w:val="277"/>
        </w:trPr>
        <w:tc>
          <w:tcPr>
            <w:tcW w:w="1496" w:type="dxa"/>
            <w:vMerge/>
            <w:noWrap/>
            <w:vAlign w:val="center"/>
          </w:tcPr>
          <w:p w14:paraId="049386DB" w14:textId="77777777" w:rsidR="00376D25" w:rsidRDefault="00376D25">
            <w:pPr>
              <w:widowControl/>
              <w:spacing w:line="240" w:lineRule="atLeast"/>
              <w:ind w:firstLineChars="0" w:firstLine="0"/>
              <w:jc w:val="center"/>
              <w:textAlignment w:val="center"/>
              <w:rPr>
                <w:rFonts w:cs="Times New Roman"/>
                <w:color w:val="000000"/>
                <w:sz w:val="20"/>
                <w:szCs w:val="20"/>
              </w:rPr>
            </w:pPr>
          </w:p>
        </w:tc>
        <w:tc>
          <w:tcPr>
            <w:tcW w:w="764" w:type="dxa"/>
            <w:noWrap/>
            <w:vAlign w:val="center"/>
          </w:tcPr>
          <w:p w14:paraId="2AA924E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12741" w:type="dxa"/>
            <w:noWrap/>
            <w:vAlign w:val="center"/>
          </w:tcPr>
          <w:p w14:paraId="35F86A63"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(Distributional cost effectiveness analysis [Title/Abstract]) OR (DCEA[Title/Abstract]) OR (distributional economic evaluation [Title/Abstract]) OR (health distribution [Title/Abstract])</w:t>
            </w:r>
          </w:p>
        </w:tc>
      </w:tr>
      <w:tr w:rsidR="00376D25" w14:paraId="212B76EF" w14:textId="77777777">
        <w:trPr>
          <w:trHeight w:val="277"/>
        </w:trPr>
        <w:tc>
          <w:tcPr>
            <w:tcW w:w="1496" w:type="dxa"/>
            <w:vMerge/>
            <w:noWrap/>
            <w:vAlign w:val="center"/>
          </w:tcPr>
          <w:p w14:paraId="686E0C73"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noWrap/>
            <w:vAlign w:val="center"/>
          </w:tcPr>
          <w:p w14:paraId="60E0974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12741" w:type="dxa"/>
            <w:noWrap/>
            <w:vAlign w:val="center"/>
          </w:tcPr>
          <w:p w14:paraId="23196B05"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 xml:space="preserve">(economic evaluation) OR (equity) OR (inequality) OR (opportunity cost) </w:t>
            </w:r>
          </w:p>
        </w:tc>
      </w:tr>
      <w:tr w:rsidR="00376D25" w14:paraId="42EA0E5E" w14:textId="77777777">
        <w:trPr>
          <w:trHeight w:val="277"/>
        </w:trPr>
        <w:tc>
          <w:tcPr>
            <w:tcW w:w="1496" w:type="dxa"/>
            <w:vMerge/>
            <w:tcBorders>
              <w:bottom w:val="single" w:sz="8" w:space="0" w:color="auto"/>
            </w:tcBorders>
            <w:noWrap/>
            <w:vAlign w:val="center"/>
          </w:tcPr>
          <w:p w14:paraId="1B7E79AE"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bottom w:val="single" w:sz="8" w:space="0" w:color="auto"/>
            </w:tcBorders>
            <w:noWrap/>
            <w:vAlign w:val="center"/>
          </w:tcPr>
          <w:p w14:paraId="5E0ECD4B"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sz w:val="20"/>
                <w:szCs w:val="20"/>
              </w:rPr>
              <w:t>Result</w:t>
            </w:r>
          </w:p>
        </w:tc>
        <w:tc>
          <w:tcPr>
            <w:tcW w:w="12741" w:type="dxa"/>
            <w:tcBorders>
              <w:bottom w:val="single" w:sz="8" w:space="0" w:color="auto"/>
            </w:tcBorders>
            <w:noWrap/>
            <w:vAlign w:val="center"/>
          </w:tcPr>
          <w:p w14:paraId="78E6A237"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158</w:t>
            </w:r>
          </w:p>
        </w:tc>
      </w:tr>
      <w:tr w:rsidR="00376D25" w14:paraId="0C749FC7" w14:textId="77777777">
        <w:trPr>
          <w:trHeight w:val="277"/>
        </w:trPr>
        <w:tc>
          <w:tcPr>
            <w:tcW w:w="1496" w:type="dxa"/>
            <w:vMerge w:val="restart"/>
            <w:tcBorders>
              <w:top w:val="single" w:sz="8" w:space="0" w:color="auto"/>
              <w:left w:val="nil"/>
              <w:bottom w:val="nil"/>
              <w:right w:val="nil"/>
            </w:tcBorders>
            <w:noWrap/>
            <w:vAlign w:val="center"/>
          </w:tcPr>
          <w:p w14:paraId="283605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hint="eastAsia"/>
                <w:color w:val="000000"/>
                <w:kern w:val="0"/>
                <w:sz w:val="20"/>
                <w:szCs w:val="20"/>
                <w:lang w:bidi="ar"/>
              </w:rPr>
              <w:t>t</w:t>
            </w:r>
            <w:r>
              <w:rPr>
                <w:rFonts w:cs="Times New Roman"/>
                <w:color w:val="000000"/>
                <w:kern w:val="0"/>
                <w:sz w:val="20"/>
                <w:szCs w:val="20"/>
                <w:lang w:bidi="ar"/>
              </w:rPr>
              <w:t>he Cochrane Library</w:t>
            </w:r>
          </w:p>
        </w:tc>
        <w:tc>
          <w:tcPr>
            <w:tcW w:w="764" w:type="dxa"/>
            <w:tcBorders>
              <w:top w:val="single" w:sz="8" w:space="0" w:color="auto"/>
              <w:left w:val="nil"/>
              <w:bottom w:val="nil"/>
              <w:right w:val="nil"/>
            </w:tcBorders>
            <w:noWrap/>
            <w:vAlign w:val="center"/>
          </w:tcPr>
          <w:p w14:paraId="3B850D1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single" w:sz="8" w:space="0" w:color="auto"/>
              <w:left w:val="nil"/>
              <w:bottom w:val="nil"/>
              <w:right w:val="nil"/>
            </w:tcBorders>
            <w:noWrap/>
            <w:vAlign w:val="center"/>
          </w:tcPr>
          <w:p w14:paraId="7A5461F4"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Title Abstract Keyword= (Distributional cost effectiveness analysis) OR (DCEA) OR (distributional economic evaluation) OR (health distribution)</w:t>
            </w:r>
          </w:p>
          <w:p w14:paraId="123EC0BC" w14:textId="77777777" w:rsidR="00376D25" w:rsidRDefault="00000000">
            <w:pPr>
              <w:widowControl/>
              <w:spacing w:line="240" w:lineRule="atLeast"/>
              <w:ind w:firstLineChars="0" w:firstLine="0"/>
              <w:rPr>
                <w:rFonts w:cs="Times New Roman"/>
                <w:color w:val="000000"/>
                <w:sz w:val="20"/>
                <w:szCs w:val="20"/>
              </w:rPr>
            </w:pPr>
            <w:r>
              <w:rPr>
                <w:rFonts w:cs="Times New Roman"/>
                <w:color w:val="000000"/>
                <w:kern w:val="0"/>
                <w:sz w:val="20"/>
                <w:szCs w:val="20"/>
                <w:lang w:bidi="ar"/>
              </w:rPr>
              <w:t xml:space="preserve"> AND Title Abstract Keyword= (health distribution) AND ((equity) OR (inequality) OR (fairness) OR (opportunity cost)</w:t>
            </w:r>
          </w:p>
        </w:tc>
      </w:tr>
      <w:tr w:rsidR="00376D25" w14:paraId="23964938" w14:textId="77777777">
        <w:trPr>
          <w:trHeight w:val="277"/>
        </w:trPr>
        <w:tc>
          <w:tcPr>
            <w:tcW w:w="1496" w:type="dxa"/>
            <w:vMerge/>
            <w:tcBorders>
              <w:top w:val="nil"/>
              <w:left w:val="nil"/>
              <w:bottom w:val="nil"/>
              <w:right w:val="nil"/>
            </w:tcBorders>
            <w:noWrap/>
            <w:vAlign w:val="center"/>
          </w:tcPr>
          <w:p w14:paraId="71224099"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nil"/>
              <w:right w:val="nil"/>
            </w:tcBorders>
            <w:noWrap/>
            <w:vAlign w:val="center"/>
          </w:tcPr>
          <w:p w14:paraId="4A152D5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12741" w:type="dxa"/>
            <w:tcBorders>
              <w:top w:val="nil"/>
              <w:left w:val="nil"/>
              <w:bottom w:val="nil"/>
              <w:right w:val="nil"/>
            </w:tcBorders>
            <w:noWrap/>
            <w:vAlign w:val="center"/>
          </w:tcPr>
          <w:p w14:paraId="29790A8B" w14:textId="77777777" w:rsidR="00376D25" w:rsidRDefault="00000000">
            <w:pPr>
              <w:widowControl/>
              <w:spacing w:line="240" w:lineRule="atLeast"/>
              <w:ind w:firstLineChars="0" w:firstLine="0"/>
              <w:rPr>
                <w:rFonts w:cs="Times New Roman"/>
                <w:color w:val="000000"/>
                <w:sz w:val="20"/>
                <w:szCs w:val="20"/>
              </w:rPr>
            </w:pPr>
            <w:r>
              <w:rPr>
                <w:rFonts w:cs="Times New Roman"/>
                <w:color w:val="000000"/>
                <w:kern w:val="0"/>
                <w:sz w:val="20"/>
                <w:szCs w:val="20"/>
                <w:lang w:bidi="ar"/>
              </w:rPr>
              <w:t>Title Abstract Keyword= (Distributional cost effectiveness analysis) OR (DCEA) OR (distributional economic evaluation) OR (health distribution)</w:t>
            </w:r>
          </w:p>
        </w:tc>
      </w:tr>
      <w:tr w:rsidR="00376D25" w14:paraId="786E92ED" w14:textId="77777777">
        <w:trPr>
          <w:trHeight w:val="277"/>
        </w:trPr>
        <w:tc>
          <w:tcPr>
            <w:tcW w:w="1496" w:type="dxa"/>
            <w:vMerge/>
            <w:tcBorders>
              <w:top w:val="nil"/>
              <w:left w:val="nil"/>
              <w:bottom w:val="nil"/>
              <w:right w:val="nil"/>
            </w:tcBorders>
            <w:noWrap/>
            <w:vAlign w:val="center"/>
          </w:tcPr>
          <w:p w14:paraId="5783B133"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nil"/>
              <w:right w:val="nil"/>
            </w:tcBorders>
            <w:noWrap/>
            <w:vAlign w:val="center"/>
          </w:tcPr>
          <w:p w14:paraId="7231D2C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12741" w:type="dxa"/>
            <w:tcBorders>
              <w:top w:val="nil"/>
              <w:left w:val="nil"/>
              <w:bottom w:val="nil"/>
              <w:right w:val="nil"/>
            </w:tcBorders>
            <w:noWrap/>
            <w:vAlign w:val="center"/>
          </w:tcPr>
          <w:p w14:paraId="7C703A03" w14:textId="77777777" w:rsidR="00376D25" w:rsidRDefault="00000000">
            <w:pPr>
              <w:widowControl/>
              <w:spacing w:line="240" w:lineRule="atLeast"/>
              <w:ind w:firstLineChars="0" w:firstLine="0"/>
              <w:rPr>
                <w:rFonts w:cs="Times New Roman"/>
                <w:color w:val="000000"/>
                <w:sz w:val="20"/>
                <w:szCs w:val="20"/>
              </w:rPr>
            </w:pPr>
            <w:r>
              <w:rPr>
                <w:rFonts w:cs="Times New Roman"/>
                <w:color w:val="000000"/>
                <w:kern w:val="0"/>
                <w:sz w:val="20"/>
                <w:szCs w:val="20"/>
                <w:lang w:bidi="ar"/>
              </w:rPr>
              <w:t>Title Abstract Keyword= (health distribution) AND ((equity) OR (inequality) OR (fairness) OR (opportunity cost)</w:t>
            </w:r>
          </w:p>
        </w:tc>
      </w:tr>
      <w:tr w:rsidR="00376D25" w14:paraId="68FC252D" w14:textId="77777777">
        <w:trPr>
          <w:trHeight w:val="277"/>
        </w:trPr>
        <w:tc>
          <w:tcPr>
            <w:tcW w:w="1496" w:type="dxa"/>
            <w:vMerge/>
            <w:tcBorders>
              <w:top w:val="nil"/>
              <w:left w:val="nil"/>
              <w:bottom w:val="nil"/>
              <w:right w:val="nil"/>
            </w:tcBorders>
            <w:noWrap/>
            <w:vAlign w:val="center"/>
          </w:tcPr>
          <w:p w14:paraId="45078875"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nil"/>
              <w:right w:val="nil"/>
            </w:tcBorders>
            <w:noWrap/>
            <w:vAlign w:val="center"/>
          </w:tcPr>
          <w:p w14:paraId="4D0ABBC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sz w:val="20"/>
                <w:szCs w:val="20"/>
              </w:rPr>
              <w:t>Result</w:t>
            </w:r>
          </w:p>
        </w:tc>
        <w:tc>
          <w:tcPr>
            <w:tcW w:w="12741" w:type="dxa"/>
            <w:tcBorders>
              <w:top w:val="nil"/>
              <w:left w:val="nil"/>
              <w:bottom w:val="nil"/>
              <w:right w:val="nil"/>
            </w:tcBorders>
            <w:noWrap/>
            <w:vAlign w:val="center"/>
          </w:tcPr>
          <w:p w14:paraId="2FD3BCBB"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452</w:t>
            </w:r>
          </w:p>
        </w:tc>
      </w:tr>
      <w:tr w:rsidR="00376D25" w14:paraId="7046ACDF" w14:textId="77777777">
        <w:trPr>
          <w:trHeight w:val="277"/>
        </w:trPr>
        <w:tc>
          <w:tcPr>
            <w:tcW w:w="1496" w:type="dxa"/>
            <w:vMerge w:val="restart"/>
            <w:tcBorders>
              <w:top w:val="nil"/>
              <w:left w:val="nil"/>
              <w:right w:val="nil"/>
            </w:tcBorders>
            <w:noWrap/>
            <w:vAlign w:val="center"/>
          </w:tcPr>
          <w:p w14:paraId="2C2B27F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kern w:val="0"/>
                <w:sz w:val="20"/>
                <w:szCs w:val="20"/>
              </w:rPr>
              <w:t>CNKI</w:t>
            </w:r>
          </w:p>
        </w:tc>
        <w:tc>
          <w:tcPr>
            <w:tcW w:w="764" w:type="dxa"/>
            <w:tcBorders>
              <w:top w:val="nil"/>
              <w:left w:val="nil"/>
              <w:bottom w:val="nil"/>
              <w:right w:val="nil"/>
            </w:tcBorders>
            <w:noWrap/>
            <w:vAlign w:val="center"/>
          </w:tcPr>
          <w:p w14:paraId="0EA9B2F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nil"/>
              <w:left w:val="nil"/>
              <w:bottom w:val="nil"/>
              <w:right w:val="nil"/>
            </w:tcBorders>
            <w:noWrap/>
            <w:vAlign w:val="center"/>
          </w:tcPr>
          <w:p w14:paraId="1F4334A0"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w:t>
            </w:r>
            <w:r>
              <w:rPr>
                <w:rFonts w:cs="Times New Roman"/>
                <w:color w:val="000000"/>
                <w:kern w:val="0"/>
                <w:sz w:val="20"/>
                <w:szCs w:val="20"/>
                <w:lang w:bidi="ar"/>
              </w:rPr>
              <w:t>Title/Keywords/Abstract</w:t>
            </w:r>
            <w:r>
              <w:rPr>
                <w:rFonts w:cs="Times New Roman"/>
                <w:color w:val="000000"/>
                <w:kern w:val="0"/>
                <w:sz w:val="20"/>
                <w:szCs w:val="20"/>
                <w:lang w:bidi="ar"/>
              </w:rPr>
              <w:t>】</w:t>
            </w:r>
            <w:r>
              <w:rPr>
                <w:rFonts w:cs="Times New Roman"/>
                <w:color w:val="000000"/>
                <w:kern w:val="0"/>
                <w:sz w:val="20"/>
                <w:szCs w:val="20"/>
                <w:lang w:bidi="ar"/>
              </w:rPr>
              <w:t>(Precise) Distributional Cost-Effectiveness Evaluation + Distributional Cost-Effectiveness Analysis + DCEA</w:t>
            </w:r>
          </w:p>
        </w:tc>
      </w:tr>
      <w:tr w:rsidR="00376D25" w14:paraId="68053185" w14:textId="77777777">
        <w:trPr>
          <w:trHeight w:val="277"/>
        </w:trPr>
        <w:tc>
          <w:tcPr>
            <w:tcW w:w="1496" w:type="dxa"/>
            <w:vMerge/>
            <w:tcBorders>
              <w:left w:val="nil"/>
              <w:bottom w:val="nil"/>
              <w:right w:val="nil"/>
            </w:tcBorders>
            <w:noWrap/>
            <w:vAlign w:val="center"/>
          </w:tcPr>
          <w:p w14:paraId="6262E38A"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nil"/>
              <w:right w:val="nil"/>
            </w:tcBorders>
            <w:noWrap/>
            <w:vAlign w:val="center"/>
          </w:tcPr>
          <w:p w14:paraId="06C0212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Result</w:t>
            </w:r>
          </w:p>
        </w:tc>
        <w:tc>
          <w:tcPr>
            <w:tcW w:w="12741" w:type="dxa"/>
            <w:tcBorders>
              <w:top w:val="nil"/>
              <w:left w:val="nil"/>
              <w:bottom w:val="nil"/>
              <w:right w:val="nil"/>
            </w:tcBorders>
            <w:noWrap/>
            <w:vAlign w:val="center"/>
          </w:tcPr>
          <w:p w14:paraId="13C42D29"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25</w:t>
            </w:r>
          </w:p>
        </w:tc>
      </w:tr>
      <w:tr w:rsidR="00376D25" w14:paraId="741084FE" w14:textId="77777777">
        <w:trPr>
          <w:trHeight w:val="277"/>
        </w:trPr>
        <w:tc>
          <w:tcPr>
            <w:tcW w:w="1496" w:type="dxa"/>
            <w:vMerge w:val="restart"/>
            <w:tcBorders>
              <w:top w:val="nil"/>
              <w:left w:val="nil"/>
              <w:right w:val="nil"/>
            </w:tcBorders>
            <w:noWrap/>
            <w:vAlign w:val="center"/>
          </w:tcPr>
          <w:p w14:paraId="2A499AED"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kern w:val="0"/>
                <w:sz w:val="20"/>
                <w:szCs w:val="20"/>
              </w:rPr>
              <w:t>W</w:t>
            </w:r>
            <w:r>
              <w:rPr>
                <w:rFonts w:cs="Times New Roman" w:hint="eastAsia"/>
                <w:kern w:val="0"/>
                <w:sz w:val="20"/>
                <w:szCs w:val="20"/>
              </w:rPr>
              <w:t>angfang</w:t>
            </w:r>
            <w:proofErr w:type="spellEnd"/>
          </w:p>
        </w:tc>
        <w:tc>
          <w:tcPr>
            <w:tcW w:w="764" w:type="dxa"/>
            <w:tcBorders>
              <w:top w:val="nil"/>
              <w:left w:val="nil"/>
              <w:bottom w:val="nil"/>
              <w:right w:val="nil"/>
            </w:tcBorders>
            <w:noWrap/>
            <w:vAlign w:val="center"/>
          </w:tcPr>
          <w:p w14:paraId="64C947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nil"/>
              <w:left w:val="nil"/>
              <w:bottom w:val="nil"/>
              <w:right w:val="nil"/>
            </w:tcBorders>
            <w:noWrap/>
            <w:vAlign w:val="center"/>
          </w:tcPr>
          <w:p w14:paraId="18BF0ADD"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w:t>
            </w:r>
            <w:r>
              <w:rPr>
                <w:rFonts w:cs="Times New Roman"/>
                <w:color w:val="000000"/>
                <w:kern w:val="0"/>
                <w:sz w:val="20"/>
                <w:szCs w:val="20"/>
                <w:lang w:bidi="ar"/>
              </w:rPr>
              <w:t>Title or Keywords</w:t>
            </w:r>
            <w:r>
              <w:rPr>
                <w:rFonts w:cs="Times New Roman"/>
                <w:color w:val="000000"/>
                <w:kern w:val="0"/>
                <w:sz w:val="20"/>
                <w:szCs w:val="20"/>
                <w:lang w:bidi="ar"/>
              </w:rPr>
              <w:t>】</w:t>
            </w:r>
            <w:r>
              <w:rPr>
                <w:rFonts w:cs="Times New Roman"/>
                <w:color w:val="000000"/>
                <w:kern w:val="0"/>
                <w:sz w:val="20"/>
                <w:szCs w:val="20"/>
                <w:lang w:bidi="ar"/>
              </w:rPr>
              <w:t>(Vague) "Distributional Cost-Effectiveness Evaluation" OR "Distributional Cost-Effectiveness Analysis" OR “DCEA”</w:t>
            </w:r>
          </w:p>
        </w:tc>
      </w:tr>
      <w:tr w:rsidR="00376D25" w14:paraId="16B7C4C5" w14:textId="77777777">
        <w:trPr>
          <w:trHeight w:val="277"/>
        </w:trPr>
        <w:tc>
          <w:tcPr>
            <w:tcW w:w="1496" w:type="dxa"/>
            <w:vMerge/>
            <w:tcBorders>
              <w:left w:val="nil"/>
              <w:bottom w:val="nil"/>
              <w:right w:val="nil"/>
            </w:tcBorders>
            <w:noWrap/>
            <w:vAlign w:val="center"/>
          </w:tcPr>
          <w:p w14:paraId="38CAF3C4"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nil"/>
              <w:right w:val="nil"/>
            </w:tcBorders>
            <w:noWrap/>
            <w:vAlign w:val="center"/>
          </w:tcPr>
          <w:p w14:paraId="5CF68AD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Result</w:t>
            </w:r>
          </w:p>
        </w:tc>
        <w:tc>
          <w:tcPr>
            <w:tcW w:w="12741" w:type="dxa"/>
            <w:tcBorders>
              <w:top w:val="nil"/>
              <w:left w:val="nil"/>
              <w:bottom w:val="nil"/>
              <w:right w:val="nil"/>
            </w:tcBorders>
            <w:noWrap/>
            <w:vAlign w:val="center"/>
          </w:tcPr>
          <w:p w14:paraId="7938E50B"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8</w:t>
            </w:r>
          </w:p>
        </w:tc>
      </w:tr>
      <w:tr w:rsidR="00376D25" w14:paraId="109DDFD8" w14:textId="77777777">
        <w:trPr>
          <w:trHeight w:val="277"/>
        </w:trPr>
        <w:tc>
          <w:tcPr>
            <w:tcW w:w="1496" w:type="dxa"/>
            <w:vMerge w:val="restart"/>
            <w:tcBorders>
              <w:top w:val="nil"/>
              <w:left w:val="nil"/>
              <w:right w:val="nil"/>
            </w:tcBorders>
            <w:noWrap/>
            <w:vAlign w:val="center"/>
          </w:tcPr>
          <w:p w14:paraId="2304711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kern w:val="0"/>
                <w:sz w:val="20"/>
                <w:szCs w:val="20"/>
              </w:rPr>
              <w:t>VIP</w:t>
            </w:r>
          </w:p>
        </w:tc>
        <w:tc>
          <w:tcPr>
            <w:tcW w:w="764" w:type="dxa"/>
            <w:tcBorders>
              <w:top w:val="nil"/>
              <w:left w:val="nil"/>
              <w:bottom w:val="nil"/>
              <w:right w:val="nil"/>
            </w:tcBorders>
            <w:noWrap/>
            <w:vAlign w:val="center"/>
          </w:tcPr>
          <w:p w14:paraId="7C7349A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Total</w:t>
            </w:r>
          </w:p>
        </w:tc>
        <w:tc>
          <w:tcPr>
            <w:tcW w:w="12741" w:type="dxa"/>
            <w:tcBorders>
              <w:top w:val="nil"/>
              <w:left w:val="nil"/>
              <w:bottom w:val="nil"/>
              <w:right w:val="nil"/>
            </w:tcBorders>
            <w:noWrap/>
            <w:vAlign w:val="center"/>
          </w:tcPr>
          <w:p w14:paraId="6DDE9F9B"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w:t>
            </w:r>
            <w:r>
              <w:rPr>
                <w:rFonts w:cs="Times New Roman"/>
                <w:color w:val="000000"/>
                <w:kern w:val="0"/>
                <w:sz w:val="20"/>
                <w:szCs w:val="20"/>
                <w:lang w:bidi="ar"/>
              </w:rPr>
              <w:t>Title or Keywords</w:t>
            </w:r>
            <w:r>
              <w:rPr>
                <w:rFonts w:cs="Times New Roman"/>
                <w:color w:val="000000"/>
                <w:kern w:val="0"/>
                <w:sz w:val="20"/>
                <w:szCs w:val="20"/>
                <w:lang w:bidi="ar"/>
              </w:rPr>
              <w:t>】</w:t>
            </w:r>
            <w:r>
              <w:rPr>
                <w:rFonts w:cs="Times New Roman"/>
                <w:color w:val="000000"/>
                <w:kern w:val="0"/>
                <w:sz w:val="20"/>
                <w:szCs w:val="20"/>
                <w:lang w:bidi="ar"/>
              </w:rPr>
              <w:t>(Vague)"Distributional Cost-Effectiveness Evaluation" + "Distributional Cost-Effectiveness Analysis" + “DCEA”</w:t>
            </w:r>
          </w:p>
        </w:tc>
      </w:tr>
      <w:tr w:rsidR="00376D25" w14:paraId="3EAF25BA" w14:textId="77777777">
        <w:trPr>
          <w:trHeight w:val="277"/>
        </w:trPr>
        <w:tc>
          <w:tcPr>
            <w:tcW w:w="1496" w:type="dxa"/>
            <w:vMerge/>
            <w:tcBorders>
              <w:left w:val="nil"/>
              <w:bottom w:val="single" w:sz="12" w:space="0" w:color="000000"/>
              <w:right w:val="nil"/>
            </w:tcBorders>
            <w:noWrap/>
            <w:vAlign w:val="center"/>
          </w:tcPr>
          <w:p w14:paraId="13A10F8D" w14:textId="77777777" w:rsidR="00376D25" w:rsidRDefault="00376D25">
            <w:pPr>
              <w:widowControl/>
              <w:spacing w:line="240" w:lineRule="atLeast"/>
              <w:ind w:firstLineChars="0" w:firstLine="0"/>
              <w:jc w:val="center"/>
              <w:rPr>
                <w:rFonts w:cs="Times New Roman"/>
                <w:color w:val="000000"/>
                <w:sz w:val="20"/>
                <w:szCs w:val="20"/>
              </w:rPr>
            </w:pPr>
          </w:p>
        </w:tc>
        <w:tc>
          <w:tcPr>
            <w:tcW w:w="764" w:type="dxa"/>
            <w:tcBorders>
              <w:top w:val="nil"/>
              <w:left w:val="nil"/>
              <w:bottom w:val="single" w:sz="12" w:space="0" w:color="000000"/>
              <w:right w:val="nil"/>
            </w:tcBorders>
            <w:noWrap/>
            <w:vAlign w:val="center"/>
          </w:tcPr>
          <w:p w14:paraId="24DE62E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Result</w:t>
            </w:r>
          </w:p>
        </w:tc>
        <w:tc>
          <w:tcPr>
            <w:tcW w:w="12741" w:type="dxa"/>
            <w:tcBorders>
              <w:top w:val="nil"/>
              <w:left w:val="nil"/>
              <w:bottom w:val="single" w:sz="12" w:space="0" w:color="000000"/>
              <w:right w:val="nil"/>
            </w:tcBorders>
            <w:noWrap/>
            <w:vAlign w:val="center"/>
          </w:tcPr>
          <w:p w14:paraId="0284E0C2"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kern w:val="0"/>
                <w:sz w:val="20"/>
                <w:szCs w:val="20"/>
                <w:lang w:bidi="ar"/>
              </w:rPr>
              <w:t>28</w:t>
            </w:r>
          </w:p>
        </w:tc>
      </w:tr>
    </w:tbl>
    <w:p w14:paraId="604733B3" w14:textId="77777777" w:rsidR="00376D25" w:rsidRDefault="00376D25">
      <w:pPr>
        <w:ind w:firstLineChars="0" w:firstLine="0"/>
        <w:sectPr w:rsidR="00376D25">
          <w:endnotePr>
            <w:numFmt w:val="decimal"/>
          </w:endnotePr>
          <w:pgSz w:w="16838" w:h="11906" w:orient="landscape"/>
          <w:pgMar w:top="1800" w:right="1440" w:bottom="1800" w:left="1440" w:header="851" w:footer="992" w:gutter="0"/>
          <w:cols w:space="425"/>
          <w:docGrid w:type="lines" w:linePitch="312"/>
        </w:sectPr>
      </w:pPr>
    </w:p>
    <w:p w14:paraId="269756C9" w14:textId="77777777" w:rsidR="00376D25" w:rsidRDefault="00000000">
      <w:pPr>
        <w:widowControl/>
        <w:spacing w:line="240" w:lineRule="auto"/>
        <w:ind w:firstLineChars="0" w:firstLine="0"/>
        <w:jc w:val="left"/>
        <w:textAlignment w:val="center"/>
        <w:rPr>
          <w:rFonts w:eastAsia="黑体" w:cs="等线"/>
          <w:color w:val="000000"/>
          <w:kern w:val="0"/>
          <w:sz w:val="21"/>
          <w:szCs w:val="21"/>
          <w:lang w:bidi="ar"/>
        </w:rPr>
      </w:pPr>
      <w:r>
        <w:rPr>
          <w:rFonts w:eastAsia="黑体" w:cs="等线" w:hint="eastAsia"/>
          <w:b/>
          <w:bCs/>
          <w:color w:val="000000"/>
          <w:kern w:val="0"/>
          <w:sz w:val="21"/>
          <w:szCs w:val="21"/>
          <w:lang w:bidi="ar"/>
        </w:rPr>
        <w:lastRenderedPageBreak/>
        <w:t>Table 3.</w:t>
      </w:r>
      <w:r>
        <w:rPr>
          <w:rFonts w:eastAsia="黑体" w:cs="等线" w:hint="eastAsia"/>
          <w:color w:val="000000"/>
          <w:kern w:val="0"/>
          <w:sz w:val="21"/>
          <w:szCs w:val="21"/>
          <w:lang w:bidi="ar"/>
        </w:rPr>
        <w:t xml:space="preserve"> Consolidated Health Economic Evaluation Reporting Standards (CHEERS) 2022 checklist items for assessing the reporting quality of the 28 included distributional cost-effectiveness analysis studies published from 2017 to 2025.</w:t>
      </w:r>
    </w:p>
    <w:tbl>
      <w:tblPr>
        <w:tblW w:w="9914" w:type="dxa"/>
        <w:jc w:val="center"/>
        <w:tblBorders>
          <w:top w:val="single" w:sz="12" w:space="0" w:color="auto"/>
          <w:bottom w:val="single" w:sz="12" w:space="0" w:color="auto"/>
        </w:tblBorders>
        <w:tblLayout w:type="fixed"/>
        <w:tblLook w:val="04A0" w:firstRow="1" w:lastRow="0" w:firstColumn="1" w:lastColumn="0" w:noHBand="0" w:noVBand="1"/>
      </w:tblPr>
      <w:tblGrid>
        <w:gridCol w:w="2278"/>
        <w:gridCol w:w="764"/>
        <w:gridCol w:w="6872"/>
      </w:tblGrid>
      <w:tr w:rsidR="00376D25" w14:paraId="432C02E4" w14:textId="77777777">
        <w:trPr>
          <w:trHeight w:val="630"/>
          <w:jc w:val="center"/>
        </w:trPr>
        <w:tc>
          <w:tcPr>
            <w:tcW w:w="2278" w:type="dxa"/>
            <w:tcBorders>
              <w:bottom w:val="single" w:sz="8" w:space="0" w:color="auto"/>
            </w:tcBorders>
            <w:vAlign w:val="center"/>
          </w:tcPr>
          <w:p w14:paraId="16E9210F" w14:textId="77777777" w:rsidR="00376D25" w:rsidRDefault="00000000">
            <w:pPr>
              <w:widowControl/>
              <w:spacing w:line="240" w:lineRule="atLeast"/>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Section/topic</w:t>
            </w:r>
          </w:p>
        </w:tc>
        <w:tc>
          <w:tcPr>
            <w:tcW w:w="764" w:type="dxa"/>
            <w:tcBorders>
              <w:bottom w:val="single" w:sz="8" w:space="0" w:color="auto"/>
            </w:tcBorders>
            <w:vAlign w:val="center"/>
          </w:tcPr>
          <w:p w14:paraId="08A5ED3B"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sz w:val="20"/>
                <w:szCs w:val="20"/>
              </w:rPr>
              <w:t>Item no.</w:t>
            </w:r>
          </w:p>
        </w:tc>
        <w:tc>
          <w:tcPr>
            <w:tcW w:w="6872" w:type="dxa"/>
            <w:tcBorders>
              <w:bottom w:val="single" w:sz="8" w:space="0" w:color="auto"/>
            </w:tcBorders>
            <w:vAlign w:val="center"/>
          </w:tcPr>
          <w:p w14:paraId="608AAD6C"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sz w:val="20"/>
                <w:szCs w:val="20"/>
              </w:rPr>
              <w:t>Guidance for reporting</w:t>
            </w:r>
          </w:p>
        </w:tc>
      </w:tr>
      <w:tr w:rsidR="00376D25" w14:paraId="0A2E00D5" w14:textId="77777777">
        <w:trPr>
          <w:trHeight w:val="375"/>
          <w:jc w:val="center"/>
        </w:trPr>
        <w:tc>
          <w:tcPr>
            <w:tcW w:w="2278" w:type="dxa"/>
            <w:tcBorders>
              <w:top w:val="single" w:sz="8" w:space="0" w:color="auto"/>
              <w:tl2br w:val="nil"/>
              <w:tr2bl w:val="nil"/>
            </w:tcBorders>
            <w:vAlign w:val="center"/>
          </w:tcPr>
          <w:p w14:paraId="0A77CBE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Title</w:t>
            </w:r>
          </w:p>
        </w:tc>
        <w:tc>
          <w:tcPr>
            <w:tcW w:w="764" w:type="dxa"/>
            <w:tcBorders>
              <w:top w:val="single" w:sz="8" w:space="0" w:color="auto"/>
              <w:tl2br w:val="nil"/>
              <w:tr2bl w:val="nil"/>
            </w:tcBorders>
            <w:vAlign w:val="center"/>
          </w:tcPr>
          <w:p w14:paraId="30D740E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6872" w:type="dxa"/>
            <w:tcBorders>
              <w:top w:val="single" w:sz="8" w:space="0" w:color="auto"/>
              <w:tl2br w:val="nil"/>
              <w:tr2bl w:val="nil"/>
            </w:tcBorders>
            <w:vAlign w:val="center"/>
          </w:tcPr>
          <w:p w14:paraId="4CE1B6C8"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Identify the study as an economic evaluation and specify the interventions being compared.</w:t>
            </w:r>
          </w:p>
        </w:tc>
      </w:tr>
      <w:tr w:rsidR="00376D25" w14:paraId="47F025D3" w14:textId="77777777">
        <w:trPr>
          <w:trHeight w:val="375"/>
          <w:jc w:val="center"/>
        </w:trPr>
        <w:tc>
          <w:tcPr>
            <w:tcW w:w="2278" w:type="dxa"/>
            <w:tcBorders>
              <w:tl2br w:val="nil"/>
              <w:tr2bl w:val="nil"/>
            </w:tcBorders>
            <w:vAlign w:val="center"/>
          </w:tcPr>
          <w:p w14:paraId="21E2AD9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Abstract</w:t>
            </w:r>
          </w:p>
        </w:tc>
        <w:tc>
          <w:tcPr>
            <w:tcW w:w="764" w:type="dxa"/>
            <w:tcBorders>
              <w:tl2br w:val="nil"/>
              <w:tr2bl w:val="nil"/>
            </w:tcBorders>
            <w:vAlign w:val="center"/>
          </w:tcPr>
          <w:p w14:paraId="102B4FC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6872" w:type="dxa"/>
            <w:tcBorders>
              <w:tl2br w:val="nil"/>
              <w:tr2bl w:val="nil"/>
            </w:tcBorders>
            <w:vAlign w:val="center"/>
          </w:tcPr>
          <w:p w14:paraId="689F7248" w14:textId="77777777" w:rsidR="00376D25" w:rsidRDefault="00000000">
            <w:pPr>
              <w:widowControl/>
              <w:spacing w:line="240" w:lineRule="atLeast"/>
              <w:ind w:firstLineChars="0" w:firstLine="0"/>
              <w:jc w:val="left"/>
              <w:textAlignment w:val="center"/>
              <w:rPr>
                <w:rFonts w:cs="Times New Roman"/>
                <w:color w:val="000000"/>
                <w:sz w:val="20"/>
                <w:szCs w:val="20"/>
              </w:rPr>
            </w:pPr>
            <w:proofErr w:type="spellStart"/>
            <w:r>
              <w:rPr>
                <w:rFonts w:cs="Times New Roman"/>
                <w:color w:val="000000"/>
                <w:sz w:val="20"/>
                <w:szCs w:val="20"/>
              </w:rPr>
              <w:t>rovide</w:t>
            </w:r>
            <w:proofErr w:type="spellEnd"/>
            <w:r>
              <w:rPr>
                <w:rFonts w:cs="Times New Roman"/>
                <w:color w:val="000000"/>
                <w:sz w:val="20"/>
                <w:szCs w:val="20"/>
              </w:rPr>
              <w:t xml:space="preserve"> a structured summary that highlights context, key methods, results, and alternative analyses.</w:t>
            </w:r>
          </w:p>
        </w:tc>
      </w:tr>
      <w:tr w:rsidR="00376D25" w14:paraId="735D5651" w14:textId="77777777">
        <w:trPr>
          <w:trHeight w:val="90"/>
          <w:jc w:val="center"/>
        </w:trPr>
        <w:tc>
          <w:tcPr>
            <w:tcW w:w="9914" w:type="dxa"/>
            <w:gridSpan w:val="3"/>
            <w:tcBorders>
              <w:tl2br w:val="nil"/>
              <w:tr2bl w:val="nil"/>
            </w:tcBorders>
            <w:vAlign w:val="center"/>
          </w:tcPr>
          <w:p w14:paraId="62E7D82E" w14:textId="77777777" w:rsidR="00376D25" w:rsidRDefault="00000000">
            <w:pPr>
              <w:widowControl/>
              <w:spacing w:line="240" w:lineRule="atLeast"/>
              <w:ind w:firstLineChars="0" w:firstLine="0"/>
              <w:jc w:val="center"/>
              <w:rPr>
                <w:rFonts w:cs="Times New Roman"/>
                <w:color w:val="000000"/>
                <w:sz w:val="20"/>
                <w:szCs w:val="20"/>
              </w:rPr>
            </w:pPr>
            <w:r>
              <w:rPr>
                <w:rFonts w:cs="Times New Roman"/>
                <w:b/>
                <w:bCs/>
                <w:color w:val="000000"/>
                <w:sz w:val="20"/>
                <w:szCs w:val="20"/>
              </w:rPr>
              <w:t>Introduction</w:t>
            </w:r>
          </w:p>
        </w:tc>
      </w:tr>
      <w:tr w:rsidR="00376D25" w14:paraId="6F847259" w14:textId="77777777">
        <w:trPr>
          <w:trHeight w:val="90"/>
          <w:jc w:val="center"/>
        </w:trPr>
        <w:tc>
          <w:tcPr>
            <w:tcW w:w="2278" w:type="dxa"/>
            <w:tcBorders>
              <w:tl2br w:val="nil"/>
              <w:tr2bl w:val="nil"/>
            </w:tcBorders>
            <w:vAlign w:val="center"/>
          </w:tcPr>
          <w:p w14:paraId="5EC55A0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Background and</w:t>
            </w:r>
          </w:p>
          <w:p w14:paraId="541CDC5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objectives</w:t>
            </w:r>
          </w:p>
        </w:tc>
        <w:tc>
          <w:tcPr>
            <w:tcW w:w="764" w:type="dxa"/>
            <w:tcBorders>
              <w:tl2br w:val="nil"/>
              <w:tr2bl w:val="nil"/>
            </w:tcBorders>
            <w:vAlign w:val="center"/>
          </w:tcPr>
          <w:p w14:paraId="723F0A1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3</w:t>
            </w:r>
          </w:p>
        </w:tc>
        <w:tc>
          <w:tcPr>
            <w:tcW w:w="6872" w:type="dxa"/>
            <w:tcBorders>
              <w:tl2br w:val="nil"/>
              <w:tr2bl w:val="nil"/>
            </w:tcBorders>
            <w:vAlign w:val="center"/>
          </w:tcPr>
          <w:p w14:paraId="77721B0B"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Give the context for the study, the study question, and its practical relevance for decision making in policy or practice.</w:t>
            </w:r>
          </w:p>
        </w:tc>
      </w:tr>
      <w:tr w:rsidR="00376D25" w14:paraId="40F76104" w14:textId="77777777">
        <w:trPr>
          <w:trHeight w:val="315"/>
          <w:jc w:val="center"/>
        </w:trPr>
        <w:tc>
          <w:tcPr>
            <w:tcW w:w="9914" w:type="dxa"/>
            <w:gridSpan w:val="3"/>
            <w:tcBorders>
              <w:tl2br w:val="nil"/>
              <w:tr2bl w:val="nil"/>
            </w:tcBorders>
            <w:vAlign w:val="center"/>
          </w:tcPr>
          <w:p w14:paraId="4723BC30" w14:textId="77777777" w:rsidR="00376D25" w:rsidRDefault="00000000">
            <w:pPr>
              <w:widowControl/>
              <w:spacing w:line="240" w:lineRule="atLeast"/>
              <w:ind w:firstLineChars="0" w:firstLine="0"/>
              <w:jc w:val="center"/>
              <w:rPr>
                <w:rFonts w:cs="Times New Roman"/>
                <w:color w:val="000000"/>
                <w:sz w:val="20"/>
                <w:szCs w:val="20"/>
              </w:rPr>
            </w:pPr>
            <w:r>
              <w:rPr>
                <w:rFonts w:cs="Times New Roman"/>
                <w:b/>
                <w:bCs/>
                <w:color w:val="000000"/>
                <w:sz w:val="20"/>
                <w:szCs w:val="20"/>
              </w:rPr>
              <w:t>Methods</w:t>
            </w:r>
          </w:p>
        </w:tc>
      </w:tr>
      <w:tr w:rsidR="00376D25" w14:paraId="40705E94" w14:textId="77777777">
        <w:trPr>
          <w:trHeight w:val="375"/>
          <w:jc w:val="center"/>
        </w:trPr>
        <w:tc>
          <w:tcPr>
            <w:tcW w:w="2278" w:type="dxa"/>
            <w:tcBorders>
              <w:tl2br w:val="nil"/>
              <w:tr2bl w:val="nil"/>
            </w:tcBorders>
            <w:vAlign w:val="center"/>
          </w:tcPr>
          <w:p w14:paraId="6D51BFA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Health economic analysis plan</w:t>
            </w:r>
          </w:p>
        </w:tc>
        <w:tc>
          <w:tcPr>
            <w:tcW w:w="764" w:type="dxa"/>
            <w:tcBorders>
              <w:tl2br w:val="nil"/>
              <w:tr2bl w:val="nil"/>
            </w:tcBorders>
            <w:vAlign w:val="center"/>
          </w:tcPr>
          <w:p w14:paraId="743244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4</w:t>
            </w:r>
          </w:p>
        </w:tc>
        <w:tc>
          <w:tcPr>
            <w:tcW w:w="6872" w:type="dxa"/>
            <w:tcBorders>
              <w:tl2br w:val="nil"/>
              <w:tr2bl w:val="nil"/>
            </w:tcBorders>
            <w:vAlign w:val="center"/>
          </w:tcPr>
          <w:p w14:paraId="4777226C"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Indicate whether a health economic analysis plan was developed and where available.</w:t>
            </w:r>
          </w:p>
        </w:tc>
      </w:tr>
      <w:tr w:rsidR="00376D25" w14:paraId="1A1F5C13" w14:textId="77777777">
        <w:trPr>
          <w:trHeight w:val="630"/>
          <w:jc w:val="center"/>
        </w:trPr>
        <w:tc>
          <w:tcPr>
            <w:tcW w:w="2278" w:type="dxa"/>
            <w:tcBorders>
              <w:tl2br w:val="nil"/>
              <w:tr2bl w:val="nil"/>
            </w:tcBorders>
            <w:vAlign w:val="center"/>
          </w:tcPr>
          <w:p w14:paraId="31E9295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population</w:t>
            </w:r>
          </w:p>
        </w:tc>
        <w:tc>
          <w:tcPr>
            <w:tcW w:w="764" w:type="dxa"/>
            <w:tcBorders>
              <w:tl2br w:val="nil"/>
              <w:tr2bl w:val="nil"/>
            </w:tcBorders>
            <w:vAlign w:val="center"/>
          </w:tcPr>
          <w:p w14:paraId="58E38C5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5</w:t>
            </w:r>
          </w:p>
        </w:tc>
        <w:tc>
          <w:tcPr>
            <w:tcW w:w="6872" w:type="dxa"/>
            <w:tcBorders>
              <w:tl2br w:val="nil"/>
              <w:tr2bl w:val="nil"/>
            </w:tcBorders>
            <w:vAlign w:val="center"/>
          </w:tcPr>
          <w:p w14:paraId="2C8C36CF"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characteristics of the study population (such as age range, demographics, socioeconomic, or clinical characteristics).</w:t>
            </w:r>
          </w:p>
        </w:tc>
      </w:tr>
      <w:tr w:rsidR="00376D25" w14:paraId="51263F81" w14:textId="77777777">
        <w:trPr>
          <w:trHeight w:val="375"/>
          <w:jc w:val="center"/>
        </w:trPr>
        <w:tc>
          <w:tcPr>
            <w:tcW w:w="2278" w:type="dxa"/>
            <w:tcBorders>
              <w:tl2br w:val="nil"/>
              <w:tr2bl w:val="nil"/>
            </w:tcBorders>
            <w:vAlign w:val="center"/>
          </w:tcPr>
          <w:p w14:paraId="401BF33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Setting and location</w:t>
            </w:r>
          </w:p>
        </w:tc>
        <w:tc>
          <w:tcPr>
            <w:tcW w:w="764" w:type="dxa"/>
            <w:tcBorders>
              <w:tl2br w:val="nil"/>
              <w:tr2bl w:val="nil"/>
            </w:tcBorders>
            <w:vAlign w:val="center"/>
          </w:tcPr>
          <w:p w14:paraId="0B4E1BD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6</w:t>
            </w:r>
          </w:p>
        </w:tc>
        <w:tc>
          <w:tcPr>
            <w:tcW w:w="6872" w:type="dxa"/>
            <w:tcBorders>
              <w:tl2br w:val="nil"/>
              <w:tr2bl w:val="nil"/>
            </w:tcBorders>
            <w:vAlign w:val="center"/>
          </w:tcPr>
          <w:p w14:paraId="4E8EA394"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Provide relevant contextual information that may influence findings.</w:t>
            </w:r>
          </w:p>
        </w:tc>
      </w:tr>
      <w:tr w:rsidR="00376D25" w14:paraId="3C27E0AB" w14:textId="77777777">
        <w:trPr>
          <w:trHeight w:val="375"/>
          <w:jc w:val="center"/>
        </w:trPr>
        <w:tc>
          <w:tcPr>
            <w:tcW w:w="2278" w:type="dxa"/>
            <w:tcBorders>
              <w:tl2br w:val="nil"/>
              <w:tr2bl w:val="nil"/>
            </w:tcBorders>
            <w:vAlign w:val="center"/>
          </w:tcPr>
          <w:p w14:paraId="435F106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Comparators</w:t>
            </w:r>
          </w:p>
        </w:tc>
        <w:tc>
          <w:tcPr>
            <w:tcW w:w="764" w:type="dxa"/>
            <w:tcBorders>
              <w:tl2br w:val="nil"/>
              <w:tr2bl w:val="nil"/>
            </w:tcBorders>
            <w:vAlign w:val="center"/>
          </w:tcPr>
          <w:p w14:paraId="31061A4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7</w:t>
            </w:r>
          </w:p>
        </w:tc>
        <w:tc>
          <w:tcPr>
            <w:tcW w:w="6872" w:type="dxa"/>
            <w:tcBorders>
              <w:tl2br w:val="nil"/>
              <w:tr2bl w:val="nil"/>
            </w:tcBorders>
            <w:vAlign w:val="center"/>
          </w:tcPr>
          <w:p w14:paraId="522A4F0F"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Describe the interventions or strategies being compared and why chosen.</w:t>
            </w:r>
          </w:p>
        </w:tc>
      </w:tr>
      <w:tr w:rsidR="00376D25" w14:paraId="6928B17A" w14:textId="77777777">
        <w:trPr>
          <w:trHeight w:val="375"/>
          <w:jc w:val="center"/>
        </w:trPr>
        <w:tc>
          <w:tcPr>
            <w:tcW w:w="2278" w:type="dxa"/>
            <w:tcBorders>
              <w:tl2br w:val="nil"/>
              <w:tr2bl w:val="nil"/>
            </w:tcBorders>
            <w:vAlign w:val="center"/>
          </w:tcPr>
          <w:p w14:paraId="60E2E16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Perspective</w:t>
            </w:r>
          </w:p>
        </w:tc>
        <w:tc>
          <w:tcPr>
            <w:tcW w:w="764" w:type="dxa"/>
            <w:tcBorders>
              <w:tl2br w:val="nil"/>
              <w:tr2bl w:val="nil"/>
            </w:tcBorders>
            <w:vAlign w:val="center"/>
          </w:tcPr>
          <w:p w14:paraId="7AED173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8</w:t>
            </w:r>
          </w:p>
        </w:tc>
        <w:tc>
          <w:tcPr>
            <w:tcW w:w="6872" w:type="dxa"/>
            <w:tcBorders>
              <w:tl2br w:val="nil"/>
              <w:tr2bl w:val="nil"/>
            </w:tcBorders>
            <w:vAlign w:val="center"/>
          </w:tcPr>
          <w:p w14:paraId="74A14032"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State the perspective(s) adopted by the study and why chosen.</w:t>
            </w:r>
          </w:p>
        </w:tc>
      </w:tr>
      <w:tr w:rsidR="00376D25" w14:paraId="392B282D" w14:textId="77777777">
        <w:trPr>
          <w:trHeight w:val="375"/>
          <w:jc w:val="center"/>
        </w:trPr>
        <w:tc>
          <w:tcPr>
            <w:tcW w:w="2278" w:type="dxa"/>
            <w:tcBorders>
              <w:tl2br w:val="nil"/>
              <w:tr2bl w:val="nil"/>
            </w:tcBorders>
            <w:vAlign w:val="center"/>
          </w:tcPr>
          <w:p w14:paraId="592D842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Time horizon</w:t>
            </w:r>
          </w:p>
        </w:tc>
        <w:tc>
          <w:tcPr>
            <w:tcW w:w="764" w:type="dxa"/>
            <w:tcBorders>
              <w:tl2br w:val="nil"/>
              <w:tr2bl w:val="nil"/>
            </w:tcBorders>
            <w:vAlign w:val="center"/>
          </w:tcPr>
          <w:p w14:paraId="4233255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9</w:t>
            </w:r>
          </w:p>
        </w:tc>
        <w:tc>
          <w:tcPr>
            <w:tcW w:w="6872" w:type="dxa"/>
            <w:tcBorders>
              <w:tl2br w:val="nil"/>
              <w:tr2bl w:val="nil"/>
            </w:tcBorders>
            <w:vAlign w:val="center"/>
          </w:tcPr>
          <w:p w14:paraId="3F2CEA74" w14:textId="77777777" w:rsidR="00376D25" w:rsidRDefault="00000000">
            <w:pPr>
              <w:widowControl/>
              <w:spacing w:line="240" w:lineRule="atLeast"/>
              <w:ind w:firstLineChars="0" w:firstLine="0"/>
              <w:jc w:val="left"/>
              <w:textAlignment w:val="center"/>
              <w:rPr>
                <w:rFonts w:cs="Times New Roman"/>
                <w:color w:val="000000"/>
                <w:kern w:val="0"/>
                <w:sz w:val="20"/>
                <w:szCs w:val="20"/>
                <w:lang w:bidi="ar"/>
              </w:rPr>
            </w:pPr>
            <w:r>
              <w:rPr>
                <w:rFonts w:cs="Times New Roman"/>
                <w:color w:val="000000"/>
                <w:kern w:val="0"/>
                <w:sz w:val="20"/>
                <w:szCs w:val="20"/>
                <w:lang w:bidi="ar"/>
              </w:rPr>
              <w:t>State the time horizon for the study and why appropriate.</w:t>
            </w:r>
          </w:p>
        </w:tc>
      </w:tr>
      <w:tr w:rsidR="00376D25" w14:paraId="6E9D154F" w14:textId="77777777">
        <w:trPr>
          <w:trHeight w:val="375"/>
          <w:jc w:val="center"/>
        </w:trPr>
        <w:tc>
          <w:tcPr>
            <w:tcW w:w="2278" w:type="dxa"/>
            <w:tcBorders>
              <w:tl2br w:val="nil"/>
              <w:tr2bl w:val="nil"/>
            </w:tcBorders>
            <w:vAlign w:val="center"/>
          </w:tcPr>
          <w:p w14:paraId="47B11D7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Discount rate</w:t>
            </w:r>
          </w:p>
        </w:tc>
        <w:tc>
          <w:tcPr>
            <w:tcW w:w="764" w:type="dxa"/>
            <w:tcBorders>
              <w:tl2br w:val="nil"/>
              <w:tr2bl w:val="nil"/>
            </w:tcBorders>
            <w:vAlign w:val="center"/>
          </w:tcPr>
          <w:p w14:paraId="70C527C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10</w:t>
            </w:r>
          </w:p>
        </w:tc>
        <w:tc>
          <w:tcPr>
            <w:tcW w:w="6872" w:type="dxa"/>
            <w:tcBorders>
              <w:tl2br w:val="nil"/>
              <w:tr2bl w:val="nil"/>
            </w:tcBorders>
            <w:vAlign w:val="center"/>
          </w:tcPr>
          <w:p w14:paraId="56935E7F"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the discount rate(s) and reason chosen.</w:t>
            </w:r>
          </w:p>
        </w:tc>
      </w:tr>
      <w:tr w:rsidR="00376D25" w14:paraId="24D3277C" w14:textId="77777777">
        <w:trPr>
          <w:trHeight w:val="375"/>
          <w:jc w:val="center"/>
        </w:trPr>
        <w:tc>
          <w:tcPr>
            <w:tcW w:w="2278" w:type="dxa"/>
            <w:tcBorders>
              <w:tl2br w:val="nil"/>
              <w:tr2bl w:val="nil"/>
            </w:tcBorders>
            <w:vAlign w:val="center"/>
          </w:tcPr>
          <w:p w14:paraId="1B477C7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Selection of outcomes</w:t>
            </w:r>
          </w:p>
        </w:tc>
        <w:tc>
          <w:tcPr>
            <w:tcW w:w="764" w:type="dxa"/>
            <w:tcBorders>
              <w:tl2br w:val="nil"/>
              <w:tr2bl w:val="nil"/>
            </w:tcBorders>
            <w:vAlign w:val="center"/>
          </w:tcPr>
          <w:p w14:paraId="207F02B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11</w:t>
            </w:r>
          </w:p>
        </w:tc>
        <w:tc>
          <w:tcPr>
            <w:tcW w:w="6872" w:type="dxa"/>
            <w:tcBorders>
              <w:tl2br w:val="nil"/>
              <w:tr2bl w:val="nil"/>
            </w:tcBorders>
            <w:vAlign w:val="center"/>
          </w:tcPr>
          <w:p w14:paraId="43977793"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what outcomes were used as the measure(s) of benefit(s) and harm(s).</w:t>
            </w:r>
          </w:p>
        </w:tc>
      </w:tr>
      <w:tr w:rsidR="00376D25" w14:paraId="7A0980AA" w14:textId="77777777">
        <w:trPr>
          <w:trHeight w:val="375"/>
          <w:jc w:val="center"/>
        </w:trPr>
        <w:tc>
          <w:tcPr>
            <w:tcW w:w="2278" w:type="dxa"/>
            <w:tcBorders>
              <w:tl2br w:val="nil"/>
              <w:tr2bl w:val="nil"/>
            </w:tcBorders>
            <w:vAlign w:val="center"/>
          </w:tcPr>
          <w:p w14:paraId="539E74C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Measurement of outcomes</w:t>
            </w:r>
          </w:p>
        </w:tc>
        <w:tc>
          <w:tcPr>
            <w:tcW w:w="764" w:type="dxa"/>
            <w:tcBorders>
              <w:tl2br w:val="nil"/>
              <w:tr2bl w:val="nil"/>
            </w:tcBorders>
            <w:vAlign w:val="center"/>
          </w:tcPr>
          <w:p w14:paraId="00F38B2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12</w:t>
            </w:r>
          </w:p>
        </w:tc>
        <w:tc>
          <w:tcPr>
            <w:tcW w:w="6872" w:type="dxa"/>
            <w:tcBorders>
              <w:tl2br w:val="nil"/>
              <w:tr2bl w:val="nil"/>
            </w:tcBorders>
            <w:vAlign w:val="center"/>
          </w:tcPr>
          <w:p w14:paraId="1A2E373B"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how outcomes used to capture benefit(s) and harm(s) were measured.</w:t>
            </w:r>
          </w:p>
        </w:tc>
      </w:tr>
      <w:tr w:rsidR="00376D25" w14:paraId="4205C950" w14:textId="77777777">
        <w:trPr>
          <w:trHeight w:val="375"/>
          <w:jc w:val="center"/>
        </w:trPr>
        <w:tc>
          <w:tcPr>
            <w:tcW w:w="2278" w:type="dxa"/>
            <w:tcBorders>
              <w:tl2br w:val="nil"/>
              <w:tr2bl w:val="nil"/>
            </w:tcBorders>
            <w:vAlign w:val="center"/>
          </w:tcPr>
          <w:p w14:paraId="5999E1D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Valuation of outcomes</w:t>
            </w:r>
          </w:p>
        </w:tc>
        <w:tc>
          <w:tcPr>
            <w:tcW w:w="764" w:type="dxa"/>
            <w:tcBorders>
              <w:tl2br w:val="nil"/>
              <w:tr2bl w:val="nil"/>
            </w:tcBorders>
            <w:vAlign w:val="center"/>
          </w:tcPr>
          <w:p w14:paraId="7F7AFDA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13</w:t>
            </w:r>
          </w:p>
        </w:tc>
        <w:tc>
          <w:tcPr>
            <w:tcW w:w="6872" w:type="dxa"/>
            <w:tcBorders>
              <w:tl2br w:val="nil"/>
              <w:tr2bl w:val="nil"/>
            </w:tcBorders>
            <w:vAlign w:val="center"/>
          </w:tcPr>
          <w:p w14:paraId="2C61E11C"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the population and methods used to measure and value outcomes.</w:t>
            </w:r>
          </w:p>
        </w:tc>
      </w:tr>
      <w:tr w:rsidR="00376D25" w14:paraId="5F53DC7E" w14:textId="77777777">
        <w:trPr>
          <w:trHeight w:val="630"/>
          <w:jc w:val="center"/>
        </w:trPr>
        <w:tc>
          <w:tcPr>
            <w:tcW w:w="2278" w:type="dxa"/>
            <w:tcBorders>
              <w:tl2br w:val="nil"/>
              <w:tr2bl w:val="nil"/>
            </w:tcBorders>
            <w:vAlign w:val="center"/>
          </w:tcPr>
          <w:p w14:paraId="7308C9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Measurement and valuation of resources and costs</w:t>
            </w:r>
          </w:p>
        </w:tc>
        <w:tc>
          <w:tcPr>
            <w:tcW w:w="764" w:type="dxa"/>
            <w:tcBorders>
              <w:tl2br w:val="nil"/>
              <w:tr2bl w:val="nil"/>
            </w:tcBorders>
            <w:vAlign w:val="center"/>
          </w:tcPr>
          <w:p w14:paraId="331D3EC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14</w:t>
            </w:r>
          </w:p>
        </w:tc>
        <w:tc>
          <w:tcPr>
            <w:tcW w:w="6872" w:type="dxa"/>
            <w:tcBorders>
              <w:tl2br w:val="nil"/>
              <w:tr2bl w:val="nil"/>
            </w:tcBorders>
            <w:vAlign w:val="center"/>
          </w:tcPr>
          <w:p w14:paraId="03FEC18C"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how costs were valued.</w:t>
            </w:r>
          </w:p>
        </w:tc>
      </w:tr>
      <w:tr w:rsidR="00376D25" w14:paraId="3E2D9169" w14:textId="77777777">
        <w:trPr>
          <w:trHeight w:val="630"/>
          <w:jc w:val="center"/>
        </w:trPr>
        <w:tc>
          <w:tcPr>
            <w:tcW w:w="2278" w:type="dxa"/>
            <w:tcBorders>
              <w:tl2br w:val="nil"/>
              <w:tr2bl w:val="nil"/>
            </w:tcBorders>
            <w:vAlign w:val="center"/>
          </w:tcPr>
          <w:p w14:paraId="2F3EB64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Currency, price date, and conversion</w:t>
            </w:r>
          </w:p>
        </w:tc>
        <w:tc>
          <w:tcPr>
            <w:tcW w:w="764" w:type="dxa"/>
            <w:tcBorders>
              <w:tl2br w:val="nil"/>
              <w:tr2bl w:val="nil"/>
            </w:tcBorders>
            <w:vAlign w:val="center"/>
          </w:tcPr>
          <w:p w14:paraId="13E46A5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15</w:t>
            </w:r>
          </w:p>
        </w:tc>
        <w:tc>
          <w:tcPr>
            <w:tcW w:w="6872" w:type="dxa"/>
            <w:tcBorders>
              <w:tl2br w:val="nil"/>
              <w:tr2bl w:val="nil"/>
            </w:tcBorders>
            <w:vAlign w:val="center"/>
          </w:tcPr>
          <w:p w14:paraId="3CD122B7"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the dates of the estimated resource quantities and unit costs, plus the currency and year of conversion.</w:t>
            </w:r>
          </w:p>
        </w:tc>
      </w:tr>
      <w:tr w:rsidR="00376D25" w14:paraId="7B5384F3" w14:textId="77777777">
        <w:trPr>
          <w:trHeight w:val="630"/>
          <w:jc w:val="center"/>
        </w:trPr>
        <w:tc>
          <w:tcPr>
            <w:tcW w:w="2278" w:type="dxa"/>
            <w:tcBorders>
              <w:tl2br w:val="nil"/>
              <w:tr2bl w:val="nil"/>
            </w:tcBorders>
            <w:vAlign w:val="center"/>
          </w:tcPr>
          <w:p w14:paraId="7530353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Rationale and description of model</w:t>
            </w:r>
          </w:p>
        </w:tc>
        <w:tc>
          <w:tcPr>
            <w:tcW w:w="764" w:type="dxa"/>
            <w:tcBorders>
              <w:tl2br w:val="nil"/>
              <w:tr2bl w:val="nil"/>
            </w:tcBorders>
            <w:vAlign w:val="center"/>
          </w:tcPr>
          <w:p w14:paraId="5575A70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16</w:t>
            </w:r>
          </w:p>
        </w:tc>
        <w:tc>
          <w:tcPr>
            <w:tcW w:w="6872" w:type="dxa"/>
            <w:tcBorders>
              <w:tl2br w:val="nil"/>
              <w:tr2bl w:val="nil"/>
            </w:tcBorders>
            <w:vAlign w:val="center"/>
          </w:tcPr>
          <w:p w14:paraId="1D951501"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If modeling is used, describe in detail and why used. Report if the model is publicly available and where it can be accessed.</w:t>
            </w:r>
          </w:p>
        </w:tc>
      </w:tr>
      <w:tr w:rsidR="00376D25" w14:paraId="416015EE" w14:textId="77777777">
        <w:trPr>
          <w:trHeight w:val="630"/>
          <w:jc w:val="center"/>
        </w:trPr>
        <w:tc>
          <w:tcPr>
            <w:tcW w:w="2278" w:type="dxa"/>
            <w:tcBorders>
              <w:tl2br w:val="nil"/>
              <w:tr2bl w:val="nil"/>
            </w:tcBorders>
            <w:vAlign w:val="center"/>
          </w:tcPr>
          <w:p w14:paraId="4E206A5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Analytics and assumptions</w:t>
            </w:r>
          </w:p>
        </w:tc>
        <w:tc>
          <w:tcPr>
            <w:tcW w:w="764" w:type="dxa"/>
            <w:tcBorders>
              <w:tl2br w:val="nil"/>
              <w:tr2bl w:val="nil"/>
            </w:tcBorders>
            <w:vAlign w:val="center"/>
          </w:tcPr>
          <w:p w14:paraId="4C9B91F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17</w:t>
            </w:r>
          </w:p>
        </w:tc>
        <w:tc>
          <w:tcPr>
            <w:tcW w:w="6872" w:type="dxa"/>
            <w:tcBorders>
              <w:tl2br w:val="nil"/>
              <w:tr2bl w:val="nil"/>
            </w:tcBorders>
            <w:vAlign w:val="center"/>
          </w:tcPr>
          <w:p w14:paraId="073CC50C"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 xml:space="preserve">Describe any methods for </w:t>
            </w:r>
            <w:proofErr w:type="spellStart"/>
            <w:r>
              <w:rPr>
                <w:rFonts w:cs="Times New Roman"/>
                <w:color w:val="000000"/>
                <w:sz w:val="20"/>
                <w:szCs w:val="20"/>
              </w:rPr>
              <w:t>analysing</w:t>
            </w:r>
            <w:proofErr w:type="spellEnd"/>
            <w:r>
              <w:rPr>
                <w:rFonts w:cs="Times New Roman"/>
                <w:color w:val="000000"/>
                <w:sz w:val="20"/>
                <w:szCs w:val="20"/>
              </w:rPr>
              <w:t xml:space="preserve"> or statistically transforming data, any extrapolation methods, and approaches for validating any model used.</w:t>
            </w:r>
          </w:p>
        </w:tc>
      </w:tr>
      <w:tr w:rsidR="00376D25" w14:paraId="7F015C7F" w14:textId="77777777">
        <w:trPr>
          <w:trHeight w:val="375"/>
          <w:jc w:val="center"/>
        </w:trPr>
        <w:tc>
          <w:tcPr>
            <w:tcW w:w="2278" w:type="dxa"/>
            <w:tcBorders>
              <w:tl2br w:val="nil"/>
              <w:tr2bl w:val="nil"/>
            </w:tcBorders>
            <w:vAlign w:val="center"/>
          </w:tcPr>
          <w:p w14:paraId="1E362A9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heterogeneity</w:t>
            </w:r>
          </w:p>
        </w:tc>
        <w:tc>
          <w:tcPr>
            <w:tcW w:w="764" w:type="dxa"/>
            <w:tcBorders>
              <w:tl2br w:val="nil"/>
              <w:tr2bl w:val="nil"/>
            </w:tcBorders>
            <w:vAlign w:val="center"/>
          </w:tcPr>
          <w:p w14:paraId="1F0DE37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18</w:t>
            </w:r>
          </w:p>
        </w:tc>
        <w:tc>
          <w:tcPr>
            <w:tcW w:w="6872" w:type="dxa"/>
            <w:tcBorders>
              <w:tl2br w:val="nil"/>
              <w:tr2bl w:val="nil"/>
            </w:tcBorders>
            <w:vAlign w:val="center"/>
          </w:tcPr>
          <w:p w14:paraId="72DC0D91"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any methods used for estimating how the results of the study vary for subgroups.</w:t>
            </w:r>
          </w:p>
        </w:tc>
      </w:tr>
      <w:tr w:rsidR="00376D25" w14:paraId="48528F3A" w14:textId="77777777">
        <w:trPr>
          <w:trHeight w:val="375"/>
          <w:jc w:val="center"/>
        </w:trPr>
        <w:tc>
          <w:tcPr>
            <w:tcW w:w="2278" w:type="dxa"/>
            <w:tcBorders>
              <w:tl2br w:val="nil"/>
              <w:tr2bl w:val="nil"/>
            </w:tcBorders>
            <w:vAlign w:val="center"/>
          </w:tcPr>
          <w:p w14:paraId="724678D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distributional effects</w:t>
            </w:r>
          </w:p>
        </w:tc>
        <w:tc>
          <w:tcPr>
            <w:tcW w:w="764" w:type="dxa"/>
            <w:tcBorders>
              <w:tl2br w:val="nil"/>
              <w:tr2bl w:val="nil"/>
            </w:tcBorders>
            <w:vAlign w:val="center"/>
          </w:tcPr>
          <w:p w14:paraId="149677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19</w:t>
            </w:r>
          </w:p>
        </w:tc>
        <w:tc>
          <w:tcPr>
            <w:tcW w:w="6872" w:type="dxa"/>
            <w:tcBorders>
              <w:tl2br w:val="nil"/>
              <w:tr2bl w:val="nil"/>
            </w:tcBorders>
            <w:vAlign w:val="center"/>
          </w:tcPr>
          <w:p w14:paraId="6B76D191"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how impacts are distributed across different individuals or adjustments made to reflect priority populations.</w:t>
            </w:r>
          </w:p>
        </w:tc>
      </w:tr>
      <w:tr w:rsidR="00376D25" w14:paraId="73DEBC64" w14:textId="77777777">
        <w:trPr>
          <w:trHeight w:val="375"/>
          <w:jc w:val="center"/>
        </w:trPr>
        <w:tc>
          <w:tcPr>
            <w:tcW w:w="2278" w:type="dxa"/>
            <w:tcBorders>
              <w:tl2br w:val="nil"/>
              <w:tr2bl w:val="nil"/>
            </w:tcBorders>
            <w:vAlign w:val="center"/>
          </w:tcPr>
          <w:p w14:paraId="224D7F1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uncertainty</w:t>
            </w:r>
          </w:p>
        </w:tc>
        <w:tc>
          <w:tcPr>
            <w:tcW w:w="764" w:type="dxa"/>
            <w:tcBorders>
              <w:tl2br w:val="nil"/>
              <w:tr2bl w:val="nil"/>
            </w:tcBorders>
            <w:vAlign w:val="center"/>
          </w:tcPr>
          <w:p w14:paraId="1212234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20</w:t>
            </w:r>
          </w:p>
        </w:tc>
        <w:tc>
          <w:tcPr>
            <w:tcW w:w="6872" w:type="dxa"/>
            <w:tcBorders>
              <w:tl2br w:val="nil"/>
              <w:tr2bl w:val="nil"/>
            </w:tcBorders>
            <w:vAlign w:val="center"/>
          </w:tcPr>
          <w:p w14:paraId="5CDF0C10"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methods to characterize any sources of uncertainty in the analysis.</w:t>
            </w:r>
          </w:p>
        </w:tc>
      </w:tr>
      <w:tr w:rsidR="00376D25" w14:paraId="78E7A12D" w14:textId="77777777">
        <w:trPr>
          <w:trHeight w:val="945"/>
          <w:jc w:val="center"/>
        </w:trPr>
        <w:tc>
          <w:tcPr>
            <w:tcW w:w="2278" w:type="dxa"/>
            <w:tcBorders>
              <w:tl2br w:val="nil"/>
              <w:tr2bl w:val="nil"/>
            </w:tcBorders>
            <w:vAlign w:val="center"/>
          </w:tcPr>
          <w:p w14:paraId="42EE4ED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lastRenderedPageBreak/>
              <w:t>Approach to engagement with patients and others affected by the study</w:t>
            </w:r>
          </w:p>
        </w:tc>
        <w:tc>
          <w:tcPr>
            <w:tcW w:w="764" w:type="dxa"/>
            <w:tcBorders>
              <w:tl2br w:val="nil"/>
              <w:tr2bl w:val="nil"/>
            </w:tcBorders>
            <w:vAlign w:val="center"/>
          </w:tcPr>
          <w:p w14:paraId="4B52D04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21</w:t>
            </w:r>
          </w:p>
        </w:tc>
        <w:tc>
          <w:tcPr>
            <w:tcW w:w="6872" w:type="dxa"/>
            <w:tcBorders>
              <w:tl2br w:val="nil"/>
              <w:tr2bl w:val="nil"/>
            </w:tcBorders>
            <w:vAlign w:val="center"/>
          </w:tcPr>
          <w:p w14:paraId="430D8657"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any approaches to engage patients or service recipients, the general public, communities, or stakeholders (such as clinicians or payers) in the design of the study.</w:t>
            </w:r>
          </w:p>
        </w:tc>
      </w:tr>
      <w:tr w:rsidR="00376D25" w14:paraId="6DD7C66B" w14:textId="77777777">
        <w:trPr>
          <w:trHeight w:val="315"/>
          <w:jc w:val="center"/>
        </w:trPr>
        <w:tc>
          <w:tcPr>
            <w:tcW w:w="9914" w:type="dxa"/>
            <w:gridSpan w:val="3"/>
            <w:tcBorders>
              <w:tl2br w:val="nil"/>
              <w:tr2bl w:val="nil"/>
            </w:tcBorders>
            <w:vAlign w:val="center"/>
          </w:tcPr>
          <w:p w14:paraId="691F38E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b/>
                <w:bCs/>
                <w:color w:val="000000"/>
                <w:sz w:val="20"/>
                <w:szCs w:val="20"/>
              </w:rPr>
              <w:t>Results</w:t>
            </w:r>
          </w:p>
        </w:tc>
      </w:tr>
      <w:tr w:rsidR="00376D25" w14:paraId="5C695098" w14:textId="77777777">
        <w:trPr>
          <w:trHeight w:val="375"/>
          <w:jc w:val="center"/>
        </w:trPr>
        <w:tc>
          <w:tcPr>
            <w:tcW w:w="2278" w:type="dxa"/>
            <w:tcBorders>
              <w:tl2br w:val="nil"/>
              <w:tr2bl w:val="nil"/>
            </w:tcBorders>
            <w:vAlign w:val="center"/>
          </w:tcPr>
          <w:p w14:paraId="09E3ED6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parameters</w:t>
            </w:r>
          </w:p>
        </w:tc>
        <w:tc>
          <w:tcPr>
            <w:tcW w:w="764" w:type="dxa"/>
            <w:tcBorders>
              <w:tl2br w:val="nil"/>
              <w:tr2bl w:val="nil"/>
            </w:tcBorders>
            <w:vAlign w:val="center"/>
          </w:tcPr>
          <w:p w14:paraId="0817966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22</w:t>
            </w:r>
          </w:p>
        </w:tc>
        <w:tc>
          <w:tcPr>
            <w:tcW w:w="6872" w:type="dxa"/>
            <w:tcBorders>
              <w:tl2br w:val="nil"/>
              <w:tr2bl w:val="nil"/>
            </w:tcBorders>
            <w:vAlign w:val="center"/>
          </w:tcPr>
          <w:p w14:paraId="0BF1F5A4"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all analytic inputs (such as values, ranges, references) including uncertainty or distributional assumptions.</w:t>
            </w:r>
          </w:p>
        </w:tc>
      </w:tr>
      <w:tr w:rsidR="00376D25" w14:paraId="3AA5AC32" w14:textId="77777777">
        <w:trPr>
          <w:trHeight w:val="252"/>
          <w:jc w:val="center"/>
        </w:trPr>
        <w:tc>
          <w:tcPr>
            <w:tcW w:w="2278" w:type="dxa"/>
            <w:tcBorders>
              <w:tl2br w:val="nil"/>
              <w:tr2bl w:val="nil"/>
            </w:tcBorders>
            <w:vAlign w:val="center"/>
          </w:tcPr>
          <w:p w14:paraId="4F45C40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Summary of main results</w:t>
            </w:r>
          </w:p>
        </w:tc>
        <w:tc>
          <w:tcPr>
            <w:tcW w:w="764" w:type="dxa"/>
            <w:tcBorders>
              <w:tl2br w:val="nil"/>
              <w:tr2bl w:val="nil"/>
            </w:tcBorders>
            <w:vAlign w:val="center"/>
          </w:tcPr>
          <w:p w14:paraId="427D9D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23</w:t>
            </w:r>
          </w:p>
        </w:tc>
        <w:tc>
          <w:tcPr>
            <w:tcW w:w="6872" w:type="dxa"/>
            <w:tcBorders>
              <w:tl2br w:val="nil"/>
              <w:tr2bl w:val="nil"/>
            </w:tcBorders>
            <w:vAlign w:val="center"/>
          </w:tcPr>
          <w:p w14:paraId="680C4AFD"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the mean values for the main categories of costs and outcomes of interest and summarize them in the most appropriate overall measure.</w:t>
            </w:r>
          </w:p>
        </w:tc>
      </w:tr>
      <w:tr w:rsidR="00376D25" w14:paraId="794945AE" w14:textId="77777777">
        <w:trPr>
          <w:trHeight w:val="630"/>
          <w:jc w:val="center"/>
        </w:trPr>
        <w:tc>
          <w:tcPr>
            <w:tcW w:w="2278" w:type="dxa"/>
            <w:tcBorders>
              <w:tl2br w:val="nil"/>
              <w:tr2bl w:val="nil"/>
            </w:tcBorders>
            <w:vAlign w:val="center"/>
          </w:tcPr>
          <w:p w14:paraId="00CBBD4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Effect of uncertainty</w:t>
            </w:r>
          </w:p>
        </w:tc>
        <w:tc>
          <w:tcPr>
            <w:tcW w:w="764" w:type="dxa"/>
            <w:tcBorders>
              <w:tl2br w:val="nil"/>
              <w:tr2bl w:val="nil"/>
            </w:tcBorders>
            <w:vAlign w:val="center"/>
          </w:tcPr>
          <w:p w14:paraId="232A033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24</w:t>
            </w:r>
          </w:p>
        </w:tc>
        <w:tc>
          <w:tcPr>
            <w:tcW w:w="6872" w:type="dxa"/>
            <w:tcBorders>
              <w:tl2br w:val="nil"/>
              <w:tr2bl w:val="nil"/>
            </w:tcBorders>
            <w:vAlign w:val="center"/>
          </w:tcPr>
          <w:p w14:paraId="1DCA69CB"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how uncertainty about analytic judgments, inputs, or projections affect findings. Report the effect of choice of discount rate and time horizon, if applicable.</w:t>
            </w:r>
          </w:p>
        </w:tc>
      </w:tr>
      <w:tr w:rsidR="00376D25" w14:paraId="119D4389" w14:textId="77777777">
        <w:trPr>
          <w:trHeight w:val="375"/>
          <w:jc w:val="center"/>
        </w:trPr>
        <w:tc>
          <w:tcPr>
            <w:tcW w:w="9914" w:type="dxa"/>
            <w:gridSpan w:val="3"/>
            <w:tcBorders>
              <w:tl2br w:val="nil"/>
              <w:tr2bl w:val="nil"/>
            </w:tcBorders>
            <w:vAlign w:val="center"/>
          </w:tcPr>
          <w:p w14:paraId="0B031DD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b/>
                <w:bCs/>
                <w:color w:val="000000"/>
                <w:sz w:val="20"/>
                <w:szCs w:val="20"/>
              </w:rPr>
              <w:t>Discussion</w:t>
            </w:r>
          </w:p>
        </w:tc>
      </w:tr>
      <w:tr w:rsidR="00376D25" w14:paraId="4C6B1082" w14:textId="77777777">
        <w:trPr>
          <w:trHeight w:val="945"/>
          <w:jc w:val="center"/>
        </w:trPr>
        <w:tc>
          <w:tcPr>
            <w:tcW w:w="2278" w:type="dxa"/>
            <w:tcBorders>
              <w:tl2br w:val="nil"/>
              <w:tr2bl w:val="nil"/>
            </w:tcBorders>
            <w:vAlign w:val="center"/>
          </w:tcPr>
          <w:p w14:paraId="5934A49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Effect of engagement with patients and others affected by the study</w:t>
            </w:r>
          </w:p>
        </w:tc>
        <w:tc>
          <w:tcPr>
            <w:tcW w:w="764" w:type="dxa"/>
            <w:tcBorders>
              <w:tl2br w:val="nil"/>
              <w:tr2bl w:val="nil"/>
            </w:tcBorders>
            <w:vAlign w:val="center"/>
          </w:tcPr>
          <w:p w14:paraId="539B8CD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25</w:t>
            </w:r>
          </w:p>
        </w:tc>
        <w:tc>
          <w:tcPr>
            <w:tcW w:w="6872" w:type="dxa"/>
            <w:tcBorders>
              <w:tl2br w:val="nil"/>
              <w:tr2bl w:val="nil"/>
            </w:tcBorders>
            <w:vAlign w:val="center"/>
          </w:tcPr>
          <w:p w14:paraId="11783A8E"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on any difference patient/service recipient, general public, community, or stakeholder involvement made to the approach or findings of the study</w:t>
            </w:r>
          </w:p>
        </w:tc>
      </w:tr>
      <w:tr w:rsidR="00376D25" w14:paraId="70E21BBB" w14:textId="77777777">
        <w:trPr>
          <w:trHeight w:val="375"/>
          <w:jc w:val="center"/>
        </w:trPr>
        <w:tc>
          <w:tcPr>
            <w:tcW w:w="2278" w:type="dxa"/>
            <w:tcBorders>
              <w:tl2br w:val="nil"/>
              <w:tr2bl w:val="nil"/>
            </w:tcBorders>
            <w:vAlign w:val="center"/>
          </w:tcPr>
          <w:p w14:paraId="42652A8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findings, limitations, generalizability, and current knowledge</w:t>
            </w:r>
          </w:p>
        </w:tc>
        <w:tc>
          <w:tcPr>
            <w:tcW w:w="764" w:type="dxa"/>
            <w:tcBorders>
              <w:tl2br w:val="nil"/>
              <w:tr2bl w:val="nil"/>
            </w:tcBorders>
            <w:vAlign w:val="center"/>
          </w:tcPr>
          <w:p w14:paraId="3E1DA5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26</w:t>
            </w:r>
          </w:p>
        </w:tc>
        <w:tc>
          <w:tcPr>
            <w:tcW w:w="6872" w:type="dxa"/>
            <w:tcBorders>
              <w:tl2br w:val="nil"/>
              <w:tr2bl w:val="nil"/>
            </w:tcBorders>
            <w:vAlign w:val="center"/>
          </w:tcPr>
          <w:p w14:paraId="125F663E"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key findings, limitations, ethical or equity considerations not captured, and how these could affect patients, policy, or practice.</w:t>
            </w:r>
          </w:p>
        </w:tc>
      </w:tr>
      <w:tr w:rsidR="00376D25" w14:paraId="2BA4C630" w14:textId="77777777">
        <w:trPr>
          <w:trHeight w:val="630"/>
          <w:jc w:val="center"/>
        </w:trPr>
        <w:tc>
          <w:tcPr>
            <w:tcW w:w="2278" w:type="dxa"/>
            <w:tcBorders>
              <w:tl2br w:val="nil"/>
              <w:tr2bl w:val="nil"/>
            </w:tcBorders>
            <w:vAlign w:val="center"/>
          </w:tcPr>
          <w:p w14:paraId="2D4ED28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Source of funding</w:t>
            </w:r>
          </w:p>
        </w:tc>
        <w:tc>
          <w:tcPr>
            <w:tcW w:w="764" w:type="dxa"/>
            <w:tcBorders>
              <w:tl2br w:val="nil"/>
              <w:tr2bl w:val="nil"/>
            </w:tcBorders>
            <w:vAlign w:val="center"/>
          </w:tcPr>
          <w:p w14:paraId="43EED5E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27</w:t>
            </w:r>
          </w:p>
        </w:tc>
        <w:tc>
          <w:tcPr>
            <w:tcW w:w="6872" w:type="dxa"/>
            <w:tcBorders>
              <w:tl2br w:val="nil"/>
              <w:tr2bl w:val="nil"/>
            </w:tcBorders>
            <w:vAlign w:val="center"/>
          </w:tcPr>
          <w:p w14:paraId="3C91422E"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Describe how the study was funded and any role of the funder in the identification, design, conduct, and reporting of the analysis</w:t>
            </w:r>
          </w:p>
        </w:tc>
      </w:tr>
      <w:tr w:rsidR="00376D25" w14:paraId="4E8BB1D7" w14:textId="77777777">
        <w:trPr>
          <w:trHeight w:val="375"/>
          <w:jc w:val="center"/>
        </w:trPr>
        <w:tc>
          <w:tcPr>
            <w:tcW w:w="2278" w:type="dxa"/>
            <w:tcBorders>
              <w:tl2br w:val="nil"/>
              <w:tr2bl w:val="nil"/>
            </w:tcBorders>
            <w:vAlign w:val="center"/>
          </w:tcPr>
          <w:p w14:paraId="6B53F35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Conflicts of interest</w:t>
            </w:r>
          </w:p>
        </w:tc>
        <w:tc>
          <w:tcPr>
            <w:tcW w:w="764" w:type="dxa"/>
            <w:tcBorders>
              <w:tl2br w:val="nil"/>
              <w:tr2bl w:val="nil"/>
            </w:tcBorders>
            <w:vAlign w:val="center"/>
          </w:tcPr>
          <w:p w14:paraId="0EABD4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28</w:t>
            </w:r>
          </w:p>
        </w:tc>
        <w:tc>
          <w:tcPr>
            <w:tcW w:w="6872" w:type="dxa"/>
            <w:tcBorders>
              <w:tl2br w:val="nil"/>
              <w:tr2bl w:val="nil"/>
            </w:tcBorders>
            <w:vAlign w:val="center"/>
          </w:tcPr>
          <w:p w14:paraId="710B0354" w14:textId="77777777" w:rsidR="00376D25" w:rsidRDefault="00000000">
            <w:pPr>
              <w:widowControl/>
              <w:spacing w:line="240" w:lineRule="atLeast"/>
              <w:ind w:firstLineChars="0" w:firstLine="0"/>
              <w:jc w:val="left"/>
              <w:textAlignment w:val="center"/>
              <w:rPr>
                <w:rFonts w:cs="Times New Roman"/>
                <w:color w:val="000000"/>
                <w:sz w:val="20"/>
                <w:szCs w:val="20"/>
              </w:rPr>
            </w:pPr>
            <w:r>
              <w:rPr>
                <w:rFonts w:cs="Times New Roman"/>
                <w:color w:val="000000"/>
                <w:sz w:val="20"/>
                <w:szCs w:val="20"/>
              </w:rPr>
              <w:t>Report authors conflicts of interest according to journal or International Committee of Medical Journal Editors requirements.</w:t>
            </w:r>
          </w:p>
        </w:tc>
      </w:tr>
    </w:tbl>
    <w:p w14:paraId="6032568D" w14:textId="77777777" w:rsidR="00376D25" w:rsidRDefault="00376D25">
      <w:pPr>
        <w:widowControl/>
        <w:ind w:firstLineChars="0" w:firstLine="0"/>
        <w:jc w:val="left"/>
        <w:textAlignment w:val="center"/>
        <w:rPr>
          <w:rFonts w:ascii="等线" w:eastAsia="等线" w:hAnsi="等线" w:cs="等线" w:hint="eastAsia"/>
          <w:b/>
          <w:bCs/>
          <w:color w:val="000000"/>
          <w:kern w:val="0"/>
          <w:sz w:val="28"/>
          <w:szCs w:val="28"/>
          <w:lang w:bidi="ar"/>
        </w:rPr>
        <w:sectPr w:rsidR="00376D25">
          <w:endnotePr>
            <w:numFmt w:val="decimal"/>
          </w:endnotePr>
          <w:pgSz w:w="11906" w:h="16838"/>
          <w:pgMar w:top="1440" w:right="1800" w:bottom="1440" w:left="1800" w:header="851" w:footer="992" w:gutter="0"/>
          <w:cols w:space="425"/>
          <w:docGrid w:type="lines" w:linePitch="312"/>
        </w:sectPr>
      </w:pPr>
    </w:p>
    <w:p w14:paraId="062F4A13" w14:textId="77777777" w:rsidR="00376D25" w:rsidRDefault="00000000" w:rsidP="00622453">
      <w:pPr>
        <w:widowControl/>
        <w:spacing w:line="240" w:lineRule="auto"/>
        <w:ind w:firstLineChars="0" w:firstLine="0"/>
        <w:jc w:val="left"/>
        <w:textAlignment w:val="center"/>
        <w:rPr>
          <w:rFonts w:eastAsia="黑体" w:cs="等线"/>
          <w:color w:val="000000"/>
          <w:kern w:val="0"/>
          <w:sz w:val="21"/>
          <w:szCs w:val="21"/>
          <w:lang w:bidi="ar"/>
        </w:rPr>
      </w:pPr>
      <w:r>
        <w:rPr>
          <w:rFonts w:eastAsia="黑体" w:cs="等线" w:hint="eastAsia"/>
          <w:b/>
          <w:bCs/>
          <w:color w:val="000000"/>
          <w:kern w:val="0"/>
          <w:sz w:val="22"/>
          <w:szCs w:val="22"/>
          <w:lang w:bidi="ar"/>
        </w:rPr>
        <w:lastRenderedPageBreak/>
        <w:t>T</w:t>
      </w:r>
      <w:r>
        <w:rPr>
          <w:rFonts w:eastAsia="黑体" w:cs="等线" w:hint="eastAsia"/>
          <w:b/>
          <w:bCs/>
          <w:color w:val="000000"/>
          <w:kern w:val="0"/>
          <w:sz w:val="21"/>
          <w:szCs w:val="21"/>
          <w:lang w:bidi="ar"/>
        </w:rPr>
        <w:t xml:space="preserve">able 4. </w:t>
      </w:r>
      <w:r>
        <w:rPr>
          <w:rFonts w:eastAsia="黑体" w:cs="等线" w:hint="eastAsia"/>
          <w:color w:val="000000"/>
          <w:kern w:val="0"/>
          <w:sz w:val="21"/>
          <w:szCs w:val="21"/>
          <w:lang w:bidi="ar"/>
        </w:rPr>
        <w:t>Detailed Consolidated Health Economic Evaluation Reporting Standards (CHEERS) 2022 quality evaluation results for the 28 included distributional cost-effectiveness analysis studies published from 2017 to 2025.</w:t>
      </w:r>
    </w:p>
    <w:tbl>
      <w:tblPr>
        <w:tblpPr w:leftFromText="180" w:rightFromText="180" w:vertAnchor="text" w:horzAnchor="page" w:tblpXSpec="center" w:tblpY="623"/>
        <w:tblOverlap w:val="never"/>
        <w:tblW w:w="16105" w:type="dxa"/>
        <w:jc w:val="center"/>
        <w:tblLayout w:type="fixed"/>
        <w:tblLook w:val="04A0" w:firstRow="1" w:lastRow="0" w:firstColumn="1" w:lastColumn="0" w:noHBand="0" w:noVBand="1"/>
      </w:tblPr>
      <w:tblGrid>
        <w:gridCol w:w="667"/>
        <w:gridCol w:w="1942"/>
        <w:gridCol w:w="964"/>
        <w:gridCol w:w="964"/>
        <w:gridCol w:w="964"/>
        <w:gridCol w:w="964"/>
        <w:gridCol w:w="964"/>
        <w:gridCol w:w="964"/>
        <w:gridCol w:w="964"/>
        <w:gridCol w:w="964"/>
        <w:gridCol w:w="964"/>
        <w:gridCol w:w="964"/>
        <w:gridCol w:w="964"/>
        <w:gridCol w:w="964"/>
        <w:gridCol w:w="964"/>
        <w:gridCol w:w="964"/>
      </w:tblGrid>
      <w:tr w:rsidR="00376D25" w14:paraId="75E7EE6B" w14:textId="77777777">
        <w:trPr>
          <w:trHeight w:val="540"/>
          <w:jc w:val="center"/>
        </w:trPr>
        <w:tc>
          <w:tcPr>
            <w:tcW w:w="667" w:type="dxa"/>
            <w:vMerge w:val="restart"/>
            <w:tcBorders>
              <w:top w:val="single" w:sz="12" w:space="0" w:color="auto"/>
              <w:left w:val="nil"/>
              <w:right w:val="nil"/>
            </w:tcBorders>
            <w:noWrap/>
            <w:vAlign w:val="center"/>
          </w:tcPr>
          <w:p w14:paraId="5F396F20" w14:textId="77777777" w:rsidR="00376D25" w:rsidRDefault="00000000" w:rsidP="00622453">
            <w:pPr>
              <w:widowControl/>
              <w:spacing w:line="240" w:lineRule="auto"/>
              <w:ind w:firstLineChars="0" w:firstLine="0"/>
              <w:jc w:val="center"/>
              <w:rPr>
                <w:rFonts w:cs="宋体"/>
                <w:color w:val="000000"/>
                <w:sz w:val="20"/>
                <w:szCs w:val="20"/>
              </w:rPr>
            </w:pPr>
            <w:r>
              <w:rPr>
                <w:rFonts w:cs="宋体" w:hint="eastAsia"/>
                <w:color w:val="000000"/>
                <w:sz w:val="20"/>
                <w:szCs w:val="20"/>
              </w:rPr>
              <w:t>No.</w:t>
            </w:r>
          </w:p>
        </w:tc>
        <w:tc>
          <w:tcPr>
            <w:tcW w:w="1942" w:type="dxa"/>
            <w:tcBorders>
              <w:top w:val="single" w:sz="12" w:space="0" w:color="auto"/>
              <w:left w:val="nil"/>
              <w:bottom w:val="nil"/>
              <w:right w:val="nil"/>
            </w:tcBorders>
            <w:vAlign w:val="center"/>
          </w:tcPr>
          <w:p w14:paraId="39690F9E" w14:textId="77777777" w:rsidR="00376D25" w:rsidRDefault="00000000" w:rsidP="00622453">
            <w:pPr>
              <w:widowControl/>
              <w:spacing w:line="240" w:lineRule="auto"/>
              <w:ind w:firstLineChars="0" w:firstLine="0"/>
              <w:jc w:val="center"/>
              <w:textAlignment w:val="center"/>
              <w:rPr>
                <w:rFonts w:cs="宋体"/>
                <w:color w:val="000000"/>
                <w:sz w:val="20"/>
                <w:szCs w:val="20"/>
              </w:rPr>
            </w:pPr>
            <w:r>
              <w:rPr>
                <w:rFonts w:cs="宋体" w:hint="eastAsia"/>
                <w:color w:val="000000"/>
                <w:kern w:val="0"/>
                <w:sz w:val="20"/>
                <w:szCs w:val="20"/>
                <w:lang w:bidi="ar"/>
              </w:rPr>
              <w:t>Author</w:t>
            </w:r>
          </w:p>
        </w:tc>
        <w:tc>
          <w:tcPr>
            <w:tcW w:w="964" w:type="dxa"/>
            <w:tcBorders>
              <w:top w:val="single" w:sz="12" w:space="0" w:color="auto"/>
              <w:left w:val="nil"/>
              <w:bottom w:val="nil"/>
              <w:right w:val="nil"/>
            </w:tcBorders>
            <w:noWrap/>
            <w:vAlign w:val="center"/>
          </w:tcPr>
          <w:p w14:paraId="0E88F6F2" w14:textId="77777777" w:rsidR="00376D25" w:rsidRDefault="00000000" w:rsidP="00622453">
            <w:pPr>
              <w:widowControl/>
              <w:spacing w:line="240" w:lineRule="auto"/>
              <w:ind w:firstLineChars="0" w:firstLine="0"/>
              <w:jc w:val="center"/>
              <w:textAlignment w:val="center"/>
              <w:rPr>
                <w:rFonts w:cs="宋体"/>
                <w:color w:val="000000"/>
                <w:sz w:val="20"/>
                <w:szCs w:val="20"/>
              </w:rPr>
            </w:pPr>
            <w:r>
              <w:rPr>
                <w:rFonts w:cs="Times New Roman"/>
                <w:color w:val="000000"/>
                <w:kern w:val="0"/>
                <w:sz w:val="20"/>
                <w:szCs w:val="20"/>
                <w:lang w:bidi="ar"/>
              </w:rPr>
              <w:t>Campos</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37764D86"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Lee</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5088DC94"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Dawkins</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2D82FDDF"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Chang</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15522144"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Arnold</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0AD2EB99"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Collins</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58A50168"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Love-Koh</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4D33CECB"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Love-Koh</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57911DAF"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proofErr w:type="gramStart"/>
            <w:r>
              <w:rPr>
                <w:rFonts w:cs="Times New Roman"/>
                <w:color w:val="000000"/>
                <w:kern w:val="0"/>
                <w:sz w:val="20"/>
                <w:szCs w:val="20"/>
                <w:lang w:bidi="ar"/>
              </w:rPr>
              <w:t xml:space="preserve">Quan </w:t>
            </w:r>
            <w:r>
              <w:rPr>
                <w:rFonts w:cs="Times New Roman" w:hint="eastAsia"/>
                <w:color w:val="000000"/>
                <w:kern w:val="0"/>
                <w:sz w:val="20"/>
                <w:szCs w:val="20"/>
                <w:lang w:bidi="ar"/>
              </w:rPr>
              <w:t>,</w:t>
            </w:r>
            <w:proofErr w:type="gramEnd"/>
            <w:r>
              <w:rPr>
                <w:rFonts w:cs="Times New Roman" w:hint="eastAsia"/>
                <w:color w:val="000000"/>
                <w:kern w:val="0"/>
                <w:sz w:val="20"/>
                <w:szCs w:val="20"/>
                <w:lang w:bidi="ar"/>
              </w:rPr>
              <w:t xml:space="preserve"> et al.</w:t>
            </w:r>
          </w:p>
        </w:tc>
        <w:tc>
          <w:tcPr>
            <w:tcW w:w="964" w:type="dxa"/>
            <w:tcBorders>
              <w:top w:val="single" w:sz="12" w:space="0" w:color="auto"/>
              <w:left w:val="nil"/>
              <w:bottom w:val="nil"/>
              <w:right w:val="nil"/>
            </w:tcBorders>
            <w:noWrap/>
            <w:vAlign w:val="center"/>
          </w:tcPr>
          <w:p w14:paraId="752C978A"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Olsen</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4ABE8896"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Kowal</w:t>
            </w:r>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0A8ABB49"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proofErr w:type="gramStart"/>
            <w:r>
              <w:rPr>
                <w:rFonts w:cs="Times New Roman"/>
                <w:color w:val="000000"/>
                <w:kern w:val="0"/>
                <w:sz w:val="20"/>
                <w:szCs w:val="20"/>
                <w:lang w:bidi="ar"/>
              </w:rPr>
              <w:t xml:space="preserve">Meunier </w:t>
            </w:r>
            <w:r>
              <w:rPr>
                <w:rFonts w:cs="Times New Roman" w:hint="eastAsia"/>
                <w:color w:val="000000"/>
                <w:kern w:val="0"/>
                <w:sz w:val="20"/>
                <w:szCs w:val="20"/>
                <w:lang w:bidi="ar"/>
              </w:rPr>
              <w:t>,</w:t>
            </w:r>
            <w:proofErr w:type="gramEnd"/>
            <w:r>
              <w:rPr>
                <w:rFonts w:cs="Times New Roman" w:hint="eastAsia"/>
                <w:color w:val="000000"/>
                <w:kern w:val="0"/>
                <w:sz w:val="20"/>
                <w:szCs w:val="20"/>
                <w:lang w:bidi="ar"/>
              </w:rPr>
              <w:t xml:space="preserve"> et al.</w:t>
            </w:r>
          </w:p>
        </w:tc>
        <w:tc>
          <w:tcPr>
            <w:tcW w:w="964" w:type="dxa"/>
            <w:tcBorders>
              <w:top w:val="single" w:sz="12" w:space="0" w:color="auto"/>
              <w:left w:val="nil"/>
              <w:bottom w:val="nil"/>
              <w:right w:val="nil"/>
            </w:tcBorders>
            <w:noWrap/>
            <w:vAlign w:val="center"/>
          </w:tcPr>
          <w:p w14:paraId="073F9C5D"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Goshua</w:t>
            </w:r>
            <w:proofErr w:type="spellEnd"/>
            <w:r>
              <w:rPr>
                <w:rFonts w:cs="Times New Roman" w:hint="eastAsia"/>
                <w:color w:val="000000"/>
                <w:kern w:val="0"/>
                <w:sz w:val="20"/>
                <w:szCs w:val="20"/>
                <w:lang w:bidi="ar"/>
              </w:rPr>
              <w:t>, et al.</w:t>
            </w:r>
          </w:p>
        </w:tc>
        <w:tc>
          <w:tcPr>
            <w:tcW w:w="964" w:type="dxa"/>
            <w:tcBorders>
              <w:top w:val="single" w:sz="12" w:space="0" w:color="auto"/>
              <w:left w:val="nil"/>
              <w:bottom w:val="nil"/>
              <w:right w:val="nil"/>
            </w:tcBorders>
            <w:noWrap/>
            <w:vAlign w:val="center"/>
          </w:tcPr>
          <w:p w14:paraId="2E5E6225" w14:textId="77777777" w:rsidR="00376D25" w:rsidRDefault="00000000" w:rsidP="00622453">
            <w:pPr>
              <w:widowControl/>
              <w:spacing w:line="240" w:lineRule="auto"/>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Assebe</w:t>
            </w:r>
            <w:proofErr w:type="spellEnd"/>
            <w:r>
              <w:rPr>
                <w:rFonts w:cs="Times New Roman" w:hint="eastAsia"/>
                <w:color w:val="000000"/>
                <w:kern w:val="0"/>
                <w:sz w:val="20"/>
                <w:szCs w:val="20"/>
                <w:lang w:bidi="ar"/>
              </w:rPr>
              <w:t>, et al.</w:t>
            </w:r>
          </w:p>
        </w:tc>
      </w:tr>
      <w:tr w:rsidR="00376D25" w14:paraId="6EDF0A6A" w14:textId="77777777">
        <w:trPr>
          <w:trHeight w:val="375"/>
          <w:jc w:val="center"/>
        </w:trPr>
        <w:tc>
          <w:tcPr>
            <w:tcW w:w="667" w:type="dxa"/>
            <w:vMerge/>
            <w:tcBorders>
              <w:left w:val="nil"/>
              <w:bottom w:val="single" w:sz="8" w:space="0" w:color="auto"/>
              <w:right w:val="nil"/>
            </w:tcBorders>
            <w:noWrap/>
            <w:vAlign w:val="center"/>
          </w:tcPr>
          <w:p w14:paraId="5DB27BED" w14:textId="77777777" w:rsidR="00376D25" w:rsidRDefault="00376D25">
            <w:pPr>
              <w:widowControl/>
              <w:spacing w:line="240" w:lineRule="atLeast"/>
              <w:ind w:firstLineChars="0" w:firstLine="0"/>
              <w:jc w:val="center"/>
              <w:rPr>
                <w:rFonts w:cs="宋体"/>
                <w:color w:val="000000"/>
                <w:sz w:val="20"/>
                <w:szCs w:val="20"/>
              </w:rPr>
            </w:pPr>
          </w:p>
        </w:tc>
        <w:tc>
          <w:tcPr>
            <w:tcW w:w="1942" w:type="dxa"/>
            <w:tcBorders>
              <w:top w:val="nil"/>
              <w:left w:val="nil"/>
              <w:bottom w:val="single" w:sz="8" w:space="0" w:color="auto"/>
              <w:right w:val="nil"/>
            </w:tcBorders>
            <w:vAlign w:val="center"/>
          </w:tcPr>
          <w:p w14:paraId="2349131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Publication Year</w:t>
            </w:r>
          </w:p>
        </w:tc>
        <w:tc>
          <w:tcPr>
            <w:tcW w:w="964" w:type="dxa"/>
            <w:tcBorders>
              <w:top w:val="nil"/>
              <w:left w:val="nil"/>
              <w:bottom w:val="single" w:sz="8" w:space="0" w:color="auto"/>
              <w:right w:val="nil"/>
            </w:tcBorders>
            <w:noWrap/>
            <w:vAlign w:val="center"/>
          </w:tcPr>
          <w:p w14:paraId="456DDA4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2017</w:t>
            </w:r>
          </w:p>
        </w:tc>
        <w:tc>
          <w:tcPr>
            <w:tcW w:w="964" w:type="dxa"/>
            <w:tcBorders>
              <w:top w:val="nil"/>
              <w:left w:val="nil"/>
              <w:bottom w:val="single" w:sz="8" w:space="0" w:color="auto"/>
              <w:right w:val="nil"/>
            </w:tcBorders>
            <w:noWrap/>
            <w:vAlign w:val="center"/>
          </w:tcPr>
          <w:p w14:paraId="225AD05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2018</w:t>
            </w:r>
          </w:p>
        </w:tc>
        <w:tc>
          <w:tcPr>
            <w:tcW w:w="964" w:type="dxa"/>
            <w:tcBorders>
              <w:top w:val="nil"/>
              <w:left w:val="nil"/>
              <w:bottom w:val="single" w:sz="8" w:space="0" w:color="auto"/>
              <w:right w:val="nil"/>
            </w:tcBorders>
            <w:noWrap/>
            <w:vAlign w:val="center"/>
          </w:tcPr>
          <w:p w14:paraId="10F7ACE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2018</w:t>
            </w:r>
          </w:p>
        </w:tc>
        <w:tc>
          <w:tcPr>
            <w:tcW w:w="964" w:type="dxa"/>
            <w:tcBorders>
              <w:top w:val="nil"/>
              <w:left w:val="nil"/>
              <w:bottom w:val="single" w:sz="8" w:space="0" w:color="auto"/>
              <w:right w:val="nil"/>
            </w:tcBorders>
            <w:noWrap/>
            <w:vAlign w:val="center"/>
          </w:tcPr>
          <w:p w14:paraId="08B16AE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2018</w:t>
            </w:r>
          </w:p>
        </w:tc>
        <w:tc>
          <w:tcPr>
            <w:tcW w:w="964" w:type="dxa"/>
            <w:tcBorders>
              <w:top w:val="nil"/>
              <w:left w:val="nil"/>
              <w:bottom w:val="single" w:sz="8" w:space="0" w:color="auto"/>
              <w:right w:val="nil"/>
            </w:tcBorders>
            <w:noWrap/>
            <w:vAlign w:val="center"/>
          </w:tcPr>
          <w:p w14:paraId="195E9D8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2020</w:t>
            </w:r>
          </w:p>
        </w:tc>
        <w:tc>
          <w:tcPr>
            <w:tcW w:w="964" w:type="dxa"/>
            <w:tcBorders>
              <w:top w:val="nil"/>
              <w:left w:val="nil"/>
              <w:bottom w:val="single" w:sz="8" w:space="0" w:color="auto"/>
              <w:right w:val="nil"/>
            </w:tcBorders>
            <w:noWrap/>
            <w:vAlign w:val="center"/>
          </w:tcPr>
          <w:p w14:paraId="5DCDD85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2020</w:t>
            </w:r>
          </w:p>
        </w:tc>
        <w:tc>
          <w:tcPr>
            <w:tcW w:w="964" w:type="dxa"/>
            <w:tcBorders>
              <w:top w:val="nil"/>
              <w:left w:val="nil"/>
              <w:bottom w:val="single" w:sz="8" w:space="0" w:color="auto"/>
              <w:right w:val="nil"/>
            </w:tcBorders>
            <w:noWrap/>
            <w:vAlign w:val="center"/>
          </w:tcPr>
          <w:p w14:paraId="3CF1B0C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2020</w:t>
            </w:r>
          </w:p>
        </w:tc>
        <w:tc>
          <w:tcPr>
            <w:tcW w:w="964" w:type="dxa"/>
            <w:tcBorders>
              <w:top w:val="nil"/>
              <w:left w:val="nil"/>
              <w:bottom w:val="single" w:sz="8" w:space="0" w:color="auto"/>
              <w:right w:val="nil"/>
            </w:tcBorders>
            <w:noWrap/>
            <w:vAlign w:val="center"/>
          </w:tcPr>
          <w:p w14:paraId="1F1802C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2021</w:t>
            </w:r>
          </w:p>
        </w:tc>
        <w:tc>
          <w:tcPr>
            <w:tcW w:w="964" w:type="dxa"/>
            <w:tcBorders>
              <w:top w:val="nil"/>
              <w:left w:val="nil"/>
              <w:bottom w:val="single" w:sz="8" w:space="0" w:color="auto"/>
              <w:right w:val="nil"/>
            </w:tcBorders>
            <w:noWrap/>
            <w:vAlign w:val="center"/>
          </w:tcPr>
          <w:p w14:paraId="772FA4D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2021</w:t>
            </w:r>
          </w:p>
        </w:tc>
        <w:tc>
          <w:tcPr>
            <w:tcW w:w="964" w:type="dxa"/>
            <w:tcBorders>
              <w:top w:val="nil"/>
              <w:left w:val="nil"/>
              <w:bottom w:val="single" w:sz="8" w:space="0" w:color="auto"/>
              <w:right w:val="nil"/>
            </w:tcBorders>
            <w:noWrap/>
            <w:vAlign w:val="center"/>
          </w:tcPr>
          <w:p w14:paraId="79D3EBC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2021</w:t>
            </w:r>
          </w:p>
        </w:tc>
        <w:tc>
          <w:tcPr>
            <w:tcW w:w="964" w:type="dxa"/>
            <w:tcBorders>
              <w:top w:val="nil"/>
              <w:left w:val="nil"/>
              <w:bottom w:val="single" w:sz="8" w:space="0" w:color="auto"/>
              <w:right w:val="nil"/>
            </w:tcBorders>
            <w:noWrap/>
            <w:vAlign w:val="center"/>
          </w:tcPr>
          <w:p w14:paraId="52090E2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2022</w:t>
            </w:r>
          </w:p>
        </w:tc>
        <w:tc>
          <w:tcPr>
            <w:tcW w:w="964" w:type="dxa"/>
            <w:tcBorders>
              <w:top w:val="nil"/>
              <w:left w:val="nil"/>
              <w:bottom w:val="single" w:sz="8" w:space="0" w:color="auto"/>
              <w:right w:val="nil"/>
            </w:tcBorders>
            <w:noWrap/>
            <w:vAlign w:val="center"/>
          </w:tcPr>
          <w:p w14:paraId="406FE3E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2023</w:t>
            </w:r>
          </w:p>
        </w:tc>
        <w:tc>
          <w:tcPr>
            <w:tcW w:w="964" w:type="dxa"/>
            <w:tcBorders>
              <w:top w:val="nil"/>
              <w:left w:val="nil"/>
              <w:bottom w:val="single" w:sz="8" w:space="0" w:color="auto"/>
              <w:right w:val="nil"/>
            </w:tcBorders>
            <w:noWrap/>
            <w:vAlign w:val="center"/>
          </w:tcPr>
          <w:p w14:paraId="1F87D0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2023</w:t>
            </w:r>
          </w:p>
        </w:tc>
        <w:tc>
          <w:tcPr>
            <w:tcW w:w="964" w:type="dxa"/>
            <w:tcBorders>
              <w:top w:val="nil"/>
              <w:left w:val="nil"/>
              <w:bottom w:val="single" w:sz="8" w:space="0" w:color="auto"/>
              <w:right w:val="nil"/>
            </w:tcBorders>
            <w:noWrap/>
            <w:vAlign w:val="center"/>
          </w:tcPr>
          <w:p w14:paraId="3845F54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2023</w:t>
            </w:r>
          </w:p>
        </w:tc>
      </w:tr>
      <w:tr w:rsidR="00376D25" w14:paraId="63313E1E" w14:textId="77777777">
        <w:trPr>
          <w:trHeight w:val="375"/>
          <w:jc w:val="center"/>
        </w:trPr>
        <w:tc>
          <w:tcPr>
            <w:tcW w:w="667" w:type="dxa"/>
            <w:tcBorders>
              <w:top w:val="single" w:sz="8" w:space="0" w:color="auto"/>
              <w:left w:val="nil"/>
              <w:bottom w:val="nil"/>
              <w:right w:val="nil"/>
            </w:tcBorders>
            <w:noWrap/>
            <w:vAlign w:val="center"/>
          </w:tcPr>
          <w:p w14:paraId="7D9F871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w:t>
            </w:r>
          </w:p>
        </w:tc>
        <w:tc>
          <w:tcPr>
            <w:tcW w:w="1942" w:type="dxa"/>
            <w:tcBorders>
              <w:top w:val="single" w:sz="8" w:space="0" w:color="auto"/>
              <w:left w:val="nil"/>
              <w:bottom w:val="nil"/>
              <w:right w:val="nil"/>
            </w:tcBorders>
            <w:vAlign w:val="center"/>
          </w:tcPr>
          <w:p w14:paraId="6C0F07B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17A83A3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2BCE537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2565670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E2F67F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BB44D7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0F0BB24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4EC434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581B13A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21CCFAE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4FC1591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4783888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1C1A17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2FFFF11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08D15ED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Title</w:t>
            </w:r>
          </w:p>
        </w:tc>
      </w:tr>
      <w:tr w:rsidR="00376D25" w14:paraId="41B6B081" w14:textId="77777777">
        <w:trPr>
          <w:trHeight w:val="90"/>
          <w:jc w:val="center"/>
        </w:trPr>
        <w:tc>
          <w:tcPr>
            <w:tcW w:w="667" w:type="dxa"/>
            <w:tcBorders>
              <w:top w:val="nil"/>
              <w:left w:val="nil"/>
              <w:bottom w:val="nil"/>
              <w:right w:val="nil"/>
            </w:tcBorders>
            <w:noWrap/>
            <w:vAlign w:val="center"/>
          </w:tcPr>
          <w:p w14:paraId="7328EC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w:t>
            </w:r>
          </w:p>
        </w:tc>
        <w:tc>
          <w:tcPr>
            <w:tcW w:w="1942" w:type="dxa"/>
            <w:tcBorders>
              <w:top w:val="nil"/>
              <w:left w:val="nil"/>
              <w:bottom w:val="nil"/>
              <w:right w:val="nil"/>
            </w:tcBorders>
            <w:vAlign w:val="center"/>
          </w:tcPr>
          <w:p w14:paraId="03F5735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7A5598C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40D4016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2045F1D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365B3B1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64F5C7F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4405A2A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273CC80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61D3016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76E970C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74979FF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77E17AC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202F5A3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53A3CB1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c>
          <w:tcPr>
            <w:tcW w:w="964" w:type="dxa"/>
            <w:tcBorders>
              <w:top w:val="nil"/>
              <w:left w:val="nil"/>
              <w:bottom w:val="nil"/>
              <w:right w:val="nil"/>
            </w:tcBorders>
            <w:noWrap/>
            <w:vAlign w:val="center"/>
          </w:tcPr>
          <w:p w14:paraId="4DB206A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Abstract</w:t>
            </w:r>
          </w:p>
        </w:tc>
      </w:tr>
      <w:tr w:rsidR="00376D25" w14:paraId="64866195" w14:textId="77777777">
        <w:trPr>
          <w:trHeight w:val="315"/>
          <w:jc w:val="center"/>
        </w:trPr>
        <w:tc>
          <w:tcPr>
            <w:tcW w:w="667" w:type="dxa"/>
            <w:tcBorders>
              <w:top w:val="nil"/>
              <w:left w:val="nil"/>
              <w:bottom w:val="nil"/>
              <w:right w:val="nil"/>
            </w:tcBorders>
            <w:noWrap/>
            <w:vAlign w:val="center"/>
          </w:tcPr>
          <w:p w14:paraId="189E0B4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3</w:t>
            </w:r>
          </w:p>
        </w:tc>
        <w:tc>
          <w:tcPr>
            <w:tcW w:w="1942" w:type="dxa"/>
            <w:tcBorders>
              <w:top w:val="nil"/>
              <w:left w:val="nil"/>
              <w:bottom w:val="nil"/>
              <w:right w:val="nil"/>
            </w:tcBorders>
            <w:vAlign w:val="center"/>
          </w:tcPr>
          <w:p w14:paraId="02243290" w14:textId="77777777" w:rsidR="00376D25" w:rsidRDefault="00000000">
            <w:pPr>
              <w:widowControl/>
              <w:spacing w:line="240" w:lineRule="atLeast"/>
              <w:ind w:firstLineChars="0" w:firstLine="0"/>
              <w:jc w:val="center"/>
              <w:textAlignment w:val="center"/>
              <w:rPr>
                <w:rFonts w:cs="Segoe UI"/>
                <w:color w:val="000000"/>
                <w:sz w:val="20"/>
                <w:szCs w:val="20"/>
              </w:rPr>
            </w:pPr>
            <w:r>
              <w:rPr>
                <w:rFonts w:cs="Segoe UI" w:hint="eastAsia"/>
                <w:color w:val="000000"/>
                <w:sz w:val="20"/>
                <w:szCs w:val="20"/>
              </w:rPr>
              <w:t>Background and</w:t>
            </w:r>
          </w:p>
          <w:p w14:paraId="41B46A8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objectives</w:t>
            </w:r>
          </w:p>
        </w:tc>
        <w:tc>
          <w:tcPr>
            <w:tcW w:w="964" w:type="dxa"/>
            <w:tcBorders>
              <w:top w:val="nil"/>
              <w:left w:val="nil"/>
              <w:bottom w:val="nil"/>
              <w:right w:val="nil"/>
            </w:tcBorders>
            <w:noWrap/>
            <w:vAlign w:val="center"/>
          </w:tcPr>
          <w:p w14:paraId="4167509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338BFE1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1C9F592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282CDC4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5C0A795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18DDBC4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0D8C8FB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6472217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097BB99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6A8B8F0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06FAC9B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5E19914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15E821A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c>
          <w:tcPr>
            <w:tcW w:w="964" w:type="dxa"/>
            <w:tcBorders>
              <w:top w:val="nil"/>
              <w:left w:val="nil"/>
              <w:bottom w:val="nil"/>
              <w:right w:val="nil"/>
            </w:tcBorders>
            <w:noWrap/>
            <w:vAlign w:val="center"/>
          </w:tcPr>
          <w:p w14:paraId="0560902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Introduction</w:t>
            </w:r>
          </w:p>
        </w:tc>
      </w:tr>
      <w:tr w:rsidR="00376D25" w14:paraId="213D46C6" w14:textId="77777777">
        <w:trPr>
          <w:trHeight w:val="315"/>
          <w:jc w:val="center"/>
        </w:trPr>
        <w:tc>
          <w:tcPr>
            <w:tcW w:w="667" w:type="dxa"/>
            <w:tcBorders>
              <w:top w:val="nil"/>
              <w:left w:val="nil"/>
              <w:bottom w:val="nil"/>
              <w:right w:val="nil"/>
            </w:tcBorders>
            <w:noWrap/>
            <w:vAlign w:val="center"/>
          </w:tcPr>
          <w:p w14:paraId="125A8D4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4</w:t>
            </w:r>
          </w:p>
        </w:tc>
        <w:tc>
          <w:tcPr>
            <w:tcW w:w="1942" w:type="dxa"/>
            <w:tcBorders>
              <w:top w:val="nil"/>
              <w:left w:val="nil"/>
              <w:bottom w:val="nil"/>
              <w:right w:val="nil"/>
            </w:tcBorders>
            <w:vAlign w:val="center"/>
          </w:tcPr>
          <w:p w14:paraId="36EB028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Health economic analysis plan</w:t>
            </w:r>
          </w:p>
        </w:tc>
        <w:tc>
          <w:tcPr>
            <w:tcW w:w="964" w:type="dxa"/>
            <w:tcBorders>
              <w:top w:val="nil"/>
              <w:left w:val="nil"/>
              <w:bottom w:val="nil"/>
              <w:right w:val="nil"/>
            </w:tcBorders>
            <w:noWrap/>
            <w:vAlign w:val="center"/>
          </w:tcPr>
          <w:p w14:paraId="70CD138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6728F5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73F0BA5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75288F7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015952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7073AC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7B65CC2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B57319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B174EB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832C36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E7F1DD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DA959C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4E65E3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4B8666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r>
      <w:tr w:rsidR="00376D25" w14:paraId="0C69939C" w14:textId="77777777">
        <w:trPr>
          <w:trHeight w:val="315"/>
          <w:jc w:val="center"/>
        </w:trPr>
        <w:tc>
          <w:tcPr>
            <w:tcW w:w="667" w:type="dxa"/>
            <w:tcBorders>
              <w:top w:val="nil"/>
              <w:left w:val="nil"/>
              <w:bottom w:val="nil"/>
              <w:right w:val="nil"/>
            </w:tcBorders>
            <w:noWrap/>
            <w:vAlign w:val="center"/>
          </w:tcPr>
          <w:p w14:paraId="46D0ED1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5</w:t>
            </w:r>
          </w:p>
        </w:tc>
        <w:tc>
          <w:tcPr>
            <w:tcW w:w="1942" w:type="dxa"/>
            <w:tcBorders>
              <w:top w:val="nil"/>
              <w:left w:val="nil"/>
              <w:bottom w:val="nil"/>
              <w:right w:val="nil"/>
            </w:tcBorders>
            <w:vAlign w:val="center"/>
          </w:tcPr>
          <w:p w14:paraId="5824C9B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Study population</w:t>
            </w:r>
          </w:p>
        </w:tc>
        <w:tc>
          <w:tcPr>
            <w:tcW w:w="964" w:type="dxa"/>
            <w:tcBorders>
              <w:top w:val="nil"/>
              <w:left w:val="nil"/>
              <w:bottom w:val="nil"/>
              <w:right w:val="nil"/>
            </w:tcBorders>
            <w:noWrap/>
            <w:vAlign w:val="center"/>
          </w:tcPr>
          <w:p w14:paraId="165C934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88B04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834B5B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92B0BD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372D87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7E7AD3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DEC07B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2F0EC4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FA5D9F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8A838C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896951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3E25DA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E30E3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49893C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4AD11977" w14:textId="77777777">
        <w:trPr>
          <w:trHeight w:val="375"/>
          <w:jc w:val="center"/>
        </w:trPr>
        <w:tc>
          <w:tcPr>
            <w:tcW w:w="667" w:type="dxa"/>
            <w:tcBorders>
              <w:top w:val="nil"/>
              <w:left w:val="nil"/>
              <w:bottom w:val="nil"/>
              <w:right w:val="nil"/>
            </w:tcBorders>
            <w:noWrap/>
            <w:vAlign w:val="center"/>
          </w:tcPr>
          <w:p w14:paraId="49506D2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6</w:t>
            </w:r>
          </w:p>
        </w:tc>
        <w:tc>
          <w:tcPr>
            <w:tcW w:w="1942" w:type="dxa"/>
            <w:tcBorders>
              <w:top w:val="nil"/>
              <w:left w:val="nil"/>
              <w:bottom w:val="nil"/>
              <w:right w:val="nil"/>
            </w:tcBorders>
            <w:vAlign w:val="center"/>
          </w:tcPr>
          <w:p w14:paraId="2D77AAA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Setting and location</w:t>
            </w:r>
          </w:p>
        </w:tc>
        <w:tc>
          <w:tcPr>
            <w:tcW w:w="964" w:type="dxa"/>
            <w:tcBorders>
              <w:top w:val="nil"/>
              <w:left w:val="nil"/>
              <w:bottom w:val="nil"/>
              <w:right w:val="nil"/>
            </w:tcBorders>
            <w:noWrap/>
            <w:vAlign w:val="center"/>
          </w:tcPr>
          <w:p w14:paraId="62DAF227"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0488BD6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CD7D0B9"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4E6EFFA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353921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817B0E8"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0FEA6B2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F1CA95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998DB45"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7820EB8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1F7EDC3"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3F691E5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EBDDAE7"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1483ADF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AB541E9"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36AE3A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4F6A7BE"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158E10B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625385F"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5CF044D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88DCC04"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42D87C1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61E230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D3289C0"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Introduction</w:t>
            </w:r>
            <w:r>
              <w:rPr>
                <w:rFonts w:cs="宋体" w:hint="eastAsia"/>
                <w:color w:val="000000"/>
                <w:kern w:val="0"/>
                <w:sz w:val="20"/>
                <w:szCs w:val="20"/>
                <w:lang w:bidi="ar"/>
              </w:rPr>
              <w:t>、</w:t>
            </w:r>
          </w:p>
          <w:p w14:paraId="26DB6C2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245DDA2A" w14:textId="77777777">
        <w:trPr>
          <w:trHeight w:val="375"/>
          <w:jc w:val="center"/>
        </w:trPr>
        <w:tc>
          <w:tcPr>
            <w:tcW w:w="667" w:type="dxa"/>
            <w:tcBorders>
              <w:top w:val="nil"/>
              <w:left w:val="nil"/>
              <w:bottom w:val="nil"/>
              <w:right w:val="nil"/>
            </w:tcBorders>
            <w:noWrap/>
            <w:vAlign w:val="center"/>
          </w:tcPr>
          <w:p w14:paraId="52CAC9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7</w:t>
            </w:r>
          </w:p>
        </w:tc>
        <w:tc>
          <w:tcPr>
            <w:tcW w:w="1942" w:type="dxa"/>
            <w:tcBorders>
              <w:top w:val="nil"/>
              <w:left w:val="nil"/>
              <w:bottom w:val="nil"/>
              <w:right w:val="nil"/>
            </w:tcBorders>
            <w:vAlign w:val="center"/>
          </w:tcPr>
          <w:p w14:paraId="489CCF0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Comparators</w:t>
            </w:r>
          </w:p>
        </w:tc>
        <w:tc>
          <w:tcPr>
            <w:tcW w:w="964" w:type="dxa"/>
            <w:tcBorders>
              <w:top w:val="nil"/>
              <w:left w:val="nil"/>
              <w:bottom w:val="nil"/>
              <w:right w:val="nil"/>
            </w:tcBorders>
            <w:noWrap/>
            <w:vAlign w:val="center"/>
          </w:tcPr>
          <w:p w14:paraId="42BF273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A515E5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E9D5A9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5A9400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90A18F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36CC66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F04FF6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DC6775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1DE3B6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599816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D066C6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A790AA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09B5A3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2E1329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619C72B7" w14:textId="77777777">
        <w:trPr>
          <w:trHeight w:val="375"/>
          <w:jc w:val="center"/>
        </w:trPr>
        <w:tc>
          <w:tcPr>
            <w:tcW w:w="667" w:type="dxa"/>
            <w:tcBorders>
              <w:top w:val="nil"/>
              <w:left w:val="nil"/>
              <w:bottom w:val="nil"/>
              <w:right w:val="nil"/>
            </w:tcBorders>
            <w:noWrap/>
            <w:vAlign w:val="center"/>
          </w:tcPr>
          <w:p w14:paraId="3F874FE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8</w:t>
            </w:r>
          </w:p>
        </w:tc>
        <w:tc>
          <w:tcPr>
            <w:tcW w:w="1942" w:type="dxa"/>
            <w:tcBorders>
              <w:top w:val="nil"/>
              <w:left w:val="nil"/>
              <w:bottom w:val="nil"/>
              <w:right w:val="nil"/>
            </w:tcBorders>
            <w:vAlign w:val="center"/>
          </w:tcPr>
          <w:p w14:paraId="4511382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Perspective</w:t>
            </w:r>
          </w:p>
        </w:tc>
        <w:tc>
          <w:tcPr>
            <w:tcW w:w="964" w:type="dxa"/>
            <w:tcBorders>
              <w:top w:val="nil"/>
              <w:left w:val="nil"/>
              <w:bottom w:val="nil"/>
              <w:right w:val="nil"/>
            </w:tcBorders>
            <w:noWrap/>
            <w:vAlign w:val="center"/>
          </w:tcPr>
          <w:p w14:paraId="40A4AF0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8DA63A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D2CB5A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742DC2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B03CAD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B8A30E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F83566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C97702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8B5AEB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CFC0DD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CAD261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99B006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A6BEE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9A59D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0D6D19F3" w14:textId="77777777">
        <w:trPr>
          <w:trHeight w:val="375"/>
          <w:jc w:val="center"/>
        </w:trPr>
        <w:tc>
          <w:tcPr>
            <w:tcW w:w="667" w:type="dxa"/>
            <w:tcBorders>
              <w:top w:val="nil"/>
              <w:left w:val="nil"/>
              <w:bottom w:val="nil"/>
              <w:right w:val="nil"/>
            </w:tcBorders>
            <w:noWrap/>
            <w:vAlign w:val="center"/>
          </w:tcPr>
          <w:p w14:paraId="49E9B8D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9</w:t>
            </w:r>
          </w:p>
        </w:tc>
        <w:tc>
          <w:tcPr>
            <w:tcW w:w="1942" w:type="dxa"/>
            <w:tcBorders>
              <w:top w:val="nil"/>
              <w:left w:val="nil"/>
              <w:bottom w:val="nil"/>
              <w:right w:val="nil"/>
            </w:tcBorders>
            <w:vAlign w:val="center"/>
          </w:tcPr>
          <w:p w14:paraId="2665BCB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hint="eastAsia"/>
                <w:color w:val="000000"/>
                <w:sz w:val="20"/>
                <w:szCs w:val="20"/>
              </w:rPr>
              <w:t>Time horizon</w:t>
            </w:r>
          </w:p>
        </w:tc>
        <w:tc>
          <w:tcPr>
            <w:tcW w:w="964" w:type="dxa"/>
            <w:tcBorders>
              <w:top w:val="nil"/>
              <w:left w:val="nil"/>
              <w:bottom w:val="nil"/>
              <w:right w:val="nil"/>
            </w:tcBorders>
            <w:noWrap/>
            <w:vAlign w:val="center"/>
          </w:tcPr>
          <w:p w14:paraId="2805AEC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D0F745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54EE27B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F76345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4C251B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DC65D4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DF47D2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772024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BCE581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615BB8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AC7EFB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344899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75E2EB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333987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370C8E34" w14:textId="77777777">
        <w:trPr>
          <w:trHeight w:val="375"/>
          <w:jc w:val="center"/>
        </w:trPr>
        <w:tc>
          <w:tcPr>
            <w:tcW w:w="667" w:type="dxa"/>
            <w:tcBorders>
              <w:top w:val="nil"/>
              <w:left w:val="nil"/>
              <w:bottom w:val="nil"/>
              <w:right w:val="nil"/>
            </w:tcBorders>
            <w:noWrap/>
            <w:vAlign w:val="center"/>
          </w:tcPr>
          <w:p w14:paraId="2D8937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10</w:t>
            </w:r>
          </w:p>
        </w:tc>
        <w:tc>
          <w:tcPr>
            <w:tcW w:w="1942" w:type="dxa"/>
            <w:tcBorders>
              <w:top w:val="nil"/>
              <w:left w:val="nil"/>
              <w:bottom w:val="nil"/>
              <w:right w:val="nil"/>
            </w:tcBorders>
            <w:vAlign w:val="center"/>
          </w:tcPr>
          <w:p w14:paraId="041F1FC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Discount rate</w:t>
            </w:r>
          </w:p>
        </w:tc>
        <w:tc>
          <w:tcPr>
            <w:tcW w:w="964" w:type="dxa"/>
            <w:tcBorders>
              <w:top w:val="nil"/>
              <w:left w:val="nil"/>
              <w:bottom w:val="nil"/>
              <w:right w:val="nil"/>
            </w:tcBorders>
            <w:noWrap/>
            <w:vAlign w:val="center"/>
          </w:tcPr>
          <w:p w14:paraId="391288A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7106DF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C568E2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F97E1E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0C156A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426C77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EBF2F4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7853A6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5D1DDD6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DC29DE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E31056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9A83F3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68F01A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73FD64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r>
      <w:tr w:rsidR="00376D25" w14:paraId="24065836" w14:textId="77777777">
        <w:trPr>
          <w:trHeight w:val="375"/>
          <w:jc w:val="center"/>
        </w:trPr>
        <w:tc>
          <w:tcPr>
            <w:tcW w:w="667" w:type="dxa"/>
            <w:tcBorders>
              <w:top w:val="nil"/>
              <w:left w:val="nil"/>
              <w:bottom w:val="nil"/>
              <w:right w:val="nil"/>
            </w:tcBorders>
            <w:noWrap/>
            <w:vAlign w:val="center"/>
          </w:tcPr>
          <w:p w14:paraId="77B8390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11</w:t>
            </w:r>
          </w:p>
        </w:tc>
        <w:tc>
          <w:tcPr>
            <w:tcW w:w="1942" w:type="dxa"/>
            <w:tcBorders>
              <w:top w:val="nil"/>
              <w:left w:val="nil"/>
              <w:bottom w:val="nil"/>
              <w:right w:val="nil"/>
            </w:tcBorders>
            <w:vAlign w:val="center"/>
          </w:tcPr>
          <w:p w14:paraId="716FCC9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Selection of outcomes</w:t>
            </w:r>
          </w:p>
        </w:tc>
        <w:tc>
          <w:tcPr>
            <w:tcW w:w="964" w:type="dxa"/>
            <w:tcBorders>
              <w:top w:val="nil"/>
              <w:left w:val="nil"/>
              <w:bottom w:val="nil"/>
              <w:right w:val="nil"/>
            </w:tcBorders>
            <w:noWrap/>
            <w:vAlign w:val="center"/>
          </w:tcPr>
          <w:p w14:paraId="6908354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AF1248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0136EA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4885F8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0EC5584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3D8189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54337A2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5E1C6D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5196FBE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84BA5A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91F3A2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3E07E53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FF1DF4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D0F6E4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r>
      <w:tr w:rsidR="00376D25" w14:paraId="55302BFE" w14:textId="77777777">
        <w:trPr>
          <w:trHeight w:val="375"/>
          <w:jc w:val="center"/>
        </w:trPr>
        <w:tc>
          <w:tcPr>
            <w:tcW w:w="667" w:type="dxa"/>
            <w:tcBorders>
              <w:top w:val="nil"/>
              <w:left w:val="nil"/>
              <w:bottom w:val="nil"/>
              <w:right w:val="nil"/>
            </w:tcBorders>
            <w:noWrap/>
            <w:vAlign w:val="center"/>
          </w:tcPr>
          <w:p w14:paraId="2272CED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12</w:t>
            </w:r>
          </w:p>
        </w:tc>
        <w:tc>
          <w:tcPr>
            <w:tcW w:w="1942" w:type="dxa"/>
            <w:tcBorders>
              <w:top w:val="nil"/>
              <w:left w:val="nil"/>
              <w:bottom w:val="nil"/>
              <w:right w:val="nil"/>
            </w:tcBorders>
            <w:vAlign w:val="center"/>
          </w:tcPr>
          <w:p w14:paraId="29768D1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Measurement of outcomes</w:t>
            </w:r>
          </w:p>
        </w:tc>
        <w:tc>
          <w:tcPr>
            <w:tcW w:w="964" w:type="dxa"/>
            <w:tcBorders>
              <w:top w:val="nil"/>
              <w:left w:val="nil"/>
              <w:bottom w:val="nil"/>
              <w:right w:val="nil"/>
            </w:tcBorders>
            <w:noWrap/>
            <w:vAlign w:val="center"/>
          </w:tcPr>
          <w:p w14:paraId="440F638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D6AFAE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C28523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1E73A8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3EBD6DD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42BA34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924A4C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DD23E0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5A2ADA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CEC6CA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51046A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C73AA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6C5044D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E6EA15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r>
      <w:tr w:rsidR="00376D25" w14:paraId="1EBA82EE" w14:textId="77777777">
        <w:trPr>
          <w:trHeight w:val="375"/>
          <w:jc w:val="center"/>
        </w:trPr>
        <w:tc>
          <w:tcPr>
            <w:tcW w:w="667" w:type="dxa"/>
            <w:tcBorders>
              <w:top w:val="nil"/>
              <w:left w:val="nil"/>
              <w:bottom w:val="nil"/>
              <w:right w:val="nil"/>
            </w:tcBorders>
            <w:noWrap/>
            <w:vAlign w:val="center"/>
          </w:tcPr>
          <w:p w14:paraId="3414A19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13</w:t>
            </w:r>
          </w:p>
        </w:tc>
        <w:tc>
          <w:tcPr>
            <w:tcW w:w="1942" w:type="dxa"/>
            <w:tcBorders>
              <w:top w:val="nil"/>
              <w:left w:val="nil"/>
              <w:bottom w:val="nil"/>
              <w:right w:val="nil"/>
            </w:tcBorders>
            <w:vAlign w:val="center"/>
          </w:tcPr>
          <w:p w14:paraId="1688E4E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Valuation of outcomes</w:t>
            </w:r>
          </w:p>
        </w:tc>
        <w:tc>
          <w:tcPr>
            <w:tcW w:w="964" w:type="dxa"/>
            <w:tcBorders>
              <w:top w:val="nil"/>
              <w:left w:val="nil"/>
              <w:bottom w:val="nil"/>
              <w:right w:val="nil"/>
            </w:tcBorders>
            <w:noWrap/>
            <w:vAlign w:val="center"/>
          </w:tcPr>
          <w:p w14:paraId="1CC2DFE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B14037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9D6040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265A76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0D42E5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702156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5FC9FF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791697F"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Method</w:t>
            </w:r>
            <w:r>
              <w:rPr>
                <w:rFonts w:cs="宋体" w:hint="eastAsia"/>
                <w:color w:val="000000"/>
                <w:kern w:val="0"/>
                <w:sz w:val="20"/>
                <w:szCs w:val="20"/>
                <w:lang w:bidi="ar"/>
              </w:rPr>
              <w:t>、</w:t>
            </w:r>
          </w:p>
          <w:p w14:paraId="008911C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57B63D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9B3296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948D72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A73F81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E01233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CB173F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30519D97" w14:textId="77777777">
        <w:trPr>
          <w:trHeight w:val="630"/>
          <w:jc w:val="center"/>
        </w:trPr>
        <w:tc>
          <w:tcPr>
            <w:tcW w:w="667" w:type="dxa"/>
            <w:tcBorders>
              <w:top w:val="nil"/>
              <w:left w:val="nil"/>
              <w:bottom w:val="nil"/>
              <w:right w:val="nil"/>
            </w:tcBorders>
            <w:noWrap/>
            <w:vAlign w:val="center"/>
          </w:tcPr>
          <w:p w14:paraId="743DA0C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14</w:t>
            </w:r>
          </w:p>
        </w:tc>
        <w:tc>
          <w:tcPr>
            <w:tcW w:w="1942" w:type="dxa"/>
            <w:tcBorders>
              <w:top w:val="nil"/>
              <w:left w:val="nil"/>
              <w:bottom w:val="nil"/>
              <w:right w:val="nil"/>
            </w:tcBorders>
            <w:vAlign w:val="center"/>
          </w:tcPr>
          <w:p w14:paraId="7B4DD49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Measurement and valuation of resources and costs</w:t>
            </w:r>
          </w:p>
        </w:tc>
        <w:tc>
          <w:tcPr>
            <w:tcW w:w="964" w:type="dxa"/>
            <w:tcBorders>
              <w:top w:val="nil"/>
              <w:left w:val="nil"/>
              <w:bottom w:val="nil"/>
              <w:right w:val="nil"/>
            </w:tcBorders>
            <w:noWrap/>
            <w:vAlign w:val="center"/>
          </w:tcPr>
          <w:p w14:paraId="73E1D76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A11AB4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2E50F1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881FEE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E1D2B0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007909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D42D8C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883481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F71C00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9E070F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25A4B7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D0E9DC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4C7AAF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AF5BC9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58579A31" w14:textId="77777777">
        <w:trPr>
          <w:trHeight w:val="630"/>
          <w:jc w:val="center"/>
        </w:trPr>
        <w:tc>
          <w:tcPr>
            <w:tcW w:w="667" w:type="dxa"/>
            <w:tcBorders>
              <w:top w:val="nil"/>
              <w:left w:val="nil"/>
              <w:bottom w:val="nil"/>
              <w:right w:val="nil"/>
            </w:tcBorders>
            <w:noWrap/>
            <w:vAlign w:val="center"/>
          </w:tcPr>
          <w:p w14:paraId="4617796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15</w:t>
            </w:r>
          </w:p>
        </w:tc>
        <w:tc>
          <w:tcPr>
            <w:tcW w:w="1942" w:type="dxa"/>
            <w:tcBorders>
              <w:top w:val="nil"/>
              <w:left w:val="nil"/>
              <w:bottom w:val="nil"/>
              <w:right w:val="nil"/>
            </w:tcBorders>
            <w:vAlign w:val="center"/>
          </w:tcPr>
          <w:p w14:paraId="0D9A470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Currency, price date, and conversion</w:t>
            </w:r>
          </w:p>
        </w:tc>
        <w:tc>
          <w:tcPr>
            <w:tcW w:w="964" w:type="dxa"/>
            <w:tcBorders>
              <w:top w:val="nil"/>
              <w:left w:val="nil"/>
              <w:bottom w:val="nil"/>
              <w:right w:val="nil"/>
            </w:tcBorders>
            <w:noWrap/>
            <w:vAlign w:val="center"/>
          </w:tcPr>
          <w:p w14:paraId="72A4B2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364F24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2B02F8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C1CAA7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2C5195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E6AAED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DC1846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400722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0271D4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79A022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A52881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B3A902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0B7EBF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AE3985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01E577A4" w14:textId="77777777">
        <w:trPr>
          <w:trHeight w:val="315"/>
          <w:jc w:val="center"/>
        </w:trPr>
        <w:tc>
          <w:tcPr>
            <w:tcW w:w="667" w:type="dxa"/>
            <w:tcBorders>
              <w:top w:val="nil"/>
              <w:left w:val="nil"/>
              <w:bottom w:val="nil"/>
              <w:right w:val="nil"/>
            </w:tcBorders>
            <w:noWrap/>
            <w:vAlign w:val="center"/>
          </w:tcPr>
          <w:p w14:paraId="33C3352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16</w:t>
            </w:r>
          </w:p>
        </w:tc>
        <w:tc>
          <w:tcPr>
            <w:tcW w:w="1942" w:type="dxa"/>
            <w:tcBorders>
              <w:top w:val="nil"/>
              <w:left w:val="nil"/>
              <w:bottom w:val="nil"/>
              <w:right w:val="nil"/>
            </w:tcBorders>
            <w:vAlign w:val="center"/>
          </w:tcPr>
          <w:p w14:paraId="62DBBDF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Rationale and description of model</w:t>
            </w:r>
          </w:p>
        </w:tc>
        <w:tc>
          <w:tcPr>
            <w:tcW w:w="964" w:type="dxa"/>
            <w:tcBorders>
              <w:top w:val="nil"/>
              <w:left w:val="nil"/>
              <w:bottom w:val="nil"/>
              <w:right w:val="nil"/>
            </w:tcBorders>
            <w:noWrap/>
            <w:vAlign w:val="center"/>
          </w:tcPr>
          <w:p w14:paraId="2314670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0C25D4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B803FF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2218BF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C02676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345C5D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6C49B6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F8AC2B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95DDB5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0B3D2F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DB2644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FBE5B0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4B7D85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BF35A8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4309DBC8" w14:textId="77777777">
        <w:trPr>
          <w:trHeight w:val="315"/>
          <w:jc w:val="center"/>
        </w:trPr>
        <w:tc>
          <w:tcPr>
            <w:tcW w:w="667" w:type="dxa"/>
            <w:tcBorders>
              <w:top w:val="nil"/>
              <w:left w:val="nil"/>
              <w:bottom w:val="nil"/>
              <w:right w:val="nil"/>
            </w:tcBorders>
            <w:noWrap/>
            <w:vAlign w:val="center"/>
          </w:tcPr>
          <w:p w14:paraId="5B2B8CB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17</w:t>
            </w:r>
          </w:p>
        </w:tc>
        <w:tc>
          <w:tcPr>
            <w:tcW w:w="1942" w:type="dxa"/>
            <w:tcBorders>
              <w:top w:val="nil"/>
              <w:left w:val="nil"/>
              <w:bottom w:val="nil"/>
              <w:right w:val="nil"/>
            </w:tcBorders>
            <w:vAlign w:val="center"/>
          </w:tcPr>
          <w:p w14:paraId="30C152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Analytics and assumptions</w:t>
            </w:r>
          </w:p>
        </w:tc>
        <w:tc>
          <w:tcPr>
            <w:tcW w:w="964" w:type="dxa"/>
            <w:tcBorders>
              <w:top w:val="nil"/>
              <w:left w:val="nil"/>
              <w:bottom w:val="nil"/>
              <w:right w:val="nil"/>
            </w:tcBorders>
            <w:noWrap/>
            <w:vAlign w:val="center"/>
          </w:tcPr>
          <w:p w14:paraId="0382D35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CF2AAF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49590F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8E6EEE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E68F7D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BF851E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06B45F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E66F06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E21DF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483A5E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97F80D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B7F1C6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671D39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7CF33F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34D2AD3C" w14:textId="77777777">
        <w:trPr>
          <w:trHeight w:val="375"/>
          <w:jc w:val="center"/>
        </w:trPr>
        <w:tc>
          <w:tcPr>
            <w:tcW w:w="667" w:type="dxa"/>
            <w:tcBorders>
              <w:top w:val="nil"/>
              <w:left w:val="nil"/>
              <w:bottom w:val="nil"/>
              <w:right w:val="nil"/>
            </w:tcBorders>
            <w:noWrap/>
            <w:vAlign w:val="center"/>
          </w:tcPr>
          <w:p w14:paraId="6C4158F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18</w:t>
            </w:r>
          </w:p>
        </w:tc>
        <w:tc>
          <w:tcPr>
            <w:tcW w:w="1942" w:type="dxa"/>
            <w:tcBorders>
              <w:top w:val="nil"/>
              <w:left w:val="nil"/>
              <w:bottom w:val="nil"/>
              <w:right w:val="nil"/>
            </w:tcBorders>
            <w:vAlign w:val="center"/>
          </w:tcPr>
          <w:p w14:paraId="21FE658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Characterizing heterogeneity</w:t>
            </w:r>
          </w:p>
        </w:tc>
        <w:tc>
          <w:tcPr>
            <w:tcW w:w="964" w:type="dxa"/>
            <w:tcBorders>
              <w:top w:val="nil"/>
              <w:left w:val="nil"/>
              <w:bottom w:val="nil"/>
              <w:right w:val="nil"/>
            </w:tcBorders>
            <w:noWrap/>
            <w:vAlign w:val="center"/>
          </w:tcPr>
          <w:p w14:paraId="378AB50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F50A3F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3AF185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F44B03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692A2C0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1E85C9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A34E85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AC2497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A8A323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2B5B1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F6BA60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FCC69C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002C2F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4FE8F7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1F2A8168" w14:textId="77777777">
        <w:trPr>
          <w:trHeight w:val="375"/>
          <w:jc w:val="center"/>
        </w:trPr>
        <w:tc>
          <w:tcPr>
            <w:tcW w:w="667" w:type="dxa"/>
            <w:tcBorders>
              <w:top w:val="nil"/>
              <w:left w:val="nil"/>
              <w:bottom w:val="nil"/>
              <w:right w:val="nil"/>
            </w:tcBorders>
            <w:noWrap/>
            <w:vAlign w:val="center"/>
          </w:tcPr>
          <w:p w14:paraId="114CB8C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19</w:t>
            </w:r>
          </w:p>
        </w:tc>
        <w:tc>
          <w:tcPr>
            <w:tcW w:w="1942" w:type="dxa"/>
            <w:tcBorders>
              <w:top w:val="nil"/>
              <w:left w:val="nil"/>
              <w:bottom w:val="nil"/>
              <w:right w:val="nil"/>
            </w:tcBorders>
            <w:vAlign w:val="center"/>
          </w:tcPr>
          <w:p w14:paraId="47596CD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Characterizing distributional effects</w:t>
            </w:r>
          </w:p>
        </w:tc>
        <w:tc>
          <w:tcPr>
            <w:tcW w:w="964" w:type="dxa"/>
            <w:tcBorders>
              <w:top w:val="nil"/>
              <w:left w:val="nil"/>
              <w:bottom w:val="nil"/>
              <w:right w:val="nil"/>
            </w:tcBorders>
            <w:noWrap/>
            <w:vAlign w:val="center"/>
          </w:tcPr>
          <w:p w14:paraId="4CB0E63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97DC19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877F13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C6D38B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524F89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16611F8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7036F1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49CA62A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438A16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B95A1D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66FC8B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39750DF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5AA5C12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3EEE74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r>
      <w:tr w:rsidR="00376D25" w14:paraId="2A3661CD" w14:textId="77777777">
        <w:trPr>
          <w:trHeight w:val="375"/>
          <w:jc w:val="center"/>
        </w:trPr>
        <w:tc>
          <w:tcPr>
            <w:tcW w:w="667" w:type="dxa"/>
            <w:tcBorders>
              <w:top w:val="nil"/>
              <w:left w:val="nil"/>
              <w:bottom w:val="nil"/>
              <w:right w:val="nil"/>
            </w:tcBorders>
            <w:noWrap/>
            <w:vAlign w:val="center"/>
          </w:tcPr>
          <w:p w14:paraId="3CB32FA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20</w:t>
            </w:r>
          </w:p>
        </w:tc>
        <w:tc>
          <w:tcPr>
            <w:tcW w:w="1942" w:type="dxa"/>
            <w:tcBorders>
              <w:top w:val="nil"/>
              <w:left w:val="nil"/>
              <w:bottom w:val="nil"/>
              <w:right w:val="nil"/>
            </w:tcBorders>
            <w:vAlign w:val="center"/>
          </w:tcPr>
          <w:p w14:paraId="4136D37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Characterizing uncertainty</w:t>
            </w:r>
          </w:p>
        </w:tc>
        <w:tc>
          <w:tcPr>
            <w:tcW w:w="964" w:type="dxa"/>
            <w:tcBorders>
              <w:top w:val="nil"/>
              <w:left w:val="nil"/>
              <w:bottom w:val="nil"/>
              <w:right w:val="nil"/>
            </w:tcBorders>
            <w:noWrap/>
            <w:vAlign w:val="center"/>
          </w:tcPr>
          <w:p w14:paraId="6F5C050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839B43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8C441C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C1C634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2819A1E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A646E6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79EC900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035E4D5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3C8B7C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563F0C3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BC52373"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Method</w:t>
            </w:r>
            <w:r>
              <w:rPr>
                <w:rFonts w:cs="宋体" w:hint="eastAsia"/>
                <w:color w:val="000000"/>
                <w:kern w:val="0"/>
                <w:sz w:val="20"/>
                <w:szCs w:val="20"/>
                <w:lang w:bidi="ar"/>
              </w:rPr>
              <w:t>、</w:t>
            </w:r>
          </w:p>
          <w:p w14:paraId="64EDE1D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4FD1679" w14:textId="77777777" w:rsidR="00376D25" w:rsidRDefault="00000000">
            <w:pPr>
              <w:widowControl/>
              <w:spacing w:line="240" w:lineRule="atLeast"/>
              <w:ind w:firstLineChars="0" w:firstLine="0"/>
              <w:jc w:val="center"/>
              <w:textAlignment w:val="center"/>
              <w:rPr>
                <w:rFonts w:cs="宋体"/>
                <w:color w:val="000000"/>
                <w:kern w:val="0"/>
                <w:sz w:val="20"/>
                <w:szCs w:val="20"/>
                <w:lang w:bidi="ar"/>
              </w:rPr>
            </w:pPr>
            <w:r>
              <w:rPr>
                <w:rFonts w:cs="宋体" w:hint="eastAsia"/>
                <w:color w:val="000000"/>
                <w:kern w:val="0"/>
                <w:sz w:val="20"/>
                <w:szCs w:val="20"/>
                <w:lang w:bidi="ar"/>
              </w:rPr>
              <w:t>Method</w:t>
            </w:r>
            <w:r>
              <w:rPr>
                <w:rFonts w:cs="宋体" w:hint="eastAsia"/>
                <w:color w:val="000000"/>
                <w:kern w:val="0"/>
                <w:sz w:val="20"/>
                <w:szCs w:val="20"/>
                <w:lang w:bidi="ar"/>
              </w:rPr>
              <w:t>、</w:t>
            </w:r>
          </w:p>
          <w:p w14:paraId="4C53E9F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A4454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c>
          <w:tcPr>
            <w:tcW w:w="964" w:type="dxa"/>
            <w:tcBorders>
              <w:top w:val="nil"/>
              <w:left w:val="nil"/>
              <w:bottom w:val="nil"/>
              <w:right w:val="nil"/>
            </w:tcBorders>
            <w:noWrap/>
            <w:vAlign w:val="center"/>
          </w:tcPr>
          <w:p w14:paraId="3A5A031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p>
        </w:tc>
      </w:tr>
      <w:tr w:rsidR="00376D25" w14:paraId="3B806F30" w14:textId="77777777">
        <w:trPr>
          <w:trHeight w:val="945"/>
          <w:jc w:val="center"/>
        </w:trPr>
        <w:tc>
          <w:tcPr>
            <w:tcW w:w="667" w:type="dxa"/>
            <w:tcBorders>
              <w:top w:val="nil"/>
              <w:left w:val="nil"/>
              <w:bottom w:val="nil"/>
              <w:right w:val="nil"/>
            </w:tcBorders>
            <w:noWrap/>
            <w:vAlign w:val="center"/>
          </w:tcPr>
          <w:p w14:paraId="0352CF6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21</w:t>
            </w:r>
          </w:p>
        </w:tc>
        <w:tc>
          <w:tcPr>
            <w:tcW w:w="1942" w:type="dxa"/>
            <w:tcBorders>
              <w:top w:val="nil"/>
              <w:left w:val="nil"/>
              <w:bottom w:val="nil"/>
              <w:right w:val="nil"/>
            </w:tcBorders>
            <w:vAlign w:val="center"/>
          </w:tcPr>
          <w:p w14:paraId="1AEAE1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Approach to engagement with patients and others affected by the study</w:t>
            </w:r>
          </w:p>
        </w:tc>
        <w:tc>
          <w:tcPr>
            <w:tcW w:w="964" w:type="dxa"/>
            <w:tcBorders>
              <w:top w:val="nil"/>
              <w:left w:val="nil"/>
              <w:bottom w:val="nil"/>
              <w:right w:val="nil"/>
            </w:tcBorders>
            <w:noWrap/>
            <w:vAlign w:val="center"/>
          </w:tcPr>
          <w:p w14:paraId="3FDDCC9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AFE2F5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46C0EA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07BE16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B83357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3A6D22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1D9D35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C8C86D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61CE93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7E2B2B4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5929511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119901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CB991E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6202D8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r>
      <w:tr w:rsidR="00376D25" w14:paraId="0BDFF1FD" w14:textId="77777777">
        <w:trPr>
          <w:trHeight w:val="315"/>
          <w:jc w:val="center"/>
        </w:trPr>
        <w:tc>
          <w:tcPr>
            <w:tcW w:w="667" w:type="dxa"/>
            <w:tcBorders>
              <w:top w:val="nil"/>
              <w:left w:val="nil"/>
              <w:bottom w:val="nil"/>
              <w:right w:val="nil"/>
            </w:tcBorders>
            <w:noWrap/>
            <w:vAlign w:val="center"/>
          </w:tcPr>
          <w:p w14:paraId="49364CA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22</w:t>
            </w:r>
          </w:p>
        </w:tc>
        <w:tc>
          <w:tcPr>
            <w:tcW w:w="1942" w:type="dxa"/>
            <w:tcBorders>
              <w:top w:val="nil"/>
              <w:left w:val="nil"/>
              <w:bottom w:val="nil"/>
              <w:right w:val="nil"/>
            </w:tcBorders>
            <w:vAlign w:val="center"/>
          </w:tcPr>
          <w:p w14:paraId="432819D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Study parameters</w:t>
            </w:r>
          </w:p>
        </w:tc>
        <w:tc>
          <w:tcPr>
            <w:tcW w:w="964" w:type="dxa"/>
            <w:tcBorders>
              <w:top w:val="nil"/>
              <w:left w:val="nil"/>
              <w:bottom w:val="nil"/>
              <w:right w:val="nil"/>
            </w:tcBorders>
            <w:noWrap/>
            <w:vAlign w:val="center"/>
          </w:tcPr>
          <w:p w14:paraId="7474C95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3F5BEB5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460240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3752D59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FD8F2C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0E6658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61D0DC1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498D44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6143A7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11330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833FAF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D2EB32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039B199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03066A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t>Results</w:t>
            </w:r>
          </w:p>
        </w:tc>
      </w:tr>
      <w:tr w:rsidR="00376D25" w14:paraId="3264043B" w14:textId="77777777">
        <w:trPr>
          <w:trHeight w:val="315"/>
          <w:jc w:val="center"/>
        </w:trPr>
        <w:tc>
          <w:tcPr>
            <w:tcW w:w="667" w:type="dxa"/>
            <w:tcBorders>
              <w:top w:val="nil"/>
              <w:left w:val="nil"/>
              <w:bottom w:val="nil"/>
              <w:right w:val="nil"/>
            </w:tcBorders>
            <w:noWrap/>
            <w:vAlign w:val="center"/>
          </w:tcPr>
          <w:p w14:paraId="2953233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23</w:t>
            </w:r>
          </w:p>
        </w:tc>
        <w:tc>
          <w:tcPr>
            <w:tcW w:w="1942" w:type="dxa"/>
            <w:tcBorders>
              <w:top w:val="nil"/>
              <w:left w:val="nil"/>
              <w:bottom w:val="nil"/>
              <w:right w:val="nil"/>
            </w:tcBorders>
            <w:vAlign w:val="center"/>
          </w:tcPr>
          <w:p w14:paraId="7579F60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Summary of main results</w:t>
            </w:r>
          </w:p>
        </w:tc>
        <w:tc>
          <w:tcPr>
            <w:tcW w:w="964" w:type="dxa"/>
            <w:tcBorders>
              <w:top w:val="nil"/>
              <w:left w:val="nil"/>
              <w:bottom w:val="nil"/>
              <w:right w:val="nil"/>
            </w:tcBorders>
            <w:noWrap/>
            <w:vAlign w:val="center"/>
          </w:tcPr>
          <w:p w14:paraId="62E1361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4E5542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CD9DAF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6CB2398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0C55DD4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5517336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761CCAB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99AB55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F2A934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2F60129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13B6B70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63983E8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62A41A6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c>
          <w:tcPr>
            <w:tcW w:w="964" w:type="dxa"/>
            <w:tcBorders>
              <w:top w:val="nil"/>
              <w:left w:val="nil"/>
              <w:bottom w:val="nil"/>
              <w:right w:val="nil"/>
            </w:tcBorders>
            <w:noWrap/>
            <w:vAlign w:val="center"/>
          </w:tcPr>
          <w:p w14:paraId="4C9605A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Results</w:t>
            </w:r>
          </w:p>
        </w:tc>
      </w:tr>
      <w:tr w:rsidR="00376D25" w14:paraId="2604D59A" w14:textId="77777777">
        <w:trPr>
          <w:trHeight w:val="315"/>
          <w:jc w:val="center"/>
        </w:trPr>
        <w:tc>
          <w:tcPr>
            <w:tcW w:w="667" w:type="dxa"/>
            <w:tcBorders>
              <w:top w:val="nil"/>
              <w:left w:val="nil"/>
              <w:bottom w:val="nil"/>
              <w:right w:val="nil"/>
            </w:tcBorders>
            <w:noWrap/>
            <w:vAlign w:val="center"/>
          </w:tcPr>
          <w:p w14:paraId="42030B1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24</w:t>
            </w:r>
          </w:p>
        </w:tc>
        <w:tc>
          <w:tcPr>
            <w:tcW w:w="1942" w:type="dxa"/>
            <w:tcBorders>
              <w:top w:val="nil"/>
              <w:left w:val="nil"/>
              <w:bottom w:val="nil"/>
              <w:right w:val="nil"/>
            </w:tcBorders>
            <w:vAlign w:val="center"/>
          </w:tcPr>
          <w:p w14:paraId="09CE8D3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Effect of uncertainty</w:t>
            </w:r>
          </w:p>
        </w:tc>
        <w:tc>
          <w:tcPr>
            <w:tcW w:w="964" w:type="dxa"/>
            <w:tcBorders>
              <w:top w:val="nil"/>
              <w:left w:val="nil"/>
              <w:bottom w:val="nil"/>
              <w:right w:val="nil"/>
            </w:tcBorders>
            <w:noWrap/>
            <w:vAlign w:val="center"/>
          </w:tcPr>
          <w:p w14:paraId="540D22F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17044F3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1B5F4B1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31CFA87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067E962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415417F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5228FE0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09A555F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26DEAF6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47FBECB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26B6053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2FF236A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7A27057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c>
          <w:tcPr>
            <w:tcW w:w="964" w:type="dxa"/>
            <w:tcBorders>
              <w:top w:val="nil"/>
              <w:left w:val="nil"/>
              <w:bottom w:val="nil"/>
              <w:right w:val="nil"/>
            </w:tcBorders>
            <w:noWrap/>
            <w:vAlign w:val="center"/>
          </w:tcPr>
          <w:p w14:paraId="460AC3C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Method</w:t>
            </w:r>
            <w:r>
              <w:rPr>
                <w:rFonts w:cs="宋体" w:hint="eastAsia"/>
                <w:color w:val="000000"/>
                <w:kern w:val="0"/>
                <w:sz w:val="20"/>
                <w:szCs w:val="20"/>
                <w:lang w:bidi="ar"/>
              </w:rPr>
              <w:t>、</w:t>
            </w:r>
            <w:r>
              <w:rPr>
                <w:rFonts w:cs="宋体" w:hint="eastAsia"/>
                <w:color w:val="000000"/>
                <w:kern w:val="0"/>
                <w:sz w:val="20"/>
                <w:szCs w:val="20"/>
                <w:lang w:bidi="ar"/>
              </w:rPr>
              <w:lastRenderedPageBreak/>
              <w:t>Results</w:t>
            </w:r>
          </w:p>
        </w:tc>
      </w:tr>
      <w:tr w:rsidR="00376D25" w14:paraId="648464D3" w14:textId="77777777">
        <w:trPr>
          <w:trHeight w:val="945"/>
          <w:jc w:val="center"/>
        </w:trPr>
        <w:tc>
          <w:tcPr>
            <w:tcW w:w="667" w:type="dxa"/>
            <w:tcBorders>
              <w:top w:val="nil"/>
              <w:left w:val="nil"/>
              <w:bottom w:val="nil"/>
              <w:right w:val="nil"/>
            </w:tcBorders>
            <w:noWrap/>
            <w:vAlign w:val="center"/>
          </w:tcPr>
          <w:p w14:paraId="22832C8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lastRenderedPageBreak/>
              <w:t>25</w:t>
            </w:r>
          </w:p>
        </w:tc>
        <w:tc>
          <w:tcPr>
            <w:tcW w:w="1942" w:type="dxa"/>
            <w:tcBorders>
              <w:top w:val="nil"/>
              <w:left w:val="nil"/>
              <w:bottom w:val="nil"/>
              <w:right w:val="nil"/>
            </w:tcBorders>
            <w:vAlign w:val="center"/>
          </w:tcPr>
          <w:p w14:paraId="1D50A1CC"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Effect of engagement with patients and others affected by the study</w:t>
            </w:r>
          </w:p>
        </w:tc>
        <w:tc>
          <w:tcPr>
            <w:tcW w:w="964" w:type="dxa"/>
            <w:tcBorders>
              <w:top w:val="nil"/>
              <w:left w:val="nil"/>
              <w:bottom w:val="nil"/>
              <w:right w:val="nil"/>
            </w:tcBorders>
            <w:noWrap/>
            <w:vAlign w:val="center"/>
          </w:tcPr>
          <w:p w14:paraId="395BC5A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0BAA0D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62BA082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5D810D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D0B034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A89F90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A23AF3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6061F8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23F5827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C9B276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0743BD9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4CCDFB0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152481A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c>
          <w:tcPr>
            <w:tcW w:w="964" w:type="dxa"/>
            <w:tcBorders>
              <w:top w:val="nil"/>
              <w:left w:val="nil"/>
              <w:bottom w:val="nil"/>
              <w:right w:val="nil"/>
            </w:tcBorders>
            <w:noWrap/>
            <w:vAlign w:val="center"/>
          </w:tcPr>
          <w:p w14:paraId="348EC76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w:t>
            </w:r>
          </w:p>
        </w:tc>
      </w:tr>
      <w:tr w:rsidR="00376D25" w14:paraId="012FB05B" w14:textId="77777777">
        <w:trPr>
          <w:trHeight w:val="945"/>
          <w:jc w:val="center"/>
        </w:trPr>
        <w:tc>
          <w:tcPr>
            <w:tcW w:w="667" w:type="dxa"/>
            <w:tcBorders>
              <w:top w:val="nil"/>
              <w:left w:val="nil"/>
              <w:bottom w:val="nil"/>
              <w:right w:val="nil"/>
            </w:tcBorders>
            <w:noWrap/>
            <w:vAlign w:val="center"/>
          </w:tcPr>
          <w:p w14:paraId="461CEB8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26</w:t>
            </w:r>
          </w:p>
        </w:tc>
        <w:tc>
          <w:tcPr>
            <w:tcW w:w="1942" w:type="dxa"/>
            <w:tcBorders>
              <w:top w:val="nil"/>
              <w:left w:val="nil"/>
              <w:bottom w:val="nil"/>
              <w:right w:val="nil"/>
            </w:tcBorders>
            <w:vAlign w:val="center"/>
          </w:tcPr>
          <w:p w14:paraId="5E83D9E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Study findings, limitations, generalizability, and current knowledge</w:t>
            </w:r>
          </w:p>
        </w:tc>
        <w:tc>
          <w:tcPr>
            <w:tcW w:w="964" w:type="dxa"/>
            <w:tcBorders>
              <w:top w:val="nil"/>
              <w:left w:val="nil"/>
              <w:bottom w:val="nil"/>
              <w:right w:val="nil"/>
            </w:tcBorders>
            <w:noWrap/>
            <w:vAlign w:val="center"/>
          </w:tcPr>
          <w:p w14:paraId="034B608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7DC35E0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4AFA3E5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7D3617E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1F4098C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0C32787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07453DF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0666C51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2FA391BE"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311AFB11"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731E9B3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783621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4FABD60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c>
          <w:tcPr>
            <w:tcW w:w="964" w:type="dxa"/>
            <w:tcBorders>
              <w:top w:val="nil"/>
              <w:left w:val="nil"/>
              <w:bottom w:val="nil"/>
              <w:right w:val="nil"/>
            </w:tcBorders>
            <w:noWrap/>
            <w:vAlign w:val="center"/>
          </w:tcPr>
          <w:p w14:paraId="0E3E257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Discussion</w:t>
            </w:r>
          </w:p>
        </w:tc>
      </w:tr>
      <w:tr w:rsidR="00376D25" w14:paraId="3D4B10A3" w14:textId="77777777">
        <w:trPr>
          <w:trHeight w:val="315"/>
          <w:jc w:val="center"/>
        </w:trPr>
        <w:tc>
          <w:tcPr>
            <w:tcW w:w="667" w:type="dxa"/>
            <w:tcBorders>
              <w:top w:val="nil"/>
              <w:left w:val="nil"/>
              <w:right w:val="nil"/>
            </w:tcBorders>
            <w:noWrap/>
            <w:vAlign w:val="center"/>
          </w:tcPr>
          <w:p w14:paraId="1D8D450A"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27</w:t>
            </w:r>
          </w:p>
        </w:tc>
        <w:tc>
          <w:tcPr>
            <w:tcW w:w="1942" w:type="dxa"/>
            <w:tcBorders>
              <w:top w:val="nil"/>
              <w:left w:val="nil"/>
              <w:right w:val="nil"/>
            </w:tcBorders>
            <w:vAlign w:val="center"/>
          </w:tcPr>
          <w:p w14:paraId="4F9E4A0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Source of funding</w:t>
            </w:r>
          </w:p>
        </w:tc>
        <w:tc>
          <w:tcPr>
            <w:tcW w:w="964" w:type="dxa"/>
            <w:tcBorders>
              <w:top w:val="nil"/>
              <w:left w:val="nil"/>
              <w:right w:val="nil"/>
            </w:tcBorders>
            <w:noWrap/>
            <w:vAlign w:val="center"/>
          </w:tcPr>
          <w:p w14:paraId="068AD92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17B89C6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20551E5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7C78EFC6"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469383C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2433451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5DEDFDA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0E291DB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5A66408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1FC6AB0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239CDF0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5425BA9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4673BD3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right w:val="nil"/>
            </w:tcBorders>
            <w:noWrap/>
            <w:vAlign w:val="center"/>
          </w:tcPr>
          <w:p w14:paraId="612E038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r>
      <w:tr w:rsidR="00376D25" w14:paraId="0A4CF351" w14:textId="77777777">
        <w:trPr>
          <w:trHeight w:val="315"/>
          <w:jc w:val="center"/>
        </w:trPr>
        <w:tc>
          <w:tcPr>
            <w:tcW w:w="667" w:type="dxa"/>
            <w:tcBorders>
              <w:top w:val="nil"/>
              <w:left w:val="nil"/>
              <w:bottom w:val="single" w:sz="12" w:space="0" w:color="auto"/>
              <w:right w:val="nil"/>
            </w:tcBorders>
            <w:noWrap/>
            <w:vAlign w:val="center"/>
          </w:tcPr>
          <w:p w14:paraId="03CA23F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28</w:t>
            </w:r>
          </w:p>
        </w:tc>
        <w:tc>
          <w:tcPr>
            <w:tcW w:w="1942" w:type="dxa"/>
            <w:tcBorders>
              <w:top w:val="nil"/>
              <w:left w:val="nil"/>
              <w:bottom w:val="single" w:sz="12" w:space="0" w:color="auto"/>
              <w:right w:val="nil"/>
            </w:tcBorders>
            <w:vAlign w:val="center"/>
          </w:tcPr>
          <w:p w14:paraId="7CD1AF8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Segoe UI"/>
                <w:color w:val="000000"/>
                <w:sz w:val="20"/>
                <w:szCs w:val="20"/>
              </w:rPr>
              <w:t>Conflicts of interest</w:t>
            </w:r>
          </w:p>
        </w:tc>
        <w:tc>
          <w:tcPr>
            <w:tcW w:w="964" w:type="dxa"/>
            <w:tcBorders>
              <w:top w:val="nil"/>
              <w:left w:val="nil"/>
              <w:bottom w:val="single" w:sz="12" w:space="0" w:color="auto"/>
              <w:right w:val="nil"/>
            </w:tcBorders>
            <w:noWrap/>
            <w:vAlign w:val="center"/>
          </w:tcPr>
          <w:p w14:paraId="1347221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2AF281D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346B5677"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14E0F2C4"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14CE136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40CA69B3"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3045BC5D"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7E58086F"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12488390"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02EBDAE5"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2D3943C8"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08EA192B"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17D43202"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428F30B9" w14:textId="77777777" w:rsidR="00376D25" w:rsidRDefault="00000000">
            <w:pPr>
              <w:widowControl/>
              <w:spacing w:line="240" w:lineRule="atLeast"/>
              <w:ind w:firstLineChars="0" w:firstLine="0"/>
              <w:jc w:val="center"/>
              <w:textAlignment w:val="center"/>
              <w:rPr>
                <w:rFonts w:cs="宋体"/>
                <w:color w:val="000000"/>
                <w:sz w:val="20"/>
                <w:szCs w:val="20"/>
              </w:rPr>
            </w:pPr>
            <w:r>
              <w:rPr>
                <w:rFonts w:cs="宋体" w:hint="eastAsia"/>
                <w:color w:val="000000"/>
                <w:kern w:val="0"/>
                <w:sz w:val="20"/>
                <w:szCs w:val="20"/>
                <w:lang w:bidi="ar"/>
              </w:rPr>
              <w:t>Declaration</w:t>
            </w:r>
          </w:p>
        </w:tc>
      </w:tr>
    </w:tbl>
    <w:p w14:paraId="451F1031" w14:textId="77777777" w:rsidR="00376D25" w:rsidRDefault="00376D25">
      <w:pPr>
        <w:widowControl/>
        <w:spacing w:line="240" w:lineRule="atLeast"/>
        <w:ind w:firstLineChars="0" w:firstLine="0"/>
        <w:jc w:val="center"/>
        <w:rPr>
          <w:rFonts w:eastAsia="黑体" w:cs="等线"/>
          <w:b/>
          <w:bCs/>
          <w:color w:val="000000"/>
          <w:kern w:val="0"/>
          <w:sz w:val="28"/>
          <w:szCs w:val="28"/>
          <w:lang w:bidi="ar"/>
        </w:rPr>
        <w:sectPr w:rsidR="00376D25">
          <w:endnotePr>
            <w:numFmt w:val="decimal"/>
          </w:endnotePr>
          <w:pgSz w:w="16838" w:h="11906" w:orient="landscape"/>
          <w:pgMar w:top="1800" w:right="1440" w:bottom="1800" w:left="1440" w:header="851" w:footer="992" w:gutter="0"/>
          <w:cols w:space="425"/>
          <w:docGrid w:type="lines" w:linePitch="312"/>
        </w:sectPr>
      </w:pPr>
    </w:p>
    <w:p w14:paraId="53BCF041" w14:textId="77777777" w:rsidR="00376D25" w:rsidRDefault="00000000">
      <w:pPr>
        <w:widowControl/>
        <w:spacing w:line="240" w:lineRule="atLeast"/>
        <w:ind w:firstLineChars="0" w:firstLine="0"/>
        <w:jc w:val="left"/>
        <w:rPr>
          <w:rFonts w:eastAsia="黑体" w:cs="等线"/>
          <w:color w:val="000000"/>
          <w:kern w:val="0"/>
          <w:sz w:val="21"/>
          <w:szCs w:val="21"/>
          <w:lang w:bidi="ar"/>
        </w:rPr>
      </w:pPr>
      <w:r>
        <w:rPr>
          <w:rFonts w:eastAsia="黑体" w:cs="等线" w:hint="eastAsia"/>
          <w:b/>
          <w:bCs/>
          <w:color w:val="000000"/>
          <w:kern w:val="0"/>
          <w:sz w:val="21"/>
          <w:szCs w:val="21"/>
          <w:lang w:bidi="ar"/>
        </w:rPr>
        <w:lastRenderedPageBreak/>
        <w:t xml:space="preserve">Table 4. </w:t>
      </w:r>
      <w:r>
        <w:rPr>
          <w:rFonts w:eastAsia="黑体" w:cs="等线"/>
          <w:color w:val="000000"/>
          <w:kern w:val="0"/>
          <w:sz w:val="21"/>
          <w:szCs w:val="21"/>
          <w:lang w:bidi="ar"/>
        </w:rPr>
        <w:t>Continuation Table</w:t>
      </w:r>
    </w:p>
    <w:tbl>
      <w:tblPr>
        <w:tblW w:w="16105" w:type="dxa"/>
        <w:tblInd w:w="-1100" w:type="dxa"/>
        <w:tblLayout w:type="fixed"/>
        <w:tblLook w:val="04A0" w:firstRow="1" w:lastRow="0" w:firstColumn="1" w:lastColumn="0" w:noHBand="0" w:noVBand="1"/>
      </w:tblPr>
      <w:tblGrid>
        <w:gridCol w:w="667"/>
        <w:gridCol w:w="1942"/>
        <w:gridCol w:w="964"/>
        <w:gridCol w:w="964"/>
        <w:gridCol w:w="964"/>
        <w:gridCol w:w="964"/>
        <w:gridCol w:w="964"/>
        <w:gridCol w:w="964"/>
        <w:gridCol w:w="964"/>
        <w:gridCol w:w="964"/>
        <w:gridCol w:w="964"/>
        <w:gridCol w:w="964"/>
        <w:gridCol w:w="964"/>
        <w:gridCol w:w="964"/>
        <w:gridCol w:w="964"/>
        <w:gridCol w:w="964"/>
      </w:tblGrid>
      <w:tr w:rsidR="00376D25" w14:paraId="24BFDD7F" w14:textId="77777777">
        <w:trPr>
          <w:trHeight w:val="540"/>
        </w:trPr>
        <w:tc>
          <w:tcPr>
            <w:tcW w:w="667" w:type="dxa"/>
            <w:vMerge w:val="restart"/>
            <w:tcBorders>
              <w:top w:val="single" w:sz="12" w:space="0" w:color="auto"/>
              <w:left w:val="nil"/>
              <w:right w:val="nil"/>
            </w:tcBorders>
            <w:noWrap/>
            <w:vAlign w:val="center"/>
          </w:tcPr>
          <w:p w14:paraId="1259E042" w14:textId="77777777" w:rsidR="00376D25" w:rsidRDefault="00000000">
            <w:pPr>
              <w:widowControl/>
              <w:spacing w:line="240" w:lineRule="atLeast"/>
              <w:ind w:firstLineChars="0" w:firstLine="0"/>
              <w:jc w:val="center"/>
              <w:rPr>
                <w:rFonts w:cs="Times New Roman"/>
                <w:color w:val="000000"/>
                <w:sz w:val="20"/>
                <w:szCs w:val="20"/>
              </w:rPr>
            </w:pPr>
            <w:r>
              <w:rPr>
                <w:rFonts w:cs="Times New Roman"/>
                <w:color w:val="000000"/>
                <w:sz w:val="20"/>
                <w:szCs w:val="20"/>
              </w:rPr>
              <w:t>No.</w:t>
            </w:r>
          </w:p>
        </w:tc>
        <w:tc>
          <w:tcPr>
            <w:tcW w:w="1942" w:type="dxa"/>
            <w:tcBorders>
              <w:top w:val="single" w:sz="12" w:space="0" w:color="auto"/>
              <w:left w:val="nil"/>
              <w:right w:val="nil"/>
            </w:tcBorders>
            <w:vAlign w:val="center"/>
          </w:tcPr>
          <w:p w14:paraId="1CFCF40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Author</w:t>
            </w:r>
          </w:p>
        </w:tc>
        <w:tc>
          <w:tcPr>
            <w:tcW w:w="964" w:type="dxa"/>
            <w:tcBorders>
              <w:top w:val="single" w:sz="12" w:space="0" w:color="auto"/>
              <w:left w:val="nil"/>
              <w:right w:val="nil"/>
            </w:tcBorders>
            <w:noWrap/>
            <w:vAlign w:val="center"/>
          </w:tcPr>
          <w:p w14:paraId="2F29B4C3"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Killedar</w:t>
            </w:r>
            <w:proofErr w:type="spellEnd"/>
            <w:r>
              <w:rPr>
                <w:rFonts w:cs="Times New Roman"/>
                <w:color w:val="000000"/>
                <w:kern w:val="0"/>
                <w:sz w:val="20"/>
                <w:szCs w:val="20"/>
                <w:lang w:bidi="ar"/>
              </w:rPr>
              <w:t>, et al.</w:t>
            </w:r>
          </w:p>
        </w:tc>
        <w:tc>
          <w:tcPr>
            <w:tcW w:w="964" w:type="dxa"/>
            <w:tcBorders>
              <w:top w:val="single" w:sz="12" w:space="0" w:color="auto"/>
              <w:left w:val="nil"/>
              <w:right w:val="nil"/>
            </w:tcBorders>
            <w:noWrap/>
            <w:vAlign w:val="center"/>
          </w:tcPr>
          <w:p w14:paraId="6E0873F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Kwon, et al.</w:t>
            </w:r>
          </w:p>
        </w:tc>
        <w:tc>
          <w:tcPr>
            <w:tcW w:w="964" w:type="dxa"/>
            <w:tcBorders>
              <w:top w:val="single" w:sz="12" w:space="0" w:color="auto"/>
              <w:left w:val="nil"/>
              <w:right w:val="nil"/>
            </w:tcBorders>
            <w:noWrap/>
            <w:vAlign w:val="center"/>
          </w:tcPr>
          <w:p w14:paraId="5556478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Meunier, et al.</w:t>
            </w:r>
          </w:p>
        </w:tc>
        <w:tc>
          <w:tcPr>
            <w:tcW w:w="964" w:type="dxa"/>
            <w:tcBorders>
              <w:top w:val="single" w:sz="12" w:space="0" w:color="auto"/>
              <w:left w:val="nil"/>
              <w:right w:val="nil"/>
            </w:tcBorders>
            <w:noWrap/>
            <w:vAlign w:val="center"/>
          </w:tcPr>
          <w:p w14:paraId="6A034D93"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Stanimirovic</w:t>
            </w:r>
            <w:proofErr w:type="spellEnd"/>
            <w:r>
              <w:rPr>
                <w:rFonts w:cs="Times New Roman"/>
                <w:color w:val="000000"/>
                <w:kern w:val="0"/>
                <w:sz w:val="20"/>
                <w:szCs w:val="20"/>
                <w:lang w:bidi="ar"/>
              </w:rPr>
              <w:t>, et al.</w:t>
            </w:r>
          </w:p>
        </w:tc>
        <w:tc>
          <w:tcPr>
            <w:tcW w:w="964" w:type="dxa"/>
            <w:tcBorders>
              <w:top w:val="single" w:sz="12" w:space="0" w:color="auto"/>
              <w:left w:val="nil"/>
              <w:right w:val="nil"/>
            </w:tcBorders>
            <w:noWrap/>
            <w:vAlign w:val="center"/>
          </w:tcPr>
          <w:p w14:paraId="1BC3F571"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gramStart"/>
            <w:r>
              <w:rPr>
                <w:rFonts w:cs="Times New Roman"/>
                <w:color w:val="000000"/>
                <w:kern w:val="0"/>
                <w:sz w:val="20"/>
                <w:szCs w:val="20"/>
                <w:lang w:bidi="ar"/>
              </w:rPr>
              <w:t>Synnott ,</w:t>
            </w:r>
            <w:proofErr w:type="gramEnd"/>
            <w:r>
              <w:rPr>
                <w:rFonts w:cs="Times New Roman"/>
                <w:color w:val="000000"/>
                <w:kern w:val="0"/>
                <w:sz w:val="20"/>
                <w:szCs w:val="20"/>
                <w:lang w:bidi="ar"/>
              </w:rPr>
              <w:t xml:space="preserve"> et al.</w:t>
            </w:r>
          </w:p>
        </w:tc>
        <w:tc>
          <w:tcPr>
            <w:tcW w:w="964" w:type="dxa"/>
            <w:tcBorders>
              <w:top w:val="single" w:sz="12" w:space="0" w:color="auto"/>
              <w:left w:val="nil"/>
              <w:right w:val="nil"/>
            </w:tcBorders>
            <w:noWrap/>
            <w:vAlign w:val="center"/>
          </w:tcPr>
          <w:p w14:paraId="47ABBF4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Kowal, et al.</w:t>
            </w:r>
          </w:p>
        </w:tc>
        <w:tc>
          <w:tcPr>
            <w:tcW w:w="964" w:type="dxa"/>
            <w:tcBorders>
              <w:top w:val="single" w:sz="12" w:space="0" w:color="auto"/>
              <w:left w:val="nil"/>
              <w:right w:val="nil"/>
            </w:tcBorders>
            <w:noWrap/>
            <w:vAlign w:val="center"/>
          </w:tcPr>
          <w:p w14:paraId="22D4D3D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Biundo, et al.</w:t>
            </w:r>
          </w:p>
        </w:tc>
        <w:tc>
          <w:tcPr>
            <w:tcW w:w="964" w:type="dxa"/>
            <w:tcBorders>
              <w:top w:val="single" w:sz="12" w:space="0" w:color="auto"/>
              <w:left w:val="nil"/>
              <w:right w:val="nil"/>
            </w:tcBorders>
            <w:noWrap/>
            <w:vAlign w:val="center"/>
          </w:tcPr>
          <w:p w14:paraId="59D0A86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Majda, et al.</w:t>
            </w:r>
          </w:p>
        </w:tc>
        <w:tc>
          <w:tcPr>
            <w:tcW w:w="964" w:type="dxa"/>
            <w:tcBorders>
              <w:top w:val="single" w:sz="12" w:space="0" w:color="auto"/>
              <w:left w:val="nil"/>
              <w:right w:val="nil"/>
            </w:tcBorders>
            <w:noWrap/>
            <w:vAlign w:val="center"/>
          </w:tcPr>
          <w:p w14:paraId="34D9D04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Walbaum, et al.</w:t>
            </w:r>
          </w:p>
        </w:tc>
        <w:tc>
          <w:tcPr>
            <w:tcW w:w="964" w:type="dxa"/>
            <w:tcBorders>
              <w:top w:val="single" w:sz="12" w:space="0" w:color="auto"/>
              <w:left w:val="nil"/>
              <w:right w:val="nil"/>
            </w:tcBorders>
            <w:noWrap/>
            <w:vAlign w:val="center"/>
          </w:tcPr>
          <w:p w14:paraId="23176771"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gramStart"/>
            <w:r>
              <w:rPr>
                <w:rFonts w:cs="Times New Roman"/>
                <w:color w:val="000000"/>
                <w:kern w:val="0"/>
                <w:sz w:val="20"/>
                <w:szCs w:val="20"/>
                <w:lang w:bidi="ar"/>
              </w:rPr>
              <w:t>Barry ,</w:t>
            </w:r>
            <w:proofErr w:type="gramEnd"/>
            <w:r>
              <w:rPr>
                <w:rFonts w:cs="Times New Roman"/>
                <w:color w:val="000000"/>
                <w:kern w:val="0"/>
                <w:sz w:val="20"/>
                <w:szCs w:val="20"/>
                <w:lang w:bidi="ar"/>
              </w:rPr>
              <w:t xml:space="preserve"> et al.</w:t>
            </w:r>
          </w:p>
        </w:tc>
        <w:tc>
          <w:tcPr>
            <w:tcW w:w="964" w:type="dxa"/>
            <w:tcBorders>
              <w:top w:val="single" w:sz="12" w:space="0" w:color="auto"/>
              <w:left w:val="nil"/>
              <w:right w:val="nil"/>
            </w:tcBorders>
            <w:noWrap/>
            <w:vAlign w:val="center"/>
          </w:tcPr>
          <w:p w14:paraId="53E8305E"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Tschampl</w:t>
            </w:r>
            <w:proofErr w:type="spellEnd"/>
            <w:r>
              <w:rPr>
                <w:rFonts w:cs="Times New Roman"/>
                <w:color w:val="000000"/>
                <w:kern w:val="0"/>
                <w:sz w:val="20"/>
                <w:szCs w:val="20"/>
                <w:lang w:bidi="ar"/>
              </w:rPr>
              <w:t>, et al.</w:t>
            </w:r>
          </w:p>
        </w:tc>
        <w:tc>
          <w:tcPr>
            <w:tcW w:w="964" w:type="dxa"/>
            <w:tcBorders>
              <w:top w:val="single" w:sz="12" w:space="0" w:color="auto"/>
              <w:left w:val="nil"/>
              <w:right w:val="nil"/>
            </w:tcBorders>
            <w:noWrap/>
            <w:vAlign w:val="center"/>
          </w:tcPr>
          <w:p w14:paraId="0D94699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964" w:type="dxa"/>
            <w:tcBorders>
              <w:top w:val="single" w:sz="12" w:space="0" w:color="auto"/>
              <w:left w:val="nil"/>
              <w:right w:val="nil"/>
            </w:tcBorders>
            <w:noWrap/>
            <w:vAlign w:val="center"/>
          </w:tcPr>
          <w:p w14:paraId="11A32E0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964" w:type="dxa"/>
            <w:tcBorders>
              <w:top w:val="single" w:sz="12" w:space="0" w:color="auto"/>
              <w:left w:val="nil"/>
              <w:right w:val="nil"/>
            </w:tcBorders>
            <w:noWrap/>
            <w:vAlign w:val="center"/>
          </w:tcPr>
          <w:p w14:paraId="3C29A58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Okafor, et al.</w:t>
            </w:r>
          </w:p>
        </w:tc>
      </w:tr>
      <w:tr w:rsidR="00376D25" w14:paraId="72E7FE87" w14:textId="77777777">
        <w:trPr>
          <w:trHeight w:val="375"/>
        </w:trPr>
        <w:tc>
          <w:tcPr>
            <w:tcW w:w="667" w:type="dxa"/>
            <w:vMerge/>
            <w:tcBorders>
              <w:left w:val="nil"/>
              <w:bottom w:val="single" w:sz="8" w:space="0" w:color="auto"/>
              <w:right w:val="nil"/>
            </w:tcBorders>
            <w:noWrap/>
            <w:vAlign w:val="center"/>
          </w:tcPr>
          <w:p w14:paraId="6FA1267A" w14:textId="77777777" w:rsidR="00376D25" w:rsidRDefault="00376D25">
            <w:pPr>
              <w:widowControl/>
              <w:spacing w:line="240" w:lineRule="atLeast"/>
              <w:ind w:firstLineChars="0" w:firstLine="0"/>
              <w:jc w:val="center"/>
              <w:rPr>
                <w:rFonts w:cs="Times New Roman"/>
                <w:color w:val="000000"/>
                <w:sz w:val="20"/>
                <w:szCs w:val="20"/>
              </w:rPr>
            </w:pPr>
          </w:p>
        </w:tc>
        <w:tc>
          <w:tcPr>
            <w:tcW w:w="1942" w:type="dxa"/>
            <w:tcBorders>
              <w:left w:val="nil"/>
              <w:bottom w:val="single" w:sz="8" w:space="0" w:color="auto"/>
              <w:right w:val="nil"/>
            </w:tcBorders>
            <w:vAlign w:val="center"/>
          </w:tcPr>
          <w:p w14:paraId="144E124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Publication Year</w:t>
            </w:r>
          </w:p>
        </w:tc>
        <w:tc>
          <w:tcPr>
            <w:tcW w:w="964" w:type="dxa"/>
            <w:tcBorders>
              <w:left w:val="nil"/>
              <w:bottom w:val="single" w:sz="8" w:space="0" w:color="auto"/>
              <w:right w:val="nil"/>
            </w:tcBorders>
            <w:noWrap/>
            <w:vAlign w:val="center"/>
          </w:tcPr>
          <w:p w14:paraId="121F0BE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964" w:type="dxa"/>
            <w:tcBorders>
              <w:left w:val="nil"/>
              <w:bottom w:val="single" w:sz="8" w:space="0" w:color="auto"/>
              <w:right w:val="nil"/>
            </w:tcBorders>
            <w:noWrap/>
            <w:vAlign w:val="center"/>
          </w:tcPr>
          <w:p w14:paraId="4C17560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964" w:type="dxa"/>
            <w:tcBorders>
              <w:left w:val="nil"/>
              <w:bottom w:val="single" w:sz="8" w:space="0" w:color="auto"/>
              <w:right w:val="nil"/>
            </w:tcBorders>
            <w:noWrap/>
            <w:vAlign w:val="center"/>
          </w:tcPr>
          <w:p w14:paraId="364D547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964" w:type="dxa"/>
            <w:tcBorders>
              <w:left w:val="nil"/>
              <w:bottom w:val="single" w:sz="8" w:space="0" w:color="auto"/>
              <w:right w:val="nil"/>
            </w:tcBorders>
            <w:noWrap/>
            <w:vAlign w:val="center"/>
          </w:tcPr>
          <w:p w14:paraId="4FAD487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964" w:type="dxa"/>
            <w:tcBorders>
              <w:left w:val="nil"/>
              <w:bottom w:val="single" w:sz="8" w:space="0" w:color="auto"/>
              <w:right w:val="nil"/>
            </w:tcBorders>
            <w:noWrap/>
            <w:vAlign w:val="center"/>
          </w:tcPr>
          <w:p w14:paraId="45C2002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964" w:type="dxa"/>
            <w:tcBorders>
              <w:left w:val="nil"/>
              <w:bottom w:val="single" w:sz="8" w:space="0" w:color="auto"/>
              <w:right w:val="nil"/>
            </w:tcBorders>
            <w:noWrap/>
            <w:vAlign w:val="center"/>
          </w:tcPr>
          <w:p w14:paraId="3E8BD85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964" w:type="dxa"/>
            <w:tcBorders>
              <w:left w:val="nil"/>
              <w:bottom w:val="single" w:sz="8" w:space="0" w:color="auto"/>
              <w:right w:val="nil"/>
            </w:tcBorders>
            <w:noWrap/>
            <w:vAlign w:val="center"/>
          </w:tcPr>
          <w:p w14:paraId="15F7601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964" w:type="dxa"/>
            <w:tcBorders>
              <w:left w:val="nil"/>
              <w:bottom w:val="single" w:sz="8" w:space="0" w:color="auto"/>
              <w:right w:val="nil"/>
            </w:tcBorders>
            <w:noWrap/>
            <w:vAlign w:val="center"/>
          </w:tcPr>
          <w:p w14:paraId="4E2E2E1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5CAA289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06E481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0744FDA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7CC389B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74881F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964" w:type="dxa"/>
            <w:tcBorders>
              <w:left w:val="nil"/>
              <w:bottom w:val="single" w:sz="8" w:space="0" w:color="auto"/>
              <w:right w:val="nil"/>
            </w:tcBorders>
            <w:noWrap/>
            <w:vAlign w:val="center"/>
          </w:tcPr>
          <w:p w14:paraId="253EBD1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r>
      <w:tr w:rsidR="00376D25" w14:paraId="462CE0E0" w14:textId="77777777">
        <w:trPr>
          <w:trHeight w:val="375"/>
        </w:trPr>
        <w:tc>
          <w:tcPr>
            <w:tcW w:w="667" w:type="dxa"/>
            <w:tcBorders>
              <w:top w:val="single" w:sz="8" w:space="0" w:color="auto"/>
              <w:left w:val="nil"/>
              <w:bottom w:val="nil"/>
              <w:right w:val="nil"/>
            </w:tcBorders>
            <w:noWrap/>
            <w:vAlign w:val="center"/>
          </w:tcPr>
          <w:p w14:paraId="491C7A9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1942" w:type="dxa"/>
            <w:tcBorders>
              <w:top w:val="single" w:sz="8" w:space="0" w:color="auto"/>
              <w:left w:val="nil"/>
              <w:bottom w:val="nil"/>
              <w:right w:val="nil"/>
            </w:tcBorders>
            <w:vAlign w:val="center"/>
          </w:tcPr>
          <w:p w14:paraId="64974B3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1B2D79D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AA6EB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0A7ECB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5304C6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18EF8F7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95F9AB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23BFAAE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0B0B8DB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5548C21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634A6B3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39009AD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6740ECD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40CBD46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c>
          <w:tcPr>
            <w:tcW w:w="964" w:type="dxa"/>
            <w:tcBorders>
              <w:top w:val="single" w:sz="8" w:space="0" w:color="auto"/>
              <w:left w:val="nil"/>
              <w:bottom w:val="nil"/>
              <w:right w:val="nil"/>
            </w:tcBorders>
            <w:noWrap/>
          </w:tcPr>
          <w:p w14:paraId="66A0E98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宋体" w:hint="eastAsia"/>
                <w:color w:val="000000"/>
                <w:kern w:val="0"/>
                <w:sz w:val="20"/>
                <w:szCs w:val="20"/>
                <w:lang w:bidi="ar"/>
              </w:rPr>
              <w:t>Title</w:t>
            </w:r>
          </w:p>
        </w:tc>
      </w:tr>
      <w:tr w:rsidR="00376D25" w14:paraId="263E117D" w14:textId="77777777">
        <w:trPr>
          <w:trHeight w:val="540"/>
        </w:trPr>
        <w:tc>
          <w:tcPr>
            <w:tcW w:w="667" w:type="dxa"/>
            <w:tcBorders>
              <w:top w:val="nil"/>
              <w:left w:val="nil"/>
              <w:bottom w:val="nil"/>
              <w:right w:val="nil"/>
            </w:tcBorders>
            <w:noWrap/>
            <w:vAlign w:val="center"/>
          </w:tcPr>
          <w:p w14:paraId="42BBC79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1942" w:type="dxa"/>
            <w:tcBorders>
              <w:top w:val="nil"/>
              <w:left w:val="nil"/>
              <w:bottom w:val="nil"/>
              <w:right w:val="nil"/>
            </w:tcBorders>
            <w:vAlign w:val="center"/>
          </w:tcPr>
          <w:p w14:paraId="38E5D4D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6423DB4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4EA121F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69FF5E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1A8EF6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8F5893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E9D659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74FE3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6EDFDFB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D96291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24B3982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18E0AB2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7E126CE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23E8B82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c>
          <w:tcPr>
            <w:tcW w:w="964" w:type="dxa"/>
            <w:tcBorders>
              <w:top w:val="nil"/>
              <w:left w:val="nil"/>
              <w:bottom w:val="nil"/>
              <w:right w:val="nil"/>
            </w:tcBorders>
            <w:noWrap/>
            <w:vAlign w:val="center"/>
          </w:tcPr>
          <w:p w14:paraId="31EE83A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Abstract</w:t>
            </w:r>
          </w:p>
        </w:tc>
      </w:tr>
      <w:tr w:rsidR="00376D25" w14:paraId="0170C45A" w14:textId="77777777">
        <w:trPr>
          <w:trHeight w:val="315"/>
        </w:trPr>
        <w:tc>
          <w:tcPr>
            <w:tcW w:w="667" w:type="dxa"/>
            <w:tcBorders>
              <w:top w:val="nil"/>
              <w:left w:val="nil"/>
              <w:bottom w:val="nil"/>
              <w:right w:val="nil"/>
            </w:tcBorders>
            <w:noWrap/>
            <w:vAlign w:val="center"/>
          </w:tcPr>
          <w:p w14:paraId="36319E2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3</w:t>
            </w:r>
          </w:p>
        </w:tc>
        <w:tc>
          <w:tcPr>
            <w:tcW w:w="1942" w:type="dxa"/>
            <w:tcBorders>
              <w:top w:val="nil"/>
              <w:left w:val="nil"/>
              <w:bottom w:val="nil"/>
              <w:right w:val="nil"/>
            </w:tcBorders>
            <w:vAlign w:val="center"/>
          </w:tcPr>
          <w:p w14:paraId="288C614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Background and</w:t>
            </w:r>
          </w:p>
          <w:p w14:paraId="2C7BF1D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objectives</w:t>
            </w:r>
          </w:p>
        </w:tc>
        <w:tc>
          <w:tcPr>
            <w:tcW w:w="964" w:type="dxa"/>
            <w:tcBorders>
              <w:top w:val="nil"/>
              <w:left w:val="nil"/>
              <w:bottom w:val="nil"/>
              <w:right w:val="nil"/>
            </w:tcBorders>
            <w:noWrap/>
            <w:vAlign w:val="center"/>
          </w:tcPr>
          <w:p w14:paraId="29F9051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5146251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0B09D15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12B1360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337347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6893441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74A930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19C1222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21470BC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3D9AB4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7312D26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341D922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6D7DB85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c>
          <w:tcPr>
            <w:tcW w:w="964" w:type="dxa"/>
            <w:tcBorders>
              <w:top w:val="nil"/>
              <w:left w:val="nil"/>
              <w:bottom w:val="nil"/>
              <w:right w:val="nil"/>
            </w:tcBorders>
            <w:noWrap/>
            <w:vAlign w:val="center"/>
          </w:tcPr>
          <w:p w14:paraId="0B16B6D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Introduction</w:t>
            </w:r>
          </w:p>
        </w:tc>
      </w:tr>
      <w:tr w:rsidR="00376D25" w14:paraId="3FB32F81" w14:textId="77777777">
        <w:trPr>
          <w:trHeight w:val="315"/>
        </w:trPr>
        <w:tc>
          <w:tcPr>
            <w:tcW w:w="667" w:type="dxa"/>
            <w:tcBorders>
              <w:top w:val="nil"/>
              <w:left w:val="nil"/>
              <w:bottom w:val="nil"/>
              <w:right w:val="nil"/>
            </w:tcBorders>
            <w:noWrap/>
            <w:vAlign w:val="center"/>
          </w:tcPr>
          <w:p w14:paraId="5E29624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4</w:t>
            </w:r>
          </w:p>
        </w:tc>
        <w:tc>
          <w:tcPr>
            <w:tcW w:w="1942" w:type="dxa"/>
            <w:tcBorders>
              <w:top w:val="nil"/>
              <w:left w:val="nil"/>
              <w:bottom w:val="nil"/>
              <w:right w:val="nil"/>
            </w:tcBorders>
            <w:vAlign w:val="center"/>
          </w:tcPr>
          <w:p w14:paraId="74ACE0E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Health economic analysis plan</w:t>
            </w:r>
          </w:p>
        </w:tc>
        <w:tc>
          <w:tcPr>
            <w:tcW w:w="964" w:type="dxa"/>
            <w:tcBorders>
              <w:top w:val="nil"/>
              <w:left w:val="nil"/>
              <w:bottom w:val="nil"/>
              <w:right w:val="nil"/>
            </w:tcBorders>
            <w:noWrap/>
            <w:vAlign w:val="center"/>
          </w:tcPr>
          <w:p w14:paraId="273C639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52C687A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54FEB8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60BD1F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E83D45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275E9F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09E8D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4DAE7FA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A6477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B51BB5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498BD45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45EC7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31D4F2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667208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r>
      <w:tr w:rsidR="00376D25" w14:paraId="40581C0A" w14:textId="77777777">
        <w:trPr>
          <w:trHeight w:val="315"/>
        </w:trPr>
        <w:tc>
          <w:tcPr>
            <w:tcW w:w="667" w:type="dxa"/>
            <w:tcBorders>
              <w:top w:val="nil"/>
              <w:left w:val="nil"/>
              <w:bottom w:val="nil"/>
              <w:right w:val="nil"/>
            </w:tcBorders>
            <w:noWrap/>
            <w:vAlign w:val="center"/>
          </w:tcPr>
          <w:p w14:paraId="583240C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5</w:t>
            </w:r>
          </w:p>
        </w:tc>
        <w:tc>
          <w:tcPr>
            <w:tcW w:w="1942" w:type="dxa"/>
            <w:tcBorders>
              <w:top w:val="nil"/>
              <w:left w:val="nil"/>
              <w:bottom w:val="nil"/>
              <w:right w:val="nil"/>
            </w:tcBorders>
            <w:vAlign w:val="center"/>
          </w:tcPr>
          <w:p w14:paraId="1AECE99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population</w:t>
            </w:r>
          </w:p>
        </w:tc>
        <w:tc>
          <w:tcPr>
            <w:tcW w:w="964" w:type="dxa"/>
            <w:tcBorders>
              <w:top w:val="nil"/>
              <w:left w:val="nil"/>
              <w:bottom w:val="nil"/>
              <w:right w:val="nil"/>
            </w:tcBorders>
            <w:noWrap/>
            <w:vAlign w:val="center"/>
          </w:tcPr>
          <w:p w14:paraId="0DCB108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24561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AC1463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3AFD5C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BA8B11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19FC1D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8DC04F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BB8140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FE4701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9ADC4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A62E1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E76C78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DD0C74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D78DA3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176EDE23" w14:textId="77777777">
        <w:trPr>
          <w:trHeight w:val="375"/>
        </w:trPr>
        <w:tc>
          <w:tcPr>
            <w:tcW w:w="667" w:type="dxa"/>
            <w:tcBorders>
              <w:top w:val="nil"/>
              <w:left w:val="nil"/>
              <w:bottom w:val="nil"/>
              <w:right w:val="nil"/>
            </w:tcBorders>
            <w:noWrap/>
            <w:vAlign w:val="center"/>
          </w:tcPr>
          <w:p w14:paraId="0F387DF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6</w:t>
            </w:r>
          </w:p>
        </w:tc>
        <w:tc>
          <w:tcPr>
            <w:tcW w:w="1942" w:type="dxa"/>
            <w:tcBorders>
              <w:top w:val="nil"/>
              <w:left w:val="nil"/>
              <w:bottom w:val="nil"/>
              <w:right w:val="nil"/>
            </w:tcBorders>
            <w:vAlign w:val="center"/>
          </w:tcPr>
          <w:p w14:paraId="0545D1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Setting and location</w:t>
            </w:r>
          </w:p>
        </w:tc>
        <w:tc>
          <w:tcPr>
            <w:tcW w:w="964" w:type="dxa"/>
            <w:tcBorders>
              <w:top w:val="nil"/>
              <w:left w:val="nil"/>
              <w:bottom w:val="nil"/>
              <w:right w:val="nil"/>
            </w:tcBorders>
            <w:noWrap/>
            <w:vAlign w:val="center"/>
          </w:tcPr>
          <w:p w14:paraId="628550C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2F7A0AB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7F8D495"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20003F6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48C51C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629AAC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1788DD8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8A7199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3D8ECE9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A984B00"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2F82182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CE5E2F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0A400FA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6A5DDF9"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344184E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0947DE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6BAE63D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C397BB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644CB78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E29CD3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54B3D8D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29323DA"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31D310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93E214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2F907DC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5374B2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Introduction</w:t>
            </w:r>
            <w:r>
              <w:rPr>
                <w:rFonts w:cs="Times New Roman"/>
                <w:color w:val="000000"/>
                <w:kern w:val="0"/>
                <w:sz w:val="20"/>
                <w:szCs w:val="20"/>
                <w:lang w:bidi="ar"/>
              </w:rPr>
              <w:t>、</w:t>
            </w:r>
          </w:p>
          <w:p w14:paraId="454C33D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71B70A90" w14:textId="77777777">
        <w:trPr>
          <w:trHeight w:val="375"/>
        </w:trPr>
        <w:tc>
          <w:tcPr>
            <w:tcW w:w="667" w:type="dxa"/>
            <w:tcBorders>
              <w:top w:val="nil"/>
              <w:left w:val="nil"/>
              <w:bottom w:val="nil"/>
              <w:right w:val="nil"/>
            </w:tcBorders>
            <w:noWrap/>
            <w:vAlign w:val="center"/>
          </w:tcPr>
          <w:p w14:paraId="134C9C5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7</w:t>
            </w:r>
          </w:p>
        </w:tc>
        <w:tc>
          <w:tcPr>
            <w:tcW w:w="1942" w:type="dxa"/>
            <w:tcBorders>
              <w:top w:val="nil"/>
              <w:left w:val="nil"/>
              <w:bottom w:val="nil"/>
              <w:right w:val="nil"/>
            </w:tcBorders>
            <w:vAlign w:val="center"/>
          </w:tcPr>
          <w:p w14:paraId="7D157A5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Comparators</w:t>
            </w:r>
          </w:p>
        </w:tc>
        <w:tc>
          <w:tcPr>
            <w:tcW w:w="964" w:type="dxa"/>
            <w:tcBorders>
              <w:top w:val="nil"/>
              <w:left w:val="nil"/>
              <w:bottom w:val="nil"/>
              <w:right w:val="nil"/>
            </w:tcBorders>
            <w:noWrap/>
            <w:vAlign w:val="center"/>
          </w:tcPr>
          <w:p w14:paraId="3C03F85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F5AB7B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6468AF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B4F365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8E5BD4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09AC32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C3C924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AC42D4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3098A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024992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713E68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17E8FF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F6612A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9E5D8B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50CCD94C" w14:textId="77777777">
        <w:trPr>
          <w:trHeight w:val="375"/>
        </w:trPr>
        <w:tc>
          <w:tcPr>
            <w:tcW w:w="667" w:type="dxa"/>
            <w:tcBorders>
              <w:top w:val="nil"/>
              <w:left w:val="nil"/>
              <w:bottom w:val="nil"/>
              <w:right w:val="nil"/>
            </w:tcBorders>
            <w:noWrap/>
            <w:vAlign w:val="center"/>
          </w:tcPr>
          <w:p w14:paraId="161D37B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8</w:t>
            </w:r>
          </w:p>
        </w:tc>
        <w:tc>
          <w:tcPr>
            <w:tcW w:w="1942" w:type="dxa"/>
            <w:tcBorders>
              <w:top w:val="nil"/>
              <w:left w:val="nil"/>
              <w:bottom w:val="nil"/>
              <w:right w:val="nil"/>
            </w:tcBorders>
            <w:vAlign w:val="center"/>
          </w:tcPr>
          <w:p w14:paraId="79EF35A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Perspective</w:t>
            </w:r>
          </w:p>
        </w:tc>
        <w:tc>
          <w:tcPr>
            <w:tcW w:w="964" w:type="dxa"/>
            <w:tcBorders>
              <w:top w:val="nil"/>
              <w:left w:val="nil"/>
              <w:bottom w:val="nil"/>
              <w:right w:val="nil"/>
            </w:tcBorders>
            <w:noWrap/>
            <w:vAlign w:val="center"/>
          </w:tcPr>
          <w:p w14:paraId="68E94C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92DD97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EFC725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5BA36D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3D780E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D799FE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DF7FCF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DAF80D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0EEA96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EE57A1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48A45A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79F34C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1B925C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6EA97C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21FFD909" w14:textId="77777777">
        <w:trPr>
          <w:trHeight w:val="375"/>
        </w:trPr>
        <w:tc>
          <w:tcPr>
            <w:tcW w:w="667" w:type="dxa"/>
            <w:tcBorders>
              <w:top w:val="nil"/>
              <w:left w:val="nil"/>
              <w:bottom w:val="nil"/>
              <w:right w:val="nil"/>
            </w:tcBorders>
            <w:noWrap/>
            <w:vAlign w:val="center"/>
          </w:tcPr>
          <w:p w14:paraId="5DB9210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9</w:t>
            </w:r>
          </w:p>
        </w:tc>
        <w:tc>
          <w:tcPr>
            <w:tcW w:w="1942" w:type="dxa"/>
            <w:tcBorders>
              <w:top w:val="nil"/>
              <w:left w:val="nil"/>
              <w:bottom w:val="nil"/>
              <w:right w:val="nil"/>
            </w:tcBorders>
            <w:vAlign w:val="center"/>
          </w:tcPr>
          <w:p w14:paraId="22361E3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Time horizon</w:t>
            </w:r>
          </w:p>
        </w:tc>
        <w:tc>
          <w:tcPr>
            <w:tcW w:w="964" w:type="dxa"/>
            <w:tcBorders>
              <w:top w:val="nil"/>
              <w:left w:val="nil"/>
              <w:bottom w:val="nil"/>
              <w:right w:val="nil"/>
            </w:tcBorders>
            <w:noWrap/>
            <w:vAlign w:val="center"/>
          </w:tcPr>
          <w:p w14:paraId="113298D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D1E876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73CB08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E4D743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C70A3A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843C5C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B07BB1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2A119A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960F8C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834A21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63C18B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A8DDB3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F1F643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2542AE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2B46392C" w14:textId="77777777">
        <w:trPr>
          <w:trHeight w:val="375"/>
        </w:trPr>
        <w:tc>
          <w:tcPr>
            <w:tcW w:w="667" w:type="dxa"/>
            <w:tcBorders>
              <w:top w:val="nil"/>
              <w:left w:val="nil"/>
              <w:bottom w:val="nil"/>
              <w:right w:val="nil"/>
            </w:tcBorders>
            <w:noWrap/>
            <w:vAlign w:val="center"/>
          </w:tcPr>
          <w:p w14:paraId="6F35E96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10</w:t>
            </w:r>
          </w:p>
        </w:tc>
        <w:tc>
          <w:tcPr>
            <w:tcW w:w="1942" w:type="dxa"/>
            <w:tcBorders>
              <w:top w:val="nil"/>
              <w:left w:val="nil"/>
              <w:bottom w:val="nil"/>
              <w:right w:val="nil"/>
            </w:tcBorders>
            <w:vAlign w:val="center"/>
          </w:tcPr>
          <w:p w14:paraId="024760D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Discount rate</w:t>
            </w:r>
          </w:p>
        </w:tc>
        <w:tc>
          <w:tcPr>
            <w:tcW w:w="964" w:type="dxa"/>
            <w:tcBorders>
              <w:top w:val="nil"/>
              <w:left w:val="nil"/>
              <w:bottom w:val="nil"/>
              <w:right w:val="nil"/>
            </w:tcBorders>
            <w:noWrap/>
            <w:vAlign w:val="center"/>
          </w:tcPr>
          <w:p w14:paraId="075BFF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F6CD10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C9B5B4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F08FB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6ADAEA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011998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E3BA29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0DA415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008A9E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576BB95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AB2536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636D94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13B705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05155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5B953D31" w14:textId="77777777">
        <w:trPr>
          <w:trHeight w:val="375"/>
        </w:trPr>
        <w:tc>
          <w:tcPr>
            <w:tcW w:w="667" w:type="dxa"/>
            <w:tcBorders>
              <w:top w:val="nil"/>
              <w:left w:val="nil"/>
              <w:bottom w:val="nil"/>
              <w:right w:val="nil"/>
            </w:tcBorders>
            <w:noWrap/>
            <w:vAlign w:val="center"/>
          </w:tcPr>
          <w:p w14:paraId="400C096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11</w:t>
            </w:r>
          </w:p>
        </w:tc>
        <w:tc>
          <w:tcPr>
            <w:tcW w:w="1942" w:type="dxa"/>
            <w:tcBorders>
              <w:top w:val="nil"/>
              <w:left w:val="nil"/>
              <w:bottom w:val="nil"/>
              <w:right w:val="nil"/>
            </w:tcBorders>
            <w:vAlign w:val="center"/>
          </w:tcPr>
          <w:p w14:paraId="28D0912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Selection of outcomes</w:t>
            </w:r>
          </w:p>
        </w:tc>
        <w:tc>
          <w:tcPr>
            <w:tcW w:w="964" w:type="dxa"/>
            <w:tcBorders>
              <w:top w:val="nil"/>
              <w:left w:val="nil"/>
              <w:bottom w:val="nil"/>
              <w:right w:val="nil"/>
            </w:tcBorders>
            <w:noWrap/>
            <w:vAlign w:val="center"/>
          </w:tcPr>
          <w:p w14:paraId="645D408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880B60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CD445F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68C241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952462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45A02E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1C2F709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2FEAAD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EEDDCF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642D32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CABA72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0388C8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47355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7A04C1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r>
      <w:tr w:rsidR="00376D25" w14:paraId="5AB1F1F8" w14:textId="77777777">
        <w:trPr>
          <w:trHeight w:val="375"/>
        </w:trPr>
        <w:tc>
          <w:tcPr>
            <w:tcW w:w="667" w:type="dxa"/>
            <w:tcBorders>
              <w:top w:val="nil"/>
              <w:left w:val="nil"/>
              <w:bottom w:val="nil"/>
              <w:right w:val="nil"/>
            </w:tcBorders>
            <w:noWrap/>
            <w:vAlign w:val="center"/>
          </w:tcPr>
          <w:p w14:paraId="07596B6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12</w:t>
            </w:r>
          </w:p>
        </w:tc>
        <w:tc>
          <w:tcPr>
            <w:tcW w:w="1942" w:type="dxa"/>
            <w:tcBorders>
              <w:top w:val="nil"/>
              <w:left w:val="nil"/>
              <w:bottom w:val="nil"/>
              <w:right w:val="nil"/>
            </w:tcBorders>
            <w:vAlign w:val="center"/>
          </w:tcPr>
          <w:p w14:paraId="0C7AFA4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Measurement of outcomes</w:t>
            </w:r>
          </w:p>
        </w:tc>
        <w:tc>
          <w:tcPr>
            <w:tcW w:w="964" w:type="dxa"/>
            <w:tcBorders>
              <w:top w:val="nil"/>
              <w:left w:val="nil"/>
              <w:bottom w:val="nil"/>
              <w:right w:val="nil"/>
            </w:tcBorders>
            <w:noWrap/>
            <w:vAlign w:val="center"/>
          </w:tcPr>
          <w:p w14:paraId="64E0732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11AE4E3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6FBBD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297D9E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68E44D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AF487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204384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6EFE14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BA1057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B5C001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37D873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11B84C2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64E367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18CDD0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proofErr w:type="spellStart"/>
            <w:r>
              <w:rPr>
                <w:rFonts w:cs="Times New Roman"/>
                <w:color w:val="000000"/>
                <w:kern w:val="0"/>
                <w:sz w:val="20"/>
                <w:szCs w:val="20"/>
                <w:lang w:bidi="ar"/>
              </w:rPr>
              <w:t>Methd</w:t>
            </w:r>
            <w:proofErr w:type="spellEnd"/>
            <w:r>
              <w:rPr>
                <w:rFonts w:cs="Times New Roman"/>
                <w:color w:val="000000"/>
                <w:kern w:val="0"/>
                <w:sz w:val="20"/>
                <w:szCs w:val="20"/>
                <w:lang w:bidi="ar"/>
              </w:rPr>
              <w:t>、</w:t>
            </w:r>
          </w:p>
          <w:p w14:paraId="740764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r>
      <w:tr w:rsidR="00376D25" w14:paraId="33F73EE5" w14:textId="77777777">
        <w:trPr>
          <w:trHeight w:val="375"/>
        </w:trPr>
        <w:tc>
          <w:tcPr>
            <w:tcW w:w="667" w:type="dxa"/>
            <w:tcBorders>
              <w:top w:val="nil"/>
              <w:left w:val="nil"/>
              <w:bottom w:val="nil"/>
              <w:right w:val="nil"/>
            </w:tcBorders>
            <w:noWrap/>
            <w:vAlign w:val="center"/>
          </w:tcPr>
          <w:p w14:paraId="779CA29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13</w:t>
            </w:r>
          </w:p>
        </w:tc>
        <w:tc>
          <w:tcPr>
            <w:tcW w:w="1942" w:type="dxa"/>
            <w:tcBorders>
              <w:top w:val="nil"/>
              <w:left w:val="nil"/>
              <w:bottom w:val="nil"/>
              <w:right w:val="nil"/>
            </w:tcBorders>
            <w:vAlign w:val="center"/>
          </w:tcPr>
          <w:p w14:paraId="4F1753F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 xml:space="preserve">Valuation of </w:t>
            </w:r>
            <w:r>
              <w:rPr>
                <w:rFonts w:cs="Times New Roman"/>
                <w:color w:val="000000"/>
                <w:sz w:val="20"/>
                <w:szCs w:val="20"/>
              </w:rPr>
              <w:lastRenderedPageBreak/>
              <w:t>outcomes</w:t>
            </w:r>
          </w:p>
        </w:tc>
        <w:tc>
          <w:tcPr>
            <w:tcW w:w="964" w:type="dxa"/>
            <w:tcBorders>
              <w:top w:val="nil"/>
              <w:left w:val="nil"/>
              <w:bottom w:val="nil"/>
              <w:right w:val="nil"/>
            </w:tcBorders>
            <w:noWrap/>
            <w:vAlign w:val="center"/>
          </w:tcPr>
          <w:p w14:paraId="4CFD69D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lastRenderedPageBreak/>
              <w:t>Method</w:t>
            </w:r>
          </w:p>
        </w:tc>
        <w:tc>
          <w:tcPr>
            <w:tcW w:w="964" w:type="dxa"/>
            <w:tcBorders>
              <w:top w:val="nil"/>
              <w:left w:val="nil"/>
              <w:bottom w:val="nil"/>
              <w:right w:val="nil"/>
            </w:tcBorders>
            <w:noWrap/>
            <w:vAlign w:val="center"/>
          </w:tcPr>
          <w:p w14:paraId="30D377D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BAA29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A0DF4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46D32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C41C1A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1AFEB5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4E3DB7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46852C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13CA39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E5D998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7D77B4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0A1253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11D815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6C0399BE" w14:textId="77777777">
        <w:trPr>
          <w:trHeight w:val="630"/>
        </w:trPr>
        <w:tc>
          <w:tcPr>
            <w:tcW w:w="667" w:type="dxa"/>
            <w:tcBorders>
              <w:top w:val="nil"/>
              <w:left w:val="nil"/>
              <w:bottom w:val="nil"/>
              <w:right w:val="nil"/>
            </w:tcBorders>
            <w:noWrap/>
            <w:vAlign w:val="center"/>
          </w:tcPr>
          <w:p w14:paraId="2F34A6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14</w:t>
            </w:r>
          </w:p>
        </w:tc>
        <w:tc>
          <w:tcPr>
            <w:tcW w:w="1942" w:type="dxa"/>
            <w:tcBorders>
              <w:top w:val="nil"/>
              <w:left w:val="nil"/>
              <w:bottom w:val="nil"/>
              <w:right w:val="nil"/>
            </w:tcBorders>
            <w:vAlign w:val="center"/>
          </w:tcPr>
          <w:p w14:paraId="11EBA36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Measurement and valuation of resources and costs</w:t>
            </w:r>
          </w:p>
        </w:tc>
        <w:tc>
          <w:tcPr>
            <w:tcW w:w="964" w:type="dxa"/>
            <w:tcBorders>
              <w:top w:val="nil"/>
              <w:left w:val="nil"/>
              <w:bottom w:val="nil"/>
              <w:right w:val="nil"/>
            </w:tcBorders>
            <w:noWrap/>
            <w:vAlign w:val="center"/>
          </w:tcPr>
          <w:p w14:paraId="17E95F3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EF7B4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FDEF54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775A86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7CA1C9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FB75D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88D4A8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F72235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8C2C74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362CBC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02F550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2DCA91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64F5A6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D4CF2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699C9440" w14:textId="77777777">
        <w:trPr>
          <w:trHeight w:val="630"/>
        </w:trPr>
        <w:tc>
          <w:tcPr>
            <w:tcW w:w="667" w:type="dxa"/>
            <w:tcBorders>
              <w:top w:val="nil"/>
              <w:left w:val="nil"/>
              <w:bottom w:val="nil"/>
              <w:right w:val="nil"/>
            </w:tcBorders>
            <w:noWrap/>
            <w:vAlign w:val="center"/>
          </w:tcPr>
          <w:p w14:paraId="612DF6C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15</w:t>
            </w:r>
          </w:p>
        </w:tc>
        <w:tc>
          <w:tcPr>
            <w:tcW w:w="1942" w:type="dxa"/>
            <w:tcBorders>
              <w:top w:val="nil"/>
              <w:left w:val="nil"/>
              <w:bottom w:val="nil"/>
              <w:right w:val="nil"/>
            </w:tcBorders>
            <w:vAlign w:val="center"/>
          </w:tcPr>
          <w:p w14:paraId="3B60E15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Currency, price date, and conversion</w:t>
            </w:r>
          </w:p>
        </w:tc>
        <w:tc>
          <w:tcPr>
            <w:tcW w:w="964" w:type="dxa"/>
            <w:tcBorders>
              <w:top w:val="nil"/>
              <w:left w:val="nil"/>
              <w:bottom w:val="nil"/>
              <w:right w:val="nil"/>
            </w:tcBorders>
            <w:noWrap/>
            <w:vAlign w:val="center"/>
          </w:tcPr>
          <w:p w14:paraId="0EB2D26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D3D970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ED88FF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51799B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4571216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01A518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CB70A0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50881C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267F4A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921957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86EE3A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1210C3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BDF300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C42CC1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5E48AD12" w14:textId="77777777">
        <w:trPr>
          <w:trHeight w:val="315"/>
        </w:trPr>
        <w:tc>
          <w:tcPr>
            <w:tcW w:w="667" w:type="dxa"/>
            <w:tcBorders>
              <w:top w:val="nil"/>
              <w:left w:val="nil"/>
              <w:bottom w:val="nil"/>
              <w:right w:val="nil"/>
            </w:tcBorders>
            <w:noWrap/>
            <w:vAlign w:val="center"/>
          </w:tcPr>
          <w:p w14:paraId="36F04BC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16</w:t>
            </w:r>
          </w:p>
        </w:tc>
        <w:tc>
          <w:tcPr>
            <w:tcW w:w="1942" w:type="dxa"/>
            <w:tcBorders>
              <w:top w:val="nil"/>
              <w:left w:val="nil"/>
              <w:bottom w:val="nil"/>
              <w:right w:val="nil"/>
            </w:tcBorders>
            <w:vAlign w:val="center"/>
          </w:tcPr>
          <w:p w14:paraId="3B987DD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Rationale and description of model</w:t>
            </w:r>
          </w:p>
        </w:tc>
        <w:tc>
          <w:tcPr>
            <w:tcW w:w="964" w:type="dxa"/>
            <w:tcBorders>
              <w:top w:val="nil"/>
              <w:left w:val="nil"/>
              <w:bottom w:val="nil"/>
              <w:right w:val="nil"/>
            </w:tcBorders>
            <w:noWrap/>
            <w:vAlign w:val="center"/>
          </w:tcPr>
          <w:p w14:paraId="64208BC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FA02A7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E8AD04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E652FF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AED564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E144CF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BDA8C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A51ECF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3FC3F2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F0EC3C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47AA87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09E26B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E3FFE8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813E51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6D93B5E7" w14:textId="77777777">
        <w:trPr>
          <w:trHeight w:val="306"/>
        </w:trPr>
        <w:tc>
          <w:tcPr>
            <w:tcW w:w="667" w:type="dxa"/>
            <w:tcBorders>
              <w:top w:val="nil"/>
              <w:left w:val="nil"/>
              <w:bottom w:val="nil"/>
              <w:right w:val="nil"/>
            </w:tcBorders>
            <w:noWrap/>
            <w:vAlign w:val="center"/>
          </w:tcPr>
          <w:p w14:paraId="2524863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17</w:t>
            </w:r>
          </w:p>
        </w:tc>
        <w:tc>
          <w:tcPr>
            <w:tcW w:w="1942" w:type="dxa"/>
            <w:tcBorders>
              <w:top w:val="nil"/>
              <w:left w:val="nil"/>
              <w:bottom w:val="nil"/>
              <w:right w:val="nil"/>
            </w:tcBorders>
            <w:vAlign w:val="center"/>
          </w:tcPr>
          <w:p w14:paraId="053D134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Analytics and assumptions</w:t>
            </w:r>
          </w:p>
        </w:tc>
        <w:tc>
          <w:tcPr>
            <w:tcW w:w="964" w:type="dxa"/>
            <w:tcBorders>
              <w:top w:val="nil"/>
              <w:left w:val="nil"/>
              <w:bottom w:val="nil"/>
              <w:right w:val="nil"/>
            </w:tcBorders>
            <w:noWrap/>
            <w:vAlign w:val="center"/>
          </w:tcPr>
          <w:p w14:paraId="1318EF2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E9B374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3A5958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26584D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BA5825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78749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C228A0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416050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BCB0F1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80EDEB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D83DC6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6AAB91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E8BECF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90DB2D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3094A560" w14:textId="77777777">
        <w:trPr>
          <w:trHeight w:val="375"/>
        </w:trPr>
        <w:tc>
          <w:tcPr>
            <w:tcW w:w="667" w:type="dxa"/>
            <w:tcBorders>
              <w:top w:val="nil"/>
              <w:left w:val="nil"/>
              <w:bottom w:val="nil"/>
              <w:right w:val="nil"/>
            </w:tcBorders>
            <w:noWrap/>
            <w:vAlign w:val="center"/>
          </w:tcPr>
          <w:p w14:paraId="56B6552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18</w:t>
            </w:r>
          </w:p>
        </w:tc>
        <w:tc>
          <w:tcPr>
            <w:tcW w:w="1942" w:type="dxa"/>
            <w:tcBorders>
              <w:top w:val="nil"/>
              <w:left w:val="nil"/>
              <w:bottom w:val="nil"/>
              <w:right w:val="nil"/>
            </w:tcBorders>
            <w:vAlign w:val="center"/>
          </w:tcPr>
          <w:p w14:paraId="2BEDAB4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heterogeneity</w:t>
            </w:r>
          </w:p>
        </w:tc>
        <w:tc>
          <w:tcPr>
            <w:tcW w:w="964" w:type="dxa"/>
            <w:tcBorders>
              <w:top w:val="nil"/>
              <w:left w:val="nil"/>
              <w:bottom w:val="nil"/>
              <w:right w:val="nil"/>
            </w:tcBorders>
            <w:noWrap/>
            <w:vAlign w:val="center"/>
          </w:tcPr>
          <w:p w14:paraId="57D0DB7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281780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BE62C5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83FB4E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F0B4A8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F37ADC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612B21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646ED6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A0F5CF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0A6E5EE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73C72D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50EFD5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B1A053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047E12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1153AF7F" w14:textId="77777777">
        <w:trPr>
          <w:trHeight w:val="375"/>
        </w:trPr>
        <w:tc>
          <w:tcPr>
            <w:tcW w:w="667" w:type="dxa"/>
            <w:tcBorders>
              <w:top w:val="nil"/>
              <w:left w:val="nil"/>
              <w:bottom w:val="nil"/>
              <w:right w:val="nil"/>
            </w:tcBorders>
            <w:noWrap/>
            <w:vAlign w:val="center"/>
          </w:tcPr>
          <w:p w14:paraId="51992D6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19</w:t>
            </w:r>
          </w:p>
        </w:tc>
        <w:tc>
          <w:tcPr>
            <w:tcW w:w="1942" w:type="dxa"/>
            <w:tcBorders>
              <w:top w:val="nil"/>
              <w:left w:val="nil"/>
              <w:bottom w:val="nil"/>
              <w:right w:val="nil"/>
            </w:tcBorders>
            <w:vAlign w:val="center"/>
          </w:tcPr>
          <w:p w14:paraId="7C7017A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distributional effects</w:t>
            </w:r>
          </w:p>
        </w:tc>
        <w:tc>
          <w:tcPr>
            <w:tcW w:w="964" w:type="dxa"/>
            <w:tcBorders>
              <w:top w:val="nil"/>
              <w:left w:val="nil"/>
              <w:bottom w:val="nil"/>
              <w:right w:val="nil"/>
            </w:tcBorders>
            <w:noWrap/>
            <w:vAlign w:val="center"/>
          </w:tcPr>
          <w:p w14:paraId="7348E4F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E85D77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FA6C4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BCFE98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23FE8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8CADA4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79256F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C37203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9DAC8F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95BE14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4DD3F5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6D31C4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BF0DAC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20628B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r>
      <w:tr w:rsidR="00376D25" w14:paraId="4AA97065" w14:textId="77777777">
        <w:trPr>
          <w:trHeight w:val="375"/>
        </w:trPr>
        <w:tc>
          <w:tcPr>
            <w:tcW w:w="667" w:type="dxa"/>
            <w:tcBorders>
              <w:top w:val="nil"/>
              <w:left w:val="nil"/>
              <w:bottom w:val="nil"/>
              <w:right w:val="nil"/>
            </w:tcBorders>
            <w:noWrap/>
            <w:vAlign w:val="center"/>
          </w:tcPr>
          <w:p w14:paraId="5280608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w:t>
            </w:r>
          </w:p>
        </w:tc>
        <w:tc>
          <w:tcPr>
            <w:tcW w:w="1942" w:type="dxa"/>
            <w:tcBorders>
              <w:top w:val="nil"/>
              <w:left w:val="nil"/>
              <w:bottom w:val="nil"/>
              <w:right w:val="nil"/>
            </w:tcBorders>
            <w:vAlign w:val="center"/>
          </w:tcPr>
          <w:p w14:paraId="2203AFC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Characterizing uncertainty</w:t>
            </w:r>
          </w:p>
        </w:tc>
        <w:tc>
          <w:tcPr>
            <w:tcW w:w="964" w:type="dxa"/>
            <w:tcBorders>
              <w:top w:val="nil"/>
              <w:left w:val="nil"/>
              <w:bottom w:val="nil"/>
              <w:right w:val="nil"/>
            </w:tcBorders>
            <w:noWrap/>
            <w:vAlign w:val="center"/>
          </w:tcPr>
          <w:p w14:paraId="027C0B0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BBF4D2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4FEB91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B0E961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59A002A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A92EA3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2130B54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4A7F29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1A1327E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BEDE17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FEE8BD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1D76636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61D16DF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3A758CD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r>
      <w:tr w:rsidR="00376D25" w14:paraId="1E3D7C96" w14:textId="77777777">
        <w:trPr>
          <w:trHeight w:val="945"/>
        </w:trPr>
        <w:tc>
          <w:tcPr>
            <w:tcW w:w="667" w:type="dxa"/>
            <w:tcBorders>
              <w:top w:val="nil"/>
              <w:left w:val="nil"/>
              <w:bottom w:val="nil"/>
              <w:right w:val="nil"/>
            </w:tcBorders>
            <w:noWrap/>
            <w:vAlign w:val="center"/>
          </w:tcPr>
          <w:p w14:paraId="6149AD6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21</w:t>
            </w:r>
          </w:p>
        </w:tc>
        <w:tc>
          <w:tcPr>
            <w:tcW w:w="1942" w:type="dxa"/>
            <w:tcBorders>
              <w:top w:val="nil"/>
              <w:left w:val="nil"/>
              <w:bottom w:val="nil"/>
              <w:right w:val="nil"/>
            </w:tcBorders>
            <w:vAlign w:val="center"/>
          </w:tcPr>
          <w:p w14:paraId="628F2D8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Approach to engagement with patients and others affected by the study</w:t>
            </w:r>
          </w:p>
        </w:tc>
        <w:tc>
          <w:tcPr>
            <w:tcW w:w="964" w:type="dxa"/>
            <w:tcBorders>
              <w:top w:val="nil"/>
              <w:left w:val="nil"/>
              <w:bottom w:val="nil"/>
              <w:right w:val="nil"/>
            </w:tcBorders>
            <w:noWrap/>
            <w:vAlign w:val="center"/>
          </w:tcPr>
          <w:p w14:paraId="29D2625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7139CB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66EFA2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A7FB1C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p>
        </w:tc>
        <w:tc>
          <w:tcPr>
            <w:tcW w:w="964" w:type="dxa"/>
            <w:tcBorders>
              <w:top w:val="nil"/>
              <w:left w:val="nil"/>
              <w:bottom w:val="nil"/>
              <w:right w:val="nil"/>
            </w:tcBorders>
            <w:noWrap/>
            <w:vAlign w:val="center"/>
          </w:tcPr>
          <w:p w14:paraId="4FD4636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1F567A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5E95CB8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3ADE8C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1C852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6D192AD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98C579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808F03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29F4E01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2450E2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r>
      <w:tr w:rsidR="00376D25" w14:paraId="2CB94566" w14:textId="77777777">
        <w:trPr>
          <w:trHeight w:val="315"/>
        </w:trPr>
        <w:tc>
          <w:tcPr>
            <w:tcW w:w="667" w:type="dxa"/>
            <w:tcBorders>
              <w:top w:val="nil"/>
              <w:left w:val="nil"/>
              <w:bottom w:val="nil"/>
              <w:right w:val="nil"/>
            </w:tcBorders>
            <w:noWrap/>
            <w:vAlign w:val="center"/>
          </w:tcPr>
          <w:p w14:paraId="37E14E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22</w:t>
            </w:r>
          </w:p>
        </w:tc>
        <w:tc>
          <w:tcPr>
            <w:tcW w:w="1942" w:type="dxa"/>
            <w:tcBorders>
              <w:top w:val="nil"/>
              <w:left w:val="nil"/>
              <w:bottom w:val="nil"/>
              <w:right w:val="nil"/>
            </w:tcBorders>
            <w:vAlign w:val="center"/>
          </w:tcPr>
          <w:p w14:paraId="5995ECF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parameters</w:t>
            </w:r>
          </w:p>
        </w:tc>
        <w:tc>
          <w:tcPr>
            <w:tcW w:w="964" w:type="dxa"/>
            <w:tcBorders>
              <w:top w:val="nil"/>
              <w:left w:val="nil"/>
              <w:bottom w:val="nil"/>
              <w:right w:val="nil"/>
            </w:tcBorders>
            <w:noWrap/>
            <w:vAlign w:val="center"/>
          </w:tcPr>
          <w:p w14:paraId="67AFBC4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BD7E59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490736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4A724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B371C4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C43927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7561F6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DFF227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FD9C84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50E4591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33A2A9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980798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0C43E3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393809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r>
      <w:tr w:rsidR="00376D25" w14:paraId="2C9060E9" w14:textId="77777777">
        <w:trPr>
          <w:trHeight w:val="315"/>
        </w:trPr>
        <w:tc>
          <w:tcPr>
            <w:tcW w:w="667" w:type="dxa"/>
            <w:tcBorders>
              <w:top w:val="nil"/>
              <w:left w:val="nil"/>
              <w:bottom w:val="nil"/>
              <w:right w:val="nil"/>
            </w:tcBorders>
            <w:noWrap/>
            <w:vAlign w:val="center"/>
          </w:tcPr>
          <w:p w14:paraId="5AA82F6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23</w:t>
            </w:r>
          </w:p>
        </w:tc>
        <w:tc>
          <w:tcPr>
            <w:tcW w:w="1942" w:type="dxa"/>
            <w:tcBorders>
              <w:top w:val="nil"/>
              <w:left w:val="nil"/>
              <w:bottom w:val="nil"/>
              <w:right w:val="nil"/>
            </w:tcBorders>
            <w:vAlign w:val="center"/>
          </w:tcPr>
          <w:p w14:paraId="012F31A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Summary of main results</w:t>
            </w:r>
          </w:p>
        </w:tc>
        <w:tc>
          <w:tcPr>
            <w:tcW w:w="964" w:type="dxa"/>
            <w:tcBorders>
              <w:top w:val="nil"/>
              <w:left w:val="nil"/>
              <w:bottom w:val="nil"/>
              <w:right w:val="nil"/>
            </w:tcBorders>
            <w:noWrap/>
            <w:vAlign w:val="center"/>
          </w:tcPr>
          <w:p w14:paraId="0A8F8B3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FDD5AE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9F5610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597B9C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8C00E7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AF8DEE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88B0ED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9C440C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8F66F8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122834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41271B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12A235A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3F21BC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2A2019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Results</w:t>
            </w:r>
          </w:p>
        </w:tc>
      </w:tr>
      <w:tr w:rsidR="00376D25" w14:paraId="3FA70EA4" w14:textId="77777777">
        <w:trPr>
          <w:trHeight w:val="315"/>
        </w:trPr>
        <w:tc>
          <w:tcPr>
            <w:tcW w:w="667" w:type="dxa"/>
            <w:tcBorders>
              <w:top w:val="nil"/>
              <w:left w:val="nil"/>
              <w:bottom w:val="nil"/>
              <w:right w:val="nil"/>
            </w:tcBorders>
            <w:noWrap/>
            <w:vAlign w:val="center"/>
          </w:tcPr>
          <w:p w14:paraId="39E2981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24</w:t>
            </w:r>
          </w:p>
        </w:tc>
        <w:tc>
          <w:tcPr>
            <w:tcW w:w="1942" w:type="dxa"/>
            <w:tcBorders>
              <w:top w:val="nil"/>
              <w:left w:val="nil"/>
              <w:bottom w:val="nil"/>
              <w:right w:val="nil"/>
            </w:tcBorders>
            <w:vAlign w:val="center"/>
          </w:tcPr>
          <w:p w14:paraId="44F2B00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Effect of uncertainty</w:t>
            </w:r>
          </w:p>
        </w:tc>
        <w:tc>
          <w:tcPr>
            <w:tcW w:w="964" w:type="dxa"/>
            <w:tcBorders>
              <w:top w:val="nil"/>
              <w:left w:val="nil"/>
              <w:bottom w:val="nil"/>
              <w:right w:val="nil"/>
            </w:tcBorders>
            <w:noWrap/>
            <w:vAlign w:val="center"/>
          </w:tcPr>
          <w:p w14:paraId="2D58FE4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A1FA0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A5FAC0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3582C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8A5FED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32F7B4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F98B9C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11B7AC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464217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709363E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16D3C4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36AE978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62F9170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c>
          <w:tcPr>
            <w:tcW w:w="964" w:type="dxa"/>
            <w:tcBorders>
              <w:top w:val="nil"/>
              <w:left w:val="nil"/>
              <w:bottom w:val="nil"/>
              <w:right w:val="nil"/>
            </w:tcBorders>
            <w:noWrap/>
            <w:vAlign w:val="center"/>
          </w:tcPr>
          <w:p w14:paraId="08F5255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Method</w:t>
            </w:r>
            <w:r>
              <w:rPr>
                <w:rFonts w:cs="Times New Roman"/>
                <w:color w:val="000000"/>
                <w:kern w:val="0"/>
                <w:sz w:val="20"/>
                <w:szCs w:val="20"/>
                <w:lang w:bidi="ar"/>
              </w:rPr>
              <w:t>、</w:t>
            </w:r>
            <w:r>
              <w:rPr>
                <w:rFonts w:cs="Times New Roman"/>
                <w:color w:val="000000"/>
                <w:kern w:val="0"/>
                <w:sz w:val="20"/>
                <w:szCs w:val="20"/>
                <w:lang w:bidi="ar"/>
              </w:rPr>
              <w:t>Results</w:t>
            </w:r>
          </w:p>
        </w:tc>
      </w:tr>
      <w:tr w:rsidR="00376D25" w14:paraId="7B5757DD" w14:textId="77777777">
        <w:trPr>
          <w:trHeight w:val="945"/>
        </w:trPr>
        <w:tc>
          <w:tcPr>
            <w:tcW w:w="667" w:type="dxa"/>
            <w:tcBorders>
              <w:top w:val="nil"/>
              <w:left w:val="nil"/>
              <w:bottom w:val="nil"/>
              <w:right w:val="nil"/>
            </w:tcBorders>
            <w:noWrap/>
            <w:vAlign w:val="center"/>
          </w:tcPr>
          <w:p w14:paraId="06E989B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lastRenderedPageBreak/>
              <w:t>25</w:t>
            </w:r>
          </w:p>
        </w:tc>
        <w:tc>
          <w:tcPr>
            <w:tcW w:w="1942" w:type="dxa"/>
            <w:tcBorders>
              <w:top w:val="nil"/>
              <w:left w:val="nil"/>
              <w:bottom w:val="nil"/>
              <w:right w:val="nil"/>
            </w:tcBorders>
            <w:vAlign w:val="center"/>
          </w:tcPr>
          <w:p w14:paraId="4854E6A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Effect of engagement with patients and others affected by the study</w:t>
            </w:r>
          </w:p>
        </w:tc>
        <w:tc>
          <w:tcPr>
            <w:tcW w:w="964" w:type="dxa"/>
            <w:tcBorders>
              <w:top w:val="nil"/>
              <w:left w:val="nil"/>
              <w:bottom w:val="nil"/>
              <w:right w:val="nil"/>
            </w:tcBorders>
            <w:noWrap/>
            <w:vAlign w:val="center"/>
          </w:tcPr>
          <w:p w14:paraId="7C2279B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51A3B5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07F510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F55273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0CDDAA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44AB7C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179F99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6F69954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4090F39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13DE2BF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4D48A3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76C6949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3B3F539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c>
          <w:tcPr>
            <w:tcW w:w="964" w:type="dxa"/>
            <w:tcBorders>
              <w:top w:val="nil"/>
              <w:left w:val="nil"/>
              <w:bottom w:val="nil"/>
              <w:right w:val="nil"/>
            </w:tcBorders>
            <w:noWrap/>
            <w:vAlign w:val="center"/>
          </w:tcPr>
          <w:p w14:paraId="077700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t>
            </w:r>
          </w:p>
        </w:tc>
      </w:tr>
      <w:tr w:rsidR="00376D25" w14:paraId="222B3801" w14:textId="77777777">
        <w:trPr>
          <w:trHeight w:val="945"/>
        </w:trPr>
        <w:tc>
          <w:tcPr>
            <w:tcW w:w="667" w:type="dxa"/>
            <w:tcBorders>
              <w:top w:val="nil"/>
              <w:left w:val="nil"/>
              <w:bottom w:val="nil"/>
              <w:right w:val="nil"/>
            </w:tcBorders>
            <w:noWrap/>
            <w:vAlign w:val="center"/>
          </w:tcPr>
          <w:p w14:paraId="60D2C16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26</w:t>
            </w:r>
          </w:p>
        </w:tc>
        <w:tc>
          <w:tcPr>
            <w:tcW w:w="1942" w:type="dxa"/>
            <w:tcBorders>
              <w:top w:val="nil"/>
              <w:left w:val="nil"/>
              <w:bottom w:val="nil"/>
              <w:right w:val="nil"/>
            </w:tcBorders>
            <w:vAlign w:val="center"/>
          </w:tcPr>
          <w:p w14:paraId="1053747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Study findings, limitations, generalizability, and current knowledge</w:t>
            </w:r>
          </w:p>
        </w:tc>
        <w:tc>
          <w:tcPr>
            <w:tcW w:w="964" w:type="dxa"/>
            <w:tcBorders>
              <w:top w:val="nil"/>
              <w:left w:val="nil"/>
              <w:bottom w:val="nil"/>
              <w:right w:val="nil"/>
            </w:tcBorders>
            <w:noWrap/>
            <w:vAlign w:val="center"/>
          </w:tcPr>
          <w:p w14:paraId="6CA7314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651B226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5D04862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119AE50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7E51F29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28D5A1D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26AF8EE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3809F1C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708E6D6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23074AF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69D434C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0CF8CB7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3FA1AD8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c>
          <w:tcPr>
            <w:tcW w:w="964" w:type="dxa"/>
            <w:tcBorders>
              <w:top w:val="nil"/>
              <w:left w:val="nil"/>
              <w:bottom w:val="nil"/>
              <w:right w:val="nil"/>
            </w:tcBorders>
            <w:noWrap/>
            <w:vAlign w:val="center"/>
          </w:tcPr>
          <w:p w14:paraId="388A069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Discussion</w:t>
            </w:r>
          </w:p>
        </w:tc>
      </w:tr>
      <w:tr w:rsidR="00376D25" w14:paraId="551A2C8F" w14:textId="77777777">
        <w:trPr>
          <w:trHeight w:val="315"/>
        </w:trPr>
        <w:tc>
          <w:tcPr>
            <w:tcW w:w="667" w:type="dxa"/>
            <w:tcBorders>
              <w:top w:val="nil"/>
              <w:left w:val="nil"/>
              <w:right w:val="nil"/>
            </w:tcBorders>
            <w:noWrap/>
            <w:vAlign w:val="center"/>
          </w:tcPr>
          <w:p w14:paraId="6F1048D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27</w:t>
            </w:r>
          </w:p>
        </w:tc>
        <w:tc>
          <w:tcPr>
            <w:tcW w:w="1942" w:type="dxa"/>
            <w:tcBorders>
              <w:top w:val="nil"/>
              <w:left w:val="nil"/>
              <w:right w:val="nil"/>
            </w:tcBorders>
            <w:vAlign w:val="center"/>
          </w:tcPr>
          <w:p w14:paraId="5EC74F1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Source of funding</w:t>
            </w:r>
          </w:p>
        </w:tc>
        <w:tc>
          <w:tcPr>
            <w:tcW w:w="964" w:type="dxa"/>
            <w:tcBorders>
              <w:top w:val="nil"/>
              <w:left w:val="nil"/>
              <w:right w:val="nil"/>
            </w:tcBorders>
            <w:noWrap/>
            <w:vAlign w:val="center"/>
          </w:tcPr>
          <w:p w14:paraId="1F31663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452A3AE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002330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6104898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061CDD0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1C584DB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02AABFE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6B90A08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266B9AA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09183B2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01A21C2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431E43C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7B1C0E8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right w:val="nil"/>
            </w:tcBorders>
            <w:noWrap/>
            <w:vAlign w:val="center"/>
          </w:tcPr>
          <w:p w14:paraId="7E671EE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r>
      <w:tr w:rsidR="00376D25" w14:paraId="48B6DF99" w14:textId="77777777">
        <w:trPr>
          <w:trHeight w:val="315"/>
        </w:trPr>
        <w:tc>
          <w:tcPr>
            <w:tcW w:w="667" w:type="dxa"/>
            <w:tcBorders>
              <w:top w:val="nil"/>
              <w:left w:val="nil"/>
              <w:bottom w:val="single" w:sz="12" w:space="0" w:color="auto"/>
              <w:right w:val="nil"/>
            </w:tcBorders>
            <w:noWrap/>
            <w:vAlign w:val="center"/>
          </w:tcPr>
          <w:p w14:paraId="682C484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28</w:t>
            </w:r>
          </w:p>
        </w:tc>
        <w:tc>
          <w:tcPr>
            <w:tcW w:w="1942" w:type="dxa"/>
            <w:tcBorders>
              <w:top w:val="nil"/>
              <w:left w:val="nil"/>
              <w:bottom w:val="single" w:sz="12" w:space="0" w:color="auto"/>
              <w:right w:val="nil"/>
            </w:tcBorders>
            <w:vAlign w:val="center"/>
          </w:tcPr>
          <w:p w14:paraId="05DDE64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sz w:val="20"/>
                <w:szCs w:val="20"/>
              </w:rPr>
              <w:t>Conflicts of interest</w:t>
            </w:r>
          </w:p>
        </w:tc>
        <w:tc>
          <w:tcPr>
            <w:tcW w:w="964" w:type="dxa"/>
            <w:tcBorders>
              <w:top w:val="nil"/>
              <w:left w:val="nil"/>
              <w:bottom w:val="single" w:sz="12" w:space="0" w:color="auto"/>
              <w:right w:val="nil"/>
            </w:tcBorders>
            <w:noWrap/>
            <w:vAlign w:val="center"/>
          </w:tcPr>
          <w:p w14:paraId="2CD8B9E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11612AB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57B066C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2562BD6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5808D03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65299A5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0813B25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76AD4AD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711CB30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750E0CA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37086A8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58EB099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4BDAE1A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c>
          <w:tcPr>
            <w:tcW w:w="964" w:type="dxa"/>
            <w:tcBorders>
              <w:top w:val="nil"/>
              <w:left w:val="nil"/>
              <w:bottom w:val="single" w:sz="12" w:space="0" w:color="auto"/>
              <w:right w:val="nil"/>
            </w:tcBorders>
            <w:noWrap/>
            <w:vAlign w:val="center"/>
          </w:tcPr>
          <w:p w14:paraId="2710C08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Declaration</w:t>
            </w:r>
          </w:p>
        </w:tc>
      </w:tr>
    </w:tbl>
    <w:p w14:paraId="2AACC148" w14:textId="77777777" w:rsidR="00376D25" w:rsidRDefault="00376D25">
      <w:pPr>
        <w:widowControl/>
        <w:ind w:firstLineChars="0" w:firstLine="0"/>
        <w:jc w:val="center"/>
        <w:textAlignment w:val="center"/>
        <w:rPr>
          <w:rFonts w:eastAsia="黑体" w:cs="等线"/>
          <w:b/>
          <w:bCs/>
          <w:color w:val="000000"/>
          <w:kern w:val="0"/>
          <w:sz w:val="28"/>
          <w:szCs w:val="28"/>
          <w:lang w:bidi="ar"/>
        </w:rPr>
        <w:sectPr w:rsidR="00376D25">
          <w:endnotePr>
            <w:numFmt w:val="decimal"/>
          </w:endnotePr>
          <w:pgSz w:w="16838" w:h="11906" w:orient="landscape"/>
          <w:pgMar w:top="1800" w:right="1440" w:bottom="1800" w:left="1440" w:header="851" w:footer="992" w:gutter="0"/>
          <w:cols w:space="425"/>
          <w:docGrid w:type="lines" w:linePitch="312"/>
        </w:sectPr>
      </w:pPr>
    </w:p>
    <w:p w14:paraId="407FB2AF" w14:textId="77777777" w:rsidR="00376D25" w:rsidRDefault="00000000">
      <w:pPr>
        <w:widowControl/>
        <w:spacing w:line="240" w:lineRule="auto"/>
        <w:ind w:firstLineChars="0" w:firstLine="0"/>
        <w:jc w:val="left"/>
        <w:textAlignment w:val="center"/>
        <w:rPr>
          <w:rFonts w:eastAsia="黑体" w:cs="等线"/>
          <w:b/>
          <w:bCs/>
          <w:color w:val="000000"/>
          <w:kern w:val="0"/>
          <w:sz w:val="22"/>
          <w:szCs w:val="22"/>
          <w:lang w:bidi="ar"/>
        </w:rPr>
      </w:pPr>
      <w:r>
        <w:rPr>
          <w:rFonts w:eastAsia="黑体" w:cs="等线" w:hint="eastAsia"/>
          <w:b/>
          <w:bCs/>
          <w:color w:val="000000"/>
          <w:kern w:val="0"/>
          <w:sz w:val="22"/>
          <w:szCs w:val="22"/>
          <w:lang w:bidi="ar"/>
        </w:rPr>
        <w:lastRenderedPageBreak/>
        <w:t xml:space="preserve">Table 5. </w:t>
      </w:r>
      <w:r>
        <w:rPr>
          <w:rFonts w:eastAsia="黑体" w:cs="等线" w:hint="eastAsia"/>
          <w:color w:val="000000"/>
          <w:kern w:val="0"/>
          <w:sz w:val="22"/>
          <w:szCs w:val="22"/>
          <w:lang w:bidi="ar"/>
        </w:rPr>
        <w:t>The Quality of Health Economic Studies (QHES) instrument used for assessing the methodological quality of the 28 included distributional cost-effectiveness analysis studies published from 2017 to 2025.</w:t>
      </w:r>
    </w:p>
    <w:tbl>
      <w:tblPr>
        <w:tblStyle w:val="a9"/>
        <w:tblW w:w="9704"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7448"/>
        <w:gridCol w:w="763"/>
      </w:tblGrid>
      <w:tr w:rsidR="00376D25" w14:paraId="44AC8838" w14:textId="77777777">
        <w:trPr>
          <w:trHeight w:val="260"/>
        </w:trPr>
        <w:tc>
          <w:tcPr>
            <w:tcW w:w="1493" w:type="dxa"/>
            <w:tcBorders>
              <w:bottom w:val="single" w:sz="8" w:space="0" w:color="auto"/>
              <w:tl2br w:val="nil"/>
              <w:tr2bl w:val="nil"/>
            </w:tcBorders>
            <w:noWrap/>
            <w:vAlign w:val="center"/>
          </w:tcPr>
          <w:p w14:paraId="7DF6C102" w14:textId="77777777" w:rsidR="00376D25" w:rsidRDefault="00000000">
            <w:pPr>
              <w:spacing w:line="240" w:lineRule="atLeast"/>
              <w:ind w:firstLineChars="0" w:firstLine="0"/>
              <w:jc w:val="center"/>
              <w:rPr>
                <w:rFonts w:ascii="Times" w:eastAsia="Times New Roman" w:hAnsi="Times" w:cs="Arial"/>
                <w:b/>
                <w:bCs/>
                <w:color w:val="000000"/>
                <w:sz w:val="22"/>
                <w:szCs w:val="22"/>
              </w:rPr>
            </w:pPr>
            <w:r>
              <w:rPr>
                <w:rFonts w:cs="Times New Roman"/>
                <w:b/>
                <w:bCs/>
                <w:color w:val="000000"/>
                <w:kern w:val="0"/>
                <w:sz w:val="20"/>
                <w:szCs w:val="20"/>
                <w:lang w:bidi="ar"/>
              </w:rPr>
              <w:t>Item</w:t>
            </w:r>
          </w:p>
        </w:tc>
        <w:tc>
          <w:tcPr>
            <w:tcW w:w="7448" w:type="dxa"/>
            <w:tcBorders>
              <w:bottom w:val="single" w:sz="8" w:space="0" w:color="auto"/>
              <w:tl2br w:val="nil"/>
              <w:tr2bl w:val="nil"/>
            </w:tcBorders>
            <w:vAlign w:val="center"/>
          </w:tcPr>
          <w:p w14:paraId="7E5756F8" w14:textId="77777777" w:rsidR="00376D25" w:rsidRDefault="00000000">
            <w:pPr>
              <w:spacing w:line="240" w:lineRule="atLeast"/>
              <w:ind w:firstLineChars="0" w:firstLine="0"/>
              <w:jc w:val="center"/>
              <w:rPr>
                <w:rFonts w:ascii="Times" w:eastAsia="Times New Roman" w:hAnsi="Times" w:cs="Arial"/>
                <w:b/>
                <w:bCs/>
                <w:color w:val="000000"/>
                <w:sz w:val="22"/>
                <w:szCs w:val="22"/>
              </w:rPr>
            </w:pPr>
            <w:r>
              <w:rPr>
                <w:rFonts w:ascii="Times" w:eastAsia="Times New Roman" w:hAnsi="Times" w:cs="Arial"/>
                <w:b/>
                <w:bCs/>
                <w:color w:val="000000"/>
                <w:sz w:val="22"/>
                <w:szCs w:val="22"/>
              </w:rPr>
              <w:t>Question</w:t>
            </w:r>
          </w:p>
        </w:tc>
        <w:tc>
          <w:tcPr>
            <w:tcW w:w="763" w:type="dxa"/>
            <w:tcBorders>
              <w:bottom w:val="single" w:sz="8" w:space="0" w:color="auto"/>
              <w:tl2br w:val="nil"/>
              <w:tr2bl w:val="nil"/>
            </w:tcBorders>
            <w:noWrap/>
            <w:vAlign w:val="center"/>
          </w:tcPr>
          <w:p w14:paraId="77B06200" w14:textId="77777777" w:rsidR="00376D25" w:rsidRDefault="00000000">
            <w:pPr>
              <w:spacing w:line="240" w:lineRule="atLeast"/>
              <w:ind w:firstLineChars="0" w:firstLine="0"/>
              <w:jc w:val="center"/>
              <w:rPr>
                <w:rFonts w:ascii="Times" w:eastAsia="Times New Roman" w:hAnsi="Times" w:cs="Arial"/>
                <w:b/>
                <w:bCs/>
                <w:color w:val="000000"/>
                <w:sz w:val="22"/>
                <w:szCs w:val="22"/>
              </w:rPr>
            </w:pPr>
            <w:r>
              <w:rPr>
                <w:rFonts w:ascii="Times" w:eastAsia="Times New Roman" w:hAnsi="Times" w:cs="Arial"/>
                <w:b/>
                <w:bCs/>
                <w:color w:val="000000"/>
                <w:sz w:val="22"/>
                <w:szCs w:val="22"/>
              </w:rPr>
              <w:t>Point</w:t>
            </w:r>
          </w:p>
        </w:tc>
      </w:tr>
      <w:tr w:rsidR="00376D25" w14:paraId="304B86CC" w14:textId="77777777">
        <w:trPr>
          <w:trHeight w:val="260"/>
        </w:trPr>
        <w:tc>
          <w:tcPr>
            <w:tcW w:w="1493" w:type="dxa"/>
            <w:tcBorders>
              <w:top w:val="single" w:sz="8" w:space="0" w:color="auto"/>
            </w:tcBorders>
            <w:noWrap/>
            <w:vAlign w:val="center"/>
          </w:tcPr>
          <w:p w14:paraId="29F2ADAD"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w:t>
            </w:r>
          </w:p>
        </w:tc>
        <w:tc>
          <w:tcPr>
            <w:tcW w:w="7448" w:type="dxa"/>
            <w:tcBorders>
              <w:top w:val="single" w:sz="8" w:space="0" w:color="auto"/>
            </w:tcBorders>
            <w:vAlign w:val="center"/>
          </w:tcPr>
          <w:p w14:paraId="5DFD9DD0" w14:textId="5A6646CC"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the study objective presented in a clear, specific, and measurable</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manner?</w:t>
            </w:r>
          </w:p>
        </w:tc>
        <w:tc>
          <w:tcPr>
            <w:tcW w:w="763" w:type="dxa"/>
            <w:tcBorders>
              <w:top w:val="single" w:sz="8" w:space="0" w:color="auto"/>
            </w:tcBorders>
            <w:noWrap/>
            <w:vAlign w:val="center"/>
          </w:tcPr>
          <w:p w14:paraId="659C17D7" w14:textId="77777777" w:rsidR="00376D25" w:rsidRDefault="00000000">
            <w:pPr>
              <w:spacing w:line="240" w:lineRule="atLeast"/>
              <w:ind w:firstLineChars="0" w:firstLine="0"/>
              <w:jc w:val="center"/>
              <w:rPr>
                <w:rFonts w:ascii="Times" w:eastAsia="Calibri" w:hAnsi="Times" w:cs="Arial"/>
                <w:color w:val="000000"/>
                <w:sz w:val="22"/>
                <w:szCs w:val="22"/>
              </w:rPr>
            </w:pPr>
            <w:r>
              <w:rPr>
                <w:rFonts w:ascii="Times" w:eastAsia="Calibri" w:hAnsi="Times" w:cs="Arial"/>
                <w:color w:val="000000"/>
                <w:sz w:val="22"/>
                <w:szCs w:val="22"/>
              </w:rPr>
              <w:t>7</w:t>
            </w:r>
          </w:p>
        </w:tc>
      </w:tr>
      <w:tr w:rsidR="00376D25" w14:paraId="1CBFDC93" w14:textId="77777777">
        <w:trPr>
          <w:trHeight w:val="260"/>
        </w:trPr>
        <w:tc>
          <w:tcPr>
            <w:tcW w:w="1493" w:type="dxa"/>
            <w:noWrap/>
            <w:vAlign w:val="center"/>
          </w:tcPr>
          <w:p w14:paraId="5C7F04F8"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2</w:t>
            </w:r>
          </w:p>
        </w:tc>
        <w:tc>
          <w:tcPr>
            <w:tcW w:w="7448" w:type="dxa"/>
            <w:vAlign w:val="center"/>
          </w:tcPr>
          <w:p w14:paraId="0FEE752A" w14:textId="439F8962"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the perspective of the analysis (societal, third-party payer, etc.) and</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reasons for its selection stated?</w:t>
            </w:r>
          </w:p>
        </w:tc>
        <w:tc>
          <w:tcPr>
            <w:tcW w:w="763" w:type="dxa"/>
            <w:noWrap/>
            <w:vAlign w:val="center"/>
          </w:tcPr>
          <w:p w14:paraId="4A118248"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4</w:t>
            </w:r>
          </w:p>
        </w:tc>
      </w:tr>
      <w:tr w:rsidR="00376D25" w14:paraId="74BA28F1" w14:textId="77777777">
        <w:trPr>
          <w:trHeight w:val="260"/>
        </w:trPr>
        <w:tc>
          <w:tcPr>
            <w:tcW w:w="1493" w:type="dxa"/>
            <w:tcBorders>
              <w:tl2br w:val="nil"/>
              <w:tr2bl w:val="nil"/>
            </w:tcBorders>
            <w:noWrap/>
            <w:vAlign w:val="center"/>
          </w:tcPr>
          <w:p w14:paraId="077DB3C5"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3</w:t>
            </w:r>
          </w:p>
        </w:tc>
        <w:tc>
          <w:tcPr>
            <w:tcW w:w="7448" w:type="dxa"/>
            <w:tcBorders>
              <w:tl2br w:val="nil"/>
              <w:tr2bl w:val="nil"/>
            </w:tcBorders>
            <w:vAlign w:val="center"/>
          </w:tcPr>
          <w:p w14:paraId="7C66412A" w14:textId="20B6E3EB"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variable estimates used in the analysis from the best available source</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(i.e., Randomized Control Trial — Best, Expert Opinion — Worst)?</w:t>
            </w:r>
          </w:p>
        </w:tc>
        <w:tc>
          <w:tcPr>
            <w:tcW w:w="763" w:type="dxa"/>
            <w:tcBorders>
              <w:tl2br w:val="nil"/>
              <w:tr2bl w:val="nil"/>
            </w:tcBorders>
            <w:noWrap/>
            <w:vAlign w:val="center"/>
          </w:tcPr>
          <w:p w14:paraId="79DED5BA"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8</w:t>
            </w:r>
          </w:p>
        </w:tc>
      </w:tr>
      <w:tr w:rsidR="00376D25" w14:paraId="1DFA0D1A" w14:textId="77777777">
        <w:trPr>
          <w:trHeight w:val="260"/>
        </w:trPr>
        <w:tc>
          <w:tcPr>
            <w:tcW w:w="1493" w:type="dxa"/>
            <w:tcBorders>
              <w:tl2br w:val="nil"/>
              <w:tr2bl w:val="nil"/>
            </w:tcBorders>
            <w:noWrap/>
            <w:vAlign w:val="center"/>
          </w:tcPr>
          <w:p w14:paraId="24C1A6CE"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4</w:t>
            </w:r>
          </w:p>
        </w:tc>
        <w:tc>
          <w:tcPr>
            <w:tcW w:w="7448" w:type="dxa"/>
            <w:tcBorders>
              <w:tl2br w:val="nil"/>
              <w:tr2bl w:val="nil"/>
            </w:tcBorders>
            <w:vAlign w:val="center"/>
          </w:tcPr>
          <w:p w14:paraId="3428ED0D" w14:textId="23525FC0"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If estimates came from a subgroup analysis, were the groups prespecified</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at the beginning of the study?</w:t>
            </w:r>
          </w:p>
        </w:tc>
        <w:tc>
          <w:tcPr>
            <w:tcW w:w="763" w:type="dxa"/>
            <w:tcBorders>
              <w:tl2br w:val="nil"/>
              <w:tr2bl w:val="nil"/>
            </w:tcBorders>
            <w:noWrap/>
            <w:vAlign w:val="center"/>
          </w:tcPr>
          <w:p w14:paraId="211AD8C0"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w:t>
            </w:r>
          </w:p>
        </w:tc>
      </w:tr>
      <w:tr w:rsidR="00376D25" w14:paraId="7F698A50" w14:textId="77777777">
        <w:trPr>
          <w:trHeight w:val="260"/>
        </w:trPr>
        <w:tc>
          <w:tcPr>
            <w:tcW w:w="1493" w:type="dxa"/>
            <w:tcBorders>
              <w:tl2br w:val="nil"/>
              <w:tr2bl w:val="nil"/>
            </w:tcBorders>
            <w:noWrap/>
            <w:vAlign w:val="center"/>
          </w:tcPr>
          <w:p w14:paraId="1CD55FA3"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5</w:t>
            </w:r>
          </w:p>
        </w:tc>
        <w:tc>
          <w:tcPr>
            <w:tcW w:w="7448" w:type="dxa"/>
            <w:tcBorders>
              <w:tl2br w:val="nil"/>
              <w:tr2bl w:val="nil"/>
            </w:tcBorders>
            <w:vAlign w:val="center"/>
          </w:tcPr>
          <w:p w14:paraId="40C2A4BD" w14:textId="2A301720"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uncertainty handled by: 1) statistical analysis to address random</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events; 2) sensitivity analysis to cover a range of assumptions?</w:t>
            </w:r>
          </w:p>
        </w:tc>
        <w:tc>
          <w:tcPr>
            <w:tcW w:w="763" w:type="dxa"/>
            <w:tcBorders>
              <w:tl2br w:val="nil"/>
              <w:tr2bl w:val="nil"/>
            </w:tcBorders>
            <w:noWrap/>
            <w:vAlign w:val="center"/>
          </w:tcPr>
          <w:p w14:paraId="0636CD2A"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9</w:t>
            </w:r>
          </w:p>
        </w:tc>
      </w:tr>
      <w:tr w:rsidR="00376D25" w14:paraId="52792A79" w14:textId="77777777">
        <w:trPr>
          <w:trHeight w:val="260"/>
        </w:trPr>
        <w:tc>
          <w:tcPr>
            <w:tcW w:w="1493" w:type="dxa"/>
            <w:tcBorders>
              <w:tl2br w:val="nil"/>
              <w:tr2bl w:val="nil"/>
            </w:tcBorders>
            <w:noWrap/>
            <w:vAlign w:val="center"/>
          </w:tcPr>
          <w:p w14:paraId="0EEC18E6"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6</w:t>
            </w:r>
          </w:p>
        </w:tc>
        <w:tc>
          <w:tcPr>
            <w:tcW w:w="7448" w:type="dxa"/>
            <w:tcBorders>
              <w:tl2br w:val="nil"/>
              <w:tr2bl w:val="nil"/>
            </w:tcBorders>
            <w:vAlign w:val="center"/>
          </w:tcPr>
          <w:p w14:paraId="1283F085" w14:textId="11F40051"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incremental analysis performed between alternatives for resources</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and costs?</w:t>
            </w:r>
          </w:p>
        </w:tc>
        <w:tc>
          <w:tcPr>
            <w:tcW w:w="763" w:type="dxa"/>
            <w:tcBorders>
              <w:tl2br w:val="nil"/>
              <w:tr2bl w:val="nil"/>
            </w:tcBorders>
            <w:noWrap/>
            <w:vAlign w:val="center"/>
          </w:tcPr>
          <w:p w14:paraId="6AAEE44C"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6</w:t>
            </w:r>
          </w:p>
        </w:tc>
      </w:tr>
      <w:tr w:rsidR="00376D25" w14:paraId="00E9CFD5" w14:textId="77777777">
        <w:trPr>
          <w:trHeight w:val="260"/>
        </w:trPr>
        <w:tc>
          <w:tcPr>
            <w:tcW w:w="1493" w:type="dxa"/>
            <w:tcBorders>
              <w:tl2br w:val="nil"/>
              <w:tr2bl w:val="nil"/>
            </w:tcBorders>
            <w:noWrap/>
            <w:vAlign w:val="center"/>
          </w:tcPr>
          <w:p w14:paraId="0D5F4F42"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7</w:t>
            </w:r>
          </w:p>
        </w:tc>
        <w:tc>
          <w:tcPr>
            <w:tcW w:w="7448" w:type="dxa"/>
            <w:tcBorders>
              <w:tl2br w:val="nil"/>
              <w:tr2bl w:val="nil"/>
            </w:tcBorders>
            <w:vAlign w:val="center"/>
          </w:tcPr>
          <w:p w14:paraId="1C704EA7" w14:textId="58BCE729"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the methodology for data abstraction (including the value of health</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states and other benefits) stated?</w:t>
            </w:r>
          </w:p>
        </w:tc>
        <w:tc>
          <w:tcPr>
            <w:tcW w:w="763" w:type="dxa"/>
            <w:tcBorders>
              <w:tl2br w:val="nil"/>
              <w:tr2bl w:val="nil"/>
            </w:tcBorders>
            <w:noWrap/>
            <w:vAlign w:val="center"/>
          </w:tcPr>
          <w:p w14:paraId="1B860E93"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5</w:t>
            </w:r>
          </w:p>
        </w:tc>
      </w:tr>
      <w:tr w:rsidR="00376D25" w14:paraId="3BCFD256" w14:textId="77777777">
        <w:trPr>
          <w:trHeight w:val="260"/>
        </w:trPr>
        <w:tc>
          <w:tcPr>
            <w:tcW w:w="1493" w:type="dxa"/>
            <w:tcBorders>
              <w:tl2br w:val="nil"/>
              <w:tr2bl w:val="nil"/>
            </w:tcBorders>
            <w:noWrap/>
            <w:vAlign w:val="center"/>
          </w:tcPr>
          <w:p w14:paraId="24D6DB39"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8</w:t>
            </w:r>
          </w:p>
        </w:tc>
        <w:tc>
          <w:tcPr>
            <w:tcW w:w="7448" w:type="dxa"/>
            <w:tcBorders>
              <w:tl2br w:val="nil"/>
              <w:tr2bl w:val="nil"/>
            </w:tcBorders>
            <w:vAlign w:val="center"/>
          </w:tcPr>
          <w:p w14:paraId="61A4E010" w14:textId="3FCA9585"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Did the analytic horizon allow time for all relevant and important</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outcomes? Were benefits and costs that went beyond 1 year discounted</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(3%–5%) and justification given for the discount rate?</w:t>
            </w:r>
          </w:p>
        </w:tc>
        <w:tc>
          <w:tcPr>
            <w:tcW w:w="763" w:type="dxa"/>
            <w:tcBorders>
              <w:tl2br w:val="nil"/>
              <w:tr2bl w:val="nil"/>
            </w:tcBorders>
            <w:noWrap/>
            <w:vAlign w:val="center"/>
          </w:tcPr>
          <w:p w14:paraId="0D34C0A9"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7</w:t>
            </w:r>
          </w:p>
        </w:tc>
      </w:tr>
      <w:tr w:rsidR="00376D25" w14:paraId="377A1B37" w14:textId="77777777">
        <w:trPr>
          <w:trHeight w:val="260"/>
        </w:trPr>
        <w:tc>
          <w:tcPr>
            <w:tcW w:w="1493" w:type="dxa"/>
            <w:tcBorders>
              <w:tl2br w:val="nil"/>
              <w:tr2bl w:val="nil"/>
            </w:tcBorders>
            <w:noWrap/>
            <w:vAlign w:val="center"/>
          </w:tcPr>
          <w:p w14:paraId="2EC4F6E6"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9</w:t>
            </w:r>
          </w:p>
        </w:tc>
        <w:tc>
          <w:tcPr>
            <w:tcW w:w="7448" w:type="dxa"/>
            <w:tcBorders>
              <w:tl2br w:val="nil"/>
              <w:tr2bl w:val="nil"/>
            </w:tcBorders>
            <w:vAlign w:val="center"/>
          </w:tcPr>
          <w:p w14:paraId="55409E3C" w14:textId="59D6E21C"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the measurement of costs appropriate and the methodology for the</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estimation of quantities and unit costs clearly described?</w:t>
            </w:r>
          </w:p>
        </w:tc>
        <w:tc>
          <w:tcPr>
            <w:tcW w:w="763" w:type="dxa"/>
            <w:tcBorders>
              <w:tl2br w:val="nil"/>
              <w:tr2bl w:val="nil"/>
            </w:tcBorders>
            <w:noWrap/>
            <w:vAlign w:val="center"/>
          </w:tcPr>
          <w:p w14:paraId="2B0344FB"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8</w:t>
            </w:r>
          </w:p>
        </w:tc>
      </w:tr>
      <w:tr w:rsidR="00376D25" w14:paraId="0F8F55BE" w14:textId="77777777">
        <w:trPr>
          <w:trHeight w:val="260"/>
        </w:trPr>
        <w:tc>
          <w:tcPr>
            <w:tcW w:w="1493" w:type="dxa"/>
            <w:tcBorders>
              <w:tl2br w:val="nil"/>
              <w:tr2bl w:val="nil"/>
            </w:tcBorders>
            <w:noWrap/>
            <w:vAlign w:val="center"/>
          </w:tcPr>
          <w:p w14:paraId="6272D223"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10</w:t>
            </w:r>
          </w:p>
        </w:tc>
        <w:tc>
          <w:tcPr>
            <w:tcW w:w="7448" w:type="dxa"/>
            <w:tcBorders>
              <w:tl2br w:val="nil"/>
              <w:tr2bl w:val="nil"/>
            </w:tcBorders>
            <w:vAlign w:val="center"/>
          </w:tcPr>
          <w:p w14:paraId="69F47BA7" w14:textId="48B1438F" w:rsidR="00376D25" w:rsidRDefault="00000000">
            <w:pPr>
              <w:autoSpaceDE w:val="0"/>
              <w:autoSpaceDN w:val="0"/>
              <w:spacing w:line="240" w:lineRule="atLeast"/>
              <w:ind w:firstLineChars="0" w:firstLine="0"/>
              <w:jc w:val="left"/>
              <w:rPr>
                <w:rFonts w:eastAsia="Calibri" w:cs="Times New Roman"/>
                <w:sz w:val="22"/>
                <w:szCs w:val="22"/>
              </w:rPr>
            </w:pPr>
            <w:r>
              <w:rPr>
                <w:rFonts w:eastAsia="Calibri" w:cs="Times New Roman"/>
                <w:sz w:val="22"/>
                <w:szCs w:val="22"/>
              </w:rPr>
              <w:t>Were the primary outcome measure(s) for the economic evaluation clearly</w:t>
            </w:r>
            <w:r w:rsidR="00622453">
              <w:rPr>
                <w:rFonts w:eastAsiaTheme="minorEastAsia" w:cs="Times New Roman" w:hint="eastAsia"/>
                <w:sz w:val="22"/>
                <w:szCs w:val="22"/>
              </w:rPr>
              <w:t xml:space="preserve"> </w:t>
            </w:r>
            <w:r>
              <w:rPr>
                <w:rFonts w:eastAsia="Calibri" w:cs="Times New Roman"/>
                <w:sz w:val="22"/>
                <w:szCs w:val="22"/>
              </w:rPr>
              <w:t>stated and were the major short-term, long-term, and negative outcomes</w:t>
            </w:r>
            <w:r w:rsidR="00622453">
              <w:rPr>
                <w:rFonts w:eastAsiaTheme="minorEastAsia" w:cs="Times New Roman" w:hint="eastAsia"/>
                <w:sz w:val="22"/>
                <w:szCs w:val="22"/>
              </w:rPr>
              <w:t xml:space="preserve"> </w:t>
            </w:r>
            <w:r>
              <w:rPr>
                <w:rFonts w:eastAsia="Calibri" w:cs="Times New Roman"/>
                <w:sz w:val="22"/>
                <w:szCs w:val="22"/>
              </w:rPr>
              <w:t>included?</w:t>
            </w:r>
          </w:p>
        </w:tc>
        <w:tc>
          <w:tcPr>
            <w:tcW w:w="763" w:type="dxa"/>
            <w:tcBorders>
              <w:tl2br w:val="nil"/>
              <w:tr2bl w:val="nil"/>
            </w:tcBorders>
            <w:noWrap/>
            <w:vAlign w:val="center"/>
          </w:tcPr>
          <w:p w14:paraId="6338A7EF"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6</w:t>
            </w:r>
          </w:p>
        </w:tc>
      </w:tr>
      <w:tr w:rsidR="00376D25" w14:paraId="00B17BDC" w14:textId="77777777">
        <w:trPr>
          <w:trHeight w:val="260"/>
        </w:trPr>
        <w:tc>
          <w:tcPr>
            <w:tcW w:w="1493" w:type="dxa"/>
            <w:tcBorders>
              <w:tl2br w:val="nil"/>
              <w:tr2bl w:val="nil"/>
            </w:tcBorders>
            <w:noWrap/>
            <w:vAlign w:val="center"/>
          </w:tcPr>
          <w:p w14:paraId="08D90C4E"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11</w:t>
            </w:r>
          </w:p>
        </w:tc>
        <w:tc>
          <w:tcPr>
            <w:tcW w:w="7448" w:type="dxa"/>
            <w:tcBorders>
              <w:tl2br w:val="nil"/>
              <w:tr2bl w:val="nil"/>
            </w:tcBorders>
            <w:vAlign w:val="center"/>
          </w:tcPr>
          <w:p w14:paraId="09B9BB3F" w14:textId="7A88ABAA"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the health outcomes measures/scales valid and reliable? If previous</w:t>
            </w:r>
            <w:r w:rsidR="00622453">
              <w:rPr>
                <w:rFonts w:ascii="Times" w:eastAsiaTheme="minorEastAsia" w:hAnsi="Times" w:cs="Arial" w:hint="eastAsia"/>
                <w:color w:val="000000"/>
                <w:sz w:val="22"/>
                <w:szCs w:val="22"/>
              </w:rPr>
              <w:t xml:space="preserve"> </w:t>
            </w:r>
            <w:proofErr w:type="spellStart"/>
            <w:r>
              <w:rPr>
                <w:rFonts w:ascii="Times" w:eastAsia="Calibri" w:hAnsi="Times" w:cs="Arial"/>
                <w:color w:val="000000"/>
                <w:sz w:val="22"/>
                <w:szCs w:val="22"/>
              </w:rPr>
              <w:t>lytested</w:t>
            </w:r>
            <w:proofErr w:type="spellEnd"/>
            <w:r>
              <w:rPr>
                <w:rFonts w:ascii="Times" w:eastAsia="Calibri" w:hAnsi="Times" w:cs="Arial"/>
                <w:color w:val="000000"/>
                <w:sz w:val="22"/>
                <w:szCs w:val="22"/>
              </w:rPr>
              <w:t xml:space="preserve"> valid and reliable measures were not available, was justification</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given for the measures/scales used?</w:t>
            </w:r>
          </w:p>
        </w:tc>
        <w:tc>
          <w:tcPr>
            <w:tcW w:w="763" w:type="dxa"/>
            <w:tcBorders>
              <w:tl2br w:val="nil"/>
              <w:tr2bl w:val="nil"/>
            </w:tcBorders>
            <w:noWrap/>
            <w:vAlign w:val="center"/>
          </w:tcPr>
          <w:p w14:paraId="35510820"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7</w:t>
            </w:r>
          </w:p>
        </w:tc>
      </w:tr>
      <w:tr w:rsidR="00376D25" w14:paraId="1FA73649" w14:textId="77777777">
        <w:trPr>
          <w:trHeight w:val="260"/>
        </w:trPr>
        <w:tc>
          <w:tcPr>
            <w:tcW w:w="1493" w:type="dxa"/>
            <w:tcBorders>
              <w:tl2br w:val="nil"/>
              <w:tr2bl w:val="nil"/>
            </w:tcBorders>
            <w:noWrap/>
            <w:vAlign w:val="center"/>
          </w:tcPr>
          <w:p w14:paraId="33E95E4C"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12</w:t>
            </w:r>
          </w:p>
        </w:tc>
        <w:tc>
          <w:tcPr>
            <w:tcW w:w="7448" w:type="dxa"/>
            <w:tcBorders>
              <w:tl2br w:val="nil"/>
              <w:tr2bl w:val="nil"/>
            </w:tcBorders>
            <w:vAlign w:val="center"/>
          </w:tcPr>
          <w:p w14:paraId="1AD34601" w14:textId="5F69BEA2"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the economic model (including structure), study methods and</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analysis, and the components of the numerator and denominator</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displayed in a clear transparent manner?</w:t>
            </w:r>
          </w:p>
        </w:tc>
        <w:tc>
          <w:tcPr>
            <w:tcW w:w="763" w:type="dxa"/>
            <w:tcBorders>
              <w:tl2br w:val="nil"/>
              <w:tr2bl w:val="nil"/>
            </w:tcBorders>
            <w:noWrap/>
            <w:vAlign w:val="center"/>
          </w:tcPr>
          <w:p w14:paraId="363162C7"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8</w:t>
            </w:r>
          </w:p>
        </w:tc>
      </w:tr>
      <w:tr w:rsidR="00376D25" w14:paraId="0ED707B0" w14:textId="77777777">
        <w:trPr>
          <w:trHeight w:val="260"/>
        </w:trPr>
        <w:tc>
          <w:tcPr>
            <w:tcW w:w="1493" w:type="dxa"/>
            <w:tcBorders>
              <w:tl2br w:val="nil"/>
              <w:tr2bl w:val="nil"/>
            </w:tcBorders>
            <w:noWrap/>
            <w:vAlign w:val="center"/>
          </w:tcPr>
          <w:p w14:paraId="6CDA6356"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13</w:t>
            </w:r>
          </w:p>
        </w:tc>
        <w:tc>
          <w:tcPr>
            <w:tcW w:w="7448" w:type="dxa"/>
            <w:tcBorders>
              <w:tl2br w:val="nil"/>
              <w:tr2bl w:val="nil"/>
            </w:tcBorders>
            <w:vAlign w:val="center"/>
          </w:tcPr>
          <w:p w14:paraId="1121CBC3" w14:textId="76C326EA"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the choice of economic model, main assumptions and limitations of</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the study stated and justified?</w:t>
            </w:r>
          </w:p>
        </w:tc>
        <w:tc>
          <w:tcPr>
            <w:tcW w:w="763" w:type="dxa"/>
            <w:tcBorders>
              <w:tl2br w:val="nil"/>
              <w:tr2bl w:val="nil"/>
            </w:tcBorders>
            <w:noWrap/>
            <w:vAlign w:val="center"/>
          </w:tcPr>
          <w:p w14:paraId="5892B282"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7</w:t>
            </w:r>
          </w:p>
        </w:tc>
      </w:tr>
      <w:tr w:rsidR="00376D25" w14:paraId="3B5B2203" w14:textId="77777777">
        <w:trPr>
          <w:trHeight w:val="260"/>
        </w:trPr>
        <w:tc>
          <w:tcPr>
            <w:tcW w:w="1493" w:type="dxa"/>
            <w:tcBorders>
              <w:tl2br w:val="nil"/>
              <w:tr2bl w:val="nil"/>
            </w:tcBorders>
            <w:noWrap/>
            <w:vAlign w:val="center"/>
          </w:tcPr>
          <w:p w14:paraId="6A4E91F9"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14</w:t>
            </w:r>
          </w:p>
        </w:tc>
        <w:tc>
          <w:tcPr>
            <w:tcW w:w="7448" w:type="dxa"/>
            <w:tcBorders>
              <w:tl2br w:val="nil"/>
              <w:tr2bl w:val="nil"/>
            </w:tcBorders>
            <w:vAlign w:val="center"/>
          </w:tcPr>
          <w:p w14:paraId="6342EFA5" w14:textId="37B8C596"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Did the author(s) explicitly discuss direction and magnitude of potential</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biases?</w:t>
            </w:r>
          </w:p>
        </w:tc>
        <w:tc>
          <w:tcPr>
            <w:tcW w:w="763" w:type="dxa"/>
            <w:tcBorders>
              <w:tl2br w:val="nil"/>
              <w:tr2bl w:val="nil"/>
            </w:tcBorders>
            <w:noWrap/>
            <w:vAlign w:val="center"/>
          </w:tcPr>
          <w:p w14:paraId="19F08641"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6</w:t>
            </w:r>
          </w:p>
        </w:tc>
      </w:tr>
      <w:tr w:rsidR="00376D25" w14:paraId="581BC0DD" w14:textId="77777777">
        <w:trPr>
          <w:trHeight w:val="260"/>
        </w:trPr>
        <w:tc>
          <w:tcPr>
            <w:tcW w:w="1493" w:type="dxa"/>
            <w:tcBorders>
              <w:tl2br w:val="nil"/>
              <w:tr2bl w:val="nil"/>
            </w:tcBorders>
            <w:noWrap/>
            <w:vAlign w:val="center"/>
          </w:tcPr>
          <w:p w14:paraId="3234A1FC"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15</w:t>
            </w:r>
          </w:p>
        </w:tc>
        <w:tc>
          <w:tcPr>
            <w:tcW w:w="7448" w:type="dxa"/>
            <w:tcBorders>
              <w:tl2br w:val="nil"/>
              <w:tr2bl w:val="nil"/>
            </w:tcBorders>
            <w:vAlign w:val="center"/>
          </w:tcPr>
          <w:p w14:paraId="283712AC" w14:textId="4680D898"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Were the conclusions/recommendations of the study justified and based on</w:t>
            </w:r>
            <w:r w:rsidR="00622453">
              <w:rPr>
                <w:rFonts w:ascii="Times" w:eastAsiaTheme="minorEastAsia" w:hAnsi="Times" w:cs="Arial" w:hint="eastAsia"/>
                <w:color w:val="000000"/>
                <w:sz w:val="22"/>
                <w:szCs w:val="22"/>
              </w:rPr>
              <w:t xml:space="preserve"> </w:t>
            </w:r>
            <w:r>
              <w:rPr>
                <w:rFonts w:ascii="Times" w:eastAsia="Calibri" w:hAnsi="Times" w:cs="Arial"/>
                <w:color w:val="000000"/>
                <w:sz w:val="22"/>
                <w:szCs w:val="22"/>
              </w:rPr>
              <w:t>the study results?</w:t>
            </w:r>
          </w:p>
        </w:tc>
        <w:tc>
          <w:tcPr>
            <w:tcW w:w="763" w:type="dxa"/>
            <w:tcBorders>
              <w:tl2br w:val="nil"/>
              <w:tr2bl w:val="nil"/>
            </w:tcBorders>
            <w:noWrap/>
            <w:vAlign w:val="center"/>
          </w:tcPr>
          <w:p w14:paraId="63D406F5"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8</w:t>
            </w:r>
          </w:p>
        </w:tc>
      </w:tr>
      <w:tr w:rsidR="00376D25" w14:paraId="72BABC00" w14:textId="77777777">
        <w:trPr>
          <w:trHeight w:val="89"/>
        </w:trPr>
        <w:tc>
          <w:tcPr>
            <w:tcW w:w="1493" w:type="dxa"/>
            <w:tcBorders>
              <w:tl2br w:val="nil"/>
              <w:tr2bl w:val="nil"/>
            </w:tcBorders>
            <w:noWrap/>
            <w:vAlign w:val="center"/>
          </w:tcPr>
          <w:p w14:paraId="3BC2D2A6"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16</w:t>
            </w:r>
          </w:p>
        </w:tc>
        <w:tc>
          <w:tcPr>
            <w:tcW w:w="7448" w:type="dxa"/>
            <w:tcBorders>
              <w:tl2br w:val="nil"/>
              <w:tr2bl w:val="nil"/>
            </w:tcBorders>
            <w:vAlign w:val="center"/>
          </w:tcPr>
          <w:p w14:paraId="3C180784" w14:textId="77777777" w:rsidR="00376D25" w:rsidRDefault="00000000">
            <w:pPr>
              <w:spacing w:line="240" w:lineRule="atLeast"/>
              <w:ind w:firstLineChars="0" w:firstLine="0"/>
              <w:jc w:val="left"/>
              <w:rPr>
                <w:rFonts w:ascii="Times" w:eastAsia="Calibri" w:hAnsi="Times" w:cs="Arial"/>
                <w:color w:val="000000"/>
                <w:sz w:val="22"/>
                <w:szCs w:val="22"/>
              </w:rPr>
            </w:pPr>
            <w:r>
              <w:rPr>
                <w:rFonts w:ascii="Times" w:eastAsia="Calibri" w:hAnsi="Times" w:cs="Arial"/>
                <w:color w:val="000000"/>
                <w:sz w:val="22"/>
                <w:szCs w:val="22"/>
              </w:rPr>
              <w:t>Was there a statement disclosing the source of funding for the study?</w:t>
            </w:r>
          </w:p>
        </w:tc>
        <w:tc>
          <w:tcPr>
            <w:tcW w:w="763" w:type="dxa"/>
            <w:tcBorders>
              <w:tl2br w:val="nil"/>
              <w:tr2bl w:val="nil"/>
            </w:tcBorders>
            <w:noWrap/>
            <w:vAlign w:val="center"/>
          </w:tcPr>
          <w:p w14:paraId="00E52B4C" w14:textId="77777777" w:rsidR="00376D25" w:rsidRDefault="00000000">
            <w:pPr>
              <w:spacing w:line="240" w:lineRule="atLeast"/>
              <w:ind w:firstLineChars="0" w:firstLine="0"/>
              <w:jc w:val="center"/>
              <w:rPr>
                <w:rFonts w:ascii="Times" w:eastAsia="Times New Roman" w:hAnsi="Times" w:cs="Arial"/>
                <w:color w:val="000000"/>
                <w:sz w:val="22"/>
                <w:szCs w:val="22"/>
              </w:rPr>
            </w:pPr>
            <w:r>
              <w:rPr>
                <w:rFonts w:ascii="Times" w:eastAsia="Times New Roman" w:hAnsi="Times" w:cs="Arial"/>
                <w:color w:val="000000"/>
                <w:sz w:val="22"/>
                <w:szCs w:val="22"/>
              </w:rPr>
              <w:t>3</w:t>
            </w:r>
          </w:p>
        </w:tc>
      </w:tr>
      <w:tr w:rsidR="00376D25" w14:paraId="180A6F5E" w14:textId="77777777">
        <w:trPr>
          <w:trHeight w:val="89"/>
        </w:trPr>
        <w:tc>
          <w:tcPr>
            <w:tcW w:w="1493" w:type="dxa"/>
            <w:tcBorders>
              <w:tl2br w:val="nil"/>
              <w:tr2bl w:val="nil"/>
            </w:tcBorders>
            <w:noWrap/>
            <w:vAlign w:val="center"/>
          </w:tcPr>
          <w:p w14:paraId="00CB5174" w14:textId="77777777" w:rsidR="00376D25" w:rsidRDefault="00000000">
            <w:pPr>
              <w:spacing w:line="240" w:lineRule="atLeast"/>
              <w:ind w:firstLineChars="0" w:firstLine="0"/>
              <w:jc w:val="center"/>
              <w:rPr>
                <w:rFonts w:ascii="Times" w:eastAsia="Times New Roman" w:hAnsi="Times" w:cs="Arial"/>
                <w:b/>
                <w:bCs/>
                <w:color w:val="000000"/>
                <w:sz w:val="22"/>
                <w:szCs w:val="22"/>
              </w:rPr>
            </w:pPr>
            <w:r>
              <w:rPr>
                <w:rFonts w:ascii="Times" w:eastAsia="Times New Roman" w:hAnsi="Times" w:cs="Arial"/>
                <w:b/>
                <w:bCs/>
                <w:color w:val="000000"/>
                <w:sz w:val="22"/>
                <w:szCs w:val="22"/>
              </w:rPr>
              <w:t>Total Points</w:t>
            </w:r>
          </w:p>
        </w:tc>
        <w:tc>
          <w:tcPr>
            <w:tcW w:w="7448" w:type="dxa"/>
            <w:tcBorders>
              <w:tl2br w:val="nil"/>
              <w:tr2bl w:val="nil"/>
            </w:tcBorders>
            <w:vAlign w:val="center"/>
          </w:tcPr>
          <w:p w14:paraId="13007B20" w14:textId="77777777" w:rsidR="00376D25" w:rsidRDefault="00376D25">
            <w:pPr>
              <w:spacing w:line="240" w:lineRule="atLeast"/>
              <w:ind w:firstLineChars="0" w:firstLine="0"/>
              <w:jc w:val="center"/>
              <w:rPr>
                <w:rFonts w:ascii="Times" w:eastAsia="Calibri" w:hAnsi="Times" w:cs="Arial"/>
                <w:b/>
                <w:bCs/>
                <w:color w:val="000000"/>
                <w:sz w:val="22"/>
                <w:szCs w:val="22"/>
              </w:rPr>
            </w:pPr>
          </w:p>
        </w:tc>
        <w:tc>
          <w:tcPr>
            <w:tcW w:w="763" w:type="dxa"/>
            <w:tcBorders>
              <w:tl2br w:val="nil"/>
              <w:tr2bl w:val="nil"/>
            </w:tcBorders>
            <w:noWrap/>
            <w:vAlign w:val="center"/>
          </w:tcPr>
          <w:p w14:paraId="14804602" w14:textId="77777777" w:rsidR="00376D25" w:rsidRDefault="00000000">
            <w:pPr>
              <w:spacing w:line="240" w:lineRule="atLeast"/>
              <w:ind w:firstLineChars="0" w:firstLine="0"/>
              <w:jc w:val="center"/>
              <w:rPr>
                <w:rFonts w:ascii="Times" w:eastAsia="Times New Roman" w:hAnsi="Times" w:cs="Arial"/>
                <w:b/>
                <w:bCs/>
                <w:color w:val="000000"/>
                <w:sz w:val="22"/>
                <w:szCs w:val="22"/>
              </w:rPr>
            </w:pPr>
            <w:r>
              <w:rPr>
                <w:rFonts w:ascii="Times" w:eastAsia="Times New Roman" w:hAnsi="Times" w:cs="Arial"/>
                <w:b/>
                <w:bCs/>
                <w:color w:val="000000"/>
                <w:sz w:val="22"/>
                <w:szCs w:val="22"/>
              </w:rPr>
              <w:t>100</w:t>
            </w:r>
          </w:p>
        </w:tc>
      </w:tr>
    </w:tbl>
    <w:p w14:paraId="635F208E" w14:textId="77777777" w:rsidR="00376D25" w:rsidRDefault="00376D25">
      <w:pPr>
        <w:widowControl/>
        <w:ind w:firstLineChars="0" w:firstLine="0"/>
        <w:jc w:val="center"/>
        <w:textAlignment w:val="center"/>
        <w:rPr>
          <w:rFonts w:eastAsia="黑体" w:cs="等线"/>
          <w:b/>
          <w:bCs/>
          <w:color w:val="000000"/>
          <w:kern w:val="0"/>
          <w:sz w:val="28"/>
          <w:szCs w:val="28"/>
          <w:lang w:bidi="ar"/>
        </w:rPr>
      </w:pPr>
    </w:p>
    <w:p w14:paraId="5370E102" w14:textId="77777777" w:rsidR="00376D25" w:rsidRDefault="00376D25">
      <w:pPr>
        <w:widowControl/>
        <w:ind w:firstLineChars="0" w:firstLine="0"/>
        <w:jc w:val="center"/>
        <w:textAlignment w:val="center"/>
        <w:rPr>
          <w:rFonts w:eastAsia="黑体" w:cs="等线"/>
          <w:b/>
          <w:bCs/>
          <w:color w:val="000000"/>
          <w:kern w:val="0"/>
          <w:sz w:val="28"/>
          <w:szCs w:val="28"/>
          <w:lang w:bidi="ar"/>
        </w:rPr>
        <w:sectPr w:rsidR="00376D25">
          <w:endnotePr>
            <w:numFmt w:val="decimal"/>
          </w:endnotePr>
          <w:pgSz w:w="11906" w:h="16838"/>
          <w:pgMar w:top="1080" w:right="1440" w:bottom="1080" w:left="1440" w:header="851" w:footer="992" w:gutter="0"/>
          <w:cols w:space="425"/>
          <w:docGrid w:type="lines" w:linePitch="312"/>
        </w:sectPr>
      </w:pPr>
    </w:p>
    <w:p w14:paraId="2C74DDCC" w14:textId="77777777" w:rsidR="00376D25" w:rsidRDefault="00000000">
      <w:pPr>
        <w:widowControl/>
        <w:spacing w:line="240" w:lineRule="auto"/>
        <w:ind w:firstLineChars="0" w:firstLine="0"/>
        <w:jc w:val="left"/>
        <w:textAlignment w:val="center"/>
        <w:rPr>
          <w:rFonts w:eastAsia="黑体" w:cs="等线"/>
          <w:color w:val="000000"/>
          <w:kern w:val="0"/>
          <w:sz w:val="22"/>
          <w:szCs w:val="22"/>
          <w:lang w:bidi="ar"/>
        </w:rPr>
      </w:pPr>
      <w:bookmarkStart w:id="0" w:name="OLE_LINK90"/>
      <w:bookmarkStart w:id="1" w:name="OLE_LINK91"/>
      <w:r>
        <w:rPr>
          <w:rFonts w:eastAsia="黑体" w:cs="等线" w:hint="eastAsia"/>
          <w:b/>
          <w:bCs/>
          <w:color w:val="000000"/>
          <w:kern w:val="0"/>
          <w:sz w:val="22"/>
          <w:szCs w:val="22"/>
          <w:lang w:bidi="ar"/>
        </w:rPr>
        <w:lastRenderedPageBreak/>
        <w:t xml:space="preserve">Table 6. </w:t>
      </w:r>
      <w:r>
        <w:rPr>
          <w:rFonts w:eastAsia="黑体" w:cs="等线" w:hint="eastAsia"/>
          <w:color w:val="000000"/>
          <w:kern w:val="0"/>
          <w:sz w:val="22"/>
          <w:szCs w:val="22"/>
          <w:lang w:bidi="ar"/>
        </w:rPr>
        <w:t>Individual Quality of Health Economic Studies (QHES) instrument scores for the 28 included distributional cost-effectiveness analysis studies published from 2017 to 2025.</w:t>
      </w:r>
    </w:p>
    <w:tbl>
      <w:tblPr>
        <w:tblStyle w:val="a9"/>
        <w:tblW w:w="10246" w:type="dxa"/>
        <w:tblInd w:w="-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875"/>
        <w:gridCol w:w="425"/>
        <w:gridCol w:w="425"/>
        <w:gridCol w:w="425"/>
        <w:gridCol w:w="425"/>
        <w:gridCol w:w="425"/>
        <w:gridCol w:w="425"/>
        <w:gridCol w:w="425"/>
        <w:gridCol w:w="425"/>
        <w:gridCol w:w="425"/>
        <w:gridCol w:w="425"/>
        <w:gridCol w:w="425"/>
        <w:gridCol w:w="425"/>
        <w:gridCol w:w="425"/>
        <w:gridCol w:w="425"/>
        <w:gridCol w:w="425"/>
        <w:gridCol w:w="425"/>
        <w:gridCol w:w="718"/>
        <w:gridCol w:w="11"/>
      </w:tblGrid>
      <w:tr w:rsidR="00376D25" w14:paraId="4790A7BD" w14:textId="77777777">
        <w:trPr>
          <w:trHeight w:val="200"/>
        </w:trPr>
        <w:tc>
          <w:tcPr>
            <w:tcW w:w="1842" w:type="dxa"/>
            <w:tcBorders>
              <w:top w:val="single" w:sz="12" w:space="0" w:color="auto"/>
              <w:left w:val="nil"/>
              <w:bottom w:val="nil"/>
              <w:right w:val="nil"/>
            </w:tcBorders>
            <w:noWrap/>
          </w:tcPr>
          <w:p w14:paraId="1A6DAD4F" w14:textId="77777777" w:rsidR="00376D25" w:rsidRDefault="00376D25">
            <w:pPr>
              <w:spacing w:line="240" w:lineRule="atLeast"/>
              <w:ind w:firstLineChars="0" w:firstLine="0"/>
              <w:rPr>
                <w:rFonts w:ascii="Times" w:eastAsia="Calibri" w:hAnsi="Times" w:cs="Times New Roman"/>
                <w:b/>
                <w:bCs/>
                <w:sz w:val="22"/>
                <w:szCs w:val="22"/>
              </w:rPr>
            </w:pPr>
          </w:p>
        </w:tc>
        <w:tc>
          <w:tcPr>
            <w:tcW w:w="875" w:type="dxa"/>
            <w:tcBorders>
              <w:top w:val="single" w:sz="12" w:space="0" w:color="auto"/>
              <w:left w:val="nil"/>
              <w:bottom w:val="nil"/>
              <w:right w:val="nil"/>
            </w:tcBorders>
            <w:noWrap/>
          </w:tcPr>
          <w:p w14:paraId="7C9E6D23" w14:textId="77777777" w:rsidR="00376D25" w:rsidRDefault="00376D25">
            <w:pPr>
              <w:spacing w:line="240" w:lineRule="atLeast"/>
              <w:ind w:firstLineChars="0" w:firstLine="0"/>
              <w:rPr>
                <w:rFonts w:ascii="Times" w:eastAsia="Calibri" w:hAnsi="Times" w:cs="Times New Roman"/>
                <w:b/>
                <w:bCs/>
                <w:sz w:val="22"/>
                <w:szCs w:val="22"/>
              </w:rPr>
            </w:pPr>
          </w:p>
        </w:tc>
        <w:tc>
          <w:tcPr>
            <w:tcW w:w="7529" w:type="dxa"/>
            <w:gridSpan w:val="18"/>
            <w:tcBorders>
              <w:top w:val="single" w:sz="12" w:space="0" w:color="auto"/>
              <w:left w:val="nil"/>
              <w:bottom w:val="nil"/>
              <w:right w:val="nil"/>
            </w:tcBorders>
            <w:noWrap/>
            <w:vAlign w:val="center"/>
          </w:tcPr>
          <w:p w14:paraId="64CDD5D1" w14:textId="77777777" w:rsidR="00376D25" w:rsidRDefault="00000000">
            <w:pPr>
              <w:pBdr>
                <w:bottom w:val="single" w:sz="4" w:space="1" w:color="auto"/>
              </w:pBd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QHES Question</w:t>
            </w:r>
          </w:p>
        </w:tc>
      </w:tr>
      <w:tr w:rsidR="00376D25" w14:paraId="7D001F05" w14:textId="77777777">
        <w:trPr>
          <w:gridAfter w:val="1"/>
          <w:wAfter w:w="11" w:type="dxa"/>
          <w:trHeight w:val="227"/>
        </w:trPr>
        <w:tc>
          <w:tcPr>
            <w:tcW w:w="1842" w:type="dxa"/>
            <w:tcBorders>
              <w:top w:val="nil"/>
              <w:left w:val="nil"/>
              <w:bottom w:val="single" w:sz="8" w:space="0" w:color="auto"/>
              <w:right w:val="nil"/>
            </w:tcBorders>
            <w:noWrap/>
            <w:vAlign w:val="center"/>
          </w:tcPr>
          <w:p w14:paraId="137FDE52"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Lead Author</w:t>
            </w:r>
          </w:p>
        </w:tc>
        <w:tc>
          <w:tcPr>
            <w:tcW w:w="875" w:type="dxa"/>
            <w:tcBorders>
              <w:top w:val="nil"/>
              <w:left w:val="nil"/>
              <w:bottom w:val="single" w:sz="8" w:space="0" w:color="auto"/>
              <w:right w:val="nil"/>
            </w:tcBorders>
            <w:noWrap/>
            <w:vAlign w:val="center"/>
          </w:tcPr>
          <w:p w14:paraId="2B80AF68"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Year</w:t>
            </w:r>
          </w:p>
        </w:tc>
        <w:tc>
          <w:tcPr>
            <w:tcW w:w="425" w:type="dxa"/>
            <w:tcBorders>
              <w:top w:val="nil"/>
              <w:left w:val="nil"/>
              <w:bottom w:val="single" w:sz="8" w:space="0" w:color="auto"/>
              <w:right w:val="nil"/>
            </w:tcBorders>
            <w:noWrap/>
            <w:vAlign w:val="center"/>
          </w:tcPr>
          <w:p w14:paraId="02D5E46E"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w:t>
            </w:r>
          </w:p>
        </w:tc>
        <w:tc>
          <w:tcPr>
            <w:tcW w:w="425" w:type="dxa"/>
            <w:tcBorders>
              <w:top w:val="nil"/>
              <w:left w:val="nil"/>
              <w:bottom w:val="single" w:sz="8" w:space="0" w:color="auto"/>
              <w:right w:val="nil"/>
            </w:tcBorders>
            <w:noWrap/>
            <w:vAlign w:val="center"/>
          </w:tcPr>
          <w:p w14:paraId="62A8F38D"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2</w:t>
            </w:r>
          </w:p>
        </w:tc>
        <w:tc>
          <w:tcPr>
            <w:tcW w:w="425" w:type="dxa"/>
            <w:tcBorders>
              <w:top w:val="nil"/>
              <w:left w:val="nil"/>
              <w:bottom w:val="single" w:sz="8" w:space="0" w:color="auto"/>
              <w:right w:val="nil"/>
            </w:tcBorders>
            <w:noWrap/>
            <w:vAlign w:val="center"/>
          </w:tcPr>
          <w:p w14:paraId="06944CC8"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3</w:t>
            </w:r>
          </w:p>
        </w:tc>
        <w:tc>
          <w:tcPr>
            <w:tcW w:w="425" w:type="dxa"/>
            <w:tcBorders>
              <w:top w:val="nil"/>
              <w:left w:val="nil"/>
              <w:bottom w:val="single" w:sz="8" w:space="0" w:color="auto"/>
              <w:right w:val="nil"/>
            </w:tcBorders>
            <w:noWrap/>
            <w:vAlign w:val="center"/>
          </w:tcPr>
          <w:p w14:paraId="025255FF"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4</w:t>
            </w:r>
          </w:p>
        </w:tc>
        <w:tc>
          <w:tcPr>
            <w:tcW w:w="425" w:type="dxa"/>
            <w:tcBorders>
              <w:top w:val="nil"/>
              <w:left w:val="nil"/>
              <w:bottom w:val="single" w:sz="8" w:space="0" w:color="auto"/>
              <w:right w:val="nil"/>
            </w:tcBorders>
            <w:noWrap/>
            <w:vAlign w:val="center"/>
          </w:tcPr>
          <w:p w14:paraId="2BB9DA1A"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5</w:t>
            </w:r>
          </w:p>
        </w:tc>
        <w:tc>
          <w:tcPr>
            <w:tcW w:w="425" w:type="dxa"/>
            <w:tcBorders>
              <w:top w:val="nil"/>
              <w:left w:val="nil"/>
              <w:bottom w:val="single" w:sz="8" w:space="0" w:color="auto"/>
              <w:right w:val="nil"/>
            </w:tcBorders>
            <w:noWrap/>
            <w:vAlign w:val="center"/>
          </w:tcPr>
          <w:p w14:paraId="13F0CF59"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6</w:t>
            </w:r>
          </w:p>
        </w:tc>
        <w:tc>
          <w:tcPr>
            <w:tcW w:w="425" w:type="dxa"/>
            <w:tcBorders>
              <w:top w:val="nil"/>
              <w:left w:val="nil"/>
              <w:bottom w:val="single" w:sz="8" w:space="0" w:color="auto"/>
              <w:right w:val="nil"/>
            </w:tcBorders>
            <w:noWrap/>
            <w:vAlign w:val="center"/>
          </w:tcPr>
          <w:p w14:paraId="184F40C8"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7</w:t>
            </w:r>
          </w:p>
        </w:tc>
        <w:tc>
          <w:tcPr>
            <w:tcW w:w="425" w:type="dxa"/>
            <w:tcBorders>
              <w:top w:val="nil"/>
              <w:left w:val="nil"/>
              <w:bottom w:val="single" w:sz="8" w:space="0" w:color="auto"/>
              <w:right w:val="nil"/>
            </w:tcBorders>
            <w:noWrap/>
            <w:vAlign w:val="center"/>
          </w:tcPr>
          <w:p w14:paraId="3374FC05"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8</w:t>
            </w:r>
          </w:p>
        </w:tc>
        <w:tc>
          <w:tcPr>
            <w:tcW w:w="425" w:type="dxa"/>
            <w:tcBorders>
              <w:top w:val="nil"/>
              <w:left w:val="nil"/>
              <w:bottom w:val="single" w:sz="8" w:space="0" w:color="auto"/>
              <w:right w:val="nil"/>
            </w:tcBorders>
            <w:noWrap/>
            <w:vAlign w:val="center"/>
          </w:tcPr>
          <w:p w14:paraId="29F50A9C"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9</w:t>
            </w:r>
          </w:p>
        </w:tc>
        <w:tc>
          <w:tcPr>
            <w:tcW w:w="425" w:type="dxa"/>
            <w:tcBorders>
              <w:top w:val="nil"/>
              <w:left w:val="nil"/>
              <w:bottom w:val="single" w:sz="8" w:space="0" w:color="auto"/>
              <w:right w:val="nil"/>
            </w:tcBorders>
            <w:noWrap/>
            <w:vAlign w:val="center"/>
          </w:tcPr>
          <w:p w14:paraId="38A4BE64"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10</w:t>
            </w:r>
          </w:p>
        </w:tc>
        <w:tc>
          <w:tcPr>
            <w:tcW w:w="425" w:type="dxa"/>
            <w:tcBorders>
              <w:top w:val="nil"/>
              <w:left w:val="nil"/>
              <w:bottom w:val="single" w:sz="8" w:space="0" w:color="auto"/>
              <w:right w:val="nil"/>
            </w:tcBorders>
            <w:noWrap/>
            <w:vAlign w:val="center"/>
          </w:tcPr>
          <w:p w14:paraId="2328D341"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11</w:t>
            </w:r>
          </w:p>
        </w:tc>
        <w:tc>
          <w:tcPr>
            <w:tcW w:w="425" w:type="dxa"/>
            <w:tcBorders>
              <w:top w:val="nil"/>
              <w:left w:val="nil"/>
              <w:bottom w:val="single" w:sz="8" w:space="0" w:color="auto"/>
              <w:right w:val="nil"/>
            </w:tcBorders>
            <w:noWrap/>
            <w:vAlign w:val="center"/>
          </w:tcPr>
          <w:p w14:paraId="703D1EAE"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12</w:t>
            </w:r>
          </w:p>
        </w:tc>
        <w:tc>
          <w:tcPr>
            <w:tcW w:w="425" w:type="dxa"/>
            <w:tcBorders>
              <w:top w:val="nil"/>
              <w:left w:val="nil"/>
              <w:bottom w:val="single" w:sz="8" w:space="0" w:color="auto"/>
              <w:right w:val="nil"/>
            </w:tcBorders>
            <w:noWrap/>
            <w:vAlign w:val="center"/>
          </w:tcPr>
          <w:p w14:paraId="73CEF0A5"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13</w:t>
            </w:r>
          </w:p>
        </w:tc>
        <w:tc>
          <w:tcPr>
            <w:tcW w:w="425" w:type="dxa"/>
            <w:tcBorders>
              <w:top w:val="nil"/>
              <w:left w:val="nil"/>
              <w:bottom w:val="single" w:sz="8" w:space="0" w:color="auto"/>
              <w:right w:val="nil"/>
            </w:tcBorders>
            <w:noWrap/>
            <w:vAlign w:val="center"/>
          </w:tcPr>
          <w:p w14:paraId="64F2D875"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14</w:t>
            </w:r>
          </w:p>
        </w:tc>
        <w:tc>
          <w:tcPr>
            <w:tcW w:w="425" w:type="dxa"/>
            <w:tcBorders>
              <w:top w:val="nil"/>
              <w:left w:val="nil"/>
              <w:bottom w:val="single" w:sz="8" w:space="0" w:color="auto"/>
              <w:right w:val="nil"/>
            </w:tcBorders>
            <w:noWrap/>
            <w:vAlign w:val="center"/>
          </w:tcPr>
          <w:p w14:paraId="5366FDB5"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15</w:t>
            </w:r>
          </w:p>
        </w:tc>
        <w:tc>
          <w:tcPr>
            <w:tcW w:w="425" w:type="dxa"/>
            <w:tcBorders>
              <w:top w:val="nil"/>
              <w:left w:val="nil"/>
              <w:bottom w:val="single" w:sz="8" w:space="0" w:color="auto"/>
              <w:right w:val="nil"/>
            </w:tcBorders>
            <w:noWrap/>
            <w:vAlign w:val="center"/>
          </w:tcPr>
          <w:p w14:paraId="311FF69A"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16</w:t>
            </w:r>
          </w:p>
        </w:tc>
        <w:tc>
          <w:tcPr>
            <w:tcW w:w="718" w:type="dxa"/>
            <w:tcBorders>
              <w:top w:val="nil"/>
              <w:left w:val="nil"/>
              <w:bottom w:val="single" w:sz="8" w:space="0" w:color="auto"/>
              <w:right w:val="nil"/>
            </w:tcBorders>
            <w:noWrap/>
            <w:vAlign w:val="center"/>
          </w:tcPr>
          <w:p w14:paraId="3244305D" w14:textId="77777777" w:rsidR="00376D25" w:rsidRDefault="00000000">
            <w:pPr>
              <w:spacing w:line="240" w:lineRule="atLeast"/>
              <w:ind w:firstLineChars="0" w:firstLine="0"/>
              <w:jc w:val="center"/>
              <w:rPr>
                <w:rFonts w:ascii="Times" w:eastAsia="Calibri" w:hAnsi="Times" w:cs="Times New Roman"/>
                <w:b/>
                <w:bCs/>
                <w:sz w:val="22"/>
                <w:szCs w:val="22"/>
              </w:rPr>
            </w:pPr>
            <w:r>
              <w:rPr>
                <w:rFonts w:ascii="Times" w:eastAsia="Calibri" w:hAnsi="Times" w:cs="Times New Roman"/>
                <w:b/>
                <w:bCs/>
                <w:sz w:val="22"/>
                <w:szCs w:val="22"/>
              </w:rPr>
              <w:t>Total</w:t>
            </w:r>
          </w:p>
        </w:tc>
      </w:tr>
      <w:tr w:rsidR="00376D25" w14:paraId="48DC537C" w14:textId="77777777">
        <w:trPr>
          <w:gridAfter w:val="1"/>
          <w:wAfter w:w="11" w:type="dxa"/>
          <w:trHeight w:val="227"/>
        </w:trPr>
        <w:tc>
          <w:tcPr>
            <w:tcW w:w="1842" w:type="dxa"/>
            <w:tcBorders>
              <w:top w:val="single" w:sz="8" w:space="0" w:color="auto"/>
            </w:tcBorders>
            <w:noWrap/>
            <w:vAlign w:val="center"/>
          </w:tcPr>
          <w:p w14:paraId="08B30EB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Campos, et al.</w:t>
            </w:r>
          </w:p>
        </w:tc>
        <w:tc>
          <w:tcPr>
            <w:tcW w:w="875" w:type="dxa"/>
            <w:tcBorders>
              <w:top w:val="single" w:sz="8" w:space="0" w:color="auto"/>
            </w:tcBorders>
            <w:noWrap/>
            <w:vAlign w:val="center"/>
          </w:tcPr>
          <w:p w14:paraId="5848146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2017</w:t>
            </w:r>
          </w:p>
        </w:tc>
        <w:tc>
          <w:tcPr>
            <w:tcW w:w="425" w:type="dxa"/>
            <w:tcBorders>
              <w:top w:val="single" w:sz="8" w:space="0" w:color="auto"/>
            </w:tcBorders>
            <w:noWrap/>
            <w:vAlign w:val="center"/>
          </w:tcPr>
          <w:p w14:paraId="6043039D"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tcBorders>
              <w:top w:val="single" w:sz="8" w:space="0" w:color="auto"/>
            </w:tcBorders>
            <w:noWrap/>
            <w:vAlign w:val="center"/>
          </w:tcPr>
          <w:p w14:paraId="05EE7C3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tcBorders>
              <w:top w:val="single" w:sz="8" w:space="0" w:color="auto"/>
            </w:tcBorders>
            <w:noWrap/>
            <w:vAlign w:val="center"/>
          </w:tcPr>
          <w:p w14:paraId="2920568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top w:val="single" w:sz="8" w:space="0" w:color="auto"/>
            </w:tcBorders>
            <w:noWrap/>
            <w:vAlign w:val="center"/>
          </w:tcPr>
          <w:p w14:paraId="58A5096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tcBorders>
              <w:top w:val="single" w:sz="8" w:space="0" w:color="auto"/>
            </w:tcBorders>
            <w:noWrap/>
            <w:vAlign w:val="center"/>
          </w:tcPr>
          <w:p w14:paraId="4E66BEB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tcBorders>
              <w:top w:val="single" w:sz="8" w:space="0" w:color="auto"/>
            </w:tcBorders>
            <w:noWrap/>
            <w:vAlign w:val="center"/>
          </w:tcPr>
          <w:p w14:paraId="56B017F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top w:val="single" w:sz="8" w:space="0" w:color="auto"/>
            </w:tcBorders>
            <w:noWrap/>
            <w:vAlign w:val="center"/>
          </w:tcPr>
          <w:p w14:paraId="3C9497F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tcBorders>
              <w:top w:val="single" w:sz="8" w:space="0" w:color="auto"/>
            </w:tcBorders>
            <w:noWrap/>
            <w:vAlign w:val="center"/>
          </w:tcPr>
          <w:p w14:paraId="2B96461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top w:val="single" w:sz="8" w:space="0" w:color="auto"/>
            </w:tcBorders>
            <w:noWrap/>
            <w:vAlign w:val="center"/>
          </w:tcPr>
          <w:p w14:paraId="3F0B505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top w:val="single" w:sz="8" w:space="0" w:color="auto"/>
            </w:tcBorders>
            <w:noWrap/>
            <w:vAlign w:val="center"/>
          </w:tcPr>
          <w:p w14:paraId="3015389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top w:val="single" w:sz="8" w:space="0" w:color="auto"/>
            </w:tcBorders>
            <w:noWrap/>
            <w:vAlign w:val="center"/>
          </w:tcPr>
          <w:p w14:paraId="392830A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top w:val="single" w:sz="8" w:space="0" w:color="auto"/>
            </w:tcBorders>
            <w:noWrap/>
            <w:vAlign w:val="center"/>
          </w:tcPr>
          <w:p w14:paraId="55DE401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top w:val="single" w:sz="8" w:space="0" w:color="auto"/>
            </w:tcBorders>
            <w:noWrap/>
            <w:vAlign w:val="center"/>
          </w:tcPr>
          <w:p w14:paraId="4A4CB32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top w:val="single" w:sz="8" w:space="0" w:color="auto"/>
            </w:tcBorders>
            <w:noWrap/>
            <w:vAlign w:val="center"/>
          </w:tcPr>
          <w:p w14:paraId="7B80C27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top w:val="single" w:sz="8" w:space="0" w:color="auto"/>
            </w:tcBorders>
            <w:noWrap/>
            <w:vAlign w:val="center"/>
          </w:tcPr>
          <w:p w14:paraId="15B23CE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top w:val="single" w:sz="8" w:space="0" w:color="auto"/>
            </w:tcBorders>
            <w:noWrap/>
            <w:vAlign w:val="center"/>
          </w:tcPr>
          <w:p w14:paraId="71D66D2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tcBorders>
              <w:top w:val="single" w:sz="8" w:space="0" w:color="auto"/>
            </w:tcBorders>
            <w:noWrap/>
            <w:vAlign w:val="center"/>
          </w:tcPr>
          <w:p w14:paraId="4A26AD8A"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96</w:t>
            </w:r>
          </w:p>
        </w:tc>
      </w:tr>
      <w:tr w:rsidR="00376D25" w14:paraId="57A3D2C3" w14:textId="77777777">
        <w:trPr>
          <w:gridAfter w:val="1"/>
          <w:wAfter w:w="11" w:type="dxa"/>
          <w:trHeight w:val="227"/>
        </w:trPr>
        <w:tc>
          <w:tcPr>
            <w:tcW w:w="1842" w:type="dxa"/>
            <w:noWrap/>
            <w:vAlign w:val="center"/>
          </w:tcPr>
          <w:p w14:paraId="477B99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Dawkins, et al.</w:t>
            </w:r>
          </w:p>
        </w:tc>
        <w:tc>
          <w:tcPr>
            <w:tcW w:w="875" w:type="dxa"/>
            <w:noWrap/>
            <w:vAlign w:val="center"/>
          </w:tcPr>
          <w:p w14:paraId="6BB9110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425" w:type="dxa"/>
            <w:noWrap/>
            <w:vAlign w:val="center"/>
          </w:tcPr>
          <w:p w14:paraId="35D043F7"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11CC3A9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62EF8C5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AE8B4C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6C6B62A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6EB5456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B34C0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71D3B6C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218DEF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F2F8E5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E737D5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F9B2F6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F76EF0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10BD447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47F7C65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78009C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56034CBD"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89</w:t>
            </w:r>
          </w:p>
        </w:tc>
      </w:tr>
      <w:tr w:rsidR="00376D25" w14:paraId="20A91974" w14:textId="77777777">
        <w:trPr>
          <w:gridAfter w:val="1"/>
          <w:wAfter w:w="11" w:type="dxa"/>
          <w:trHeight w:val="227"/>
        </w:trPr>
        <w:tc>
          <w:tcPr>
            <w:tcW w:w="1842" w:type="dxa"/>
            <w:noWrap/>
            <w:vAlign w:val="center"/>
          </w:tcPr>
          <w:p w14:paraId="42D9767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Lee, et al.</w:t>
            </w:r>
          </w:p>
        </w:tc>
        <w:tc>
          <w:tcPr>
            <w:tcW w:w="875" w:type="dxa"/>
            <w:noWrap/>
            <w:vAlign w:val="center"/>
          </w:tcPr>
          <w:p w14:paraId="2BA2246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425" w:type="dxa"/>
            <w:noWrap/>
            <w:vAlign w:val="center"/>
          </w:tcPr>
          <w:p w14:paraId="065B11E2"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6EC9C0B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4CF461B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65471F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00A58A3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69B5411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98FF88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533D8C0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7B31216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6DC911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6B608D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07D63B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25672E0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25DDED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63ADA8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ADF94D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6E5DD45E"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76</w:t>
            </w:r>
          </w:p>
        </w:tc>
      </w:tr>
      <w:tr w:rsidR="00376D25" w14:paraId="0A8095F4" w14:textId="77777777">
        <w:trPr>
          <w:gridAfter w:val="1"/>
          <w:wAfter w:w="11" w:type="dxa"/>
          <w:trHeight w:val="227"/>
        </w:trPr>
        <w:tc>
          <w:tcPr>
            <w:tcW w:w="1842" w:type="dxa"/>
            <w:noWrap/>
            <w:vAlign w:val="center"/>
          </w:tcPr>
          <w:p w14:paraId="124241F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Chang, et al.</w:t>
            </w:r>
          </w:p>
        </w:tc>
        <w:tc>
          <w:tcPr>
            <w:tcW w:w="875" w:type="dxa"/>
            <w:noWrap/>
            <w:vAlign w:val="center"/>
          </w:tcPr>
          <w:p w14:paraId="12EA98B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425" w:type="dxa"/>
            <w:noWrap/>
            <w:vAlign w:val="center"/>
          </w:tcPr>
          <w:p w14:paraId="4CF1B6D1"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6FFF3FF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2E4526D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DEEFC2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444CA1B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AE5984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650F42E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586FF8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77057C7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884B15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593C41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0D6D21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C46A27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CD438A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48D3A3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8FE9BD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6AAD0408"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83</w:t>
            </w:r>
          </w:p>
        </w:tc>
      </w:tr>
      <w:tr w:rsidR="00376D25" w14:paraId="5E583996" w14:textId="77777777">
        <w:trPr>
          <w:gridAfter w:val="1"/>
          <w:wAfter w:w="11" w:type="dxa"/>
          <w:trHeight w:val="227"/>
        </w:trPr>
        <w:tc>
          <w:tcPr>
            <w:tcW w:w="1842" w:type="dxa"/>
            <w:noWrap/>
            <w:vAlign w:val="center"/>
          </w:tcPr>
          <w:p w14:paraId="02056C7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Arnold, et al.</w:t>
            </w:r>
          </w:p>
        </w:tc>
        <w:tc>
          <w:tcPr>
            <w:tcW w:w="875" w:type="dxa"/>
            <w:noWrap/>
            <w:vAlign w:val="center"/>
          </w:tcPr>
          <w:p w14:paraId="251EB4E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2020</w:t>
            </w:r>
          </w:p>
        </w:tc>
        <w:tc>
          <w:tcPr>
            <w:tcW w:w="425" w:type="dxa"/>
            <w:noWrap/>
            <w:vAlign w:val="center"/>
          </w:tcPr>
          <w:p w14:paraId="260EA0B8"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1A38701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022FD8A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097330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438E059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3A784A9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3D31F9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456F79F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60A69C3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2C4FA7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9C9C8C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D28457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2CFD075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210A30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34A088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A35C82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5C4BADD2"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81</w:t>
            </w:r>
          </w:p>
        </w:tc>
      </w:tr>
      <w:tr w:rsidR="00376D25" w14:paraId="2EE02484" w14:textId="77777777">
        <w:trPr>
          <w:gridAfter w:val="1"/>
          <w:wAfter w:w="11" w:type="dxa"/>
          <w:trHeight w:val="227"/>
        </w:trPr>
        <w:tc>
          <w:tcPr>
            <w:tcW w:w="1842" w:type="dxa"/>
            <w:noWrap/>
            <w:vAlign w:val="center"/>
          </w:tcPr>
          <w:p w14:paraId="79A629B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Collins, et al.</w:t>
            </w:r>
          </w:p>
        </w:tc>
        <w:tc>
          <w:tcPr>
            <w:tcW w:w="875" w:type="dxa"/>
            <w:noWrap/>
            <w:vAlign w:val="center"/>
          </w:tcPr>
          <w:p w14:paraId="769A9BA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2020</w:t>
            </w:r>
          </w:p>
        </w:tc>
        <w:tc>
          <w:tcPr>
            <w:tcW w:w="425" w:type="dxa"/>
            <w:noWrap/>
            <w:vAlign w:val="center"/>
          </w:tcPr>
          <w:p w14:paraId="24535288"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2B91E9A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17BE432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922F69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4D5A433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AD1585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C36E6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13F829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C8078F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7ACC35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9CDC76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6669CB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99624F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01407F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B8192F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4EF4B6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1B2D2B3B"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35A7EFA3" w14:textId="77777777">
        <w:trPr>
          <w:gridAfter w:val="1"/>
          <w:wAfter w:w="11" w:type="dxa"/>
          <w:trHeight w:val="227"/>
        </w:trPr>
        <w:tc>
          <w:tcPr>
            <w:tcW w:w="1842" w:type="dxa"/>
            <w:noWrap/>
            <w:vAlign w:val="center"/>
          </w:tcPr>
          <w:p w14:paraId="67E5AAA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Love-Koh, et al.</w:t>
            </w:r>
          </w:p>
        </w:tc>
        <w:tc>
          <w:tcPr>
            <w:tcW w:w="875" w:type="dxa"/>
            <w:noWrap/>
            <w:vAlign w:val="center"/>
          </w:tcPr>
          <w:p w14:paraId="70CFB1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2020</w:t>
            </w:r>
          </w:p>
        </w:tc>
        <w:tc>
          <w:tcPr>
            <w:tcW w:w="425" w:type="dxa"/>
            <w:noWrap/>
            <w:vAlign w:val="center"/>
          </w:tcPr>
          <w:p w14:paraId="6AE0868D"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4296B25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2A450C8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5FE44C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76A04BF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7E8E66B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807789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1A9E0F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3D275E3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A55FD3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FE0A27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7C4930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B4871E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547151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3001F1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6B4AC9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3C4EC9FE"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785C700F" w14:textId="77777777">
        <w:trPr>
          <w:gridAfter w:val="1"/>
          <w:wAfter w:w="11" w:type="dxa"/>
          <w:trHeight w:val="227"/>
        </w:trPr>
        <w:tc>
          <w:tcPr>
            <w:tcW w:w="1842" w:type="dxa"/>
            <w:noWrap/>
            <w:vAlign w:val="center"/>
          </w:tcPr>
          <w:p w14:paraId="06A11C4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Love-Koh, et al.</w:t>
            </w:r>
          </w:p>
        </w:tc>
        <w:tc>
          <w:tcPr>
            <w:tcW w:w="875" w:type="dxa"/>
            <w:noWrap/>
            <w:vAlign w:val="center"/>
          </w:tcPr>
          <w:p w14:paraId="6DC798E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2021</w:t>
            </w:r>
          </w:p>
        </w:tc>
        <w:tc>
          <w:tcPr>
            <w:tcW w:w="425" w:type="dxa"/>
            <w:noWrap/>
            <w:vAlign w:val="center"/>
          </w:tcPr>
          <w:p w14:paraId="1D40C097"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5829140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3AF2531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D699D0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57BAC87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33A8BD9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B7F281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083113E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5DD65F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4248E9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97DF22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3FC03CE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CEC54B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17B97B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D777AF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BB5B79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554FFAFC"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89</w:t>
            </w:r>
          </w:p>
        </w:tc>
      </w:tr>
      <w:tr w:rsidR="00376D25" w14:paraId="30409010" w14:textId="77777777">
        <w:trPr>
          <w:gridAfter w:val="1"/>
          <w:wAfter w:w="11" w:type="dxa"/>
          <w:trHeight w:val="227"/>
        </w:trPr>
        <w:tc>
          <w:tcPr>
            <w:tcW w:w="1842" w:type="dxa"/>
            <w:noWrap/>
            <w:vAlign w:val="center"/>
          </w:tcPr>
          <w:p w14:paraId="0D43D97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Quan, et al.</w:t>
            </w:r>
          </w:p>
        </w:tc>
        <w:tc>
          <w:tcPr>
            <w:tcW w:w="875" w:type="dxa"/>
            <w:noWrap/>
            <w:vAlign w:val="center"/>
          </w:tcPr>
          <w:p w14:paraId="7EFAD1B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2021</w:t>
            </w:r>
          </w:p>
        </w:tc>
        <w:tc>
          <w:tcPr>
            <w:tcW w:w="425" w:type="dxa"/>
            <w:noWrap/>
            <w:vAlign w:val="center"/>
          </w:tcPr>
          <w:p w14:paraId="774B723A"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246A0FE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13F031D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0B4A55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2D373F0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3B7A2CF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91BC5E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983F9B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70F06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66B832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593FEA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99C69E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098006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254A4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429FDC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9F9892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050F1FB8"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492A5710" w14:textId="77777777">
        <w:trPr>
          <w:gridAfter w:val="1"/>
          <w:wAfter w:w="11" w:type="dxa"/>
          <w:trHeight w:val="227"/>
        </w:trPr>
        <w:tc>
          <w:tcPr>
            <w:tcW w:w="1842" w:type="dxa"/>
            <w:noWrap/>
            <w:vAlign w:val="center"/>
          </w:tcPr>
          <w:p w14:paraId="37E394D3" w14:textId="77777777" w:rsidR="00376D25" w:rsidRDefault="00000000">
            <w:pPr>
              <w:widowControl/>
              <w:spacing w:line="240" w:lineRule="atLeast"/>
              <w:ind w:firstLineChars="0" w:firstLine="0"/>
              <w:jc w:val="center"/>
              <w:textAlignment w:val="center"/>
              <w:rPr>
                <w:rFonts w:cs="Times New Roman"/>
                <w:color w:val="231F20"/>
                <w:sz w:val="20"/>
                <w:szCs w:val="20"/>
              </w:rPr>
            </w:pPr>
            <w:r>
              <w:rPr>
                <w:rFonts w:cs="Times New Roman"/>
                <w:color w:val="000000"/>
                <w:kern w:val="0"/>
                <w:sz w:val="20"/>
                <w:szCs w:val="20"/>
                <w:lang w:bidi="ar"/>
              </w:rPr>
              <w:t>Olsen, et al.</w:t>
            </w:r>
          </w:p>
        </w:tc>
        <w:tc>
          <w:tcPr>
            <w:tcW w:w="875" w:type="dxa"/>
            <w:noWrap/>
            <w:vAlign w:val="center"/>
          </w:tcPr>
          <w:p w14:paraId="30D1226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2021</w:t>
            </w:r>
          </w:p>
        </w:tc>
        <w:tc>
          <w:tcPr>
            <w:tcW w:w="425" w:type="dxa"/>
            <w:noWrap/>
            <w:vAlign w:val="center"/>
          </w:tcPr>
          <w:p w14:paraId="62222C73"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54101FD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09A2D38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6989F2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681E8A3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76A91AC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075F48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5831BE0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753B8C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1E3B66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7D8812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7DF8DD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650137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907B13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725937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797476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4199ED1D"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87</w:t>
            </w:r>
          </w:p>
        </w:tc>
      </w:tr>
      <w:tr w:rsidR="00376D25" w14:paraId="2BD394D3" w14:textId="77777777">
        <w:trPr>
          <w:gridAfter w:val="1"/>
          <w:wAfter w:w="11" w:type="dxa"/>
          <w:trHeight w:val="227"/>
        </w:trPr>
        <w:tc>
          <w:tcPr>
            <w:tcW w:w="1842" w:type="dxa"/>
            <w:noWrap/>
            <w:vAlign w:val="center"/>
          </w:tcPr>
          <w:p w14:paraId="785ADF5E" w14:textId="77777777" w:rsidR="00376D25" w:rsidRDefault="00000000">
            <w:pPr>
              <w:widowControl/>
              <w:spacing w:line="240" w:lineRule="atLeast"/>
              <w:ind w:firstLineChars="0" w:firstLine="0"/>
              <w:jc w:val="center"/>
              <w:textAlignment w:val="center"/>
              <w:rPr>
                <w:rFonts w:cs="Times New Roman"/>
                <w:color w:val="231F20"/>
                <w:sz w:val="20"/>
                <w:szCs w:val="20"/>
              </w:rPr>
            </w:pPr>
            <w:r>
              <w:rPr>
                <w:rFonts w:cs="Times New Roman"/>
                <w:color w:val="000000"/>
                <w:kern w:val="0"/>
                <w:sz w:val="20"/>
                <w:szCs w:val="20"/>
                <w:lang w:bidi="ar"/>
              </w:rPr>
              <w:t>Kowal, et al.</w:t>
            </w:r>
          </w:p>
        </w:tc>
        <w:tc>
          <w:tcPr>
            <w:tcW w:w="875" w:type="dxa"/>
            <w:noWrap/>
            <w:vAlign w:val="center"/>
          </w:tcPr>
          <w:p w14:paraId="51382231"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7184942E"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0635958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50B56C2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B03CCE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3BD933A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69F772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EAB7CD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3E23F1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699B4BA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5B2B1B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357B39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69144A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E02A4B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676AEB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21A7ED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D80294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68BCBE0B"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93</w:t>
            </w:r>
          </w:p>
        </w:tc>
      </w:tr>
      <w:tr w:rsidR="00376D25" w14:paraId="35A8156B" w14:textId="77777777">
        <w:trPr>
          <w:gridAfter w:val="1"/>
          <w:wAfter w:w="11" w:type="dxa"/>
          <w:trHeight w:val="227"/>
        </w:trPr>
        <w:tc>
          <w:tcPr>
            <w:tcW w:w="1842" w:type="dxa"/>
            <w:noWrap/>
            <w:vAlign w:val="center"/>
          </w:tcPr>
          <w:p w14:paraId="6F011A8C" w14:textId="77777777" w:rsidR="00376D25" w:rsidRDefault="00000000">
            <w:pPr>
              <w:widowControl/>
              <w:spacing w:line="240" w:lineRule="atLeast"/>
              <w:ind w:firstLineChars="0" w:firstLine="0"/>
              <w:jc w:val="center"/>
              <w:textAlignment w:val="center"/>
              <w:rPr>
                <w:rFonts w:cs="Times New Roman"/>
                <w:color w:val="231F20"/>
                <w:sz w:val="20"/>
                <w:szCs w:val="20"/>
              </w:rPr>
            </w:pPr>
            <w:r>
              <w:rPr>
                <w:rFonts w:cs="Times New Roman"/>
                <w:color w:val="000000"/>
                <w:kern w:val="0"/>
                <w:sz w:val="20"/>
                <w:szCs w:val="20"/>
                <w:lang w:bidi="ar"/>
              </w:rPr>
              <w:t>Meunier, et al.</w:t>
            </w:r>
          </w:p>
        </w:tc>
        <w:tc>
          <w:tcPr>
            <w:tcW w:w="875" w:type="dxa"/>
            <w:noWrap/>
            <w:vAlign w:val="center"/>
          </w:tcPr>
          <w:p w14:paraId="18645A0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5CDEB168"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6648CE1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1216B34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BE9693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147721F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395E4A7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15C3D6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7AAC87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47E11AA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1C9732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4852A4B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586A1C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8F9353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B7A9A3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97A8AF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D3209E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73B303DC"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93</w:t>
            </w:r>
          </w:p>
        </w:tc>
      </w:tr>
      <w:tr w:rsidR="00376D25" w14:paraId="342EFD5C" w14:textId="77777777">
        <w:trPr>
          <w:gridAfter w:val="1"/>
          <w:wAfter w:w="11" w:type="dxa"/>
          <w:trHeight w:val="227"/>
        </w:trPr>
        <w:tc>
          <w:tcPr>
            <w:tcW w:w="1842" w:type="dxa"/>
            <w:noWrap/>
            <w:vAlign w:val="center"/>
          </w:tcPr>
          <w:p w14:paraId="0C4A8583"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Goshua</w:t>
            </w:r>
            <w:proofErr w:type="spellEnd"/>
            <w:r>
              <w:rPr>
                <w:rFonts w:cs="Times New Roman"/>
                <w:color w:val="000000"/>
                <w:kern w:val="0"/>
                <w:sz w:val="20"/>
                <w:szCs w:val="20"/>
                <w:lang w:bidi="ar"/>
              </w:rPr>
              <w:t>, et al.</w:t>
            </w:r>
          </w:p>
        </w:tc>
        <w:tc>
          <w:tcPr>
            <w:tcW w:w="875" w:type="dxa"/>
            <w:noWrap/>
            <w:vAlign w:val="center"/>
          </w:tcPr>
          <w:p w14:paraId="21F0ABB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28F74226"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30B1830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24FC41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C5BD23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699DC8B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652A5B9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50794E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2EE849D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065BAD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9BD75A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456DC8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3564F7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132E21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8187B1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E3759C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C7B1BB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69E29304"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7913BF73" w14:textId="77777777">
        <w:trPr>
          <w:gridAfter w:val="1"/>
          <w:wAfter w:w="11" w:type="dxa"/>
          <w:trHeight w:val="227"/>
        </w:trPr>
        <w:tc>
          <w:tcPr>
            <w:tcW w:w="1842" w:type="dxa"/>
            <w:noWrap/>
            <w:vAlign w:val="center"/>
          </w:tcPr>
          <w:p w14:paraId="09BA8466"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Assebe</w:t>
            </w:r>
            <w:proofErr w:type="spellEnd"/>
            <w:r>
              <w:rPr>
                <w:rFonts w:cs="Times New Roman"/>
                <w:color w:val="000000"/>
                <w:kern w:val="0"/>
                <w:sz w:val="20"/>
                <w:szCs w:val="20"/>
                <w:lang w:bidi="ar"/>
              </w:rPr>
              <w:t>, et al.</w:t>
            </w:r>
          </w:p>
        </w:tc>
        <w:tc>
          <w:tcPr>
            <w:tcW w:w="875" w:type="dxa"/>
            <w:noWrap/>
            <w:vAlign w:val="center"/>
          </w:tcPr>
          <w:p w14:paraId="5375E59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6CF5B5F5"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29526B9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59F770B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4AC71B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6693C47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DE4BF2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B87192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68DCFE6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117A9D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3DAF4A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1E8347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432568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A2DDBE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C58F83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C3645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907720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DADA15A"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96</w:t>
            </w:r>
          </w:p>
        </w:tc>
      </w:tr>
      <w:tr w:rsidR="00376D25" w14:paraId="65FD5260" w14:textId="77777777">
        <w:trPr>
          <w:gridAfter w:val="1"/>
          <w:wAfter w:w="11" w:type="dxa"/>
          <w:trHeight w:val="227"/>
        </w:trPr>
        <w:tc>
          <w:tcPr>
            <w:tcW w:w="1842" w:type="dxa"/>
            <w:noWrap/>
            <w:vAlign w:val="center"/>
          </w:tcPr>
          <w:p w14:paraId="05A4A31B"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Killedar</w:t>
            </w:r>
            <w:proofErr w:type="spellEnd"/>
            <w:r>
              <w:rPr>
                <w:rFonts w:cs="Times New Roman"/>
                <w:color w:val="000000"/>
                <w:kern w:val="0"/>
                <w:sz w:val="20"/>
                <w:szCs w:val="20"/>
                <w:lang w:bidi="ar"/>
              </w:rPr>
              <w:t>, et al.</w:t>
            </w:r>
          </w:p>
        </w:tc>
        <w:tc>
          <w:tcPr>
            <w:tcW w:w="875" w:type="dxa"/>
            <w:noWrap/>
            <w:vAlign w:val="center"/>
          </w:tcPr>
          <w:p w14:paraId="1811EDE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02E02EAE"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6D6B7D6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4FB7FC5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0579D0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1C30A53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13FBA6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4DEBF7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0063D4A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0E0F84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1A0D8A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2A4CE0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781A20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33220E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5249AC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85296D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3727CB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4A276FEA"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05F23979" w14:textId="77777777">
        <w:trPr>
          <w:gridAfter w:val="1"/>
          <w:wAfter w:w="11" w:type="dxa"/>
          <w:trHeight w:val="227"/>
        </w:trPr>
        <w:tc>
          <w:tcPr>
            <w:tcW w:w="1842" w:type="dxa"/>
            <w:noWrap/>
            <w:vAlign w:val="center"/>
          </w:tcPr>
          <w:p w14:paraId="424E1C1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Kwon, et al.</w:t>
            </w:r>
          </w:p>
        </w:tc>
        <w:tc>
          <w:tcPr>
            <w:tcW w:w="875" w:type="dxa"/>
            <w:noWrap/>
            <w:vAlign w:val="center"/>
          </w:tcPr>
          <w:p w14:paraId="4997A74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2023</w:t>
            </w:r>
          </w:p>
        </w:tc>
        <w:tc>
          <w:tcPr>
            <w:tcW w:w="425" w:type="dxa"/>
            <w:noWrap/>
            <w:vAlign w:val="center"/>
          </w:tcPr>
          <w:p w14:paraId="59F9D065"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5FBC9EF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622B2F4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DC10C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62134C2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95CB68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4D239E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6003E78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0D5D7A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6BEB83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DAE300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E758E2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EDA5F0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A7D78A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A89521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120010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53D3F887"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19438B16" w14:textId="77777777">
        <w:trPr>
          <w:gridAfter w:val="1"/>
          <w:wAfter w:w="11" w:type="dxa"/>
          <w:trHeight w:val="227"/>
        </w:trPr>
        <w:tc>
          <w:tcPr>
            <w:tcW w:w="1842" w:type="dxa"/>
            <w:noWrap/>
            <w:vAlign w:val="center"/>
          </w:tcPr>
          <w:p w14:paraId="3893960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Meunier, et al.</w:t>
            </w:r>
          </w:p>
        </w:tc>
        <w:tc>
          <w:tcPr>
            <w:tcW w:w="875" w:type="dxa"/>
            <w:noWrap/>
            <w:vAlign w:val="center"/>
          </w:tcPr>
          <w:p w14:paraId="10F021F4"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425" w:type="dxa"/>
            <w:noWrap/>
            <w:vAlign w:val="center"/>
          </w:tcPr>
          <w:p w14:paraId="67534E14"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01E7373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1E3D628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3F9244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77F12C0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7A32F4E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FE99B7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0FFE90A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33FF4D4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44365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88C0E9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017872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1A898A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BF5A61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9F2DE1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53FB2C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7B9AD8C"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93</w:t>
            </w:r>
          </w:p>
        </w:tc>
      </w:tr>
      <w:tr w:rsidR="00376D25" w14:paraId="5226D804" w14:textId="77777777">
        <w:trPr>
          <w:gridAfter w:val="1"/>
          <w:wAfter w:w="11" w:type="dxa"/>
          <w:trHeight w:val="227"/>
        </w:trPr>
        <w:tc>
          <w:tcPr>
            <w:tcW w:w="1842" w:type="dxa"/>
            <w:noWrap/>
            <w:vAlign w:val="center"/>
          </w:tcPr>
          <w:p w14:paraId="4F3B797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Synnott, et al.</w:t>
            </w:r>
          </w:p>
        </w:tc>
        <w:tc>
          <w:tcPr>
            <w:tcW w:w="875" w:type="dxa"/>
            <w:noWrap/>
            <w:vAlign w:val="center"/>
          </w:tcPr>
          <w:p w14:paraId="37AEFBE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425" w:type="dxa"/>
            <w:noWrap/>
            <w:vAlign w:val="center"/>
          </w:tcPr>
          <w:p w14:paraId="4F03BA6B"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5D13765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4EB078F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31CA75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5D4D979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04BE536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492697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4FE3D16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71E5C6A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7027A7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51FF41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5E3717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185BA8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4251990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4F6835B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BE0E88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E461881"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84</w:t>
            </w:r>
          </w:p>
        </w:tc>
      </w:tr>
      <w:tr w:rsidR="00376D25" w14:paraId="0D6BCB35" w14:textId="77777777">
        <w:trPr>
          <w:gridAfter w:val="1"/>
          <w:wAfter w:w="11" w:type="dxa"/>
          <w:trHeight w:val="227"/>
        </w:trPr>
        <w:tc>
          <w:tcPr>
            <w:tcW w:w="1842" w:type="dxa"/>
            <w:noWrap/>
            <w:vAlign w:val="center"/>
          </w:tcPr>
          <w:p w14:paraId="3739F26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Biundo, et al.</w:t>
            </w:r>
          </w:p>
        </w:tc>
        <w:tc>
          <w:tcPr>
            <w:tcW w:w="875" w:type="dxa"/>
            <w:noWrap/>
            <w:vAlign w:val="center"/>
          </w:tcPr>
          <w:p w14:paraId="451581A2"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425" w:type="dxa"/>
            <w:noWrap/>
            <w:vAlign w:val="center"/>
          </w:tcPr>
          <w:p w14:paraId="651AF55F"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56442F5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10D87FF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CB2B18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4E52413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49DCB4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48B4D6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F24A17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B53054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AFD833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A9F2DA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7A6DEE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7C2BE4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509982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C1E25F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BA472B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3ED1B078"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91</w:t>
            </w:r>
          </w:p>
        </w:tc>
      </w:tr>
      <w:tr w:rsidR="00376D25" w14:paraId="1126C28F" w14:textId="77777777">
        <w:trPr>
          <w:gridAfter w:val="1"/>
          <w:wAfter w:w="11" w:type="dxa"/>
          <w:trHeight w:val="227"/>
        </w:trPr>
        <w:tc>
          <w:tcPr>
            <w:tcW w:w="1842" w:type="dxa"/>
            <w:noWrap/>
            <w:vAlign w:val="center"/>
          </w:tcPr>
          <w:p w14:paraId="7B5F5B0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Majda, et al.</w:t>
            </w:r>
          </w:p>
        </w:tc>
        <w:tc>
          <w:tcPr>
            <w:tcW w:w="875" w:type="dxa"/>
            <w:noWrap/>
            <w:vAlign w:val="center"/>
          </w:tcPr>
          <w:p w14:paraId="14345D9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37F7EE88"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3D86AE7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72E0345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E44EC6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552D525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6BC3B7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E42A4C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DB8C1A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3EB2A6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FC72E8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750BAD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F1CED8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3D10D9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603208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103267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0E6A9A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7C061A2A"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6DAB1A9B" w14:textId="77777777">
        <w:trPr>
          <w:gridAfter w:val="1"/>
          <w:wAfter w:w="11" w:type="dxa"/>
          <w:trHeight w:val="227"/>
        </w:trPr>
        <w:tc>
          <w:tcPr>
            <w:tcW w:w="1842" w:type="dxa"/>
            <w:noWrap/>
            <w:vAlign w:val="center"/>
          </w:tcPr>
          <w:p w14:paraId="1702A0D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Walbaum, et al.</w:t>
            </w:r>
          </w:p>
        </w:tc>
        <w:tc>
          <w:tcPr>
            <w:tcW w:w="875" w:type="dxa"/>
            <w:noWrap/>
            <w:vAlign w:val="center"/>
          </w:tcPr>
          <w:p w14:paraId="5AE06CF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6EC0D695"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76F4FB5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2F5AA04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2C2B64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42D6B0E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14C9CB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3246D9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178E4A8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48CCCCE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3DD301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78B372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2CFA79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35E00B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84E155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694B50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71F2412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75B9A2E5"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93</w:t>
            </w:r>
          </w:p>
        </w:tc>
      </w:tr>
      <w:tr w:rsidR="00376D25" w14:paraId="5C89C92E" w14:textId="77777777">
        <w:trPr>
          <w:gridAfter w:val="1"/>
          <w:wAfter w:w="11" w:type="dxa"/>
          <w:trHeight w:val="227"/>
        </w:trPr>
        <w:tc>
          <w:tcPr>
            <w:tcW w:w="1842" w:type="dxa"/>
            <w:noWrap/>
            <w:vAlign w:val="center"/>
          </w:tcPr>
          <w:p w14:paraId="5828B0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Barry, et al.</w:t>
            </w:r>
          </w:p>
        </w:tc>
        <w:tc>
          <w:tcPr>
            <w:tcW w:w="875" w:type="dxa"/>
            <w:noWrap/>
            <w:vAlign w:val="center"/>
          </w:tcPr>
          <w:p w14:paraId="2C04689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402E18EA"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437EA69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6CC9EA0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9244CC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20A29C0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949812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3ED8F1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3B98175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54C51DB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9126BB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42BA608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317201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29362F6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EC451B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C80A4A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E39E1E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D9C3429"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2FA2F6AF" w14:textId="77777777">
        <w:trPr>
          <w:gridAfter w:val="1"/>
          <w:wAfter w:w="11" w:type="dxa"/>
          <w:trHeight w:val="227"/>
        </w:trPr>
        <w:tc>
          <w:tcPr>
            <w:tcW w:w="1842" w:type="dxa"/>
            <w:noWrap/>
            <w:vAlign w:val="center"/>
          </w:tcPr>
          <w:p w14:paraId="2CF7E412"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Tschampl</w:t>
            </w:r>
            <w:proofErr w:type="spellEnd"/>
            <w:r>
              <w:rPr>
                <w:rFonts w:cs="Times New Roman"/>
                <w:color w:val="000000"/>
                <w:kern w:val="0"/>
                <w:sz w:val="20"/>
                <w:szCs w:val="20"/>
                <w:lang w:bidi="ar"/>
              </w:rPr>
              <w:t>, et al.</w:t>
            </w:r>
          </w:p>
        </w:tc>
        <w:tc>
          <w:tcPr>
            <w:tcW w:w="875" w:type="dxa"/>
            <w:noWrap/>
            <w:vAlign w:val="center"/>
          </w:tcPr>
          <w:p w14:paraId="3CF551C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2A4EB421"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28612D5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3315CDF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68AF7E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7C56740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BAEE39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F5E4C8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7FA9EE9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35330F1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2D7B9E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903C21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03A9B4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364650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D84ED7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F9727A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4DA073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7B52B97D"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93</w:t>
            </w:r>
          </w:p>
        </w:tc>
      </w:tr>
      <w:tr w:rsidR="00376D25" w14:paraId="15944725" w14:textId="77777777">
        <w:trPr>
          <w:gridAfter w:val="1"/>
          <w:wAfter w:w="11" w:type="dxa"/>
          <w:trHeight w:val="227"/>
        </w:trPr>
        <w:tc>
          <w:tcPr>
            <w:tcW w:w="1842" w:type="dxa"/>
            <w:noWrap/>
            <w:vAlign w:val="center"/>
          </w:tcPr>
          <w:p w14:paraId="19DE5E3C"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875" w:type="dxa"/>
            <w:noWrap/>
            <w:vAlign w:val="center"/>
          </w:tcPr>
          <w:p w14:paraId="02D1E24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48E2F717"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462E0EC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6FF944C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8D05C6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7C75109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320952E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ABE6C0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6642B83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8A1B28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E4AC6B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5B7883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CF0B4D7"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9566B7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36528B1"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3AD6E93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1BCBCF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0A92F9C"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6E249ED3" w14:textId="77777777">
        <w:trPr>
          <w:gridAfter w:val="1"/>
          <w:wAfter w:w="11" w:type="dxa"/>
          <w:trHeight w:val="227"/>
        </w:trPr>
        <w:tc>
          <w:tcPr>
            <w:tcW w:w="1842" w:type="dxa"/>
            <w:noWrap/>
            <w:vAlign w:val="center"/>
          </w:tcPr>
          <w:p w14:paraId="747A1740"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875" w:type="dxa"/>
            <w:noWrap/>
            <w:vAlign w:val="center"/>
          </w:tcPr>
          <w:p w14:paraId="0ADAF70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0D4375ED"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700FC94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28A9B43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11743CF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33546B8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48AF28E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02C0617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2966B86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4BD933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7C5E4F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DECFFB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819F2B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4681CA1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7C32021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586CEE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FBC1D5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2EBEF0B2"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5F4ABD41" w14:textId="77777777">
        <w:trPr>
          <w:gridAfter w:val="1"/>
          <w:wAfter w:w="11" w:type="dxa"/>
          <w:trHeight w:val="227"/>
        </w:trPr>
        <w:tc>
          <w:tcPr>
            <w:tcW w:w="1842" w:type="dxa"/>
            <w:noWrap/>
            <w:vAlign w:val="center"/>
          </w:tcPr>
          <w:p w14:paraId="0DEDED6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Okafor, et al.</w:t>
            </w:r>
          </w:p>
        </w:tc>
        <w:tc>
          <w:tcPr>
            <w:tcW w:w="875" w:type="dxa"/>
            <w:noWrap/>
            <w:vAlign w:val="center"/>
          </w:tcPr>
          <w:p w14:paraId="7BB95FD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119F53CA"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285E305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40717024"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AE7FC8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10D0A782"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2FB6EA7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174E831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3A0806B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60F6498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636FE94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57563BB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23CAD6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CD5E3F3"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496A15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21B86C1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B16530B"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627C8D6F"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tr w:rsidR="00376D25" w14:paraId="6ED90C5F" w14:textId="77777777">
        <w:trPr>
          <w:gridAfter w:val="1"/>
          <w:wAfter w:w="11" w:type="dxa"/>
          <w:trHeight w:val="227"/>
        </w:trPr>
        <w:tc>
          <w:tcPr>
            <w:tcW w:w="1842" w:type="dxa"/>
            <w:noWrap/>
            <w:vAlign w:val="center"/>
          </w:tcPr>
          <w:p w14:paraId="514B4FF6" w14:textId="77777777" w:rsidR="00376D25" w:rsidRDefault="00000000">
            <w:pPr>
              <w:widowControl/>
              <w:spacing w:line="240" w:lineRule="atLeast"/>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Stanimirovic</w:t>
            </w:r>
            <w:proofErr w:type="spellEnd"/>
            <w:r>
              <w:rPr>
                <w:rFonts w:cs="Times New Roman"/>
                <w:color w:val="000000"/>
                <w:kern w:val="0"/>
                <w:sz w:val="20"/>
                <w:szCs w:val="20"/>
                <w:lang w:bidi="ar"/>
              </w:rPr>
              <w:t>, et al.</w:t>
            </w:r>
          </w:p>
        </w:tc>
        <w:tc>
          <w:tcPr>
            <w:tcW w:w="875" w:type="dxa"/>
            <w:noWrap/>
            <w:vAlign w:val="center"/>
          </w:tcPr>
          <w:p w14:paraId="5147790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noWrap/>
            <w:vAlign w:val="center"/>
          </w:tcPr>
          <w:p w14:paraId="3DFB6B52"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noWrap/>
            <w:vAlign w:val="center"/>
          </w:tcPr>
          <w:p w14:paraId="7150F7D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noWrap/>
            <w:vAlign w:val="center"/>
          </w:tcPr>
          <w:p w14:paraId="4A40BEC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0E3EA2E"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noWrap/>
            <w:vAlign w:val="center"/>
          </w:tcPr>
          <w:p w14:paraId="329BB34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noWrap/>
            <w:vAlign w:val="center"/>
          </w:tcPr>
          <w:p w14:paraId="1A39E9C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0</w:t>
            </w:r>
          </w:p>
        </w:tc>
        <w:tc>
          <w:tcPr>
            <w:tcW w:w="425" w:type="dxa"/>
            <w:noWrap/>
            <w:vAlign w:val="center"/>
          </w:tcPr>
          <w:p w14:paraId="3ACA9DE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noWrap/>
            <w:vAlign w:val="center"/>
          </w:tcPr>
          <w:p w14:paraId="0A19B27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16E0548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3716811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75638AA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06CBEC9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583FF2F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noWrap/>
            <w:vAlign w:val="center"/>
          </w:tcPr>
          <w:p w14:paraId="2858914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noWrap/>
            <w:vAlign w:val="center"/>
          </w:tcPr>
          <w:p w14:paraId="68C8FB7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noWrap/>
            <w:vAlign w:val="center"/>
          </w:tcPr>
          <w:p w14:paraId="016425C8"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noWrap/>
            <w:vAlign w:val="center"/>
          </w:tcPr>
          <w:p w14:paraId="7A0A0E71"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94</w:t>
            </w:r>
          </w:p>
        </w:tc>
      </w:tr>
      <w:tr w:rsidR="00376D25" w14:paraId="19A43F39" w14:textId="77777777">
        <w:trPr>
          <w:gridAfter w:val="1"/>
          <w:wAfter w:w="11" w:type="dxa"/>
          <w:trHeight w:val="227"/>
        </w:trPr>
        <w:tc>
          <w:tcPr>
            <w:tcW w:w="1842" w:type="dxa"/>
            <w:tcBorders>
              <w:bottom w:val="single" w:sz="12" w:space="0" w:color="auto"/>
            </w:tcBorders>
            <w:noWrap/>
            <w:vAlign w:val="center"/>
          </w:tcPr>
          <w:p w14:paraId="17BC7F8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Kowal, et al.</w:t>
            </w:r>
          </w:p>
        </w:tc>
        <w:tc>
          <w:tcPr>
            <w:tcW w:w="875" w:type="dxa"/>
            <w:tcBorders>
              <w:bottom w:val="single" w:sz="12" w:space="0" w:color="auto"/>
            </w:tcBorders>
            <w:noWrap/>
            <w:vAlign w:val="center"/>
          </w:tcPr>
          <w:p w14:paraId="3575A1A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425" w:type="dxa"/>
            <w:tcBorders>
              <w:bottom w:val="single" w:sz="12" w:space="0" w:color="auto"/>
            </w:tcBorders>
            <w:noWrap/>
            <w:vAlign w:val="center"/>
          </w:tcPr>
          <w:p w14:paraId="7CC87429" w14:textId="77777777" w:rsidR="00376D25" w:rsidRDefault="00000000">
            <w:pPr>
              <w:widowControl/>
              <w:spacing w:line="240" w:lineRule="atLeast"/>
              <w:ind w:firstLineChars="0" w:firstLine="0"/>
              <w:jc w:val="center"/>
              <w:textAlignment w:val="center"/>
              <w:rPr>
                <w:rFonts w:eastAsia="Calibri" w:cs="Times New Roman"/>
                <w:color w:val="000000" w:themeColor="text1"/>
                <w:sz w:val="20"/>
                <w:szCs w:val="20"/>
              </w:rPr>
            </w:pPr>
            <w:r>
              <w:rPr>
                <w:rFonts w:cs="Times New Roman"/>
                <w:color w:val="000000" w:themeColor="text1"/>
                <w:kern w:val="0"/>
                <w:sz w:val="20"/>
                <w:szCs w:val="20"/>
                <w:lang w:bidi="ar"/>
              </w:rPr>
              <w:t>7</w:t>
            </w:r>
          </w:p>
        </w:tc>
        <w:tc>
          <w:tcPr>
            <w:tcW w:w="425" w:type="dxa"/>
            <w:tcBorders>
              <w:bottom w:val="single" w:sz="12" w:space="0" w:color="auto"/>
            </w:tcBorders>
            <w:noWrap/>
            <w:vAlign w:val="center"/>
          </w:tcPr>
          <w:p w14:paraId="311D54F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4</w:t>
            </w:r>
          </w:p>
        </w:tc>
        <w:tc>
          <w:tcPr>
            <w:tcW w:w="425" w:type="dxa"/>
            <w:tcBorders>
              <w:bottom w:val="single" w:sz="12" w:space="0" w:color="auto"/>
            </w:tcBorders>
            <w:noWrap/>
            <w:vAlign w:val="center"/>
          </w:tcPr>
          <w:p w14:paraId="4D50416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bottom w:val="single" w:sz="12" w:space="0" w:color="auto"/>
            </w:tcBorders>
            <w:noWrap/>
            <w:vAlign w:val="center"/>
          </w:tcPr>
          <w:p w14:paraId="1AE9A11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1</w:t>
            </w:r>
          </w:p>
        </w:tc>
        <w:tc>
          <w:tcPr>
            <w:tcW w:w="425" w:type="dxa"/>
            <w:tcBorders>
              <w:bottom w:val="single" w:sz="12" w:space="0" w:color="auto"/>
            </w:tcBorders>
            <w:noWrap/>
            <w:vAlign w:val="center"/>
          </w:tcPr>
          <w:p w14:paraId="0FD61B05"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9</w:t>
            </w:r>
          </w:p>
        </w:tc>
        <w:tc>
          <w:tcPr>
            <w:tcW w:w="425" w:type="dxa"/>
            <w:tcBorders>
              <w:bottom w:val="single" w:sz="12" w:space="0" w:color="auto"/>
            </w:tcBorders>
            <w:noWrap/>
            <w:vAlign w:val="center"/>
          </w:tcPr>
          <w:p w14:paraId="23D7479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bottom w:val="single" w:sz="12" w:space="0" w:color="auto"/>
            </w:tcBorders>
            <w:noWrap/>
            <w:vAlign w:val="center"/>
          </w:tcPr>
          <w:p w14:paraId="14E31FB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5</w:t>
            </w:r>
          </w:p>
        </w:tc>
        <w:tc>
          <w:tcPr>
            <w:tcW w:w="425" w:type="dxa"/>
            <w:tcBorders>
              <w:bottom w:val="single" w:sz="12" w:space="0" w:color="auto"/>
            </w:tcBorders>
            <w:noWrap/>
            <w:vAlign w:val="center"/>
          </w:tcPr>
          <w:p w14:paraId="684556FF"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bottom w:val="single" w:sz="12" w:space="0" w:color="auto"/>
            </w:tcBorders>
            <w:noWrap/>
            <w:vAlign w:val="center"/>
          </w:tcPr>
          <w:p w14:paraId="47275D76"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bottom w:val="single" w:sz="12" w:space="0" w:color="auto"/>
            </w:tcBorders>
            <w:noWrap/>
            <w:vAlign w:val="center"/>
          </w:tcPr>
          <w:p w14:paraId="4C395620"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bottom w:val="single" w:sz="12" w:space="0" w:color="auto"/>
            </w:tcBorders>
            <w:noWrap/>
            <w:vAlign w:val="center"/>
          </w:tcPr>
          <w:p w14:paraId="4EA9F6C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bottom w:val="single" w:sz="12" w:space="0" w:color="auto"/>
            </w:tcBorders>
            <w:noWrap/>
            <w:vAlign w:val="center"/>
          </w:tcPr>
          <w:p w14:paraId="696DBC89"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bottom w:val="single" w:sz="12" w:space="0" w:color="auto"/>
            </w:tcBorders>
            <w:noWrap/>
            <w:vAlign w:val="center"/>
          </w:tcPr>
          <w:p w14:paraId="31E6B81A"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7</w:t>
            </w:r>
          </w:p>
        </w:tc>
        <w:tc>
          <w:tcPr>
            <w:tcW w:w="425" w:type="dxa"/>
            <w:tcBorders>
              <w:bottom w:val="single" w:sz="12" w:space="0" w:color="auto"/>
            </w:tcBorders>
            <w:noWrap/>
            <w:vAlign w:val="center"/>
          </w:tcPr>
          <w:p w14:paraId="7B31793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6</w:t>
            </w:r>
          </w:p>
        </w:tc>
        <w:tc>
          <w:tcPr>
            <w:tcW w:w="425" w:type="dxa"/>
            <w:tcBorders>
              <w:bottom w:val="single" w:sz="12" w:space="0" w:color="auto"/>
            </w:tcBorders>
            <w:noWrap/>
            <w:vAlign w:val="center"/>
          </w:tcPr>
          <w:p w14:paraId="3404F10D"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8</w:t>
            </w:r>
          </w:p>
        </w:tc>
        <w:tc>
          <w:tcPr>
            <w:tcW w:w="425" w:type="dxa"/>
            <w:tcBorders>
              <w:bottom w:val="single" w:sz="12" w:space="0" w:color="auto"/>
            </w:tcBorders>
            <w:noWrap/>
            <w:vAlign w:val="center"/>
          </w:tcPr>
          <w:p w14:paraId="3CA05C1C" w14:textId="77777777" w:rsidR="00376D25" w:rsidRDefault="00000000">
            <w:pPr>
              <w:widowControl/>
              <w:spacing w:line="240" w:lineRule="atLeast"/>
              <w:ind w:firstLineChars="0" w:firstLine="0"/>
              <w:jc w:val="center"/>
              <w:textAlignment w:val="center"/>
              <w:rPr>
                <w:rFonts w:eastAsia="Calibri" w:cs="Times New Roman"/>
                <w:sz w:val="20"/>
                <w:szCs w:val="20"/>
              </w:rPr>
            </w:pPr>
            <w:r>
              <w:rPr>
                <w:rFonts w:cs="Times New Roman"/>
                <w:color w:val="000000"/>
                <w:kern w:val="0"/>
                <w:sz w:val="20"/>
                <w:szCs w:val="20"/>
                <w:lang w:bidi="ar"/>
              </w:rPr>
              <w:t>3</w:t>
            </w:r>
          </w:p>
        </w:tc>
        <w:tc>
          <w:tcPr>
            <w:tcW w:w="718" w:type="dxa"/>
            <w:tcBorders>
              <w:bottom w:val="single" w:sz="12" w:space="0" w:color="auto"/>
            </w:tcBorders>
            <w:noWrap/>
            <w:vAlign w:val="center"/>
          </w:tcPr>
          <w:p w14:paraId="6EFA7696" w14:textId="77777777" w:rsidR="00376D25" w:rsidRDefault="00000000">
            <w:pPr>
              <w:widowControl/>
              <w:spacing w:line="240" w:lineRule="atLeast"/>
              <w:ind w:firstLineChars="0" w:firstLine="0"/>
              <w:jc w:val="center"/>
              <w:textAlignment w:val="center"/>
              <w:rPr>
                <w:rFonts w:eastAsia="Calibri" w:cs="Times New Roman"/>
                <w:b/>
                <w:bCs/>
                <w:sz w:val="20"/>
                <w:szCs w:val="20"/>
              </w:rPr>
            </w:pPr>
            <w:r>
              <w:rPr>
                <w:rFonts w:cs="Times New Roman"/>
                <w:b/>
                <w:bCs/>
                <w:color w:val="000000"/>
                <w:kern w:val="0"/>
                <w:sz w:val="20"/>
                <w:szCs w:val="20"/>
                <w:lang w:bidi="ar"/>
              </w:rPr>
              <w:t>100</w:t>
            </w:r>
          </w:p>
        </w:tc>
      </w:tr>
      <w:bookmarkEnd w:id="0"/>
      <w:bookmarkEnd w:id="1"/>
    </w:tbl>
    <w:p w14:paraId="4D1A2262" w14:textId="77777777" w:rsidR="00376D25" w:rsidRDefault="00376D25">
      <w:pPr>
        <w:widowControl/>
        <w:ind w:firstLineChars="0" w:firstLine="0"/>
        <w:jc w:val="center"/>
        <w:textAlignment w:val="center"/>
        <w:rPr>
          <w:rFonts w:eastAsia="黑体" w:cs="等线"/>
          <w:b/>
          <w:bCs/>
          <w:color w:val="000000"/>
          <w:kern w:val="0"/>
          <w:sz w:val="28"/>
          <w:szCs w:val="28"/>
          <w:lang w:bidi="ar"/>
        </w:rPr>
        <w:sectPr w:rsidR="00376D25">
          <w:endnotePr>
            <w:numFmt w:val="decimal"/>
          </w:endnotePr>
          <w:pgSz w:w="11906" w:h="16838"/>
          <w:pgMar w:top="1080" w:right="1440" w:bottom="1080" w:left="1440" w:header="851" w:footer="992" w:gutter="0"/>
          <w:cols w:space="425"/>
          <w:docGrid w:type="lines" w:linePitch="312"/>
        </w:sectPr>
      </w:pPr>
    </w:p>
    <w:p w14:paraId="7EA5D7AC" w14:textId="77777777" w:rsidR="00376D25" w:rsidRDefault="00000000">
      <w:pPr>
        <w:widowControl/>
        <w:spacing w:line="240" w:lineRule="auto"/>
        <w:ind w:firstLineChars="0" w:firstLine="0"/>
        <w:jc w:val="left"/>
        <w:textAlignment w:val="center"/>
        <w:rPr>
          <w:rFonts w:eastAsia="黑体" w:cs="等线"/>
          <w:b/>
          <w:bCs/>
          <w:color w:val="000000"/>
          <w:kern w:val="0"/>
          <w:sz w:val="22"/>
          <w:szCs w:val="22"/>
          <w:lang w:bidi="ar"/>
        </w:rPr>
      </w:pPr>
      <w:r>
        <w:rPr>
          <w:rFonts w:eastAsia="黑体" w:cs="等线" w:hint="eastAsia"/>
          <w:b/>
          <w:bCs/>
          <w:color w:val="000000"/>
          <w:kern w:val="0"/>
          <w:sz w:val="22"/>
          <w:szCs w:val="22"/>
          <w:lang w:bidi="ar"/>
        </w:rPr>
        <w:lastRenderedPageBreak/>
        <w:t xml:space="preserve">Table 7. </w:t>
      </w:r>
      <w:r>
        <w:rPr>
          <w:rFonts w:eastAsia="黑体" w:cs="等线" w:hint="eastAsia"/>
          <w:color w:val="000000"/>
          <w:kern w:val="0"/>
          <w:sz w:val="22"/>
          <w:szCs w:val="22"/>
          <w:lang w:bidi="ar"/>
        </w:rPr>
        <w:t>Study design and characteristics of the 28 included empirical studies that applied distributional cost-effectiveness analysis to evaluate the costs and health outcomes of at least two healthcare interventions, published from 2017 to 2025.</w:t>
      </w:r>
    </w:p>
    <w:tbl>
      <w:tblPr>
        <w:tblW w:w="14876" w:type="dxa"/>
        <w:jc w:val="center"/>
        <w:tblBorders>
          <w:top w:val="single" w:sz="12" w:space="0" w:color="auto"/>
          <w:bottom w:val="single" w:sz="12" w:space="0" w:color="auto"/>
        </w:tblBorders>
        <w:tblLayout w:type="fixed"/>
        <w:tblLook w:val="04A0" w:firstRow="1" w:lastRow="0" w:firstColumn="1" w:lastColumn="0" w:noHBand="0" w:noVBand="1"/>
      </w:tblPr>
      <w:tblGrid>
        <w:gridCol w:w="477"/>
        <w:gridCol w:w="1825"/>
        <w:gridCol w:w="742"/>
        <w:gridCol w:w="1208"/>
        <w:gridCol w:w="1825"/>
        <w:gridCol w:w="1950"/>
        <w:gridCol w:w="1967"/>
        <w:gridCol w:w="4882"/>
      </w:tblGrid>
      <w:tr w:rsidR="00376D25" w14:paraId="5507C123" w14:textId="77777777">
        <w:trPr>
          <w:trHeight w:val="270"/>
          <w:jc w:val="center"/>
        </w:trPr>
        <w:tc>
          <w:tcPr>
            <w:tcW w:w="477" w:type="dxa"/>
            <w:tcBorders>
              <w:bottom w:val="single" w:sz="8" w:space="0" w:color="auto"/>
              <w:tl2br w:val="nil"/>
              <w:tr2bl w:val="nil"/>
            </w:tcBorders>
            <w:noWrap/>
            <w:vAlign w:val="center"/>
          </w:tcPr>
          <w:p w14:paraId="3B4FEC07" w14:textId="77777777" w:rsidR="00376D25" w:rsidRDefault="00000000">
            <w:pPr>
              <w:widowControl/>
              <w:spacing w:line="240" w:lineRule="atLeast"/>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No.</w:t>
            </w:r>
          </w:p>
        </w:tc>
        <w:tc>
          <w:tcPr>
            <w:tcW w:w="1825" w:type="dxa"/>
            <w:tcBorders>
              <w:bottom w:val="single" w:sz="8" w:space="0" w:color="auto"/>
              <w:tl2br w:val="nil"/>
              <w:tr2bl w:val="nil"/>
            </w:tcBorders>
            <w:noWrap/>
            <w:vAlign w:val="center"/>
          </w:tcPr>
          <w:p w14:paraId="041E9CD7"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Author</w:t>
            </w:r>
          </w:p>
        </w:tc>
        <w:tc>
          <w:tcPr>
            <w:tcW w:w="742" w:type="dxa"/>
            <w:tcBorders>
              <w:bottom w:val="single" w:sz="8" w:space="0" w:color="auto"/>
              <w:tl2br w:val="nil"/>
              <w:tr2bl w:val="nil"/>
            </w:tcBorders>
            <w:noWrap/>
            <w:vAlign w:val="center"/>
          </w:tcPr>
          <w:p w14:paraId="2573A4D8"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Publication Year</w:t>
            </w:r>
          </w:p>
        </w:tc>
        <w:tc>
          <w:tcPr>
            <w:tcW w:w="1208" w:type="dxa"/>
            <w:tcBorders>
              <w:bottom w:val="single" w:sz="8" w:space="0" w:color="auto"/>
              <w:tl2br w:val="nil"/>
              <w:tr2bl w:val="nil"/>
            </w:tcBorders>
            <w:noWrap/>
            <w:vAlign w:val="center"/>
          </w:tcPr>
          <w:p w14:paraId="6087C9E9"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Study Regions</w:t>
            </w:r>
          </w:p>
        </w:tc>
        <w:tc>
          <w:tcPr>
            <w:tcW w:w="1825" w:type="dxa"/>
            <w:tcBorders>
              <w:bottom w:val="single" w:sz="8" w:space="0" w:color="auto"/>
              <w:tl2br w:val="nil"/>
              <w:tr2bl w:val="nil"/>
            </w:tcBorders>
            <w:noWrap/>
            <w:vAlign w:val="center"/>
          </w:tcPr>
          <w:p w14:paraId="5459C882"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Research Perspective</w:t>
            </w:r>
          </w:p>
        </w:tc>
        <w:tc>
          <w:tcPr>
            <w:tcW w:w="1950" w:type="dxa"/>
            <w:tcBorders>
              <w:bottom w:val="single" w:sz="8" w:space="0" w:color="auto"/>
              <w:tl2br w:val="nil"/>
              <w:tr2bl w:val="nil"/>
            </w:tcBorders>
            <w:noWrap/>
            <w:vAlign w:val="center"/>
          </w:tcPr>
          <w:p w14:paraId="136E0D6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b/>
                <w:bCs/>
                <w:color w:val="000000"/>
                <w:kern w:val="0"/>
                <w:sz w:val="20"/>
                <w:szCs w:val="20"/>
                <w:lang w:bidi="ar"/>
              </w:rPr>
              <w:t>Study Population</w:t>
            </w:r>
          </w:p>
        </w:tc>
        <w:tc>
          <w:tcPr>
            <w:tcW w:w="1967" w:type="dxa"/>
            <w:tcBorders>
              <w:bottom w:val="single" w:sz="8" w:space="0" w:color="auto"/>
              <w:tl2br w:val="nil"/>
              <w:tr2bl w:val="nil"/>
            </w:tcBorders>
            <w:noWrap/>
            <w:vAlign w:val="center"/>
          </w:tcPr>
          <w:p w14:paraId="0004EAA9"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Disease Domain</w:t>
            </w:r>
          </w:p>
        </w:tc>
        <w:tc>
          <w:tcPr>
            <w:tcW w:w="4882" w:type="dxa"/>
            <w:tcBorders>
              <w:bottom w:val="single" w:sz="8" w:space="0" w:color="auto"/>
              <w:tl2br w:val="nil"/>
              <w:tr2bl w:val="nil"/>
            </w:tcBorders>
            <w:noWrap/>
            <w:vAlign w:val="center"/>
          </w:tcPr>
          <w:p w14:paraId="57AAF863" w14:textId="77777777" w:rsidR="00376D25" w:rsidRDefault="00000000">
            <w:pPr>
              <w:widowControl/>
              <w:spacing w:line="240" w:lineRule="atLeast"/>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Interventions and Controls</w:t>
            </w:r>
          </w:p>
        </w:tc>
      </w:tr>
      <w:tr w:rsidR="00376D25" w14:paraId="4D8C561F" w14:textId="77777777">
        <w:trPr>
          <w:trHeight w:val="591"/>
          <w:jc w:val="center"/>
        </w:trPr>
        <w:tc>
          <w:tcPr>
            <w:tcW w:w="477" w:type="dxa"/>
            <w:tcBorders>
              <w:top w:val="single" w:sz="8" w:space="0" w:color="auto"/>
            </w:tcBorders>
            <w:noWrap/>
            <w:vAlign w:val="center"/>
          </w:tcPr>
          <w:p w14:paraId="258934E2"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w:t>
            </w:r>
          </w:p>
        </w:tc>
        <w:tc>
          <w:tcPr>
            <w:tcW w:w="1825" w:type="dxa"/>
            <w:tcBorders>
              <w:top w:val="single" w:sz="8" w:space="0" w:color="auto"/>
            </w:tcBorders>
            <w:noWrap/>
            <w:vAlign w:val="center"/>
          </w:tcPr>
          <w:p w14:paraId="1BBE7B6D"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Campos, et al.</w:t>
            </w:r>
          </w:p>
        </w:tc>
        <w:tc>
          <w:tcPr>
            <w:tcW w:w="742" w:type="dxa"/>
            <w:tcBorders>
              <w:top w:val="single" w:sz="8" w:space="0" w:color="auto"/>
            </w:tcBorders>
            <w:noWrap/>
            <w:vAlign w:val="center"/>
          </w:tcPr>
          <w:p w14:paraId="7591B659"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2017</w:t>
            </w:r>
          </w:p>
        </w:tc>
        <w:tc>
          <w:tcPr>
            <w:tcW w:w="1208" w:type="dxa"/>
            <w:tcBorders>
              <w:top w:val="single" w:sz="8" w:space="0" w:color="auto"/>
            </w:tcBorders>
            <w:noWrap/>
            <w:vAlign w:val="center"/>
          </w:tcPr>
          <w:p w14:paraId="720D658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Africa</w:t>
            </w:r>
          </w:p>
        </w:tc>
        <w:tc>
          <w:tcPr>
            <w:tcW w:w="1825" w:type="dxa"/>
            <w:tcBorders>
              <w:top w:val="single" w:sz="8" w:space="0" w:color="auto"/>
            </w:tcBorders>
            <w:noWrap/>
            <w:vAlign w:val="center"/>
          </w:tcPr>
          <w:p w14:paraId="06FD9763"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whole society</w:t>
            </w:r>
          </w:p>
        </w:tc>
        <w:tc>
          <w:tcPr>
            <w:tcW w:w="1950" w:type="dxa"/>
            <w:tcBorders>
              <w:top w:val="single" w:sz="8" w:space="0" w:color="auto"/>
            </w:tcBorders>
            <w:noWrap/>
            <w:vAlign w:val="center"/>
          </w:tcPr>
          <w:p w14:paraId="49A5574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 women</w:t>
            </w:r>
          </w:p>
        </w:tc>
        <w:tc>
          <w:tcPr>
            <w:tcW w:w="1967" w:type="dxa"/>
            <w:tcBorders>
              <w:top w:val="single" w:sz="8" w:space="0" w:color="auto"/>
            </w:tcBorders>
            <w:vAlign w:val="center"/>
          </w:tcPr>
          <w:p w14:paraId="67112B7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Cancer</w:t>
            </w:r>
          </w:p>
        </w:tc>
        <w:tc>
          <w:tcPr>
            <w:tcW w:w="4882" w:type="dxa"/>
            <w:tcBorders>
              <w:top w:val="single" w:sz="8" w:space="0" w:color="auto"/>
            </w:tcBorders>
            <w:noWrap/>
            <w:vAlign w:val="center"/>
          </w:tcPr>
          <w:p w14:paraId="18BE09D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Expanding screening coverage; increasing screening frequency vs. no screening strategy</w:t>
            </w:r>
          </w:p>
        </w:tc>
      </w:tr>
      <w:tr w:rsidR="00376D25" w14:paraId="28BB8F7C" w14:textId="77777777">
        <w:trPr>
          <w:trHeight w:val="607"/>
          <w:jc w:val="center"/>
        </w:trPr>
        <w:tc>
          <w:tcPr>
            <w:tcW w:w="477" w:type="dxa"/>
            <w:tcBorders>
              <w:tl2br w:val="nil"/>
              <w:tr2bl w:val="nil"/>
            </w:tcBorders>
            <w:noWrap/>
            <w:vAlign w:val="center"/>
          </w:tcPr>
          <w:p w14:paraId="1BD0B50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w:t>
            </w:r>
          </w:p>
        </w:tc>
        <w:tc>
          <w:tcPr>
            <w:tcW w:w="1825" w:type="dxa"/>
            <w:tcBorders>
              <w:tl2br w:val="nil"/>
              <w:tr2bl w:val="nil"/>
            </w:tcBorders>
            <w:noWrap/>
            <w:vAlign w:val="center"/>
          </w:tcPr>
          <w:p w14:paraId="30BCEE16"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Dawkins, et al.</w:t>
            </w:r>
          </w:p>
        </w:tc>
        <w:tc>
          <w:tcPr>
            <w:tcW w:w="742" w:type="dxa"/>
            <w:tcBorders>
              <w:tl2br w:val="nil"/>
              <w:tr2bl w:val="nil"/>
            </w:tcBorders>
            <w:noWrap/>
            <w:vAlign w:val="center"/>
          </w:tcPr>
          <w:p w14:paraId="5B068C18"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208" w:type="dxa"/>
            <w:tcBorders>
              <w:tl2br w:val="nil"/>
              <w:tr2bl w:val="nil"/>
            </w:tcBorders>
            <w:noWrap/>
            <w:vAlign w:val="center"/>
          </w:tcPr>
          <w:p w14:paraId="25396736"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Africa</w:t>
            </w:r>
          </w:p>
        </w:tc>
        <w:tc>
          <w:tcPr>
            <w:tcW w:w="1825" w:type="dxa"/>
            <w:tcBorders>
              <w:tl2br w:val="nil"/>
              <w:tr2bl w:val="nil"/>
            </w:tcBorders>
            <w:noWrap/>
            <w:vAlign w:val="center"/>
          </w:tcPr>
          <w:p w14:paraId="26394B1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health system</w:t>
            </w:r>
          </w:p>
        </w:tc>
        <w:tc>
          <w:tcPr>
            <w:tcW w:w="1950" w:type="dxa"/>
            <w:tcBorders>
              <w:tl2br w:val="nil"/>
              <w:tr2bl w:val="nil"/>
            </w:tcBorders>
            <w:noWrap/>
            <w:vAlign w:val="center"/>
          </w:tcPr>
          <w:p w14:paraId="7F01E42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Children</w:t>
            </w:r>
          </w:p>
        </w:tc>
        <w:tc>
          <w:tcPr>
            <w:tcW w:w="1967" w:type="dxa"/>
            <w:tcBorders>
              <w:tl2br w:val="nil"/>
              <w:tr2bl w:val="nil"/>
            </w:tcBorders>
            <w:vAlign w:val="center"/>
          </w:tcPr>
          <w:p w14:paraId="069B8F1B"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Infectious Diseases</w:t>
            </w:r>
          </w:p>
        </w:tc>
        <w:tc>
          <w:tcPr>
            <w:tcW w:w="4882" w:type="dxa"/>
            <w:tcBorders>
              <w:tl2br w:val="nil"/>
              <w:tr2bl w:val="nil"/>
            </w:tcBorders>
            <w:noWrap/>
            <w:vAlign w:val="center"/>
          </w:tcPr>
          <w:p w14:paraId="18CDC2E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Standard vaccination program; pro-poor vaccination program vs. no vaccination</w:t>
            </w:r>
          </w:p>
        </w:tc>
      </w:tr>
      <w:tr w:rsidR="00376D25" w14:paraId="521BE524" w14:textId="77777777">
        <w:trPr>
          <w:trHeight w:val="270"/>
          <w:jc w:val="center"/>
        </w:trPr>
        <w:tc>
          <w:tcPr>
            <w:tcW w:w="477" w:type="dxa"/>
            <w:tcBorders>
              <w:tl2br w:val="nil"/>
              <w:tr2bl w:val="nil"/>
            </w:tcBorders>
            <w:noWrap/>
            <w:vAlign w:val="center"/>
          </w:tcPr>
          <w:p w14:paraId="3E7C40EB"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3</w:t>
            </w:r>
          </w:p>
        </w:tc>
        <w:tc>
          <w:tcPr>
            <w:tcW w:w="1825" w:type="dxa"/>
            <w:tcBorders>
              <w:tl2br w:val="nil"/>
              <w:tr2bl w:val="nil"/>
            </w:tcBorders>
            <w:noWrap/>
            <w:vAlign w:val="center"/>
          </w:tcPr>
          <w:p w14:paraId="3FD34C0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Lee, et al.</w:t>
            </w:r>
          </w:p>
        </w:tc>
        <w:tc>
          <w:tcPr>
            <w:tcW w:w="742" w:type="dxa"/>
            <w:tcBorders>
              <w:tl2br w:val="nil"/>
              <w:tr2bl w:val="nil"/>
            </w:tcBorders>
            <w:noWrap/>
            <w:vAlign w:val="center"/>
          </w:tcPr>
          <w:p w14:paraId="2818FF37"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208" w:type="dxa"/>
            <w:tcBorders>
              <w:tl2br w:val="nil"/>
              <w:tr2bl w:val="nil"/>
            </w:tcBorders>
            <w:noWrap/>
            <w:vAlign w:val="center"/>
          </w:tcPr>
          <w:p w14:paraId="6203A3D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Asia</w:t>
            </w:r>
          </w:p>
        </w:tc>
        <w:tc>
          <w:tcPr>
            <w:tcW w:w="1825" w:type="dxa"/>
            <w:tcBorders>
              <w:tl2br w:val="nil"/>
              <w:tr2bl w:val="nil"/>
            </w:tcBorders>
            <w:noWrap/>
            <w:vAlign w:val="center"/>
          </w:tcPr>
          <w:p w14:paraId="40B063AA"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whole society</w:t>
            </w:r>
          </w:p>
        </w:tc>
        <w:tc>
          <w:tcPr>
            <w:tcW w:w="1950" w:type="dxa"/>
            <w:tcBorders>
              <w:tl2br w:val="nil"/>
              <w:tr2bl w:val="nil"/>
            </w:tcBorders>
            <w:noWrap/>
            <w:vAlign w:val="center"/>
          </w:tcPr>
          <w:p w14:paraId="49EC495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 women</w:t>
            </w:r>
          </w:p>
        </w:tc>
        <w:tc>
          <w:tcPr>
            <w:tcW w:w="1967" w:type="dxa"/>
            <w:tcBorders>
              <w:tl2br w:val="nil"/>
              <w:tr2bl w:val="nil"/>
            </w:tcBorders>
            <w:vAlign w:val="center"/>
          </w:tcPr>
          <w:p w14:paraId="08C5C375"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Cancer</w:t>
            </w:r>
          </w:p>
        </w:tc>
        <w:tc>
          <w:tcPr>
            <w:tcW w:w="4882" w:type="dxa"/>
            <w:tcBorders>
              <w:tl2br w:val="nil"/>
              <w:tr2bl w:val="nil"/>
            </w:tcBorders>
            <w:noWrap/>
            <w:vAlign w:val="center"/>
          </w:tcPr>
          <w:p w14:paraId="25E80BD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Enhanced screening recommendations; universal screening recommendations vs. current strategy</w:t>
            </w:r>
          </w:p>
        </w:tc>
      </w:tr>
      <w:tr w:rsidR="00376D25" w14:paraId="58D14D33" w14:textId="77777777">
        <w:trPr>
          <w:trHeight w:val="540"/>
          <w:jc w:val="center"/>
        </w:trPr>
        <w:tc>
          <w:tcPr>
            <w:tcW w:w="477" w:type="dxa"/>
            <w:tcBorders>
              <w:tl2br w:val="nil"/>
              <w:tr2bl w:val="nil"/>
            </w:tcBorders>
            <w:noWrap/>
            <w:vAlign w:val="center"/>
          </w:tcPr>
          <w:p w14:paraId="1332775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4</w:t>
            </w:r>
          </w:p>
        </w:tc>
        <w:tc>
          <w:tcPr>
            <w:tcW w:w="1825" w:type="dxa"/>
            <w:tcBorders>
              <w:tl2br w:val="nil"/>
              <w:tr2bl w:val="nil"/>
            </w:tcBorders>
            <w:noWrap/>
            <w:vAlign w:val="center"/>
          </w:tcPr>
          <w:p w14:paraId="1218EF3E"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Chang, et al.</w:t>
            </w:r>
          </w:p>
        </w:tc>
        <w:tc>
          <w:tcPr>
            <w:tcW w:w="742" w:type="dxa"/>
            <w:tcBorders>
              <w:tl2br w:val="nil"/>
              <w:tr2bl w:val="nil"/>
            </w:tcBorders>
            <w:noWrap/>
            <w:vAlign w:val="center"/>
          </w:tcPr>
          <w:p w14:paraId="619EDE8F"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208" w:type="dxa"/>
            <w:tcBorders>
              <w:tl2br w:val="nil"/>
              <w:tr2bl w:val="nil"/>
            </w:tcBorders>
            <w:noWrap/>
            <w:vAlign w:val="center"/>
          </w:tcPr>
          <w:p w14:paraId="26CD074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North America</w:t>
            </w:r>
          </w:p>
        </w:tc>
        <w:tc>
          <w:tcPr>
            <w:tcW w:w="1825" w:type="dxa"/>
            <w:tcBorders>
              <w:tl2br w:val="nil"/>
              <w:tr2bl w:val="nil"/>
            </w:tcBorders>
            <w:noWrap/>
            <w:vAlign w:val="center"/>
          </w:tcPr>
          <w:p w14:paraId="229C8416"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health system</w:t>
            </w:r>
          </w:p>
        </w:tc>
        <w:tc>
          <w:tcPr>
            <w:tcW w:w="1950" w:type="dxa"/>
            <w:tcBorders>
              <w:tl2br w:val="nil"/>
              <w:tr2bl w:val="nil"/>
            </w:tcBorders>
            <w:noWrap/>
            <w:vAlign w:val="center"/>
          </w:tcPr>
          <w:p w14:paraId="6984054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r>
              <w:rPr>
                <w:rFonts w:cs="Times New Roman"/>
                <w:color w:val="000000"/>
                <w:kern w:val="0"/>
                <w:sz w:val="20"/>
                <w:szCs w:val="20"/>
                <w:lang w:bidi="ar"/>
              </w:rPr>
              <w:br/>
            </w:r>
            <w:r>
              <w:rPr>
                <w:rFonts w:cs="Times New Roman" w:hint="eastAsia"/>
                <w:color w:val="000000"/>
                <w:kern w:val="0"/>
                <w:sz w:val="20"/>
                <w:szCs w:val="20"/>
                <w:lang w:bidi="ar"/>
              </w:rPr>
              <w:t xml:space="preserve">; </w:t>
            </w:r>
            <w:r>
              <w:rPr>
                <w:rFonts w:cs="Times New Roman"/>
                <w:color w:val="000000"/>
                <w:kern w:val="0"/>
                <w:sz w:val="20"/>
                <w:szCs w:val="20"/>
                <w:lang w:bidi="ar"/>
              </w:rPr>
              <w:t>Patients</w:t>
            </w:r>
          </w:p>
        </w:tc>
        <w:tc>
          <w:tcPr>
            <w:tcW w:w="1967" w:type="dxa"/>
            <w:tcBorders>
              <w:tl2br w:val="nil"/>
              <w:tr2bl w:val="nil"/>
            </w:tcBorders>
            <w:vAlign w:val="center"/>
          </w:tcPr>
          <w:p w14:paraId="08CC357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Cancer</w:t>
            </w:r>
          </w:p>
        </w:tc>
        <w:tc>
          <w:tcPr>
            <w:tcW w:w="4882" w:type="dxa"/>
            <w:tcBorders>
              <w:tl2br w:val="nil"/>
              <w:tr2bl w:val="nil"/>
            </w:tcBorders>
            <w:vAlign w:val="center"/>
          </w:tcPr>
          <w:p w14:paraId="1D2CC01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New cancer therapies vs. SOC</w:t>
            </w:r>
          </w:p>
        </w:tc>
      </w:tr>
      <w:tr w:rsidR="00376D25" w14:paraId="7799BB5C" w14:textId="77777777">
        <w:trPr>
          <w:trHeight w:val="270"/>
          <w:jc w:val="center"/>
        </w:trPr>
        <w:tc>
          <w:tcPr>
            <w:tcW w:w="477" w:type="dxa"/>
            <w:tcBorders>
              <w:tl2br w:val="nil"/>
              <w:tr2bl w:val="nil"/>
            </w:tcBorders>
            <w:noWrap/>
            <w:vAlign w:val="center"/>
          </w:tcPr>
          <w:p w14:paraId="708B957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5</w:t>
            </w:r>
          </w:p>
        </w:tc>
        <w:tc>
          <w:tcPr>
            <w:tcW w:w="1825" w:type="dxa"/>
            <w:tcBorders>
              <w:tl2br w:val="nil"/>
              <w:tr2bl w:val="nil"/>
            </w:tcBorders>
            <w:noWrap/>
            <w:vAlign w:val="center"/>
          </w:tcPr>
          <w:p w14:paraId="35F2AED5"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Arnold, et al.</w:t>
            </w:r>
          </w:p>
        </w:tc>
        <w:tc>
          <w:tcPr>
            <w:tcW w:w="742" w:type="dxa"/>
            <w:tcBorders>
              <w:tl2br w:val="nil"/>
              <w:tr2bl w:val="nil"/>
            </w:tcBorders>
            <w:noWrap/>
            <w:vAlign w:val="center"/>
          </w:tcPr>
          <w:p w14:paraId="3A29F3BA" w14:textId="77777777" w:rsidR="00376D25" w:rsidRDefault="00000000">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2020</w:t>
            </w:r>
          </w:p>
        </w:tc>
        <w:tc>
          <w:tcPr>
            <w:tcW w:w="1208" w:type="dxa"/>
            <w:tcBorders>
              <w:tl2br w:val="nil"/>
              <w:tr2bl w:val="nil"/>
            </w:tcBorders>
            <w:noWrap/>
            <w:vAlign w:val="center"/>
          </w:tcPr>
          <w:p w14:paraId="7677F1F2"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Africa</w:t>
            </w:r>
          </w:p>
        </w:tc>
        <w:tc>
          <w:tcPr>
            <w:tcW w:w="1825" w:type="dxa"/>
            <w:tcBorders>
              <w:tl2br w:val="nil"/>
              <w:tr2bl w:val="nil"/>
            </w:tcBorders>
            <w:noWrap/>
            <w:vAlign w:val="center"/>
          </w:tcPr>
          <w:p w14:paraId="7289C6C6"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health system</w:t>
            </w:r>
          </w:p>
        </w:tc>
        <w:tc>
          <w:tcPr>
            <w:tcW w:w="1950" w:type="dxa"/>
            <w:tcBorders>
              <w:tl2br w:val="nil"/>
              <w:tr2bl w:val="nil"/>
            </w:tcBorders>
            <w:noWrap/>
            <w:vAlign w:val="center"/>
          </w:tcPr>
          <w:p w14:paraId="2A9B8F7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2CDCAE7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Multiple Diseases</w:t>
            </w:r>
          </w:p>
        </w:tc>
        <w:tc>
          <w:tcPr>
            <w:tcW w:w="4882" w:type="dxa"/>
            <w:tcBorders>
              <w:tl2br w:val="nil"/>
              <w:tr2bl w:val="nil"/>
            </w:tcBorders>
            <w:noWrap/>
            <w:vAlign w:val="center"/>
          </w:tcPr>
          <w:p w14:paraId="291DCEF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Malawi Basic Health Package vs. no EHP intervention</w:t>
            </w:r>
          </w:p>
        </w:tc>
      </w:tr>
      <w:tr w:rsidR="00376D25" w14:paraId="6B9DD57E" w14:textId="77777777">
        <w:trPr>
          <w:trHeight w:val="270"/>
          <w:jc w:val="center"/>
        </w:trPr>
        <w:tc>
          <w:tcPr>
            <w:tcW w:w="477" w:type="dxa"/>
            <w:tcBorders>
              <w:tl2br w:val="nil"/>
              <w:tr2bl w:val="nil"/>
            </w:tcBorders>
            <w:noWrap/>
            <w:vAlign w:val="center"/>
          </w:tcPr>
          <w:p w14:paraId="5FB5AC42"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6</w:t>
            </w:r>
          </w:p>
        </w:tc>
        <w:tc>
          <w:tcPr>
            <w:tcW w:w="1825" w:type="dxa"/>
            <w:tcBorders>
              <w:tl2br w:val="nil"/>
              <w:tr2bl w:val="nil"/>
            </w:tcBorders>
            <w:noWrap/>
            <w:vAlign w:val="center"/>
          </w:tcPr>
          <w:p w14:paraId="579E5949"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Collins, et al.</w:t>
            </w:r>
          </w:p>
        </w:tc>
        <w:tc>
          <w:tcPr>
            <w:tcW w:w="742" w:type="dxa"/>
            <w:tcBorders>
              <w:tl2br w:val="nil"/>
              <w:tr2bl w:val="nil"/>
            </w:tcBorders>
            <w:noWrap/>
            <w:vAlign w:val="center"/>
          </w:tcPr>
          <w:p w14:paraId="70D42247"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2020</w:t>
            </w:r>
          </w:p>
        </w:tc>
        <w:tc>
          <w:tcPr>
            <w:tcW w:w="1208" w:type="dxa"/>
            <w:tcBorders>
              <w:tl2br w:val="nil"/>
              <w:tr2bl w:val="nil"/>
            </w:tcBorders>
            <w:noWrap/>
            <w:vAlign w:val="center"/>
          </w:tcPr>
          <w:p w14:paraId="1533F90E"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Europe</w:t>
            </w:r>
          </w:p>
        </w:tc>
        <w:tc>
          <w:tcPr>
            <w:tcW w:w="1825" w:type="dxa"/>
            <w:tcBorders>
              <w:tl2br w:val="nil"/>
              <w:tr2bl w:val="nil"/>
            </w:tcBorders>
            <w:noWrap/>
            <w:vAlign w:val="center"/>
          </w:tcPr>
          <w:p w14:paraId="05E639EC"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6C48D02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Adults</w:t>
            </w:r>
          </w:p>
        </w:tc>
        <w:tc>
          <w:tcPr>
            <w:tcW w:w="1967" w:type="dxa"/>
            <w:tcBorders>
              <w:tl2br w:val="nil"/>
              <w:tr2bl w:val="nil"/>
            </w:tcBorders>
            <w:vAlign w:val="center"/>
          </w:tcPr>
          <w:p w14:paraId="4067261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Cardiovascular Diseases</w:t>
            </w:r>
          </w:p>
        </w:tc>
        <w:tc>
          <w:tcPr>
            <w:tcW w:w="4882" w:type="dxa"/>
            <w:tcBorders>
              <w:tl2br w:val="nil"/>
              <w:tr2bl w:val="nil"/>
            </w:tcBorders>
            <w:noWrap/>
            <w:vAlign w:val="center"/>
          </w:tcPr>
          <w:p w14:paraId="502D0EC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Current screening; enhanced universal screening; universal plus targeted screening vs. no cardiovascular disease screening</w:t>
            </w:r>
          </w:p>
        </w:tc>
      </w:tr>
      <w:tr w:rsidR="00376D25" w14:paraId="5F435355" w14:textId="77777777">
        <w:trPr>
          <w:trHeight w:val="270"/>
          <w:jc w:val="center"/>
        </w:trPr>
        <w:tc>
          <w:tcPr>
            <w:tcW w:w="477" w:type="dxa"/>
            <w:tcBorders>
              <w:tl2br w:val="nil"/>
              <w:tr2bl w:val="nil"/>
            </w:tcBorders>
            <w:noWrap/>
            <w:vAlign w:val="center"/>
          </w:tcPr>
          <w:p w14:paraId="211428C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7</w:t>
            </w:r>
          </w:p>
        </w:tc>
        <w:tc>
          <w:tcPr>
            <w:tcW w:w="1825" w:type="dxa"/>
            <w:tcBorders>
              <w:tl2br w:val="nil"/>
              <w:tr2bl w:val="nil"/>
            </w:tcBorders>
            <w:noWrap/>
            <w:vAlign w:val="center"/>
          </w:tcPr>
          <w:p w14:paraId="1D6C2FD5"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Love-Koh, et al.</w:t>
            </w:r>
          </w:p>
        </w:tc>
        <w:tc>
          <w:tcPr>
            <w:tcW w:w="742" w:type="dxa"/>
            <w:tcBorders>
              <w:tl2br w:val="nil"/>
              <w:tr2bl w:val="nil"/>
            </w:tcBorders>
            <w:noWrap/>
            <w:vAlign w:val="center"/>
          </w:tcPr>
          <w:p w14:paraId="5A73CF4D"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2020</w:t>
            </w:r>
          </w:p>
        </w:tc>
        <w:tc>
          <w:tcPr>
            <w:tcW w:w="1208" w:type="dxa"/>
            <w:tcBorders>
              <w:tl2br w:val="nil"/>
              <w:tr2bl w:val="nil"/>
            </w:tcBorders>
            <w:noWrap/>
            <w:vAlign w:val="center"/>
          </w:tcPr>
          <w:p w14:paraId="27E49D68"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Europe</w:t>
            </w:r>
          </w:p>
        </w:tc>
        <w:tc>
          <w:tcPr>
            <w:tcW w:w="1825" w:type="dxa"/>
            <w:tcBorders>
              <w:tl2br w:val="nil"/>
              <w:tr2bl w:val="nil"/>
            </w:tcBorders>
            <w:noWrap/>
            <w:vAlign w:val="center"/>
          </w:tcPr>
          <w:p w14:paraId="08776FDB"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690AEC90"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Adults</w:t>
            </w:r>
          </w:p>
        </w:tc>
        <w:tc>
          <w:tcPr>
            <w:tcW w:w="1967" w:type="dxa"/>
            <w:tcBorders>
              <w:tl2br w:val="nil"/>
              <w:tr2bl w:val="nil"/>
            </w:tcBorders>
            <w:vAlign w:val="center"/>
          </w:tcPr>
          <w:p w14:paraId="63223F8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Multiple Diseases</w:t>
            </w:r>
          </w:p>
        </w:tc>
        <w:tc>
          <w:tcPr>
            <w:tcW w:w="4882" w:type="dxa"/>
            <w:tcBorders>
              <w:tl2br w:val="nil"/>
              <w:tr2bl w:val="nil"/>
            </w:tcBorders>
            <w:noWrap/>
            <w:vAlign w:val="center"/>
          </w:tcPr>
          <w:p w14:paraId="33EB26F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21 smoking cessation interventions vs. no intervention</w:t>
            </w:r>
          </w:p>
        </w:tc>
      </w:tr>
      <w:tr w:rsidR="00376D25" w14:paraId="75B22768" w14:textId="77777777">
        <w:trPr>
          <w:trHeight w:val="270"/>
          <w:jc w:val="center"/>
        </w:trPr>
        <w:tc>
          <w:tcPr>
            <w:tcW w:w="477" w:type="dxa"/>
            <w:tcBorders>
              <w:tl2br w:val="nil"/>
              <w:tr2bl w:val="nil"/>
            </w:tcBorders>
            <w:noWrap/>
            <w:vAlign w:val="center"/>
          </w:tcPr>
          <w:p w14:paraId="34E0D02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8</w:t>
            </w:r>
          </w:p>
        </w:tc>
        <w:tc>
          <w:tcPr>
            <w:tcW w:w="1825" w:type="dxa"/>
            <w:tcBorders>
              <w:tl2br w:val="nil"/>
              <w:tr2bl w:val="nil"/>
            </w:tcBorders>
            <w:noWrap/>
            <w:vAlign w:val="center"/>
          </w:tcPr>
          <w:p w14:paraId="2F9E2DB4"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Love-Koh, et al.</w:t>
            </w:r>
          </w:p>
        </w:tc>
        <w:tc>
          <w:tcPr>
            <w:tcW w:w="742" w:type="dxa"/>
            <w:tcBorders>
              <w:tl2br w:val="nil"/>
              <w:tr2bl w:val="nil"/>
            </w:tcBorders>
            <w:noWrap/>
            <w:vAlign w:val="center"/>
          </w:tcPr>
          <w:p w14:paraId="624C1B72"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2021</w:t>
            </w:r>
          </w:p>
        </w:tc>
        <w:tc>
          <w:tcPr>
            <w:tcW w:w="1208" w:type="dxa"/>
            <w:tcBorders>
              <w:tl2br w:val="nil"/>
              <w:tr2bl w:val="nil"/>
            </w:tcBorders>
            <w:noWrap/>
            <w:vAlign w:val="center"/>
          </w:tcPr>
          <w:p w14:paraId="1CC5C214"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South America</w:t>
            </w:r>
          </w:p>
        </w:tc>
        <w:tc>
          <w:tcPr>
            <w:tcW w:w="1825" w:type="dxa"/>
            <w:tcBorders>
              <w:tl2br w:val="nil"/>
              <w:tr2bl w:val="nil"/>
            </w:tcBorders>
            <w:noWrap/>
            <w:vAlign w:val="center"/>
          </w:tcPr>
          <w:p w14:paraId="69B32EB0"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1A130356"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6673B535"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Multiple Diseases</w:t>
            </w:r>
          </w:p>
        </w:tc>
        <w:tc>
          <w:tcPr>
            <w:tcW w:w="4882" w:type="dxa"/>
            <w:tcBorders>
              <w:tl2br w:val="nil"/>
              <w:tr2bl w:val="nil"/>
            </w:tcBorders>
            <w:noWrap/>
            <w:vAlign w:val="center"/>
          </w:tcPr>
          <w:p w14:paraId="7FFBB09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Brazil Family Health Program vs. pre-implementation</w:t>
            </w:r>
          </w:p>
        </w:tc>
      </w:tr>
      <w:tr w:rsidR="00376D25" w14:paraId="6D256D64" w14:textId="77777777">
        <w:trPr>
          <w:trHeight w:val="270"/>
          <w:jc w:val="center"/>
        </w:trPr>
        <w:tc>
          <w:tcPr>
            <w:tcW w:w="477" w:type="dxa"/>
            <w:tcBorders>
              <w:tl2br w:val="nil"/>
              <w:tr2bl w:val="nil"/>
            </w:tcBorders>
            <w:noWrap/>
            <w:vAlign w:val="center"/>
          </w:tcPr>
          <w:p w14:paraId="4E9EB48B"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9</w:t>
            </w:r>
          </w:p>
        </w:tc>
        <w:tc>
          <w:tcPr>
            <w:tcW w:w="1825" w:type="dxa"/>
            <w:tcBorders>
              <w:tl2br w:val="nil"/>
              <w:tr2bl w:val="nil"/>
            </w:tcBorders>
            <w:noWrap/>
            <w:vAlign w:val="center"/>
          </w:tcPr>
          <w:p w14:paraId="39812AC3"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Quan, et al.</w:t>
            </w:r>
          </w:p>
        </w:tc>
        <w:tc>
          <w:tcPr>
            <w:tcW w:w="742" w:type="dxa"/>
            <w:tcBorders>
              <w:tl2br w:val="nil"/>
              <w:tr2bl w:val="nil"/>
            </w:tcBorders>
            <w:noWrap/>
            <w:vAlign w:val="center"/>
          </w:tcPr>
          <w:p w14:paraId="2B5254C1"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2021</w:t>
            </w:r>
          </w:p>
        </w:tc>
        <w:tc>
          <w:tcPr>
            <w:tcW w:w="1208" w:type="dxa"/>
            <w:tcBorders>
              <w:tl2br w:val="nil"/>
              <w:tr2bl w:val="nil"/>
            </w:tcBorders>
            <w:noWrap/>
            <w:vAlign w:val="center"/>
          </w:tcPr>
          <w:p w14:paraId="108A48C2"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North America</w:t>
            </w:r>
          </w:p>
        </w:tc>
        <w:tc>
          <w:tcPr>
            <w:tcW w:w="1825" w:type="dxa"/>
            <w:tcBorders>
              <w:tl2br w:val="nil"/>
              <w:tr2bl w:val="nil"/>
            </w:tcBorders>
            <w:noWrap/>
            <w:vAlign w:val="center"/>
          </w:tcPr>
          <w:p w14:paraId="2415E962"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77A7233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Adults</w:t>
            </w:r>
          </w:p>
        </w:tc>
        <w:tc>
          <w:tcPr>
            <w:tcW w:w="1967" w:type="dxa"/>
            <w:tcBorders>
              <w:tl2br w:val="nil"/>
              <w:tr2bl w:val="nil"/>
            </w:tcBorders>
            <w:vAlign w:val="center"/>
          </w:tcPr>
          <w:p w14:paraId="61FE4A1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noWrap/>
            <w:vAlign w:val="center"/>
          </w:tcPr>
          <w:p w14:paraId="736E64F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Allocation by baseline service ratio; allocation by new diagnosis ratio vs. current strategy</w:t>
            </w:r>
          </w:p>
        </w:tc>
      </w:tr>
      <w:tr w:rsidR="00376D25" w14:paraId="2AC21915" w14:textId="77777777">
        <w:trPr>
          <w:trHeight w:val="540"/>
          <w:jc w:val="center"/>
        </w:trPr>
        <w:tc>
          <w:tcPr>
            <w:tcW w:w="477" w:type="dxa"/>
            <w:tcBorders>
              <w:tl2br w:val="nil"/>
              <w:tr2bl w:val="nil"/>
            </w:tcBorders>
            <w:noWrap/>
            <w:vAlign w:val="center"/>
          </w:tcPr>
          <w:p w14:paraId="4FE27EC0"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10</w:t>
            </w:r>
          </w:p>
        </w:tc>
        <w:tc>
          <w:tcPr>
            <w:tcW w:w="1825" w:type="dxa"/>
            <w:tcBorders>
              <w:tl2br w:val="nil"/>
              <w:tr2bl w:val="nil"/>
            </w:tcBorders>
            <w:noWrap/>
            <w:vAlign w:val="center"/>
          </w:tcPr>
          <w:p w14:paraId="3F257B78"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Olsen, et al.</w:t>
            </w:r>
          </w:p>
        </w:tc>
        <w:tc>
          <w:tcPr>
            <w:tcW w:w="742" w:type="dxa"/>
            <w:tcBorders>
              <w:tl2br w:val="nil"/>
              <w:tr2bl w:val="nil"/>
            </w:tcBorders>
            <w:noWrap/>
            <w:vAlign w:val="center"/>
          </w:tcPr>
          <w:p w14:paraId="1BFE7DC4"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2021</w:t>
            </w:r>
          </w:p>
        </w:tc>
        <w:tc>
          <w:tcPr>
            <w:tcW w:w="1208" w:type="dxa"/>
            <w:tcBorders>
              <w:tl2br w:val="nil"/>
              <w:tr2bl w:val="nil"/>
            </w:tcBorders>
            <w:noWrap/>
            <w:vAlign w:val="center"/>
          </w:tcPr>
          <w:p w14:paraId="0D2B9382"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Africa</w:t>
            </w:r>
          </w:p>
        </w:tc>
        <w:tc>
          <w:tcPr>
            <w:tcW w:w="1825" w:type="dxa"/>
            <w:tcBorders>
              <w:tl2br w:val="nil"/>
              <w:tr2bl w:val="nil"/>
            </w:tcBorders>
            <w:noWrap/>
            <w:vAlign w:val="center"/>
          </w:tcPr>
          <w:p w14:paraId="5BC6AAC1"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6F91A7B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Children</w:t>
            </w:r>
          </w:p>
        </w:tc>
        <w:tc>
          <w:tcPr>
            <w:tcW w:w="1967" w:type="dxa"/>
            <w:tcBorders>
              <w:tl2br w:val="nil"/>
              <w:tr2bl w:val="nil"/>
            </w:tcBorders>
            <w:vAlign w:val="center"/>
          </w:tcPr>
          <w:p w14:paraId="41DC367B"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vAlign w:val="center"/>
          </w:tcPr>
          <w:p w14:paraId="3822D13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CCM strategy vs. current strategy</w:t>
            </w:r>
          </w:p>
        </w:tc>
      </w:tr>
      <w:tr w:rsidR="00376D25" w14:paraId="33D0C45A" w14:textId="77777777">
        <w:trPr>
          <w:trHeight w:val="540"/>
          <w:jc w:val="center"/>
        </w:trPr>
        <w:tc>
          <w:tcPr>
            <w:tcW w:w="477" w:type="dxa"/>
            <w:tcBorders>
              <w:tl2br w:val="nil"/>
              <w:tr2bl w:val="nil"/>
            </w:tcBorders>
            <w:noWrap/>
            <w:vAlign w:val="center"/>
          </w:tcPr>
          <w:p w14:paraId="73490122" w14:textId="77777777" w:rsidR="00376D25" w:rsidRPr="00204E7C" w:rsidRDefault="00000000">
            <w:pPr>
              <w:widowControl/>
              <w:spacing w:line="240" w:lineRule="atLeast"/>
              <w:ind w:firstLineChars="0" w:firstLine="0"/>
              <w:jc w:val="center"/>
              <w:textAlignment w:val="center"/>
              <w:rPr>
                <w:rFonts w:cs="Times New Roman"/>
                <w:kern w:val="0"/>
                <w:sz w:val="20"/>
                <w:szCs w:val="20"/>
                <w:lang w:bidi="ar"/>
              </w:rPr>
            </w:pPr>
            <w:r w:rsidRPr="00204E7C">
              <w:rPr>
                <w:rFonts w:cs="Times New Roman"/>
                <w:kern w:val="0"/>
                <w:sz w:val="20"/>
                <w:szCs w:val="20"/>
                <w:lang w:bidi="ar"/>
              </w:rPr>
              <w:t>11</w:t>
            </w:r>
          </w:p>
        </w:tc>
        <w:tc>
          <w:tcPr>
            <w:tcW w:w="1825" w:type="dxa"/>
            <w:tcBorders>
              <w:tl2br w:val="nil"/>
              <w:tr2bl w:val="nil"/>
            </w:tcBorders>
            <w:noWrap/>
            <w:vAlign w:val="center"/>
          </w:tcPr>
          <w:p w14:paraId="52BD72A1" w14:textId="77777777" w:rsidR="00376D25" w:rsidRPr="00204E7C" w:rsidRDefault="00000000">
            <w:pPr>
              <w:widowControl/>
              <w:spacing w:line="240" w:lineRule="atLeast"/>
              <w:ind w:firstLineChars="0" w:firstLine="0"/>
              <w:jc w:val="center"/>
              <w:textAlignment w:val="center"/>
              <w:rPr>
                <w:rFonts w:cs="Times New Roman"/>
                <w:sz w:val="20"/>
                <w:szCs w:val="20"/>
              </w:rPr>
            </w:pPr>
            <w:r w:rsidRPr="00204E7C">
              <w:rPr>
                <w:rFonts w:cs="Times New Roman"/>
                <w:kern w:val="0"/>
                <w:sz w:val="20"/>
                <w:szCs w:val="20"/>
                <w:lang w:bidi="ar"/>
              </w:rPr>
              <w:t>Kowal, et al.</w:t>
            </w:r>
          </w:p>
        </w:tc>
        <w:tc>
          <w:tcPr>
            <w:tcW w:w="742" w:type="dxa"/>
            <w:tcBorders>
              <w:tl2br w:val="nil"/>
              <w:tr2bl w:val="nil"/>
            </w:tcBorders>
            <w:noWrap/>
            <w:vAlign w:val="center"/>
          </w:tcPr>
          <w:p w14:paraId="48E37F4D"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5A978DA1"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North America</w:t>
            </w:r>
          </w:p>
        </w:tc>
        <w:tc>
          <w:tcPr>
            <w:tcW w:w="1825" w:type="dxa"/>
            <w:tcBorders>
              <w:tl2br w:val="nil"/>
              <w:tr2bl w:val="nil"/>
            </w:tcBorders>
            <w:noWrap/>
            <w:vAlign w:val="center"/>
          </w:tcPr>
          <w:p w14:paraId="03213F78"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medical insurance payers</w:t>
            </w:r>
          </w:p>
        </w:tc>
        <w:tc>
          <w:tcPr>
            <w:tcW w:w="1950" w:type="dxa"/>
            <w:tcBorders>
              <w:tl2br w:val="nil"/>
              <w:tr2bl w:val="nil"/>
            </w:tcBorders>
            <w:noWrap/>
            <w:vAlign w:val="center"/>
          </w:tcPr>
          <w:p w14:paraId="2D8C9A3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0605E01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vAlign w:val="center"/>
          </w:tcPr>
          <w:p w14:paraId="2A73B41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COVID-19 hospitalization treatment vs. SOC</w:t>
            </w:r>
          </w:p>
        </w:tc>
      </w:tr>
      <w:tr w:rsidR="00376D25" w14:paraId="4B35EBCE" w14:textId="77777777">
        <w:trPr>
          <w:trHeight w:val="270"/>
          <w:jc w:val="center"/>
        </w:trPr>
        <w:tc>
          <w:tcPr>
            <w:tcW w:w="477" w:type="dxa"/>
            <w:tcBorders>
              <w:tl2br w:val="nil"/>
              <w:tr2bl w:val="nil"/>
            </w:tcBorders>
            <w:noWrap/>
            <w:vAlign w:val="center"/>
          </w:tcPr>
          <w:p w14:paraId="6B097D0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12</w:t>
            </w:r>
          </w:p>
        </w:tc>
        <w:tc>
          <w:tcPr>
            <w:tcW w:w="1825" w:type="dxa"/>
            <w:tcBorders>
              <w:tl2br w:val="nil"/>
              <w:tr2bl w:val="nil"/>
            </w:tcBorders>
            <w:noWrap/>
            <w:vAlign w:val="center"/>
          </w:tcPr>
          <w:p w14:paraId="660F12B8"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Meunier, et al.</w:t>
            </w:r>
          </w:p>
        </w:tc>
        <w:tc>
          <w:tcPr>
            <w:tcW w:w="742" w:type="dxa"/>
            <w:tcBorders>
              <w:tl2br w:val="nil"/>
              <w:tr2bl w:val="nil"/>
            </w:tcBorders>
            <w:noWrap/>
            <w:vAlign w:val="center"/>
          </w:tcPr>
          <w:p w14:paraId="6B4E0345"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2AE05385"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Europe</w:t>
            </w:r>
          </w:p>
        </w:tc>
        <w:tc>
          <w:tcPr>
            <w:tcW w:w="1825" w:type="dxa"/>
            <w:tcBorders>
              <w:tl2br w:val="nil"/>
              <w:tr2bl w:val="nil"/>
            </w:tcBorders>
            <w:noWrap/>
            <w:vAlign w:val="center"/>
          </w:tcPr>
          <w:p w14:paraId="7AF0ED0E"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07C326D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64B5467D"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Cancer</w:t>
            </w:r>
          </w:p>
        </w:tc>
        <w:tc>
          <w:tcPr>
            <w:tcW w:w="4882" w:type="dxa"/>
            <w:tcBorders>
              <w:tl2br w:val="nil"/>
              <w:tr2bl w:val="nil"/>
            </w:tcBorders>
            <w:vAlign w:val="center"/>
          </w:tcPr>
          <w:p w14:paraId="195E217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 xml:space="preserve">Atezolizumab vs. docetaxel; </w:t>
            </w:r>
            <w:proofErr w:type="spellStart"/>
            <w:r>
              <w:rPr>
                <w:rFonts w:cs="Times New Roman"/>
                <w:color w:val="000000"/>
                <w:kern w:val="0"/>
                <w:sz w:val="20"/>
                <w:szCs w:val="20"/>
                <w:lang w:bidi="ar"/>
              </w:rPr>
              <w:t>alectinib</w:t>
            </w:r>
            <w:proofErr w:type="spellEnd"/>
            <w:r>
              <w:rPr>
                <w:rFonts w:cs="Times New Roman"/>
                <w:color w:val="000000"/>
                <w:kern w:val="0"/>
                <w:sz w:val="20"/>
                <w:szCs w:val="20"/>
                <w:lang w:bidi="ar"/>
              </w:rPr>
              <w:t xml:space="preserve"> vs. crizotinib</w:t>
            </w:r>
          </w:p>
        </w:tc>
      </w:tr>
      <w:tr w:rsidR="00376D25" w14:paraId="60351DA9" w14:textId="77777777">
        <w:trPr>
          <w:trHeight w:val="270"/>
          <w:jc w:val="center"/>
        </w:trPr>
        <w:tc>
          <w:tcPr>
            <w:tcW w:w="477" w:type="dxa"/>
            <w:tcBorders>
              <w:tl2br w:val="nil"/>
              <w:tr2bl w:val="nil"/>
            </w:tcBorders>
            <w:noWrap/>
            <w:vAlign w:val="center"/>
          </w:tcPr>
          <w:p w14:paraId="6EA40C0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13</w:t>
            </w:r>
          </w:p>
        </w:tc>
        <w:tc>
          <w:tcPr>
            <w:tcW w:w="1825" w:type="dxa"/>
            <w:tcBorders>
              <w:tl2br w:val="nil"/>
              <w:tr2bl w:val="nil"/>
            </w:tcBorders>
            <w:noWrap/>
            <w:vAlign w:val="center"/>
          </w:tcPr>
          <w:p w14:paraId="266F8D91" w14:textId="77777777" w:rsidR="00376D25" w:rsidRPr="005A592E" w:rsidRDefault="00000000">
            <w:pPr>
              <w:widowControl/>
              <w:spacing w:line="240" w:lineRule="atLeast"/>
              <w:ind w:firstLineChars="0" w:firstLine="0"/>
              <w:jc w:val="center"/>
              <w:textAlignment w:val="center"/>
              <w:rPr>
                <w:rFonts w:cs="Times New Roman"/>
                <w:sz w:val="20"/>
                <w:szCs w:val="20"/>
              </w:rPr>
            </w:pPr>
            <w:proofErr w:type="spellStart"/>
            <w:r w:rsidRPr="005A592E">
              <w:rPr>
                <w:rFonts w:cs="Times New Roman"/>
                <w:kern w:val="0"/>
                <w:sz w:val="20"/>
                <w:szCs w:val="20"/>
                <w:lang w:bidi="ar"/>
              </w:rPr>
              <w:t>Goshua</w:t>
            </w:r>
            <w:proofErr w:type="spellEnd"/>
            <w:r w:rsidRPr="005A592E">
              <w:rPr>
                <w:rFonts w:cs="Times New Roman"/>
                <w:kern w:val="0"/>
                <w:sz w:val="20"/>
                <w:szCs w:val="20"/>
                <w:lang w:bidi="ar"/>
              </w:rPr>
              <w:t>, et al.</w:t>
            </w:r>
          </w:p>
        </w:tc>
        <w:tc>
          <w:tcPr>
            <w:tcW w:w="742" w:type="dxa"/>
            <w:tcBorders>
              <w:tl2br w:val="nil"/>
              <w:tr2bl w:val="nil"/>
            </w:tcBorders>
            <w:noWrap/>
            <w:vAlign w:val="center"/>
          </w:tcPr>
          <w:p w14:paraId="2096BFBB"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52462A6C"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 xml:space="preserve">North </w:t>
            </w:r>
            <w:r w:rsidRPr="005A592E">
              <w:rPr>
                <w:rFonts w:cs="Times New Roman"/>
                <w:kern w:val="0"/>
                <w:sz w:val="20"/>
                <w:szCs w:val="20"/>
                <w:lang w:bidi="ar"/>
              </w:rPr>
              <w:lastRenderedPageBreak/>
              <w:t>America</w:t>
            </w:r>
          </w:p>
        </w:tc>
        <w:tc>
          <w:tcPr>
            <w:tcW w:w="1825" w:type="dxa"/>
            <w:tcBorders>
              <w:tl2br w:val="nil"/>
              <w:tr2bl w:val="nil"/>
            </w:tcBorders>
            <w:noWrap/>
            <w:vAlign w:val="center"/>
          </w:tcPr>
          <w:p w14:paraId="68D641A1"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lastRenderedPageBreak/>
              <w:t>health system</w:t>
            </w:r>
          </w:p>
        </w:tc>
        <w:tc>
          <w:tcPr>
            <w:tcW w:w="1950" w:type="dxa"/>
            <w:tcBorders>
              <w:tl2br w:val="nil"/>
              <w:tr2bl w:val="nil"/>
            </w:tcBorders>
            <w:noWrap/>
            <w:vAlign w:val="center"/>
          </w:tcPr>
          <w:p w14:paraId="7EA0B9D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7707679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 xml:space="preserve">Hereditary </w:t>
            </w:r>
            <w:r>
              <w:rPr>
                <w:rFonts w:cs="Times New Roman"/>
                <w:color w:val="000000"/>
                <w:kern w:val="0"/>
                <w:sz w:val="20"/>
                <w:szCs w:val="20"/>
                <w:lang w:bidi="ar"/>
              </w:rPr>
              <w:lastRenderedPageBreak/>
              <w:t>hemoglobinopathies</w:t>
            </w:r>
          </w:p>
        </w:tc>
        <w:tc>
          <w:tcPr>
            <w:tcW w:w="4882" w:type="dxa"/>
            <w:tcBorders>
              <w:tl2br w:val="nil"/>
              <w:tr2bl w:val="nil"/>
            </w:tcBorders>
            <w:vAlign w:val="center"/>
          </w:tcPr>
          <w:p w14:paraId="721D117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lastRenderedPageBreak/>
              <w:t>Gene therapy vs. SOC</w:t>
            </w:r>
          </w:p>
        </w:tc>
      </w:tr>
      <w:tr w:rsidR="00376D25" w14:paraId="35F80809" w14:textId="77777777">
        <w:trPr>
          <w:trHeight w:val="540"/>
          <w:jc w:val="center"/>
        </w:trPr>
        <w:tc>
          <w:tcPr>
            <w:tcW w:w="477" w:type="dxa"/>
            <w:tcBorders>
              <w:tl2br w:val="nil"/>
              <w:tr2bl w:val="nil"/>
            </w:tcBorders>
            <w:noWrap/>
            <w:vAlign w:val="center"/>
          </w:tcPr>
          <w:p w14:paraId="70BFC537"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14</w:t>
            </w:r>
          </w:p>
        </w:tc>
        <w:tc>
          <w:tcPr>
            <w:tcW w:w="1825" w:type="dxa"/>
            <w:tcBorders>
              <w:tl2br w:val="nil"/>
              <w:tr2bl w:val="nil"/>
            </w:tcBorders>
            <w:noWrap/>
            <w:vAlign w:val="center"/>
          </w:tcPr>
          <w:p w14:paraId="07FDD39B" w14:textId="77777777" w:rsidR="00376D25" w:rsidRPr="005A592E" w:rsidRDefault="00000000">
            <w:pPr>
              <w:widowControl/>
              <w:spacing w:line="240" w:lineRule="atLeast"/>
              <w:ind w:firstLineChars="0" w:firstLine="0"/>
              <w:jc w:val="center"/>
              <w:textAlignment w:val="center"/>
              <w:rPr>
                <w:rFonts w:cs="Times New Roman"/>
                <w:sz w:val="20"/>
                <w:szCs w:val="20"/>
              </w:rPr>
            </w:pPr>
            <w:proofErr w:type="spellStart"/>
            <w:r w:rsidRPr="005A592E">
              <w:rPr>
                <w:rFonts w:cs="Times New Roman"/>
                <w:kern w:val="0"/>
                <w:sz w:val="20"/>
                <w:szCs w:val="20"/>
                <w:lang w:bidi="ar"/>
              </w:rPr>
              <w:t>Assebe</w:t>
            </w:r>
            <w:proofErr w:type="spellEnd"/>
            <w:r w:rsidRPr="005A592E">
              <w:rPr>
                <w:rFonts w:cs="Times New Roman"/>
                <w:kern w:val="0"/>
                <w:sz w:val="20"/>
                <w:szCs w:val="20"/>
                <w:lang w:bidi="ar"/>
              </w:rPr>
              <w:t>, et al.</w:t>
            </w:r>
          </w:p>
        </w:tc>
        <w:tc>
          <w:tcPr>
            <w:tcW w:w="742" w:type="dxa"/>
            <w:tcBorders>
              <w:tl2br w:val="nil"/>
              <w:tr2bl w:val="nil"/>
            </w:tcBorders>
            <w:noWrap/>
            <w:vAlign w:val="center"/>
          </w:tcPr>
          <w:p w14:paraId="2FABA844"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67631311"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Africa</w:t>
            </w:r>
          </w:p>
        </w:tc>
        <w:tc>
          <w:tcPr>
            <w:tcW w:w="1825" w:type="dxa"/>
            <w:tcBorders>
              <w:tl2br w:val="nil"/>
              <w:tr2bl w:val="nil"/>
            </w:tcBorders>
            <w:noWrap/>
            <w:vAlign w:val="center"/>
          </w:tcPr>
          <w:p w14:paraId="5EDF4F43" w14:textId="77777777" w:rsidR="00376D25" w:rsidRPr="005A592E" w:rsidRDefault="00000000">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 system</w:t>
            </w:r>
          </w:p>
        </w:tc>
        <w:tc>
          <w:tcPr>
            <w:tcW w:w="1950" w:type="dxa"/>
            <w:tcBorders>
              <w:tl2br w:val="nil"/>
              <w:tr2bl w:val="nil"/>
            </w:tcBorders>
            <w:noWrap/>
            <w:vAlign w:val="center"/>
          </w:tcPr>
          <w:p w14:paraId="37F0A03F"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254061BC"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vAlign w:val="center"/>
          </w:tcPr>
          <w:p w14:paraId="31F242C3"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30 infectious disease interventions in EHSP vs. no intervention</w:t>
            </w:r>
          </w:p>
        </w:tc>
      </w:tr>
      <w:tr w:rsidR="00376D25" w14:paraId="03EFAD59" w14:textId="77777777">
        <w:trPr>
          <w:trHeight w:val="540"/>
          <w:jc w:val="center"/>
        </w:trPr>
        <w:tc>
          <w:tcPr>
            <w:tcW w:w="477" w:type="dxa"/>
            <w:tcBorders>
              <w:tl2br w:val="nil"/>
              <w:tr2bl w:val="nil"/>
            </w:tcBorders>
            <w:noWrap/>
            <w:vAlign w:val="center"/>
          </w:tcPr>
          <w:p w14:paraId="075908E8" w14:textId="77777777" w:rsidR="00376D25" w:rsidRPr="00204E7C" w:rsidRDefault="00000000">
            <w:pPr>
              <w:widowControl/>
              <w:spacing w:line="240" w:lineRule="atLeast"/>
              <w:ind w:firstLineChars="0" w:firstLine="0"/>
              <w:jc w:val="center"/>
              <w:textAlignment w:val="center"/>
              <w:rPr>
                <w:rFonts w:cs="Times New Roman"/>
                <w:kern w:val="0"/>
                <w:sz w:val="20"/>
                <w:szCs w:val="20"/>
                <w:lang w:bidi="ar"/>
              </w:rPr>
            </w:pPr>
            <w:r w:rsidRPr="00204E7C">
              <w:rPr>
                <w:rFonts w:cs="Times New Roman"/>
                <w:kern w:val="0"/>
                <w:sz w:val="20"/>
                <w:szCs w:val="20"/>
                <w:lang w:bidi="ar"/>
              </w:rPr>
              <w:t>15</w:t>
            </w:r>
          </w:p>
        </w:tc>
        <w:tc>
          <w:tcPr>
            <w:tcW w:w="1825" w:type="dxa"/>
            <w:tcBorders>
              <w:tl2br w:val="nil"/>
              <w:tr2bl w:val="nil"/>
            </w:tcBorders>
            <w:noWrap/>
            <w:vAlign w:val="center"/>
          </w:tcPr>
          <w:p w14:paraId="7DB75244" w14:textId="77777777" w:rsidR="00376D25" w:rsidRPr="00204E7C" w:rsidRDefault="00000000">
            <w:pPr>
              <w:widowControl/>
              <w:spacing w:line="240" w:lineRule="atLeast"/>
              <w:ind w:firstLineChars="0" w:firstLine="0"/>
              <w:jc w:val="center"/>
              <w:textAlignment w:val="center"/>
              <w:rPr>
                <w:rFonts w:cs="Times New Roman"/>
                <w:sz w:val="20"/>
                <w:szCs w:val="20"/>
              </w:rPr>
            </w:pPr>
            <w:proofErr w:type="spellStart"/>
            <w:r w:rsidRPr="00204E7C">
              <w:rPr>
                <w:rFonts w:cs="Times New Roman"/>
                <w:kern w:val="0"/>
                <w:sz w:val="20"/>
                <w:szCs w:val="20"/>
                <w:lang w:bidi="ar"/>
              </w:rPr>
              <w:t>Killedar</w:t>
            </w:r>
            <w:proofErr w:type="spellEnd"/>
            <w:r w:rsidRPr="00204E7C">
              <w:rPr>
                <w:rFonts w:cs="Times New Roman"/>
                <w:kern w:val="0"/>
                <w:sz w:val="20"/>
                <w:szCs w:val="20"/>
                <w:lang w:bidi="ar"/>
              </w:rPr>
              <w:t>, et al.</w:t>
            </w:r>
          </w:p>
        </w:tc>
        <w:tc>
          <w:tcPr>
            <w:tcW w:w="742" w:type="dxa"/>
            <w:tcBorders>
              <w:tl2br w:val="nil"/>
              <w:tr2bl w:val="nil"/>
            </w:tcBorders>
            <w:noWrap/>
            <w:vAlign w:val="center"/>
          </w:tcPr>
          <w:p w14:paraId="7CDBFE6C"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1EBC8207"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Other</w:t>
            </w:r>
          </w:p>
        </w:tc>
        <w:tc>
          <w:tcPr>
            <w:tcW w:w="1825" w:type="dxa"/>
            <w:tcBorders>
              <w:tl2br w:val="nil"/>
              <w:tr2bl w:val="nil"/>
            </w:tcBorders>
            <w:noWrap/>
            <w:vAlign w:val="center"/>
          </w:tcPr>
          <w:p w14:paraId="40D505B5" w14:textId="4A43CD9A"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medical insurance</w:t>
            </w:r>
            <w:r w:rsidR="00784E21" w:rsidRPr="005A592E">
              <w:rPr>
                <w:rFonts w:cs="Times New Roman" w:hint="eastAsia"/>
                <w:kern w:val="0"/>
                <w:sz w:val="20"/>
                <w:szCs w:val="20"/>
                <w:lang w:bidi="ar"/>
              </w:rPr>
              <w:t xml:space="preserve"> </w:t>
            </w:r>
            <w:r w:rsidRPr="005A592E">
              <w:rPr>
                <w:rFonts w:cs="Times New Roman"/>
                <w:kern w:val="0"/>
                <w:sz w:val="20"/>
                <w:szCs w:val="20"/>
                <w:lang w:bidi="ar"/>
              </w:rPr>
              <w:t>payers</w:t>
            </w:r>
          </w:p>
        </w:tc>
        <w:tc>
          <w:tcPr>
            <w:tcW w:w="1950" w:type="dxa"/>
            <w:tcBorders>
              <w:tl2br w:val="nil"/>
              <w:tr2bl w:val="nil"/>
            </w:tcBorders>
            <w:noWrap/>
            <w:vAlign w:val="center"/>
          </w:tcPr>
          <w:p w14:paraId="4748CF50"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Children</w:t>
            </w:r>
          </w:p>
        </w:tc>
        <w:tc>
          <w:tcPr>
            <w:tcW w:w="1967" w:type="dxa"/>
            <w:tcBorders>
              <w:tl2br w:val="nil"/>
              <w:tr2bl w:val="nil"/>
            </w:tcBorders>
            <w:vAlign w:val="center"/>
          </w:tcPr>
          <w:p w14:paraId="4F4612BE"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Chronic metabolic diseases</w:t>
            </w:r>
          </w:p>
        </w:tc>
        <w:tc>
          <w:tcPr>
            <w:tcW w:w="4882" w:type="dxa"/>
            <w:tcBorders>
              <w:tl2br w:val="nil"/>
              <w:tr2bl w:val="nil"/>
            </w:tcBorders>
            <w:vAlign w:val="center"/>
          </w:tcPr>
          <w:p w14:paraId="4E49E55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POI-Sleep; POI-Combo; High Five for Kids vs. TAU</w:t>
            </w:r>
          </w:p>
        </w:tc>
      </w:tr>
      <w:tr w:rsidR="00376D25" w14:paraId="0817C98C" w14:textId="77777777">
        <w:trPr>
          <w:trHeight w:val="258"/>
          <w:jc w:val="center"/>
        </w:trPr>
        <w:tc>
          <w:tcPr>
            <w:tcW w:w="477" w:type="dxa"/>
            <w:tcBorders>
              <w:tl2br w:val="nil"/>
              <w:tr2bl w:val="nil"/>
            </w:tcBorders>
            <w:noWrap/>
            <w:vAlign w:val="center"/>
          </w:tcPr>
          <w:p w14:paraId="1CD9DD0A"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16</w:t>
            </w:r>
          </w:p>
        </w:tc>
        <w:tc>
          <w:tcPr>
            <w:tcW w:w="1825" w:type="dxa"/>
            <w:tcBorders>
              <w:tl2br w:val="nil"/>
              <w:tr2bl w:val="nil"/>
            </w:tcBorders>
            <w:noWrap/>
            <w:vAlign w:val="center"/>
          </w:tcPr>
          <w:p w14:paraId="6D019AD4"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Kwon, et al.</w:t>
            </w:r>
          </w:p>
        </w:tc>
        <w:tc>
          <w:tcPr>
            <w:tcW w:w="742" w:type="dxa"/>
            <w:tcBorders>
              <w:tl2br w:val="nil"/>
              <w:tr2bl w:val="nil"/>
            </w:tcBorders>
            <w:noWrap/>
            <w:vAlign w:val="center"/>
          </w:tcPr>
          <w:p w14:paraId="719D9AD1"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2023</w:t>
            </w:r>
          </w:p>
        </w:tc>
        <w:tc>
          <w:tcPr>
            <w:tcW w:w="1208" w:type="dxa"/>
            <w:tcBorders>
              <w:tl2br w:val="nil"/>
              <w:tr2bl w:val="nil"/>
            </w:tcBorders>
            <w:noWrap/>
            <w:vAlign w:val="center"/>
          </w:tcPr>
          <w:p w14:paraId="46494208"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Europe</w:t>
            </w:r>
          </w:p>
        </w:tc>
        <w:tc>
          <w:tcPr>
            <w:tcW w:w="1825" w:type="dxa"/>
            <w:tcBorders>
              <w:tl2br w:val="nil"/>
              <w:tr2bl w:val="nil"/>
            </w:tcBorders>
            <w:noWrap/>
            <w:vAlign w:val="center"/>
          </w:tcPr>
          <w:p w14:paraId="0376FB5C"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whole society</w:t>
            </w:r>
          </w:p>
        </w:tc>
        <w:tc>
          <w:tcPr>
            <w:tcW w:w="1950" w:type="dxa"/>
            <w:tcBorders>
              <w:tl2br w:val="nil"/>
              <w:tr2bl w:val="nil"/>
            </w:tcBorders>
            <w:noWrap/>
            <w:vAlign w:val="center"/>
          </w:tcPr>
          <w:p w14:paraId="0695B2B8"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Elderly</w:t>
            </w:r>
          </w:p>
        </w:tc>
        <w:tc>
          <w:tcPr>
            <w:tcW w:w="1967" w:type="dxa"/>
            <w:tcBorders>
              <w:tl2br w:val="nil"/>
              <w:tr2bl w:val="nil"/>
            </w:tcBorders>
            <w:vAlign w:val="center"/>
          </w:tcPr>
          <w:p w14:paraId="37F5FC75"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Other</w:t>
            </w:r>
          </w:p>
        </w:tc>
        <w:tc>
          <w:tcPr>
            <w:tcW w:w="4882" w:type="dxa"/>
            <w:tcBorders>
              <w:tl2br w:val="nil"/>
              <w:tr2bl w:val="nil"/>
            </w:tcBorders>
            <w:noWrap/>
            <w:vAlign w:val="center"/>
          </w:tcPr>
          <w:p w14:paraId="72E2F682"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UK guideline recommended strategy vs. TAU</w:t>
            </w:r>
          </w:p>
        </w:tc>
      </w:tr>
      <w:tr w:rsidR="00376D25" w14:paraId="196E6066" w14:textId="77777777">
        <w:trPr>
          <w:trHeight w:val="810"/>
          <w:jc w:val="center"/>
        </w:trPr>
        <w:tc>
          <w:tcPr>
            <w:tcW w:w="477" w:type="dxa"/>
            <w:tcBorders>
              <w:tl2br w:val="nil"/>
              <w:tr2bl w:val="nil"/>
            </w:tcBorders>
            <w:noWrap/>
            <w:vAlign w:val="center"/>
          </w:tcPr>
          <w:p w14:paraId="139BBE21"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17</w:t>
            </w:r>
          </w:p>
        </w:tc>
        <w:tc>
          <w:tcPr>
            <w:tcW w:w="1825" w:type="dxa"/>
            <w:tcBorders>
              <w:tl2br w:val="nil"/>
              <w:tr2bl w:val="nil"/>
            </w:tcBorders>
            <w:noWrap/>
            <w:vAlign w:val="center"/>
          </w:tcPr>
          <w:p w14:paraId="58D9A94A"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Meunier, et al.</w:t>
            </w:r>
          </w:p>
        </w:tc>
        <w:tc>
          <w:tcPr>
            <w:tcW w:w="742" w:type="dxa"/>
            <w:tcBorders>
              <w:tl2br w:val="nil"/>
              <w:tr2bl w:val="nil"/>
            </w:tcBorders>
            <w:noWrap/>
            <w:vAlign w:val="center"/>
          </w:tcPr>
          <w:p w14:paraId="314069A7"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2024</w:t>
            </w:r>
          </w:p>
        </w:tc>
        <w:tc>
          <w:tcPr>
            <w:tcW w:w="1208" w:type="dxa"/>
            <w:tcBorders>
              <w:tl2br w:val="nil"/>
              <w:tr2bl w:val="nil"/>
            </w:tcBorders>
            <w:noWrap/>
            <w:vAlign w:val="center"/>
          </w:tcPr>
          <w:p w14:paraId="0F22097B"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Europe</w:t>
            </w:r>
          </w:p>
        </w:tc>
        <w:tc>
          <w:tcPr>
            <w:tcW w:w="1825" w:type="dxa"/>
            <w:tcBorders>
              <w:tl2br w:val="nil"/>
              <w:tr2bl w:val="nil"/>
            </w:tcBorders>
            <w:noWrap/>
            <w:vAlign w:val="center"/>
          </w:tcPr>
          <w:p w14:paraId="27D2770C" w14:textId="77777777" w:rsidR="00376D25" w:rsidRPr="005A592E" w:rsidRDefault="00000000">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whole society</w:t>
            </w:r>
          </w:p>
        </w:tc>
        <w:tc>
          <w:tcPr>
            <w:tcW w:w="1950" w:type="dxa"/>
            <w:tcBorders>
              <w:tl2br w:val="nil"/>
              <w:tr2bl w:val="nil"/>
            </w:tcBorders>
            <w:noWrap/>
            <w:vAlign w:val="center"/>
          </w:tcPr>
          <w:p w14:paraId="502DC626"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071781E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Cardiovascular Diseases</w:t>
            </w:r>
          </w:p>
        </w:tc>
        <w:tc>
          <w:tcPr>
            <w:tcW w:w="4882" w:type="dxa"/>
            <w:tcBorders>
              <w:tl2br w:val="nil"/>
              <w:tr2bl w:val="nil"/>
            </w:tcBorders>
            <w:vAlign w:val="center"/>
          </w:tcPr>
          <w:p w14:paraId="2BDEB264" w14:textId="77777777" w:rsidR="00376D25" w:rsidRDefault="00000000">
            <w:pPr>
              <w:widowControl/>
              <w:spacing w:line="240" w:lineRule="atLeast"/>
              <w:ind w:firstLineChars="0" w:firstLine="0"/>
              <w:jc w:val="center"/>
              <w:textAlignment w:val="center"/>
              <w:rPr>
                <w:rFonts w:cs="Times New Roman"/>
                <w:color w:val="000000"/>
                <w:kern w:val="0"/>
                <w:sz w:val="20"/>
                <w:szCs w:val="20"/>
                <w:lang w:bidi="ar"/>
              </w:rPr>
            </w:pPr>
            <w:proofErr w:type="spellStart"/>
            <w:r>
              <w:rPr>
                <w:rFonts w:cs="Times New Roman"/>
                <w:color w:val="000000"/>
                <w:kern w:val="0"/>
                <w:sz w:val="20"/>
                <w:szCs w:val="20"/>
                <w:lang w:bidi="ar"/>
              </w:rPr>
              <w:t>Faraxizumab</w:t>
            </w:r>
            <w:proofErr w:type="spellEnd"/>
            <w:r>
              <w:rPr>
                <w:rFonts w:cs="Times New Roman"/>
                <w:color w:val="000000"/>
                <w:kern w:val="0"/>
                <w:sz w:val="20"/>
                <w:szCs w:val="20"/>
                <w:lang w:bidi="ar"/>
              </w:rPr>
              <w:t xml:space="preserve"> vs. ranibizumab; aflibercept; bevacizumab</w:t>
            </w:r>
          </w:p>
        </w:tc>
      </w:tr>
      <w:tr w:rsidR="00226B81" w14:paraId="7973FC34" w14:textId="77777777">
        <w:trPr>
          <w:trHeight w:val="810"/>
          <w:jc w:val="center"/>
        </w:trPr>
        <w:tc>
          <w:tcPr>
            <w:tcW w:w="477" w:type="dxa"/>
            <w:tcBorders>
              <w:tl2br w:val="nil"/>
              <w:tr2bl w:val="nil"/>
            </w:tcBorders>
            <w:noWrap/>
            <w:vAlign w:val="center"/>
          </w:tcPr>
          <w:p w14:paraId="6C2FD273" w14:textId="695A5CF5"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18</w:t>
            </w:r>
          </w:p>
        </w:tc>
        <w:tc>
          <w:tcPr>
            <w:tcW w:w="1825" w:type="dxa"/>
            <w:tcBorders>
              <w:tl2br w:val="nil"/>
              <w:tr2bl w:val="nil"/>
            </w:tcBorders>
            <w:noWrap/>
            <w:vAlign w:val="center"/>
          </w:tcPr>
          <w:p w14:paraId="01A96D55" w14:textId="4AAD120C"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proofErr w:type="spellStart"/>
            <w:r w:rsidRPr="005A592E">
              <w:rPr>
                <w:rFonts w:cs="Times New Roman"/>
                <w:kern w:val="0"/>
                <w:sz w:val="20"/>
                <w:szCs w:val="20"/>
                <w:lang w:bidi="ar"/>
              </w:rPr>
              <w:t>Stanimirovic</w:t>
            </w:r>
            <w:proofErr w:type="spellEnd"/>
            <w:r w:rsidRPr="005A592E">
              <w:rPr>
                <w:rFonts w:cs="Times New Roman"/>
                <w:kern w:val="0"/>
                <w:sz w:val="20"/>
                <w:szCs w:val="20"/>
                <w:lang w:bidi="ar"/>
              </w:rPr>
              <w:t>, et al.</w:t>
            </w:r>
          </w:p>
        </w:tc>
        <w:tc>
          <w:tcPr>
            <w:tcW w:w="742" w:type="dxa"/>
            <w:tcBorders>
              <w:tl2br w:val="nil"/>
              <w:tr2bl w:val="nil"/>
            </w:tcBorders>
            <w:noWrap/>
            <w:vAlign w:val="center"/>
          </w:tcPr>
          <w:p w14:paraId="5BD40A8D" w14:textId="6C9A378A"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2025</w:t>
            </w:r>
          </w:p>
        </w:tc>
        <w:tc>
          <w:tcPr>
            <w:tcW w:w="1208" w:type="dxa"/>
            <w:tcBorders>
              <w:tl2br w:val="nil"/>
              <w:tr2bl w:val="nil"/>
            </w:tcBorders>
            <w:noWrap/>
            <w:vAlign w:val="center"/>
          </w:tcPr>
          <w:p w14:paraId="70A5B7A9" w14:textId="73519986"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North America</w:t>
            </w:r>
          </w:p>
        </w:tc>
        <w:tc>
          <w:tcPr>
            <w:tcW w:w="1825" w:type="dxa"/>
            <w:tcBorders>
              <w:tl2br w:val="nil"/>
              <w:tr2bl w:val="nil"/>
            </w:tcBorders>
            <w:noWrap/>
            <w:vAlign w:val="center"/>
          </w:tcPr>
          <w:p w14:paraId="2083BE0A" w14:textId="1C7B9534"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healthcare system</w:t>
            </w:r>
          </w:p>
        </w:tc>
        <w:tc>
          <w:tcPr>
            <w:tcW w:w="1950" w:type="dxa"/>
            <w:tcBorders>
              <w:tl2br w:val="nil"/>
              <w:tr2bl w:val="nil"/>
            </w:tcBorders>
            <w:noWrap/>
            <w:vAlign w:val="center"/>
          </w:tcPr>
          <w:p w14:paraId="791E51FB" w14:textId="4C17B88B"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1B3C0DE9" w14:textId="450F7F5E"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Other</w:t>
            </w:r>
          </w:p>
        </w:tc>
        <w:tc>
          <w:tcPr>
            <w:tcW w:w="4882" w:type="dxa"/>
            <w:tcBorders>
              <w:tl2br w:val="nil"/>
              <w:tr2bl w:val="nil"/>
            </w:tcBorders>
            <w:vAlign w:val="center"/>
          </w:tcPr>
          <w:p w14:paraId="69EE63B5" w14:textId="7E960EF0"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Remote retinal screening vs. SOC</w:t>
            </w:r>
          </w:p>
        </w:tc>
      </w:tr>
      <w:tr w:rsidR="00226B81" w14:paraId="2574B640" w14:textId="77777777">
        <w:trPr>
          <w:trHeight w:val="278"/>
          <w:jc w:val="center"/>
        </w:trPr>
        <w:tc>
          <w:tcPr>
            <w:tcW w:w="477" w:type="dxa"/>
            <w:tcBorders>
              <w:tl2br w:val="nil"/>
              <w:tr2bl w:val="nil"/>
            </w:tcBorders>
            <w:noWrap/>
            <w:vAlign w:val="center"/>
          </w:tcPr>
          <w:p w14:paraId="3A74FA21"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19</w:t>
            </w:r>
          </w:p>
        </w:tc>
        <w:tc>
          <w:tcPr>
            <w:tcW w:w="1825" w:type="dxa"/>
            <w:tcBorders>
              <w:tl2br w:val="nil"/>
              <w:tr2bl w:val="nil"/>
            </w:tcBorders>
            <w:noWrap/>
            <w:vAlign w:val="center"/>
          </w:tcPr>
          <w:p w14:paraId="34AC8BFF"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Synnott, et al.</w:t>
            </w:r>
          </w:p>
        </w:tc>
        <w:tc>
          <w:tcPr>
            <w:tcW w:w="742" w:type="dxa"/>
            <w:tcBorders>
              <w:tl2br w:val="nil"/>
              <w:tr2bl w:val="nil"/>
            </w:tcBorders>
            <w:noWrap/>
            <w:vAlign w:val="center"/>
          </w:tcPr>
          <w:p w14:paraId="5A837E77"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2024</w:t>
            </w:r>
          </w:p>
        </w:tc>
        <w:tc>
          <w:tcPr>
            <w:tcW w:w="1208" w:type="dxa"/>
            <w:tcBorders>
              <w:tl2br w:val="nil"/>
              <w:tr2bl w:val="nil"/>
            </w:tcBorders>
            <w:noWrap/>
            <w:vAlign w:val="center"/>
          </w:tcPr>
          <w:p w14:paraId="01978A5A"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North America</w:t>
            </w:r>
          </w:p>
        </w:tc>
        <w:tc>
          <w:tcPr>
            <w:tcW w:w="1825" w:type="dxa"/>
            <w:tcBorders>
              <w:tl2br w:val="nil"/>
              <w:tr2bl w:val="nil"/>
            </w:tcBorders>
            <w:noWrap/>
            <w:vAlign w:val="center"/>
          </w:tcPr>
          <w:p w14:paraId="2DA3607C"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whole society</w:t>
            </w:r>
          </w:p>
        </w:tc>
        <w:tc>
          <w:tcPr>
            <w:tcW w:w="1950" w:type="dxa"/>
            <w:tcBorders>
              <w:tl2br w:val="nil"/>
              <w:tr2bl w:val="nil"/>
            </w:tcBorders>
            <w:noWrap/>
            <w:vAlign w:val="center"/>
          </w:tcPr>
          <w:p w14:paraId="6FB93AF4"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30179A0A"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Neurodegenerative Diseases</w:t>
            </w:r>
          </w:p>
        </w:tc>
        <w:tc>
          <w:tcPr>
            <w:tcW w:w="4882" w:type="dxa"/>
            <w:tcBorders>
              <w:tl2br w:val="nil"/>
              <w:tr2bl w:val="nil"/>
            </w:tcBorders>
            <w:noWrap/>
            <w:vAlign w:val="center"/>
          </w:tcPr>
          <w:p w14:paraId="147D4960"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Hypothetical Disease Modification Therapy vs. BSC</w:t>
            </w:r>
          </w:p>
        </w:tc>
      </w:tr>
      <w:tr w:rsidR="00226B81" w14:paraId="6AC0FDFA" w14:textId="77777777">
        <w:trPr>
          <w:trHeight w:val="278"/>
          <w:jc w:val="center"/>
        </w:trPr>
        <w:tc>
          <w:tcPr>
            <w:tcW w:w="477" w:type="dxa"/>
            <w:tcBorders>
              <w:tl2br w:val="nil"/>
              <w:tr2bl w:val="nil"/>
            </w:tcBorders>
            <w:noWrap/>
            <w:vAlign w:val="center"/>
          </w:tcPr>
          <w:p w14:paraId="6BF37047" w14:textId="107A6E8A"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20</w:t>
            </w:r>
          </w:p>
        </w:tc>
        <w:tc>
          <w:tcPr>
            <w:tcW w:w="1825" w:type="dxa"/>
            <w:tcBorders>
              <w:tl2br w:val="nil"/>
              <w:tr2bl w:val="nil"/>
            </w:tcBorders>
            <w:noWrap/>
            <w:vAlign w:val="center"/>
          </w:tcPr>
          <w:p w14:paraId="7527490E" w14:textId="43EF59EE"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Kowal, et al.</w:t>
            </w:r>
          </w:p>
        </w:tc>
        <w:tc>
          <w:tcPr>
            <w:tcW w:w="742" w:type="dxa"/>
            <w:tcBorders>
              <w:tl2br w:val="nil"/>
              <w:tr2bl w:val="nil"/>
            </w:tcBorders>
            <w:noWrap/>
            <w:vAlign w:val="center"/>
          </w:tcPr>
          <w:p w14:paraId="7F2A8243" w14:textId="5059E955"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2025</w:t>
            </w:r>
          </w:p>
        </w:tc>
        <w:tc>
          <w:tcPr>
            <w:tcW w:w="1208" w:type="dxa"/>
            <w:tcBorders>
              <w:tl2br w:val="nil"/>
              <w:tr2bl w:val="nil"/>
            </w:tcBorders>
            <w:noWrap/>
            <w:vAlign w:val="center"/>
          </w:tcPr>
          <w:p w14:paraId="1CD43F00" w14:textId="245954F9"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North America</w:t>
            </w:r>
          </w:p>
        </w:tc>
        <w:tc>
          <w:tcPr>
            <w:tcW w:w="1825" w:type="dxa"/>
            <w:tcBorders>
              <w:tl2br w:val="nil"/>
              <w:tr2bl w:val="nil"/>
            </w:tcBorders>
            <w:noWrap/>
            <w:vAlign w:val="center"/>
          </w:tcPr>
          <w:p w14:paraId="1581A3D1" w14:textId="121D87F0"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medical insurance payers</w:t>
            </w:r>
          </w:p>
        </w:tc>
        <w:tc>
          <w:tcPr>
            <w:tcW w:w="1950" w:type="dxa"/>
            <w:tcBorders>
              <w:tl2br w:val="nil"/>
              <w:tr2bl w:val="nil"/>
            </w:tcBorders>
            <w:noWrap/>
            <w:vAlign w:val="center"/>
          </w:tcPr>
          <w:p w14:paraId="297640F9" w14:textId="11F4AD80"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38A76534" w14:textId="72B0BA86"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noWrap/>
            <w:vAlign w:val="center"/>
          </w:tcPr>
          <w:p w14:paraId="08E24014" w14:textId="00F09B46"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Tocilizumab vs. SOC</w:t>
            </w:r>
          </w:p>
        </w:tc>
      </w:tr>
      <w:tr w:rsidR="00226B81" w14:paraId="3B31AE7F" w14:textId="77777777">
        <w:trPr>
          <w:trHeight w:val="270"/>
          <w:jc w:val="center"/>
        </w:trPr>
        <w:tc>
          <w:tcPr>
            <w:tcW w:w="477" w:type="dxa"/>
            <w:tcBorders>
              <w:tl2br w:val="nil"/>
              <w:tr2bl w:val="nil"/>
            </w:tcBorders>
            <w:noWrap/>
            <w:vAlign w:val="center"/>
          </w:tcPr>
          <w:p w14:paraId="09808EF1"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21</w:t>
            </w:r>
          </w:p>
        </w:tc>
        <w:tc>
          <w:tcPr>
            <w:tcW w:w="1825" w:type="dxa"/>
            <w:tcBorders>
              <w:tl2br w:val="nil"/>
              <w:tr2bl w:val="nil"/>
            </w:tcBorders>
            <w:noWrap/>
            <w:vAlign w:val="center"/>
          </w:tcPr>
          <w:p w14:paraId="23F8774A"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Biundo, et al.</w:t>
            </w:r>
          </w:p>
        </w:tc>
        <w:tc>
          <w:tcPr>
            <w:tcW w:w="742" w:type="dxa"/>
            <w:tcBorders>
              <w:tl2br w:val="nil"/>
              <w:tr2bl w:val="nil"/>
            </w:tcBorders>
            <w:noWrap/>
            <w:vAlign w:val="center"/>
          </w:tcPr>
          <w:p w14:paraId="0E050D28"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2024</w:t>
            </w:r>
          </w:p>
        </w:tc>
        <w:tc>
          <w:tcPr>
            <w:tcW w:w="1208" w:type="dxa"/>
            <w:tcBorders>
              <w:tl2br w:val="nil"/>
              <w:tr2bl w:val="nil"/>
            </w:tcBorders>
            <w:noWrap/>
            <w:vAlign w:val="center"/>
          </w:tcPr>
          <w:p w14:paraId="72D65EA4"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Europe</w:t>
            </w:r>
          </w:p>
        </w:tc>
        <w:tc>
          <w:tcPr>
            <w:tcW w:w="1825" w:type="dxa"/>
            <w:tcBorders>
              <w:tl2br w:val="nil"/>
              <w:tr2bl w:val="nil"/>
            </w:tcBorders>
            <w:noWrap/>
            <w:vAlign w:val="center"/>
          </w:tcPr>
          <w:p w14:paraId="24F9B2BD"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society; healthcare system; healthcare payers</w:t>
            </w:r>
          </w:p>
        </w:tc>
        <w:tc>
          <w:tcPr>
            <w:tcW w:w="1950" w:type="dxa"/>
            <w:tcBorders>
              <w:tl2br w:val="nil"/>
              <w:tr2bl w:val="nil"/>
            </w:tcBorders>
            <w:noWrap/>
            <w:vAlign w:val="center"/>
          </w:tcPr>
          <w:p w14:paraId="1A4ACB90"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4270110E"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noWrap/>
            <w:vAlign w:val="center"/>
          </w:tcPr>
          <w:p w14:paraId="604B1356"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Specific Vaccination Programs vs. No Vaccination Status</w:t>
            </w:r>
          </w:p>
        </w:tc>
      </w:tr>
      <w:tr w:rsidR="00226B81" w14:paraId="50C6F103" w14:textId="77777777">
        <w:trPr>
          <w:trHeight w:val="270"/>
          <w:jc w:val="center"/>
        </w:trPr>
        <w:tc>
          <w:tcPr>
            <w:tcW w:w="477" w:type="dxa"/>
            <w:tcBorders>
              <w:tl2br w:val="nil"/>
              <w:tr2bl w:val="nil"/>
            </w:tcBorders>
            <w:noWrap/>
            <w:vAlign w:val="center"/>
          </w:tcPr>
          <w:p w14:paraId="7C001952"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22</w:t>
            </w:r>
          </w:p>
        </w:tc>
        <w:tc>
          <w:tcPr>
            <w:tcW w:w="1825" w:type="dxa"/>
            <w:tcBorders>
              <w:tl2br w:val="nil"/>
              <w:tr2bl w:val="nil"/>
            </w:tcBorders>
            <w:noWrap/>
            <w:vAlign w:val="center"/>
          </w:tcPr>
          <w:p w14:paraId="2AD8612A"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Majda, et al.</w:t>
            </w:r>
          </w:p>
        </w:tc>
        <w:tc>
          <w:tcPr>
            <w:tcW w:w="742" w:type="dxa"/>
            <w:tcBorders>
              <w:tl2br w:val="nil"/>
              <w:tr2bl w:val="nil"/>
            </w:tcBorders>
            <w:noWrap/>
            <w:vAlign w:val="center"/>
          </w:tcPr>
          <w:p w14:paraId="4A146432"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0B54A723"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North America</w:t>
            </w:r>
          </w:p>
        </w:tc>
        <w:tc>
          <w:tcPr>
            <w:tcW w:w="1825" w:type="dxa"/>
            <w:tcBorders>
              <w:tl2br w:val="nil"/>
              <w:tr2bl w:val="nil"/>
            </w:tcBorders>
            <w:noWrap/>
            <w:vAlign w:val="center"/>
          </w:tcPr>
          <w:p w14:paraId="499C9C71"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healthcare payers</w:t>
            </w:r>
          </w:p>
        </w:tc>
        <w:tc>
          <w:tcPr>
            <w:tcW w:w="1950" w:type="dxa"/>
            <w:tcBorders>
              <w:tl2br w:val="nil"/>
              <w:tr2bl w:val="nil"/>
            </w:tcBorders>
            <w:noWrap/>
            <w:vAlign w:val="center"/>
          </w:tcPr>
          <w:p w14:paraId="182A73C5"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General population</w:t>
            </w:r>
          </w:p>
        </w:tc>
        <w:tc>
          <w:tcPr>
            <w:tcW w:w="1967" w:type="dxa"/>
            <w:tcBorders>
              <w:tl2br w:val="nil"/>
              <w:tr2bl w:val="nil"/>
            </w:tcBorders>
            <w:vAlign w:val="center"/>
          </w:tcPr>
          <w:p w14:paraId="2FA80271"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Cardiovascular Diseases</w:t>
            </w:r>
          </w:p>
        </w:tc>
        <w:tc>
          <w:tcPr>
            <w:tcW w:w="4882" w:type="dxa"/>
            <w:tcBorders>
              <w:tl2br w:val="nil"/>
              <w:tr2bl w:val="nil"/>
            </w:tcBorders>
            <w:noWrap/>
            <w:vAlign w:val="center"/>
          </w:tcPr>
          <w:p w14:paraId="5B727387"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Alteplase vs. SOC</w:t>
            </w:r>
          </w:p>
        </w:tc>
      </w:tr>
      <w:tr w:rsidR="00226B81" w14:paraId="5E7C3073" w14:textId="77777777">
        <w:trPr>
          <w:trHeight w:val="270"/>
          <w:jc w:val="center"/>
        </w:trPr>
        <w:tc>
          <w:tcPr>
            <w:tcW w:w="477" w:type="dxa"/>
            <w:tcBorders>
              <w:tl2br w:val="nil"/>
              <w:tr2bl w:val="nil"/>
            </w:tcBorders>
            <w:noWrap/>
            <w:vAlign w:val="center"/>
          </w:tcPr>
          <w:p w14:paraId="7B18DA4D"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23</w:t>
            </w:r>
          </w:p>
        </w:tc>
        <w:tc>
          <w:tcPr>
            <w:tcW w:w="1825" w:type="dxa"/>
            <w:tcBorders>
              <w:tl2br w:val="nil"/>
              <w:tr2bl w:val="nil"/>
            </w:tcBorders>
            <w:noWrap/>
            <w:vAlign w:val="center"/>
          </w:tcPr>
          <w:p w14:paraId="037BB07D"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Walbaum, et al.</w:t>
            </w:r>
          </w:p>
        </w:tc>
        <w:tc>
          <w:tcPr>
            <w:tcW w:w="742" w:type="dxa"/>
            <w:tcBorders>
              <w:tl2br w:val="nil"/>
              <w:tr2bl w:val="nil"/>
            </w:tcBorders>
            <w:noWrap/>
            <w:vAlign w:val="center"/>
          </w:tcPr>
          <w:p w14:paraId="3B2E7045"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7F95DE21"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South America</w:t>
            </w:r>
          </w:p>
        </w:tc>
        <w:tc>
          <w:tcPr>
            <w:tcW w:w="1825" w:type="dxa"/>
            <w:tcBorders>
              <w:tl2br w:val="nil"/>
              <w:tr2bl w:val="nil"/>
            </w:tcBorders>
            <w:noWrap/>
            <w:vAlign w:val="center"/>
          </w:tcPr>
          <w:p w14:paraId="33779ABD"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healthcare system</w:t>
            </w:r>
          </w:p>
        </w:tc>
        <w:tc>
          <w:tcPr>
            <w:tcW w:w="1950" w:type="dxa"/>
            <w:tcBorders>
              <w:tl2br w:val="nil"/>
              <w:tr2bl w:val="nil"/>
            </w:tcBorders>
            <w:noWrap/>
            <w:vAlign w:val="center"/>
          </w:tcPr>
          <w:p w14:paraId="0E781D27"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Adults; patients</w:t>
            </w:r>
          </w:p>
        </w:tc>
        <w:tc>
          <w:tcPr>
            <w:tcW w:w="1967" w:type="dxa"/>
            <w:tcBorders>
              <w:tl2br w:val="nil"/>
              <w:tr2bl w:val="nil"/>
            </w:tcBorders>
            <w:vAlign w:val="center"/>
          </w:tcPr>
          <w:p w14:paraId="31032880"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Chronic Autoinflammatory Diseases</w:t>
            </w:r>
          </w:p>
        </w:tc>
        <w:tc>
          <w:tcPr>
            <w:tcW w:w="4882" w:type="dxa"/>
            <w:tcBorders>
              <w:tl2br w:val="nil"/>
              <w:tr2bl w:val="nil"/>
            </w:tcBorders>
            <w:noWrap/>
            <w:vAlign w:val="center"/>
          </w:tcPr>
          <w:p w14:paraId="61358D57"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 xml:space="preserve">Etanercept; </w:t>
            </w:r>
            <w:proofErr w:type="spellStart"/>
            <w:r>
              <w:rPr>
                <w:rFonts w:cs="Times New Roman"/>
                <w:color w:val="000000"/>
                <w:kern w:val="0"/>
                <w:sz w:val="20"/>
                <w:szCs w:val="20"/>
                <w:lang w:bidi="ar"/>
              </w:rPr>
              <w:t>Peselilizumab</w:t>
            </w:r>
            <w:proofErr w:type="spellEnd"/>
            <w:r>
              <w:rPr>
                <w:rFonts w:cs="Times New Roman"/>
                <w:color w:val="000000"/>
                <w:kern w:val="0"/>
                <w:sz w:val="20"/>
                <w:szCs w:val="20"/>
                <w:lang w:bidi="ar"/>
              </w:rPr>
              <w:t xml:space="preserve">; Infliximab; Adalimumab; </w:t>
            </w:r>
            <w:proofErr w:type="spellStart"/>
            <w:r>
              <w:rPr>
                <w:rFonts w:cs="Times New Roman"/>
                <w:color w:val="000000"/>
                <w:kern w:val="0"/>
                <w:sz w:val="20"/>
                <w:szCs w:val="20"/>
                <w:lang w:bidi="ar"/>
              </w:rPr>
              <w:t>Secukinumab</w:t>
            </w:r>
            <w:proofErr w:type="spellEnd"/>
            <w:r>
              <w:rPr>
                <w:rFonts w:cs="Times New Roman"/>
                <w:color w:val="000000"/>
                <w:kern w:val="0"/>
                <w:sz w:val="20"/>
                <w:szCs w:val="20"/>
                <w:lang w:bidi="ar"/>
              </w:rPr>
              <w:t>; Golimumab vs. TAU</w:t>
            </w:r>
          </w:p>
        </w:tc>
      </w:tr>
      <w:tr w:rsidR="00226B81" w14:paraId="58402B46" w14:textId="77777777">
        <w:trPr>
          <w:trHeight w:val="270"/>
          <w:jc w:val="center"/>
        </w:trPr>
        <w:tc>
          <w:tcPr>
            <w:tcW w:w="477" w:type="dxa"/>
            <w:tcBorders>
              <w:tl2br w:val="nil"/>
              <w:tr2bl w:val="nil"/>
            </w:tcBorders>
            <w:noWrap/>
            <w:vAlign w:val="center"/>
          </w:tcPr>
          <w:p w14:paraId="5D5B908E"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24</w:t>
            </w:r>
          </w:p>
        </w:tc>
        <w:tc>
          <w:tcPr>
            <w:tcW w:w="1825" w:type="dxa"/>
            <w:tcBorders>
              <w:tl2br w:val="nil"/>
              <w:tr2bl w:val="nil"/>
            </w:tcBorders>
            <w:noWrap/>
            <w:vAlign w:val="center"/>
          </w:tcPr>
          <w:p w14:paraId="1CC57D31"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Barry, et al.</w:t>
            </w:r>
          </w:p>
        </w:tc>
        <w:tc>
          <w:tcPr>
            <w:tcW w:w="742" w:type="dxa"/>
            <w:tcBorders>
              <w:tl2br w:val="nil"/>
              <w:tr2bl w:val="nil"/>
            </w:tcBorders>
            <w:noWrap/>
            <w:vAlign w:val="center"/>
          </w:tcPr>
          <w:p w14:paraId="5F607FF7"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141A054B"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North America</w:t>
            </w:r>
          </w:p>
        </w:tc>
        <w:tc>
          <w:tcPr>
            <w:tcW w:w="1825" w:type="dxa"/>
            <w:tcBorders>
              <w:tl2br w:val="nil"/>
              <w:tr2bl w:val="nil"/>
            </w:tcBorders>
            <w:noWrap/>
            <w:vAlign w:val="center"/>
          </w:tcPr>
          <w:p w14:paraId="4549CA90"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 xml:space="preserve">whole society </w:t>
            </w:r>
          </w:p>
        </w:tc>
        <w:tc>
          <w:tcPr>
            <w:tcW w:w="1950" w:type="dxa"/>
            <w:tcBorders>
              <w:tl2br w:val="nil"/>
              <w:tr2bl w:val="nil"/>
            </w:tcBorders>
            <w:noWrap/>
            <w:vAlign w:val="center"/>
          </w:tcPr>
          <w:p w14:paraId="3AECD89E"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Adults</w:t>
            </w:r>
          </w:p>
        </w:tc>
        <w:tc>
          <w:tcPr>
            <w:tcW w:w="1967" w:type="dxa"/>
            <w:tcBorders>
              <w:tl2br w:val="nil"/>
              <w:tr2bl w:val="nil"/>
            </w:tcBorders>
            <w:vAlign w:val="center"/>
          </w:tcPr>
          <w:p w14:paraId="2B3F0B3A"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Cardiovascular Diseases</w:t>
            </w:r>
          </w:p>
        </w:tc>
        <w:tc>
          <w:tcPr>
            <w:tcW w:w="4882" w:type="dxa"/>
            <w:tcBorders>
              <w:tl2br w:val="nil"/>
              <w:tr2bl w:val="nil"/>
            </w:tcBorders>
            <w:noWrap/>
            <w:vAlign w:val="center"/>
          </w:tcPr>
          <w:p w14:paraId="2C9E8424"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Medicare Expansion vs. No Medicare Expansion</w:t>
            </w:r>
          </w:p>
        </w:tc>
      </w:tr>
      <w:tr w:rsidR="00226B81" w14:paraId="195FC799" w14:textId="77777777">
        <w:trPr>
          <w:trHeight w:val="270"/>
          <w:jc w:val="center"/>
        </w:trPr>
        <w:tc>
          <w:tcPr>
            <w:tcW w:w="477" w:type="dxa"/>
            <w:tcBorders>
              <w:tl2br w:val="nil"/>
              <w:tr2bl w:val="nil"/>
            </w:tcBorders>
            <w:noWrap/>
            <w:vAlign w:val="center"/>
          </w:tcPr>
          <w:p w14:paraId="30C9003C"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25</w:t>
            </w:r>
          </w:p>
        </w:tc>
        <w:tc>
          <w:tcPr>
            <w:tcW w:w="1825" w:type="dxa"/>
            <w:tcBorders>
              <w:tl2br w:val="nil"/>
              <w:tr2bl w:val="nil"/>
            </w:tcBorders>
            <w:noWrap/>
            <w:vAlign w:val="center"/>
          </w:tcPr>
          <w:p w14:paraId="2A1AD58A"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proofErr w:type="spellStart"/>
            <w:r w:rsidRPr="005A592E">
              <w:rPr>
                <w:rFonts w:cs="Times New Roman"/>
                <w:kern w:val="0"/>
                <w:sz w:val="20"/>
                <w:szCs w:val="20"/>
                <w:lang w:bidi="ar"/>
              </w:rPr>
              <w:t>Tschampl</w:t>
            </w:r>
            <w:proofErr w:type="spellEnd"/>
            <w:r w:rsidRPr="005A592E">
              <w:rPr>
                <w:rFonts w:cs="Times New Roman"/>
                <w:kern w:val="0"/>
                <w:sz w:val="20"/>
                <w:szCs w:val="20"/>
                <w:lang w:bidi="ar"/>
              </w:rPr>
              <w:t>, et al.</w:t>
            </w:r>
          </w:p>
        </w:tc>
        <w:tc>
          <w:tcPr>
            <w:tcW w:w="742" w:type="dxa"/>
            <w:tcBorders>
              <w:tl2br w:val="nil"/>
              <w:tr2bl w:val="nil"/>
            </w:tcBorders>
            <w:noWrap/>
            <w:vAlign w:val="center"/>
          </w:tcPr>
          <w:p w14:paraId="627EDD82"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38049DEB"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North America</w:t>
            </w:r>
          </w:p>
        </w:tc>
        <w:tc>
          <w:tcPr>
            <w:tcW w:w="1825" w:type="dxa"/>
            <w:tcBorders>
              <w:tl2br w:val="nil"/>
              <w:tr2bl w:val="nil"/>
            </w:tcBorders>
            <w:noWrap/>
            <w:vAlign w:val="center"/>
          </w:tcPr>
          <w:p w14:paraId="242B041C" w14:textId="77777777" w:rsidR="00226B81" w:rsidRPr="005A592E" w:rsidRDefault="00226B81" w:rsidP="00226B81">
            <w:pPr>
              <w:widowControl/>
              <w:spacing w:line="240" w:lineRule="atLeast"/>
              <w:ind w:firstLineChars="0" w:firstLine="0"/>
              <w:jc w:val="center"/>
              <w:textAlignment w:val="center"/>
              <w:rPr>
                <w:rFonts w:cs="Times New Roman"/>
                <w:kern w:val="0"/>
                <w:sz w:val="20"/>
                <w:szCs w:val="20"/>
                <w:lang w:bidi="ar"/>
              </w:rPr>
            </w:pPr>
            <w:r w:rsidRPr="005A592E">
              <w:rPr>
                <w:rFonts w:cs="Times New Roman"/>
                <w:kern w:val="0"/>
                <w:sz w:val="20"/>
                <w:szCs w:val="20"/>
                <w:lang w:bidi="ar"/>
              </w:rPr>
              <w:t>whole society;</w:t>
            </w:r>
          </w:p>
          <w:p w14:paraId="21496171"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health system</w:t>
            </w:r>
          </w:p>
        </w:tc>
        <w:tc>
          <w:tcPr>
            <w:tcW w:w="1950" w:type="dxa"/>
            <w:tcBorders>
              <w:tl2br w:val="nil"/>
              <w:tr2bl w:val="nil"/>
            </w:tcBorders>
            <w:noWrap/>
            <w:vAlign w:val="center"/>
          </w:tcPr>
          <w:p w14:paraId="172BF988"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Children</w:t>
            </w:r>
          </w:p>
        </w:tc>
        <w:tc>
          <w:tcPr>
            <w:tcW w:w="1967" w:type="dxa"/>
            <w:tcBorders>
              <w:tl2br w:val="nil"/>
              <w:tr2bl w:val="nil"/>
            </w:tcBorders>
            <w:vAlign w:val="center"/>
          </w:tcPr>
          <w:p w14:paraId="0D1082D8"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Other</w:t>
            </w:r>
          </w:p>
        </w:tc>
        <w:tc>
          <w:tcPr>
            <w:tcW w:w="4882" w:type="dxa"/>
            <w:tcBorders>
              <w:tl2br w:val="nil"/>
              <w:tr2bl w:val="nil"/>
            </w:tcBorders>
            <w:noWrap/>
            <w:vAlign w:val="center"/>
          </w:tcPr>
          <w:p w14:paraId="4D7840EE"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Age Restriction Policy vs. No Age Restriction Policy</w:t>
            </w:r>
          </w:p>
        </w:tc>
      </w:tr>
      <w:tr w:rsidR="00226B81" w14:paraId="6CE36B56" w14:textId="77777777">
        <w:trPr>
          <w:trHeight w:val="270"/>
          <w:jc w:val="center"/>
        </w:trPr>
        <w:tc>
          <w:tcPr>
            <w:tcW w:w="477" w:type="dxa"/>
            <w:tcBorders>
              <w:tl2br w:val="nil"/>
              <w:tr2bl w:val="nil"/>
            </w:tcBorders>
            <w:noWrap/>
            <w:vAlign w:val="center"/>
          </w:tcPr>
          <w:p w14:paraId="0A7909F5"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26</w:t>
            </w:r>
          </w:p>
        </w:tc>
        <w:tc>
          <w:tcPr>
            <w:tcW w:w="1825" w:type="dxa"/>
            <w:tcBorders>
              <w:tl2br w:val="nil"/>
              <w:tr2bl w:val="nil"/>
            </w:tcBorders>
            <w:noWrap/>
            <w:vAlign w:val="center"/>
          </w:tcPr>
          <w:p w14:paraId="607FB985"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Jansen, et al.</w:t>
            </w:r>
          </w:p>
        </w:tc>
        <w:tc>
          <w:tcPr>
            <w:tcW w:w="742" w:type="dxa"/>
            <w:tcBorders>
              <w:tl2br w:val="nil"/>
              <w:tr2bl w:val="nil"/>
            </w:tcBorders>
            <w:noWrap/>
            <w:vAlign w:val="center"/>
          </w:tcPr>
          <w:p w14:paraId="1EFD0207"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6B4390CB"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 xml:space="preserve">North </w:t>
            </w:r>
            <w:r w:rsidRPr="005A592E">
              <w:rPr>
                <w:rFonts w:cs="Times New Roman"/>
                <w:kern w:val="0"/>
                <w:sz w:val="20"/>
                <w:szCs w:val="20"/>
                <w:lang w:bidi="ar"/>
              </w:rPr>
              <w:lastRenderedPageBreak/>
              <w:t>America</w:t>
            </w:r>
          </w:p>
        </w:tc>
        <w:tc>
          <w:tcPr>
            <w:tcW w:w="1825" w:type="dxa"/>
            <w:tcBorders>
              <w:tl2br w:val="nil"/>
              <w:tr2bl w:val="nil"/>
            </w:tcBorders>
            <w:noWrap/>
            <w:vAlign w:val="center"/>
          </w:tcPr>
          <w:p w14:paraId="1A16BC2D"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lastRenderedPageBreak/>
              <w:t>healthcare system</w:t>
            </w:r>
          </w:p>
        </w:tc>
        <w:tc>
          <w:tcPr>
            <w:tcW w:w="1950" w:type="dxa"/>
            <w:tcBorders>
              <w:tl2br w:val="nil"/>
              <w:tr2bl w:val="nil"/>
            </w:tcBorders>
            <w:noWrap/>
            <w:vAlign w:val="center"/>
          </w:tcPr>
          <w:p w14:paraId="753DCAB5"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5E968314"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Cancer</w:t>
            </w:r>
          </w:p>
        </w:tc>
        <w:tc>
          <w:tcPr>
            <w:tcW w:w="4882" w:type="dxa"/>
            <w:tcBorders>
              <w:tl2br w:val="nil"/>
              <w:tr2bl w:val="nil"/>
            </w:tcBorders>
            <w:noWrap/>
            <w:vAlign w:val="center"/>
          </w:tcPr>
          <w:p w14:paraId="4F2F83E3"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proofErr w:type="spellStart"/>
            <w:r>
              <w:rPr>
                <w:rFonts w:cs="Times New Roman"/>
                <w:color w:val="000000"/>
                <w:kern w:val="0"/>
                <w:sz w:val="20"/>
                <w:szCs w:val="20"/>
                <w:lang w:bidi="ar"/>
              </w:rPr>
              <w:t>Darolulamide</w:t>
            </w:r>
            <w:proofErr w:type="spellEnd"/>
            <w:r>
              <w:rPr>
                <w:rFonts w:cs="Times New Roman"/>
                <w:color w:val="000000"/>
                <w:kern w:val="0"/>
                <w:sz w:val="20"/>
                <w:szCs w:val="20"/>
                <w:lang w:bidi="ar"/>
              </w:rPr>
              <w:t xml:space="preserve"> combined with ADT vs. ADT</w:t>
            </w:r>
          </w:p>
        </w:tc>
      </w:tr>
      <w:tr w:rsidR="00226B81" w14:paraId="618463E4" w14:textId="77777777">
        <w:trPr>
          <w:trHeight w:val="270"/>
          <w:jc w:val="center"/>
        </w:trPr>
        <w:tc>
          <w:tcPr>
            <w:tcW w:w="477" w:type="dxa"/>
            <w:tcBorders>
              <w:tl2br w:val="nil"/>
              <w:tr2bl w:val="nil"/>
            </w:tcBorders>
            <w:noWrap/>
            <w:vAlign w:val="center"/>
          </w:tcPr>
          <w:p w14:paraId="6B99B435"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27</w:t>
            </w:r>
          </w:p>
        </w:tc>
        <w:tc>
          <w:tcPr>
            <w:tcW w:w="1825" w:type="dxa"/>
            <w:tcBorders>
              <w:tl2br w:val="nil"/>
              <w:tr2bl w:val="nil"/>
            </w:tcBorders>
            <w:noWrap/>
            <w:vAlign w:val="center"/>
          </w:tcPr>
          <w:p w14:paraId="02A339BD"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Jansen, et al.</w:t>
            </w:r>
          </w:p>
        </w:tc>
        <w:tc>
          <w:tcPr>
            <w:tcW w:w="742" w:type="dxa"/>
            <w:tcBorders>
              <w:tl2br w:val="nil"/>
              <w:tr2bl w:val="nil"/>
            </w:tcBorders>
            <w:noWrap/>
            <w:vAlign w:val="center"/>
          </w:tcPr>
          <w:p w14:paraId="4AEAAB1A"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27B2DB11"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North America</w:t>
            </w:r>
          </w:p>
        </w:tc>
        <w:tc>
          <w:tcPr>
            <w:tcW w:w="1825" w:type="dxa"/>
            <w:tcBorders>
              <w:tl2br w:val="nil"/>
              <w:tr2bl w:val="nil"/>
            </w:tcBorders>
            <w:noWrap/>
            <w:vAlign w:val="center"/>
          </w:tcPr>
          <w:p w14:paraId="138AE4C2"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healthcare payers</w:t>
            </w:r>
          </w:p>
        </w:tc>
        <w:tc>
          <w:tcPr>
            <w:tcW w:w="1950" w:type="dxa"/>
            <w:tcBorders>
              <w:tl2br w:val="nil"/>
              <w:tr2bl w:val="nil"/>
            </w:tcBorders>
            <w:noWrap/>
            <w:vAlign w:val="center"/>
          </w:tcPr>
          <w:p w14:paraId="5276A830"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Patients</w:t>
            </w:r>
          </w:p>
        </w:tc>
        <w:tc>
          <w:tcPr>
            <w:tcW w:w="1967" w:type="dxa"/>
            <w:tcBorders>
              <w:tl2br w:val="nil"/>
              <w:tr2bl w:val="nil"/>
            </w:tcBorders>
            <w:vAlign w:val="center"/>
          </w:tcPr>
          <w:p w14:paraId="2D1F1EBE"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Cancer</w:t>
            </w:r>
          </w:p>
        </w:tc>
        <w:tc>
          <w:tcPr>
            <w:tcW w:w="4882" w:type="dxa"/>
            <w:tcBorders>
              <w:tl2br w:val="nil"/>
              <w:tr2bl w:val="nil"/>
            </w:tcBorders>
            <w:noWrap/>
            <w:vAlign w:val="center"/>
          </w:tcPr>
          <w:p w14:paraId="1DEB28AE" w14:textId="77777777" w:rsidR="00226B81" w:rsidRDefault="00226B81" w:rsidP="00226B81">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LB±TB vs. TB</w:t>
            </w:r>
          </w:p>
        </w:tc>
      </w:tr>
      <w:tr w:rsidR="00226B81" w14:paraId="1ABB13A8" w14:textId="77777777">
        <w:trPr>
          <w:trHeight w:val="270"/>
          <w:jc w:val="center"/>
        </w:trPr>
        <w:tc>
          <w:tcPr>
            <w:tcW w:w="477" w:type="dxa"/>
            <w:tcBorders>
              <w:tl2br w:val="nil"/>
              <w:tr2bl w:val="nil"/>
            </w:tcBorders>
            <w:noWrap/>
            <w:vAlign w:val="center"/>
          </w:tcPr>
          <w:p w14:paraId="2EF90303"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28</w:t>
            </w:r>
          </w:p>
        </w:tc>
        <w:tc>
          <w:tcPr>
            <w:tcW w:w="1825" w:type="dxa"/>
            <w:tcBorders>
              <w:tl2br w:val="nil"/>
              <w:tr2bl w:val="nil"/>
            </w:tcBorders>
            <w:noWrap/>
            <w:vAlign w:val="center"/>
          </w:tcPr>
          <w:p w14:paraId="21F5541F"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Okafor, et al.</w:t>
            </w:r>
          </w:p>
        </w:tc>
        <w:tc>
          <w:tcPr>
            <w:tcW w:w="742" w:type="dxa"/>
            <w:tcBorders>
              <w:tl2br w:val="nil"/>
              <w:tr2bl w:val="nil"/>
            </w:tcBorders>
            <w:noWrap/>
            <w:vAlign w:val="center"/>
          </w:tcPr>
          <w:p w14:paraId="5BA8EE6B"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2025</w:t>
            </w:r>
          </w:p>
        </w:tc>
        <w:tc>
          <w:tcPr>
            <w:tcW w:w="1208" w:type="dxa"/>
            <w:tcBorders>
              <w:tl2br w:val="nil"/>
              <w:tr2bl w:val="nil"/>
            </w:tcBorders>
            <w:noWrap/>
            <w:vAlign w:val="center"/>
          </w:tcPr>
          <w:p w14:paraId="7ACF71CF"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Other</w:t>
            </w:r>
          </w:p>
        </w:tc>
        <w:tc>
          <w:tcPr>
            <w:tcW w:w="1825" w:type="dxa"/>
            <w:tcBorders>
              <w:tl2br w:val="nil"/>
              <w:tr2bl w:val="nil"/>
            </w:tcBorders>
            <w:noWrap/>
            <w:vAlign w:val="center"/>
          </w:tcPr>
          <w:p w14:paraId="034E0478" w14:textId="77777777" w:rsidR="00226B81" w:rsidRPr="005A592E" w:rsidRDefault="00226B81" w:rsidP="00226B81">
            <w:pPr>
              <w:widowControl/>
              <w:spacing w:line="240" w:lineRule="atLeast"/>
              <w:ind w:firstLineChars="0" w:firstLine="0"/>
              <w:jc w:val="center"/>
              <w:textAlignment w:val="center"/>
              <w:rPr>
                <w:rFonts w:cs="Times New Roman"/>
                <w:sz w:val="20"/>
                <w:szCs w:val="20"/>
              </w:rPr>
            </w:pPr>
            <w:r w:rsidRPr="005A592E">
              <w:rPr>
                <w:rFonts w:cs="Times New Roman"/>
                <w:kern w:val="0"/>
                <w:sz w:val="20"/>
                <w:szCs w:val="20"/>
                <w:lang w:bidi="ar"/>
              </w:rPr>
              <w:t>healthcare system</w:t>
            </w:r>
          </w:p>
        </w:tc>
        <w:tc>
          <w:tcPr>
            <w:tcW w:w="1950" w:type="dxa"/>
            <w:tcBorders>
              <w:tl2br w:val="nil"/>
              <w:tr2bl w:val="nil"/>
            </w:tcBorders>
            <w:noWrap/>
            <w:vAlign w:val="center"/>
          </w:tcPr>
          <w:p w14:paraId="630E2338" w14:textId="77777777" w:rsidR="00226B81" w:rsidRDefault="00226B81" w:rsidP="00226B81">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Adults</w:t>
            </w:r>
          </w:p>
        </w:tc>
        <w:tc>
          <w:tcPr>
            <w:tcW w:w="1967" w:type="dxa"/>
            <w:tcBorders>
              <w:tl2br w:val="nil"/>
              <w:tr2bl w:val="nil"/>
            </w:tcBorders>
            <w:vAlign w:val="center"/>
          </w:tcPr>
          <w:p w14:paraId="3069FAF5" w14:textId="77777777" w:rsidR="00226B81" w:rsidRDefault="00226B81" w:rsidP="00226B81">
            <w:pPr>
              <w:widowControl/>
              <w:spacing w:line="240" w:lineRule="atLeast"/>
              <w:ind w:firstLineChars="0" w:firstLine="0"/>
              <w:jc w:val="center"/>
              <w:textAlignment w:val="center"/>
              <w:rPr>
                <w:rFonts w:cs="Times New Roman"/>
                <w:color w:val="000000"/>
                <w:kern w:val="0"/>
                <w:sz w:val="20"/>
                <w:szCs w:val="20"/>
                <w:lang w:bidi="ar"/>
              </w:rPr>
            </w:pPr>
            <w:r>
              <w:rPr>
                <w:rFonts w:cs="Times New Roman"/>
                <w:color w:val="000000"/>
                <w:kern w:val="0"/>
                <w:sz w:val="20"/>
                <w:szCs w:val="20"/>
                <w:lang w:bidi="ar"/>
              </w:rPr>
              <w:t>Infectious Diseases</w:t>
            </w:r>
          </w:p>
        </w:tc>
        <w:tc>
          <w:tcPr>
            <w:tcW w:w="4882" w:type="dxa"/>
            <w:tcBorders>
              <w:tl2br w:val="nil"/>
              <w:tr2bl w:val="nil"/>
            </w:tcBorders>
            <w:noWrap/>
            <w:vAlign w:val="center"/>
          </w:tcPr>
          <w:p w14:paraId="6CCD4ACA" w14:textId="77777777" w:rsidR="00226B81" w:rsidRDefault="00226B81" w:rsidP="00226B81">
            <w:pPr>
              <w:widowControl/>
              <w:spacing w:line="240" w:lineRule="atLeast"/>
              <w:ind w:firstLineChars="0" w:firstLine="0"/>
              <w:jc w:val="center"/>
              <w:textAlignment w:val="center"/>
              <w:rPr>
                <w:rFonts w:cs="Times New Roman"/>
                <w:color w:val="000000"/>
                <w:sz w:val="20"/>
                <w:szCs w:val="20"/>
              </w:rPr>
            </w:pPr>
            <w:r>
              <w:rPr>
                <w:rFonts w:cs="Times New Roman"/>
                <w:color w:val="000000"/>
                <w:kern w:val="0"/>
                <w:sz w:val="20"/>
                <w:szCs w:val="20"/>
                <w:lang w:bidi="ar"/>
              </w:rPr>
              <w:t>Unit price XBB.1.5 Vaccine vs. No updated booster shot</w:t>
            </w:r>
          </w:p>
        </w:tc>
      </w:tr>
    </w:tbl>
    <w:p w14:paraId="415D7277" w14:textId="77777777" w:rsidR="00376D25" w:rsidRDefault="00376D25">
      <w:pPr>
        <w:widowControl/>
        <w:ind w:firstLineChars="0" w:firstLine="0"/>
        <w:jc w:val="center"/>
        <w:textAlignment w:val="center"/>
        <w:rPr>
          <w:rFonts w:eastAsia="黑体" w:cs="等线"/>
          <w:b/>
          <w:bCs/>
          <w:color w:val="000000"/>
          <w:kern w:val="0"/>
          <w:sz w:val="28"/>
          <w:szCs w:val="28"/>
          <w:lang w:bidi="ar"/>
        </w:rPr>
        <w:sectPr w:rsidR="00376D25">
          <w:endnotePr>
            <w:numFmt w:val="decimal"/>
          </w:endnotePr>
          <w:pgSz w:w="16838" w:h="11906" w:orient="landscape"/>
          <w:pgMar w:top="1440" w:right="1080" w:bottom="1440" w:left="1080" w:header="851" w:footer="992" w:gutter="0"/>
          <w:cols w:space="425"/>
          <w:docGrid w:type="lines" w:linePitch="312"/>
        </w:sectPr>
      </w:pPr>
    </w:p>
    <w:p w14:paraId="38FD1805" w14:textId="77777777" w:rsidR="00376D25" w:rsidRDefault="00376D25">
      <w:pPr>
        <w:widowControl/>
        <w:ind w:firstLineChars="0" w:firstLine="0"/>
        <w:textAlignment w:val="center"/>
        <w:rPr>
          <w:rFonts w:eastAsia="黑体" w:cs="等线"/>
          <w:b/>
          <w:bCs/>
          <w:color w:val="000000"/>
          <w:kern w:val="0"/>
          <w:sz w:val="28"/>
          <w:szCs w:val="28"/>
          <w:lang w:bidi="ar"/>
        </w:rPr>
      </w:pPr>
    </w:p>
    <w:p w14:paraId="608F5B05" w14:textId="77777777" w:rsidR="00376D25" w:rsidRDefault="00000000">
      <w:pPr>
        <w:widowControl/>
        <w:spacing w:line="240" w:lineRule="auto"/>
        <w:ind w:firstLineChars="0" w:firstLine="0"/>
        <w:jc w:val="left"/>
        <w:textAlignment w:val="center"/>
        <w:rPr>
          <w:rFonts w:eastAsia="黑体" w:cs="等线"/>
          <w:color w:val="000000"/>
          <w:kern w:val="0"/>
          <w:sz w:val="21"/>
          <w:szCs w:val="21"/>
          <w:lang w:bidi="ar"/>
        </w:rPr>
      </w:pPr>
      <w:r>
        <w:rPr>
          <w:rFonts w:eastAsia="黑体" w:cs="等线" w:hint="eastAsia"/>
          <w:b/>
          <w:bCs/>
          <w:color w:val="000000"/>
          <w:kern w:val="0"/>
          <w:sz w:val="21"/>
          <w:szCs w:val="21"/>
          <w:lang w:bidi="ar"/>
        </w:rPr>
        <w:t xml:space="preserve">Table 8. </w:t>
      </w:r>
      <w:r>
        <w:rPr>
          <w:rFonts w:eastAsia="黑体" w:cs="等线" w:hint="eastAsia"/>
          <w:color w:val="000000"/>
          <w:kern w:val="0"/>
          <w:sz w:val="21"/>
          <w:szCs w:val="21"/>
          <w:lang w:bidi="ar"/>
        </w:rPr>
        <w:t>Methodological characteristics and equity analysis outcomes of the 28 included empirical studies that applied distributional cost-effectiveness analysis to evaluate the costs and health outcomes of at least two healthcare interventions, published from 2017 to 2025.</w:t>
      </w:r>
    </w:p>
    <w:tbl>
      <w:tblPr>
        <w:tblW w:w="21207" w:type="dxa"/>
        <w:tblInd w:w="100" w:type="dxa"/>
        <w:tblLayout w:type="fixed"/>
        <w:tblLook w:val="04A0" w:firstRow="1" w:lastRow="0" w:firstColumn="1" w:lastColumn="0" w:noHBand="0" w:noVBand="1"/>
      </w:tblPr>
      <w:tblGrid>
        <w:gridCol w:w="569"/>
        <w:gridCol w:w="1767"/>
        <w:gridCol w:w="810"/>
        <w:gridCol w:w="1548"/>
        <w:gridCol w:w="1875"/>
        <w:gridCol w:w="2346"/>
        <w:gridCol w:w="3470"/>
        <w:gridCol w:w="1957"/>
        <w:gridCol w:w="3464"/>
        <w:gridCol w:w="3401"/>
      </w:tblGrid>
      <w:tr w:rsidR="00376D25" w14:paraId="7A23D8A9" w14:textId="77777777">
        <w:trPr>
          <w:trHeight w:val="292"/>
        </w:trPr>
        <w:tc>
          <w:tcPr>
            <w:tcW w:w="569" w:type="dxa"/>
            <w:tcBorders>
              <w:top w:val="single" w:sz="12" w:space="0" w:color="auto"/>
              <w:left w:val="nil"/>
              <w:bottom w:val="single" w:sz="8" w:space="0" w:color="auto"/>
              <w:right w:val="nil"/>
            </w:tcBorders>
            <w:noWrap/>
            <w:vAlign w:val="center"/>
          </w:tcPr>
          <w:p w14:paraId="76A3BB89"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No.</w:t>
            </w:r>
          </w:p>
        </w:tc>
        <w:tc>
          <w:tcPr>
            <w:tcW w:w="1767" w:type="dxa"/>
            <w:tcBorders>
              <w:top w:val="single" w:sz="12" w:space="0" w:color="auto"/>
              <w:left w:val="nil"/>
              <w:bottom w:val="single" w:sz="8" w:space="0" w:color="auto"/>
              <w:right w:val="nil"/>
            </w:tcBorders>
            <w:noWrap/>
            <w:vAlign w:val="center"/>
          </w:tcPr>
          <w:p w14:paraId="025E661E"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Author</w:t>
            </w:r>
          </w:p>
        </w:tc>
        <w:tc>
          <w:tcPr>
            <w:tcW w:w="810" w:type="dxa"/>
            <w:tcBorders>
              <w:top w:val="single" w:sz="12" w:space="0" w:color="auto"/>
              <w:left w:val="nil"/>
              <w:bottom w:val="single" w:sz="8" w:space="0" w:color="auto"/>
              <w:right w:val="nil"/>
            </w:tcBorders>
            <w:noWrap/>
            <w:vAlign w:val="center"/>
          </w:tcPr>
          <w:p w14:paraId="7A803D60"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Publication Year</w:t>
            </w:r>
          </w:p>
        </w:tc>
        <w:tc>
          <w:tcPr>
            <w:tcW w:w="1548" w:type="dxa"/>
            <w:tcBorders>
              <w:top w:val="single" w:sz="12" w:space="0" w:color="auto"/>
              <w:left w:val="nil"/>
              <w:bottom w:val="single" w:sz="8" w:space="0" w:color="auto"/>
              <w:right w:val="nil"/>
            </w:tcBorders>
            <w:noWrap/>
            <w:vAlign w:val="center"/>
          </w:tcPr>
          <w:p w14:paraId="24BF79B9"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Health effects</w:t>
            </w:r>
          </w:p>
        </w:tc>
        <w:tc>
          <w:tcPr>
            <w:tcW w:w="1875" w:type="dxa"/>
            <w:tcBorders>
              <w:top w:val="single" w:sz="12" w:space="0" w:color="auto"/>
              <w:left w:val="nil"/>
              <w:bottom w:val="single" w:sz="8" w:space="0" w:color="auto"/>
              <w:right w:val="nil"/>
            </w:tcBorders>
            <w:noWrap/>
            <w:vAlign w:val="center"/>
          </w:tcPr>
          <w:p w14:paraId="60AD83B3"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Subgroup Classification</w:t>
            </w:r>
          </w:p>
        </w:tc>
        <w:tc>
          <w:tcPr>
            <w:tcW w:w="2346" w:type="dxa"/>
            <w:tcBorders>
              <w:top w:val="single" w:sz="12" w:space="0" w:color="auto"/>
              <w:left w:val="nil"/>
              <w:bottom w:val="single" w:sz="8" w:space="0" w:color="auto"/>
              <w:right w:val="nil"/>
            </w:tcBorders>
            <w:noWrap/>
            <w:vAlign w:val="center"/>
          </w:tcPr>
          <w:p w14:paraId="7BA24D87"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Equity Index</w:t>
            </w:r>
          </w:p>
        </w:tc>
        <w:tc>
          <w:tcPr>
            <w:tcW w:w="3470" w:type="dxa"/>
            <w:tcBorders>
              <w:top w:val="single" w:sz="12" w:space="0" w:color="auto"/>
              <w:left w:val="nil"/>
              <w:bottom w:val="single" w:sz="8" w:space="0" w:color="auto"/>
              <w:right w:val="nil"/>
            </w:tcBorders>
            <w:noWrap/>
            <w:vAlign w:val="center"/>
          </w:tcPr>
          <w:p w14:paraId="1C853CA4"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Deterministic Sensitivity Analysis</w:t>
            </w:r>
          </w:p>
        </w:tc>
        <w:tc>
          <w:tcPr>
            <w:tcW w:w="1957" w:type="dxa"/>
            <w:tcBorders>
              <w:top w:val="single" w:sz="12" w:space="0" w:color="auto"/>
              <w:left w:val="nil"/>
              <w:bottom w:val="single" w:sz="8" w:space="0" w:color="auto"/>
              <w:right w:val="nil"/>
            </w:tcBorders>
            <w:noWrap/>
            <w:vAlign w:val="center"/>
          </w:tcPr>
          <w:p w14:paraId="3E741826" w14:textId="77777777" w:rsidR="00376D25" w:rsidRDefault="00000000">
            <w:pPr>
              <w:widowControl/>
              <w:spacing w:line="240" w:lineRule="auto"/>
              <w:ind w:firstLineChars="0" w:firstLine="0"/>
              <w:jc w:val="center"/>
              <w:textAlignment w:val="center"/>
              <w:rPr>
                <w:rFonts w:cs="Times New Roman"/>
                <w:b/>
                <w:bCs/>
                <w:color w:val="000000"/>
                <w:sz w:val="20"/>
                <w:szCs w:val="20"/>
              </w:rPr>
            </w:pPr>
            <w:r>
              <w:rPr>
                <w:rFonts w:cs="Times New Roman"/>
                <w:b/>
                <w:bCs/>
                <w:color w:val="000000"/>
                <w:kern w:val="0"/>
                <w:sz w:val="20"/>
                <w:szCs w:val="20"/>
                <w:lang w:bidi="ar"/>
              </w:rPr>
              <w:t>Modeling Analysis</w:t>
            </w:r>
          </w:p>
        </w:tc>
        <w:tc>
          <w:tcPr>
            <w:tcW w:w="3464" w:type="dxa"/>
            <w:tcBorders>
              <w:top w:val="single" w:sz="12" w:space="0" w:color="auto"/>
              <w:left w:val="nil"/>
              <w:bottom w:val="single" w:sz="8" w:space="0" w:color="auto"/>
              <w:right w:val="nil"/>
            </w:tcBorders>
            <w:noWrap/>
            <w:vAlign w:val="center"/>
          </w:tcPr>
          <w:p w14:paraId="06CF48F8" w14:textId="77777777" w:rsidR="00376D25" w:rsidRDefault="00000000">
            <w:pPr>
              <w:widowControl/>
              <w:spacing w:line="240" w:lineRule="auto"/>
              <w:ind w:firstLineChars="0" w:firstLine="0"/>
              <w:jc w:val="center"/>
              <w:textAlignment w:val="center"/>
              <w:rPr>
                <w:rFonts w:cs="Times New Roman"/>
                <w:b/>
                <w:bCs/>
                <w:color w:val="000000"/>
                <w:kern w:val="0"/>
                <w:sz w:val="20"/>
                <w:szCs w:val="20"/>
                <w:lang w:bidi="ar"/>
              </w:rPr>
            </w:pPr>
            <w:r>
              <w:rPr>
                <w:rFonts w:cs="Times New Roman"/>
                <w:b/>
                <w:bCs/>
                <w:color w:val="000000"/>
                <w:kern w:val="0"/>
                <w:sz w:val="20"/>
                <w:szCs w:val="20"/>
                <w:lang w:bidi="ar"/>
              </w:rPr>
              <w:t>Bas</w:t>
            </w:r>
            <w:r>
              <w:rPr>
                <w:rFonts w:cs="Times New Roman" w:hint="eastAsia"/>
                <w:b/>
                <w:bCs/>
                <w:color w:val="000000"/>
                <w:kern w:val="0"/>
                <w:sz w:val="20"/>
                <w:szCs w:val="20"/>
                <w:lang w:bidi="ar"/>
              </w:rPr>
              <w:t>ic</w:t>
            </w:r>
            <w:r>
              <w:rPr>
                <w:rFonts w:cs="Times New Roman"/>
                <w:b/>
                <w:bCs/>
                <w:color w:val="000000"/>
                <w:kern w:val="0"/>
                <w:sz w:val="20"/>
                <w:szCs w:val="20"/>
                <w:lang w:bidi="ar"/>
              </w:rPr>
              <w:t>-case cost-effectiveness results</w:t>
            </w:r>
          </w:p>
        </w:tc>
        <w:tc>
          <w:tcPr>
            <w:tcW w:w="3401" w:type="dxa"/>
            <w:tcBorders>
              <w:top w:val="single" w:sz="12" w:space="0" w:color="auto"/>
              <w:left w:val="nil"/>
              <w:bottom w:val="single" w:sz="8" w:space="0" w:color="auto"/>
              <w:right w:val="nil"/>
            </w:tcBorders>
            <w:noWrap/>
            <w:vAlign w:val="center"/>
          </w:tcPr>
          <w:p w14:paraId="592EF96E" w14:textId="77777777" w:rsidR="00376D25" w:rsidRDefault="00000000">
            <w:pPr>
              <w:widowControl/>
              <w:spacing w:line="240" w:lineRule="auto"/>
              <w:ind w:firstLineChars="0" w:firstLine="0"/>
              <w:jc w:val="center"/>
              <w:textAlignment w:val="center"/>
              <w:rPr>
                <w:rFonts w:cs="Times New Roman"/>
                <w:b/>
                <w:bCs/>
                <w:color w:val="000000"/>
                <w:kern w:val="0"/>
                <w:sz w:val="20"/>
                <w:szCs w:val="20"/>
                <w:lang w:bidi="ar"/>
              </w:rPr>
            </w:pPr>
            <w:r>
              <w:rPr>
                <w:rFonts w:cs="Times New Roman" w:hint="eastAsia"/>
                <w:b/>
                <w:bCs/>
                <w:color w:val="000000"/>
                <w:kern w:val="0"/>
                <w:sz w:val="20"/>
                <w:szCs w:val="20"/>
                <w:lang w:bidi="ar"/>
              </w:rPr>
              <w:t>Equity</w:t>
            </w:r>
            <w:r>
              <w:rPr>
                <w:rFonts w:cs="Times New Roman"/>
                <w:b/>
                <w:bCs/>
                <w:color w:val="000000"/>
                <w:kern w:val="0"/>
                <w:sz w:val="20"/>
                <w:szCs w:val="20"/>
                <w:lang w:bidi="ar"/>
              </w:rPr>
              <w:t xml:space="preserve"> analysis results</w:t>
            </w:r>
          </w:p>
        </w:tc>
      </w:tr>
      <w:tr w:rsidR="00376D25" w14:paraId="092C3186" w14:textId="77777777">
        <w:trPr>
          <w:trHeight w:val="270"/>
        </w:trPr>
        <w:tc>
          <w:tcPr>
            <w:tcW w:w="569" w:type="dxa"/>
            <w:tcBorders>
              <w:top w:val="single" w:sz="8" w:space="0" w:color="auto"/>
              <w:left w:val="nil"/>
              <w:bottom w:val="nil"/>
              <w:right w:val="nil"/>
            </w:tcBorders>
            <w:noWrap/>
            <w:vAlign w:val="center"/>
          </w:tcPr>
          <w:p w14:paraId="4C3BB43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1</w:t>
            </w:r>
          </w:p>
        </w:tc>
        <w:tc>
          <w:tcPr>
            <w:tcW w:w="1767" w:type="dxa"/>
            <w:tcBorders>
              <w:top w:val="single" w:sz="8" w:space="0" w:color="auto"/>
              <w:left w:val="nil"/>
              <w:bottom w:val="nil"/>
              <w:right w:val="nil"/>
            </w:tcBorders>
            <w:noWrap/>
            <w:vAlign w:val="center"/>
          </w:tcPr>
          <w:p w14:paraId="297DA6A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Campos, et al.</w:t>
            </w:r>
          </w:p>
        </w:tc>
        <w:tc>
          <w:tcPr>
            <w:tcW w:w="810" w:type="dxa"/>
            <w:tcBorders>
              <w:top w:val="single" w:sz="8" w:space="0" w:color="auto"/>
              <w:left w:val="nil"/>
              <w:bottom w:val="nil"/>
              <w:right w:val="nil"/>
            </w:tcBorders>
            <w:noWrap/>
            <w:vAlign w:val="center"/>
          </w:tcPr>
          <w:p w14:paraId="54702EF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2017</w:t>
            </w:r>
          </w:p>
        </w:tc>
        <w:tc>
          <w:tcPr>
            <w:tcW w:w="1548" w:type="dxa"/>
            <w:tcBorders>
              <w:top w:val="single" w:sz="8" w:space="0" w:color="auto"/>
              <w:left w:val="nil"/>
              <w:bottom w:val="nil"/>
              <w:right w:val="nil"/>
            </w:tcBorders>
            <w:noWrap/>
            <w:vAlign w:val="center"/>
          </w:tcPr>
          <w:p w14:paraId="6EC7683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Life expectancy</w:t>
            </w:r>
          </w:p>
        </w:tc>
        <w:tc>
          <w:tcPr>
            <w:tcW w:w="1875" w:type="dxa"/>
            <w:tcBorders>
              <w:top w:val="single" w:sz="8" w:space="0" w:color="auto"/>
              <w:left w:val="nil"/>
              <w:bottom w:val="nil"/>
              <w:right w:val="nil"/>
            </w:tcBorders>
            <w:noWrap/>
            <w:vAlign w:val="center"/>
          </w:tcPr>
          <w:p w14:paraId="72F5EAA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Accessibility and screening frequency</w:t>
            </w:r>
          </w:p>
        </w:tc>
        <w:tc>
          <w:tcPr>
            <w:tcW w:w="2346" w:type="dxa"/>
            <w:tcBorders>
              <w:top w:val="single" w:sz="8" w:space="0" w:color="auto"/>
              <w:left w:val="nil"/>
              <w:bottom w:val="nil"/>
              <w:right w:val="nil"/>
            </w:tcBorders>
            <w:vAlign w:val="center"/>
          </w:tcPr>
          <w:p w14:paraId="5F391A3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70" w:type="dxa"/>
            <w:tcBorders>
              <w:top w:val="single" w:sz="8" w:space="0" w:color="auto"/>
              <w:left w:val="nil"/>
              <w:bottom w:val="nil"/>
              <w:right w:val="nil"/>
            </w:tcBorders>
            <w:noWrap/>
            <w:vAlign w:val="center"/>
          </w:tcPr>
          <w:p w14:paraId="2CAF4CFB"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Non-response rate</w:t>
            </w:r>
          </w:p>
        </w:tc>
        <w:tc>
          <w:tcPr>
            <w:tcW w:w="1957" w:type="dxa"/>
            <w:tcBorders>
              <w:top w:val="single" w:sz="8" w:space="0" w:color="auto"/>
              <w:left w:val="nil"/>
              <w:bottom w:val="nil"/>
              <w:right w:val="nil"/>
            </w:tcBorders>
            <w:noWrap/>
            <w:vAlign w:val="center"/>
          </w:tcPr>
          <w:p w14:paraId="5C28F7F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Monte Carlo Markov-chain micro-simulation models</w:t>
            </w:r>
          </w:p>
        </w:tc>
        <w:tc>
          <w:tcPr>
            <w:tcW w:w="3464" w:type="dxa"/>
            <w:tcBorders>
              <w:top w:val="single" w:sz="8" w:space="0" w:color="auto"/>
              <w:left w:val="nil"/>
              <w:bottom w:val="nil"/>
              <w:right w:val="nil"/>
            </w:tcBorders>
            <w:noWrap/>
            <w:vAlign w:val="center"/>
          </w:tcPr>
          <w:p w14:paraId="2ABDED8A"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Both expanding coverage and increasing frequency were cost-effective; icers: Expanding coverage to 50% at is150/</w:t>
            </w:r>
            <w:proofErr w:type="spellStart"/>
            <w:r>
              <w:rPr>
                <w:rFonts w:cs="Times New Roman" w:hint="eastAsia"/>
                <w:color w:val="000000"/>
                <w:kern w:val="0"/>
                <w:sz w:val="20"/>
                <w:szCs w:val="20"/>
                <w:lang w:bidi="ar"/>
              </w:rPr>
              <w:t>yls</w:t>
            </w:r>
            <w:proofErr w:type="spellEnd"/>
            <w:r>
              <w:rPr>
                <w:rFonts w:cs="Times New Roman" w:hint="eastAsia"/>
                <w:color w:val="000000"/>
                <w:kern w:val="0"/>
                <w:sz w:val="20"/>
                <w:szCs w:val="20"/>
                <w:lang w:bidi="ar"/>
              </w:rPr>
              <w:t>; screening three times at 30% coverage at is540/</w:t>
            </w:r>
            <w:proofErr w:type="spellStart"/>
            <w:r>
              <w:rPr>
                <w:rFonts w:cs="Times New Roman" w:hint="eastAsia"/>
                <w:color w:val="000000"/>
                <w:kern w:val="0"/>
                <w:sz w:val="20"/>
                <w:szCs w:val="20"/>
                <w:lang w:bidi="ar"/>
              </w:rPr>
              <w:t>yls</w:t>
            </w:r>
            <w:proofErr w:type="spellEnd"/>
            <w:r>
              <w:rPr>
                <w:rFonts w:cs="Times New Roman" w:hint="eastAsia"/>
                <w:color w:val="000000"/>
                <w:kern w:val="0"/>
                <w:sz w:val="20"/>
                <w:szCs w:val="20"/>
                <w:lang w:bidi="ar"/>
              </w:rPr>
              <w:t xml:space="preserve">; both below </w:t>
            </w:r>
            <w:proofErr w:type="spellStart"/>
            <w:r>
              <w:rPr>
                <w:rFonts w:cs="Times New Roman" w:hint="eastAsia"/>
                <w:color w:val="000000"/>
                <w:kern w:val="0"/>
                <w:sz w:val="20"/>
                <w:szCs w:val="20"/>
                <w:lang w:bidi="ar"/>
              </w:rPr>
              <w:t>uganda's</w:t>
            </w:r>
            <w:proofErr w:type="spellEnd"/>
            <w:r>
              <w:rPr>
                <w:rFonts w:cs="Times New Roman" w:hint="eastAsia"/>
                <w:color w:val="000000"/>
                <w:kern w:val="0"/>
                <w:sz w:val="20"/>
                <w:szCs w:val="20"/>
                <w:lang w:bidi="ar"/>
              </w:rPr>
              <w:t xml:space="preserve"> per capita </w:t>
            </w:r>
            <w:proofErr w:type="spellStart"/>
            <w:r>
              <w:rPr>
                <w:rFonts w:cs="Times New Roman" w:hint="eastAsia"/>
                <w:color w:val="000000"/>
                <w:kern w:val="0"/>
                <w:sz w:val="20"/>
                <w:szCs w:val="20"/>
                <w:lang w:bidi="ar"/>
              </w:rPr>
              <w:t>gdp</w:t>
            </w:r>
            <w:proofErr w:type="spellEnd"/>
            <w:r>
              <w:rPr>
                <w:rFonts w:cs="Times New Roman" w:hint="eastAsia"/>
                <w:color w:val="000000"/>
                <w:kern w:val="0"/>
                <w:sz w:val="20"/>
                <w:szCs w:val="20"/>
                <w:lang w:bidi="ar"/>
              </w:rPr>
              <w:t xml:space="preserve"> of is1,690</w:t>
            </w:r>
          </w:p>
        </w:tc>
        <w:tc>
          <w:tcPr>
            <w:tcW w:w="3401" w:type="dxa"/>
            <w:tcBorders>
              <w:top w:val="single" w:sz="8" w:space="0" w:color="auto"/>
              <w:left w:val="nil"/>
              <w:bottom w:val="nil"/>
              <w:right w:val="nil"/>
            </w:tcBorders>
            <w:noWrap/>
            <w:vAlign w:val="center"/>
          </w:tcPr>
          <w:p w14:paraId="534E980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Expanding coverage was win-win (quadrant </w:t>
            </w:r>
            <w:proofErr w:type="spellStart"/>
            <w:r>
              <w:rPr>
                <w:rFonts w:cs="Times New Roman" w:hint="eastAsia"/>
                <w:color w:val="000000"/>
                <w:kern w:val="0"/>
                <w:sz w:val="20"/>
                <w:szCs w:val="20"/>
                <w:lang w:bidi="ar"/>
              </w:rPr>
              <w:t>i</w:t>
            </w:r>
            <w:proofErr w:type="spellEnd"/>
            <w:r>
              <w:rPr>
                <w:rFonts w:cs="Times New Roman" w:hint="eastAsia"/>
                <w:color w:val="000000"/>
                <w:kern w:val="0"/>
                <w:sz w:val="20"/>
                <w:szCs w:val="20"/>
                <w:lang w:bidi="ar"/>
              </w:rPr>
              <w:t>); increasing frequency was trade-off (quadrant ii)</w:t>
            </w:r>
          </w:p>
        </w:tc>
      </w:tr>
      <w:tr w:rsidR="00376D25" w14:paraId="21831128" w14:textId="77777777">
        <w:trPr>
          <w:trHeight w:val="270"/>
        </w:trPr>
        <w:tc>
          <w:tcPr>
            <w:tcW w:w="569" w:type="dxa"/>
            <w:tcBorders>
              <w:top w:val="nil"/>
              <w:left w:val="nil"/>
              <w:bottom w:val="nil"/>
              <w:right w:val="nil"/>
            </w:tcBorders>
            <w:noWrap/>
            <w:vAlign w:val="center"/>
          </w:tcPr>
          <w:p w14:paraId="7F748C6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w:t>
            </w:r>
          </w:p>
        </w:tc>
        <w:tc>
          <w:tcPr>
            <w:tcW w:w="1767" w:type="dxa"/>
            <w:tcBorders>
              <w:top w:val="nil"/>
              <w:left w:val="nil"/>
              <w:bottom w:val="nil"/>
              <w:right w:val="nil"/>
            </w:tcBorders>
            <w:noWrap/>
            <w:vAlign w:val="center"/>
          </w:tcPr>
          <w:p w14:paraId="353AA05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Dawkins, et al.</w:t>
            </w:r>
          </w:p>
        </w:tc>
        <w:tc>
          <w:tcPr>
            <w:tcW w:w="810" w:type="dxa"/>
            <w:tcBorders>
              <w:top w:val="nil"/>
              <w:left w:val="nil"/>
              <w:bottom w:val="nil"/>
              <w:right w:val="nil"/>
            </w:tcBorders>
            <w:noWrap/>
            <w:vAlign w:val="center"/>
          </w:tcPr>
          <w:p w14:paraId="2525CC2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548" w:type="dxa"/>
            <w:tcBorders>
              <w:top w:val="nil"/>
              <w:left w:val="nil"/>
              <w:bottom w:val="nil"/>
              <w:right w:val="nil"/>
            </w:tcBorders>
            <w:vAlign w:val="center"/>
          </w:tcPr>
          <w:p w14:paraId="36159D8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HALY</w:t>
            </w:r>
          </w:p>
        </w:tc>
        <w:tc>
          <w:tcPr>
            <w:tcW w:w="1875" w:type="dxa"/>
            <w:tcBorders>
              <w:top w:val="nil"/>
              <w:left w:val="nil"/>
              <w:bottom w:val="nil"/>
              <w:right w:val="nil"/>
            </w:tcBorders>
            <w:noWrap/>
            <w:vAlign w:val="center"/>
          </w:tcPr>
          <w:p w14:paraId="7649281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HWQ</w:t>
            </w:r>
          </w:p>
        </w:tc>
        <w:tc>
          <w:tcPr>
            <w:tcW w:w="2346" w:type="dxa"/>
            <w:tcBorders>
              <w:top w:val="nil"/>
              <w:left w:val="nil"/>
              <w:bottom w:val="nil"/>
              <w:right w:val="nil"/>
            </w:tcBorders>
            <w:vAlign w:val="center"/>
          </w:tcPr>
          <w:p w14:paraId="6F93272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7B531E9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distributions</w:t>
            </w:r>
            <w:r>
              <w:rPr>
                <w:rStyle w:val="font31"/>
                <w:rFonts w:ascii="Times New Roman" w:hAnsi="Times New Roman" w:cs="Times New Roman" w:hint="default"/>
                <w:lang w:bidi="ar"/>
              </w:rPr>
              <w:t xml:space="preserve">, </w:t>
            </w:r>
            <w:r>
              <w:rPr>
                <w:rStyle w:val="font11"/>
                <w:lang w:bidi="ar"/>
              </w:rPr>
              <w:t>inequality aversion parameters</w:t>
            </w:r>
          </w:p>
        </w:tc>
        <w:tc>
          <w:tcPr>
            <w:tcW w:w="1957" w:type="dxa"/>
            <w:tcBorders>
              <w:top w:val="nil"/>
              <w:left w:val="nil"/>
              <w:bottom w:val="nil"/>
              <w:right w:val="nil"/>
            </w:tcBorders>
            <w:vAlign w:val="center"/>
          </w:tcPr>
          <w:p w14:paraId="3EC9BC6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5C4DC01D"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Standard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was cost-effective compared to no vaccination; the pro-poor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was not cost-effective compared to the standard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(ICER: $69 per HALY, above the $50 threshold)</w:t>
            </w:r>
          </w:p>
        </w:tc>
        <w:tc>
          <w:tcPr>
            <w:tcW w:w="3401" w:type="dxa"/>
            <w:tcBorders>
              <w:top w:val="nil"/>
              <w:left w:val="nil"/>
              <w:bottom w:val="nil"/>
              <w:right w:val="nil"/>
            </w:tcBorders>
            <w:vAlign w:val="center"/>
          </w:tcPr>
          <w:p w14:paraId="2DD00CAD"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The pro-poor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was trade-off (Quadrant IV)</w:t>
            </w:r>
          </w:p>
        </w:tc>
      </w:tr>
      <w:tr w:rsidR="00376D25" w14:paraId="52CF6C65" w14:textId="77777777">
        <w:trPr>
          <w:trHeight w:val="270"/>
        </w:trPr>
        <w:tc>
          <w:tcPr>
            <w:tcW w:w="569" w:type="dxa"/>
            <w:tcBorders>
              <w:top w:val="nil"/>
              <w:left w:val="nil"/>
              <w:bottom w:val="nil"/>
              <w:right w:val="nil"/>
            </w:tcBorders>
            <w:noWrap/>
            <w:vAlign w:val="center"/>
          </w:tcPr>
          <w:p w14:paraId="3C35E9D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3</w:t>
            </w:r>
          </w:p>
        </w:tc>
        <w:tc>
          <w:tcPr>
            <w:tcW w:w="1767" w:type="dxa"/>
            <w:tcBorders>
              <w:top w:val="nil"/>
              <w:left w:val="nil"/>
              <w:bottom w:val="nil"/>
              <w:right w:val="nil"/>
            </w:tcBorders>
            <w:noWrap/>
            <w:vAlign w:val="center"/>
          </w:tcPr>
          <w:p w14:paraId="7B59EEA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Lee, et al.</w:t>
            </w:r>
          </w:p>
        </w:tc>
        <w:tc>
          <w:tcPr>
            <w:tcW w:w="810" w:type="dxa"/>
            <w:tcBorders>
              <w:top w:val="nil"/>
              <w:left w:val="nil"/>
              <w:bottom w:val="nil"/>
              <w:right w:val="nil"/>
            </w:tcBorders>
            <w:noWrap/>
            <w:vAlign w:val="center"/>
          </w:tcPr>
          <w:p w14:paraId="4425199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548" w:type="dxa"/>
            <w:tcBorders>
              <w:top w:val="nil"/>
              <w:left w:val="nil"/>
              <w:bottom w:val="nil"/>
              <w:right w:val="nil"/>
            </w:tcBorders>
            <w:noWrap/>
            <w:vAlign w:val="center"/>
          </w:tcPr>
          <w:p w14:paraId="5E53943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4768E99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Geographic region</w:t>
            </w:r>
          </w:p>
        </w:tc>
        <w:tc>
          <w:tcPr>
            <w:tcW w:w="2346" w:type="dxa"/>
            <w:tcBorders>
              <w:top w:val="nil"/>
              <w:left w:val="nil"/>
              <w:bottom w:val="nil"/>
              <w:right w:val="nil"/>
            </w:tcBorders>
            <w:vAlign w:val="center"/>
          </w:tcPr>
          <w:p w14:paraId="1ED59B1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03AAE63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1957" w:type="dxa"/>
            <w:tcBorders>
              <w:top w:val="nil"/>
              <w:left w:val="nil"/>
              <w:bottom w:val="nil"/>
              <w:right w:val="nil"/>
            </w:tcBorders>
            <w:vAlign w:val="center"/>
          </w:tcPr>
          <w:p w14:paraId="4E4FB72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6332632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All strategies were cost-effective (ICERs: strong recommendation to target regions at KRW 7,361,145 per QALY; regular universal at KRW 8,584,172; strong universal at KRW 11,506,849; all below the Korean GDP threshold of KRW 29,901,550)</w:t>
            </w:r>
          </w:p>
        </w:tc>
        <w:tc>
          <w:tcPr>
            <w:tcW w:w="3401" w:type="dxa"/>
            <w:tcBorders>
              <w:top w:val="nil"/>
              <w:left w:val="nil"/>
              <w:bottom w:val="nil"/>
              <w:right w:val="nil"/>
            </w:tcBorders>
            <w:vAlign w:val="center"/>
          </w:tcPr>
          <w:p w14:paraId="1F13B9E6"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targeted regional strategy was win-win (Quadrant I)</w:t>
            </w:r>
          </w:p>
        </w:tc>
      </w:tr>
      <w:tr w:rsidR="00376D25" w14:paraId="66AC4173" w14:textId="77777777">
        <w:trPr>
          <w:trHeight w:val="270"/>
        </w:trPr>
        <w:tc>
          <w:tcPr>
            <w:tcW w:w="569" w:type="dxa"/>
            <w:tcBorders>
              <w:top w:val="nil"/>
              <w:left w:val="nil"/>
              <w:bottom w:val="nil"/>
              <w:right w:val="nil"/>
            </w:tcBorders>
            <w:noWrap/>
            <w:vAlign w:val="center"/>
          </w:tcPr>
          <w:p w14:paraId="7A7E2F3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4</w:t>
            </w:r>
          </w:p>
        </w:tc>
        <w:tc>
          <w:tcPr>
            <w:tcW w:w="1767" w:type="dxa"/>
            <w:tcBorders>
              <w:top w:val="nil"/>
              <w:left w:val="nil"/>
              <w:bottom w:val="nil"/>
              <w:right w:val="nil"/>
            </w:tcBorders>
            <w:noWrap/>
            <w:vAlign w:val="center"/>
          </w:tcPr>
          <w:p w14:paraId="55E71B1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Chang, et al.</w:t>
            </w:r>
          </w:p>
        </w:tc>
        <w:tc>
          <w:tcPr>
            <w:tcW w:w="810" w:type="dxa"/>
            <w:tcBorders>
              <w:top w:val="nil"/>
              <w:left w:val="nil"/>
              <w:bottom w:val="nil"/>
              <w:right w:val="nil"/>
            </w:tcBorders>
            <w:noWrap/>
            <w:vAlign w:val="center"/>
          </w:tcPr>
          <w:p w14:paraId="1E080D5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2018</w:t>
            </w:r>
          </w:p>
        </w:tc>
        <w:tc>
          <w:tcPr>
            <w:tcW w:w="1548" w:type="dxa"/>
            <w:tcBorders>
              <w:top w:val="nil"/>
              <w:left w:val="nil"/>
              <w:bottom w:val="nil"/>
              <w:right w:val="nil"/>
            </w:tcBorders>
            <w:noWrap/>
            <w:vAlign w:val="center"/>
          </w:tcPr>
          <w:p w14:paraId="35F57CDB"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25C3AFC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 SVI</w:t>
            </w:r>
          </w:p>
        </w:tc>
        <w:tc>
          <w:tcPr>
            <w:tcW w:w="2346" w:type="dxa"/>
            <w:tcBorders>
              <w:top w:val="nil"/>
              <w:left w:val="nil"/>
              <w:bottom w:val="nil"/>
              <w:right w:val="nil"/>
            </w:tcBorders>
            <w:vAlign w:val="center"/>
          </w:tcPr>
          <w:p w14:paraId="5F3A62EB"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5DF1A91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lang w:bidi="ar"/>
              </w:rPr>
              <w:t>effectiveness and cost</w:t>
            </w:r>
          </w:p>
        </w:tc>
        <w:tc>
          <w:tcPr>
            <w:tcW w:w="1957" w:type="dxa"/>
            <w:tcBorders>
              <w:top w:val="nil"/>
              <w:left w:val="nil"/>
              <w:bottom w:val="nil"/>
              <w:right w:val="nil"/>
            </w:tcBorders>
            <w:vAlign w:val="center"/>
          </w:tcPr>
          <w:p w14:paraId="1AF18BE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Partitioned Survival Model</w:t>
            </w:r>
          </w:p>
        </w:tc>
        <w:tc>
          <w:tcPr>
            <w:tcW w:w="3464" w:type="dxa"/>
            <w:tcBorders>
              <w:top w:val="nil"/>
              <w:left w:val="nil"/>
              <w:bottom w:val="nil"/>
              <w:right w:val="nil"/>
            </w:tcBorders>
            <w:vAlign w:val="center"/>
          </w:tcPr>
          <w:p w14:paraId="3F914356"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Vaccines were generally considered cost-effective based on prior evidence (ICERs not reported in this distributional analysis)</w:t>
            </w:r>
          </w:p>
        </w:tc>
        <w:tc>
          <w:tcPr>
            <w:tcW w:w="3401" w:type="dxa"/>
            <w:tcBorders>
              <w:top w:val="nil"/>
              <w:left w:val="nil"/>
              <w:bottom w:val="nil"/>
              <w:right w:val="nil"/>
            </w:tcBorders>
            <w:vAlign w:val="center"/>
          </w:tcPr>
          <w:p w14:paraId="42D0FDFA"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Vaccines were win-win (Quadrant I)</w:t>
            </w:r>
          </w:p>
        </w:tc>
      </w:tr>
      <w:tr w:rsidR="00376D25" w14:paraId="1AEE29A7" w14:textId="77777777">
        <w:trPr>
          <w:trHeight w:val="270"/>
        </w:trPr>
        <w:tc>
          <w:tcPr>
            <w:tcW w:w="569" w:type="dxa"/>
            <w:tcBorders>
              <w:top w:val="nil"/>
              <w:left w:val="nil"/>
              <w:bottom w:val="nil"/>
              <w:right w:val="nil"/>
            </w:tcBorders>
            <w:noWrap/>
            <w:vAlign w:val="center"/>
          </w:tcPr>
          <w:p w14:paraId="7957CC9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5</w:t>
            </w:r>
          </w:p>
        </w:tc>
        <w:tc>
          <w:tcPr>
            <w:tcW w:w="1767" w:type="dxa"/>
            <w:tcBorders>
              <w:top w:val="nil"/>
              <w:left w:val="nil"/>
              <w:bottom w:val="nil"/>
              <w:right w:val="nil"/>
            </w:tcBorders>
            <w:noWrap/>
            <w:vAlign w:val="center"/>
          </w:tcPr>
          <w:p w14:paraId="38519C3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Arnold, et al.</w:t>
            </w:r>
          </w:p>
        </w:tc>
        <w:tc>
          <w:tcPr>
            <w:tcW w:w="810" w:type="dxa"/>
            <w:tcBorders>
              <w:top w:val="nil"/>
              <w:left w:val="nil"/>
              <w:bottom w:val="nil"/>
              <w:right w:val="nil"/>
            </w:tcBorders>
            <w:noWrap/>
            <w:vAlign w:val="center"/>
          </w:tcPr>
          <w:p w14:paraId="2DE1F91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2020</w:t>
            </w:r>
          </w:p>
        </w:tc>
        <w:tc>
          <w:tcPr>
            <w:tcW w:w="1548" w:type="dxa"/>
            <w:tcBorders>
              <w:top w:val="nil"/>
              <w:left w:val="nil"/>
              <w:bottom w:val="nil"/>
              <w:right w:val="nil"/>
            </w:tcBorders>
            <w:vAlign w:val="center"/>
          </w:tcPr>
          <w:p w14:paraId="511CBEE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DALY</w:t>
            </w:r>
          </w:p>
        </w:tc>
        <w:tc>
          <w:tcPr>
            <w:tcW w:w="1875" w:type="dxa"/>
            <w:tcBorders>
              <w:top w:val="nil"/>
              <w:left w:val="nil"/>
              <w:bottom w:val="nil"/>
              <w:right w:val="nil"/>
            </w:tcBorders>
            <w:noWrap/>
            <w:vAlign w:val="center"/>
          </w:tcPr>
          <w:p w14:paraId="56D50A9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HWQ, IWI</w:t>
            </w:r>
          </w:p>
        </w:tc>
        <w:tc>
          <w:tcPr>
            <w:tcW w:w="2346" w:type="dxa"/>
            <w:tcBorders>
              <w:top w:val="nil"/>
              <w:left w:val="nil"/>
              <w:bottom w:val="nil"/>
              <w:right w:val="nil"/>
            </w:tcBorders>
            <w:vAlign w:val="center"/>
          </w:tcPr>
          <w:p w14:paraId="46055A0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565B26A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lang w:bidi="ar"/>
              </w:rPr>
              <w:t>disease incidence/prevalence</w:t>
            </w:r>
            <w:r>
              <w:rPr>
                <w:rStyle w:val="font31"/>
                <w:rFonts w:ascii="Times New Roman" w:hAnsi="Times New Roman" w:cs="Times New Roman" w:hint="default"/>
                <w:lang w:bidi="ar"/>
              </w:rPr>
              <w:t xml:space="preserve">, </w:t>
            </w:r>
            <w:r>
              <w:rPr>
                <w:rFonts w:cs="Times New Roman"/>
                <w:color w:val="000000"/>
                <w:kern w:val="0"/>
                <w:sz w:val="20"/>
                <w:szCs w:val="20"/>
                <w:lang w:bidi="ar"/>
              </w:rPr>
              <w:t>opportunity cost threshold</w:t>
            </w:r>
          </w:p>
        </w:tc>
        <w:tc>
          <w:tcPr>
            <w:tcW w:w="1957" w:type="dxa"/>
            <w:tcBorders>
              <w:top w:val="nil"/>
              <w:left w:val="nil"/>
              <w:bottom w:val="nil"/>
              <w:right w:val="nil"/>
            </w:tcBorders>
            <w:vAlign w:val="center"/>
          </w:tcPr>
          <w:p w14:paraId="01E63D9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78D5A5CA"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overall EHP was cost-effective (positive population net health benefit of 8.87 million DALYs averted)</w:t>
            </w:r>
          </w:p>
        </w:tc>
        <w:tc>
          <w:tcPr>
            <w:tcW w:w="3401" w:type="dxa"/>
            <w:tcBorders>
              <w:top w:val="nil"/>
              <w:left w:val="nil"/>
              <w:bottom w:val="nil"/>
              <w:right w:val="nil"/>
            </w:tcBorders>
            <w:vAlign w:val="center"/>
          </w:tcPr>
          <w:p w14:paraId="374631B8"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overall EHP was win-win (Quadrant I)</w:t>
            </w:r>
          </w:p>
        </w:tc>
      </w:tr>
      <w:tr w:rsidR="00376D25" w14:paraId="5E217CE7" w14:textId="77777777">
        <w:trPr>
          <w:trHeight w:val="270"/>
        </w:trPr>
        <w:tc>
          <w:tcPr>
            <w:tcW w:w="569" w:type="dxa"/>
            <w:tcBorders>
              <w:top w:val="nil"/>
              <w:left w:val="nil"/>
              <w:bottom w:val="nil"/>
              <w:right w:val="nil"/>
            </w:tcBorders>
            <w:noWrap/>
            <w:vAlign w:val="center"/>
          </w:tcPr>
          <w:p w14:paraId="3DC09BEC"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6</w:t>
            </w:r>
          </w:p>
        </w:tc>
        <w:tc>
          <w:tcPr>
            <w:tcW w:w="1767" w:type="dxa"/>
            <w:tcBorders>
              <w:top w:val="nil"/>
              <w:left w:val="nil"/>
              <w:bottom w:val="nil"/>
              <w:right w:val="nil"/>
            </w:tcBorders>
            <w:noWrap/>
            <w:vAlign w:val="center"/>
          </w:tcPr>
          <w:p w14:paraId="212A85AD"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Collins, et al.</w:t>
            </w:r>
          </w:p>
        </w:tc>
        <w:tc>
          <w:tcPr>
            <w:tcW w:w="810" w:type="dxa"/>
            <w:tcBorders>
              <w:top w:val="nil"/>
              <w:left w:val="nil"/>
              <w:bottom w:val="nil"/>
              <w:right w:val="nil"/>
            </w:tcBorders>
            <w:noWrap/>
            <w:vAlign w:val="center"/>
          </w:tcPr>
          <w:p w14:paraId="7757089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2020</w:t>
            </w:r>
          </w:p>
        </w:tc>
        <w:tc>
          <w:tcPr>
            <w:tcW w:w="1548" w:type="dxa"/>
            <w:tcBorders>
              <w:top w:val="nil"/>
              <w:left w:val="nil"/>
              <w:bottom w:val="nil"/>
              <w:right w:val="nil"/>
            </w:tcBorders>
            <w:noWrap/>
            <w:vAlign w:val="center"/>
          </w:tcPr>
          <w:p w14:paraId="60F2C69A"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5CB9F21D"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IMD</w:t>
            </w:r>
          </w:p>
        </w:tc>
        <w:tc>
          <w:tcPr>
            <w:tcW w:w="2346" w:type="dxa"/>
            <w:tcBorders>
              <w:top w:val="nil"/>
              <w:left w:val="nil"/>
              <w:bottom w:val="nil"/>
              <w:right w:val="nil"/>
            </w:tcBorders>
            <w:vAlign w:val="center"/>
          </w:tcPr>
          <w:p w14:paraId="648A192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Slope inequality index</w:t>
            </w:r>
          </w:p>
        </w:tc>
        <w:tc>
          <w:tcPr>
            <w:tcW w:w="3470" w:type="dxa"/>
            <w:tcBorders>
              <w:top w:val="nil"/>
              <w:left w:val="nil"/>
              <w:bottom w:val="nil"/>
              <w:right w:val="nil"/>
            </w:tcBorders>
            <w:vAlign w:val="center"/>
          </w:tcPr>
          <w:p w14:paraId="20F3C61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Time range</w:t>
            </w:r>
          </w:p>
        </w:tc>
        <w:tc>
          <w:tcPr>
            <w:tcW w:w="1957" w:type="dxa"/>
            <w:tcBorders>
              <w:top w:val="nil"/>
              <w:left w:val="nil"/>
              <w:bottom w:val="nil"/>
              <w:right w:val="nil"/>
            </w:tcBorders>
            <w:vAlign w:val="center"/>
          </w:tcPr>
          <w:p w14:paraId="4303EAF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Dynamic Stochastic Micro-Simulation Model</w:t>
            </w:r>
          </w:p>
        </w:tc>
        <w:tc>
          <w:tcPr>
            <w:tcW w:w="3464" w:type="dxa"/>
            <w:tcBorders>
              <w:top w:val="nil"/>
              <w:left w:val="nil"/>
              <w:bottom w:val="nil"/>
              <w:right w:val="nil"/>
            </w:tcBorders>
            <w:vAlign w:val="center"/>
          </w:tcPr>
          <w:p w14:paraId="085950C3"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universal plus targeted strategy was dominant compared with current screening and cost-effective compared with no screening (ICER: £1,500/QALY)</w:t>
            </w:r>
          </w:p>
        </w:tc>
        <w:tc>
          <w:tcPr>
            <w:tcW w:w="3401" w:type="dxa"/>
            <w:tcBorders>
              <w:top w:val="nil"/>
              <w:left w:val="nil"/>
              <w:bottom w:val="nil"/>
              <w:right w:val="nil"/>
            </w:tcBorders>
            <w:vAlign w:val="center"/>
          </w:tcPr>
          <w:p w14:paraId="657BEC3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universal plus targeted strategy reduced health inequality (</w:t>
            </w:r>
            <w:r>
              <w:rPr>
                <w:rFonts w:cs="Times New Roman" w:hint="eastAsia"/>
                <w:color w:val="000000"/>
                <w:kern w:val="0"/>
                <w:sz w:val="20"/>
                <w:szCs w:val="20"/>
                <w:lang w:bidi="ar"/>
              </w:rPr>
              <w:t>Δ</w:t>
            </w:r>
            <w:r>
              <w:rPr>
                <w:rFonts w:cs="Times New Roman" w:hint="eastAsia"/>
                <w:color w:val="000000"/>
                <w:kern w:val="0"/>
                <w:sz w:val="20"/>
                <w:szCs w:val="20"/>
                <w:lang w:bidi="ar"/>
              </w:rPr>
              <w:t>SII: -0.65 QALYs per 100,000) and was therefore win-win (Quadrant I)</w:t>
            </w:r>
          </w:p>
        </w:tc>
      </w:tr>
      <w:tr w:rsidR="00376D25" w14:paraId="1629D8B7" w14:textId="77777777">
        <w:trPr>
          <w:trHeight w:val="525"/>
        </w:trPr>
        <w:tc>
          <w:tcPr>
            <w:tcW w:w="569" w:type="dxa"/>
            <w:tcBorders>
              <w:top w:val="nil"/>
              <w:left w:val="nil"/>
              <w:bottom w:val="nil"/>
              <w:right w:val="nil"/>
            </w:tcBorders>
            <w:noWrap/>
            <w:vAlign w:val="center"/>
          </w:tcPr>
          <w:p w14:paraId="45C186F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7</w:t>
            </w:r>
          </w:p>
        </w:tc>
        <w:tc>
          <w:tcPr>
            <w:tcW w:w="1767" w:type="dxa"/>
            <w:tcBorders>
              <w:top w:val="nil"/>
              <w:left w:val="nil"/>
              <w:bottom w:val="nil"/>
              <w:right w:val="nil"/>
            </w:tcBorders>
            <w:noWrap/>
            <w:vAlign w:val="center"/>
          </w:tcPr>
          <w:p w14:paraId="2C641597"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Love-Koh, et al.</w:t>
            </w:r>
          </w:p>
        </w:tc>
        <w:tc>
          <w:tcPr>
            <w:tcW w:w="810" w:type="dxa"/>
            <w:tcBorders>
              <w:top w:val="nil"/>
              <w:left w:val="nil"/>
              <w:bottom w:val="nil"/>
              <w:right w:val="nil"/>
            </w:tcBorders>
            <w:noWrap/>
            <w:vAlign w:val="center"/>
          </w:tcPr>
          <w:p w14:paraId="169D037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2020</w:t>
            </w:r>
          </w:p>
        </w:tc>
        <w:tc>
          <w:tcPr>
            <w:tcW w:w="1548" w:type="dxa"/>
            <w:tcBorders>
              <w:top w:val="nil"/>
              <w:left w:val="nil"/>
              <w:bottom w:val="nil"/>
              <w:right w:val="nil"/>
            </w:tcBorders>
            <w:noWrap/>
            <w:vAlign w:val="center"/>
          </w:tcPr>
          <w:p w14:paraId="209BD71C"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15981AF3"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IMD</w:t>
            </w:r>
          </w:p>
        </w:tc>
        <w:tc>
          <w:tcPr>
            <w:tcW w:w="2346" w:type="dxa"/>
            <w:tcBorders>
              <w:top w:val="nil"/>
              <w:left w:val="nil"/>
              <w:bottom w:val="nil"/>
              <w:right w:val="nil"/>
            </w:tcBorders>
            <w:vAlign w:val="center"/>
          </w:tcPr>
          <w:p w14:paraId="074EA49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Slope inequality index</w:t>
            </w:r>
            <w:r>
              <w:rPr>
                <w:rStyle w:val="font31"/>
                <w:rFonts w:ascii="Times New Roman" w:hAnsi="Times New Roman" w:cs="Times New Roman" w:hint="default"/>
                <w:lang w:bidi="ar"/>
              </w:rPr>
              <w:t xml:space="preserve">, </w:t>
            </w:r>
            <w:r>
              <w:rPr>
                <w:rStyle w:val="font11"/>
                <w:lang w:bidi="ar"/>
              </w:rPr>
              <w:t>relative inequality index</w:t>
            </w:r>
            <w:r>
              <w:rPr>
                <w:rStyle w:val="font31"/>
                <w:rFonts w:ascii="Times New Roman" w:hAnsi="Times New Roman" w:cs="Times New Roman" w:hint="default"/>
                <w:lang w:bidi="ar"/>
              </w:rPr>
              <w:t xml:space="preserve">, </w:t>
            </w:r>
            <w:r>
              <w:rPr>
                <w:rStyle w:val="font11"/>
                <w:lang w:bidi="ar"/>
              </w:rPr>
              <w:t>Atkinson index</w:t>
            </w:r>
          </w:p>
        </w:tc>
        <w:tc>
          <w:tcPr>
            <w:tcW w:w="3470" w:type="dxa"/>
            <w:tcBorders>
              <w:top w:val="nil"/>
              <w:left w:val="nil"/>
              <w:bottom w:val="nil"/>
              <w:right w:val="nil"/>
            </w:tcBorders>
            <w:vAlign w:val="center"/>
          </w:tcPr>
          <w:p w14:paraId="6F0CCCD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lang w:bidi="ar"/>
              </w:rPr>
              <w:t>smoking cessation success rate</w:t>
            </w:r>
          </w:p>
        </w:tc>
        <w:tc>
          <w:tcPr>
            <w:tcW w:w="1957" w:type="dxa"/>
            <w:tcBorders>
              <w:top w:val="nil"/>
              <w:left w:val="nil"/>
              <w:bottom w:val="nil"/>
              <w:right w:val="nil"/>
            </w:tcBorders>
            <w:vAlign w:val="center"/>
          </w:tcPr>
          <w:p w14:paraId="591AE60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77F6EAD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All 21 interventions were either dominant (cost-saving) or cost-effective (ICER below £20,000/QALY) compared with no intervention</w:t>
            </w:r>
          </w:p>
        </w:tc>
        <w:tc>
          <w:tcPr>
            <w:tcW w:w="3401" w:type="dxa"/>
            <w:tcBorders>
              <w:top w:val="nil"/>
              <w:left w:val="nil"/>
              <w:bottom w:val="nil"/>
              <w:right w:val="nil"/>
            </w:tcBorders>
            <w:vAlign w:val="center"/>
          </w:tcPr>
          <w:p w14:paraId="569B12B7"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All interventions reduced the slope index of inequality (</w:t>
            </w:r>
            <w:r>
              <w:rPr>
                <w:rFonts w:cs="Times New Roman" w:hint="eastAsia"/>
                <w:color w:val="000000"/>
                <w:kern w:val="0"/>
                <w:sz w:val="20"/>
                <w:szCs w:val="20"/>
                <w:lang w:bidi="ar"/>
              </w:rPr>
              <w:t>Δ</w:t>
            </w:r>
            <w:r>
              <w:rPr>
                <w:rFonts w:cs="Times New Roman" w:hint="eastAsia"/>
                <w:color w:val="000000"/>
                <w:kern w:val="0"/>
                <w:sz w:val="20"/>
                <w:szCs w:val="20"/>
                <w:lang w:bidi="ar"/>
              </w:rPr>
              <w:t>SII positive) and increased equally distributed equivalent health, placing them in win-win (Quadrant I)</w:t>
            </w:r>
          </w:p>
        </w:tc>
      </w:tr>
      <w:tr w:rsidR="00376D25" w14:paraId="51FF390A" w14:textId="77777777">
        <w:trPr>
          <w:trHeight w:val="788"/>
        </w:trPr>
        <w:tc>
          <w:tcPr>
            <w:tcW w:w="569" w:type="dxa"/>
            <w:tcBorders>
              <w:top w:val="nil"/>
              <w:left w:val="nil"/>
              <w:bottom w:val="nil"/>
              <w:right w:val="nil"/>
            </w:tcBorders>
            <w:noWrap/>
            <w:vAlign w:val="center"/>
          </w:tcPr>
          <w:p w14:paraId="5E6B9CFA"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lastRenderedPageBreak/>
              <w:t>8</w:t>
            </w:r>
          </w:p>
        </w:tc>
        <w:tc>
          <w:tcPr>
            <w:tcW w:w="1767" w:type="dxa"/>
            <w:tcBorders>
              <w:top w:val="nil"/>
              <w:left w:val="nil"/>
              <w:bottom w:val="nil"/>
              <w:right w:val="nil"/>
            </w:tcBorders>
            <w:noWrap/>
            <w:vAlign w:val="center"/>
          </w:tcPr>
          <w:p w14:paraId="6171FB02"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Love-Koh, et al.</w:t>
            </w:r>
          </w:p>
        </w:tc>
        <w:tc>
          <w:tcPr>
            <w:tcW w:w="810" w:type="dxa"/>
            <w:tcBorders>
              <w:top w:val="nil"/>
              <w:left w:val="nil"/>
              <w:bottom w:val="nil"/>
              <w:right w:val="nil"/>
            </w:tcBorders>
            <w:noWrap/>
            <w:vAlign w:val="center"/>
          </w:tcPr>
          <w:p w14:paraId="6CB773E9"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2021</w:t>
            </w:r>
          </w:p>
        </w:tc>
        <w:tc>
          <w:tcPr>
            <w:tcW w:w="1548" w:type="dxa"/>
            <w:tcBorders>
              <w:top w:val="nil"/>
              <w:left w:val="nil"/>
              <w:bottom w:val="nil"/>
              <w:right w:val="nil"/>
            </w:tcBorders>
            <w:noWrap/>
            <w:vAlign w:val="center"/>
          </w:tcPr>
          <w:p w14:paraId="54E698F8"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DALY</w:t>
            </w:r>
          </w:p>
        </w:tc>
        <w:tc>
          <w:tcPr>
            <w:tcW w:w="1875" w:type="dxa"/>
            <w:tcBorders>
              <w:top w:val="nil"/>
              <w:left w:val="nil"/>
              <w:bottom w:val="nil"/>
              <w:right w:val="nil"/>
            </w:tcBorders>
            <w:noWrap/>
            <w:vAlign w:val="center"/>
          </w:tcPr>
          <w:p w14:paraId="2D874E8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Geographic region, State-level economic development</w:t>
            </w:r>
          </w:p>
        </w:tc>
        <w:tc>
          <w:tcPr>
            <w:tcW w:w="2346" w:type="dxa"/>
            <w:tcBorders>
              <w:top w:val="nil"/>
              <w:left w:val="nil"/>
              <w:bottom w:val="nil"/>
              <w:right w:val="nil"/>
            </w:tcBorders>
            <w:vAlign w:val="center"/>
          </w:tcPr>
          <w:p w14:paraId="3ADBF16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Slope inequality index</w:t>
            </w:r>
            <w:r>
              <w:rPr>
                <w:rStyle w:val="font31"/>
                <w:rFonts w:ascii="Times New Roman" w:hAnsi="Times New Roman" w:cs="Times New Roman" w:hint="default"/>
                <w:lang w:bidi="ar"/>
              </w:rPr>
              <w:t xml:space="preserve">, </w:t>
            </w:r>
            <w:r>
              <w:rPr>
                <w:rStyle w:val="font11"/>
                <w:lang w:bidi="ar"/>
              </w:rPr>
              <w:t>relative inequality index</w:t>
            </w:r>
            <w:r>
              <w:rPr>
                <w:rStyle w:val="font31"/>
                <w:rFonts w:ascii="Times New Roman" w:hAnsi="Times New Roman" w:cs="Times New Roman" w:hint="default"/>
                <w:lang w:bidi="ar"/>
              </w:rPr>
              <w:t xml:space="preserve">, </w:t>
            </w:r>
            <w:r>
              <w:rPr>
                <w:rStyle w:val="font11"/>
                <w:lang w:bidi="ar"/>
              </w:rPr>
              <w:t>Atkinson index</w:t>
            </w:r>
            <w:r>
              <w:rPr>
                <w:rStyle w:val="font31"/>
                <w:rFonts w:ascii="Times New Roman" w:hAnsi="Times New Roman" w:cs="Times New Roman" w:hint="default"/>
                <w:lang w:bidi="ar"/>
              </w:rPr>
              <w:t xml:space="preserve">, </w:t>
            </w:r>
            <w:r>
              <w:rPr>
                <w:rStyle w:val="font11"/>
                <w:lang w:bidi="ar"/>
              </w:rPr>
              <w:t>Combe index</w:t>
            </w:r>
          </w:p>
        </w:tc>
        <w:tc>
          <w:tcPr>
            <w:tcW w:w="3470" w:type="dxa"/>
            <w:tcBorders>
              <w:top w:val="nil"/>
              <w:left w:val="nil"/>
              <w:bottom w:val="nil"/>
              <w:right w:val="nil"/>
            </w:tcBorders>
            <w:vAlign w:val="center"/>
          </w:tcPr>
          <w:p w14:paraId="22C9A36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PSF cost</w:t>
            </w:r>
          </w:p>
        </w:tc>
        <w:tc>
          <w:tcPr>
            <w:tcW w:w="1957" w:type="dxa"/>
            <w:tcBorders>
              <w:top w:val="nil"/>
              <w:left w:val="nil"/>
              <w:bottom w:val="nil"/>
              <w:right w:val="nil"/>
            </w:tcBorders>
            <w:vAlign w:val="center"/>
          </w:tcPr>
          <w:p w14:paraId="2C8ED18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7E0A095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PSF was cost-effective with an average ICER of $2640 per DALY averted, below Brazil</w:t>
            </w:r>
            <w:r>
              <w:rPr>
                <w:rFonts w:cs="Times New Roman"/>
                <w:color w:val="000000"/>
                <w:kern w:val="0"/>
                <w:sz w:val="20"/>
                <w:szCs w:val="20"/>
                <w:lang w:bidi="ar"/>
              </w:rPr>
              <w:t>’</w:t>
            </w:r>
            <w:r>
              <w:rPr>
                <w:rFonts w:cs="Times New Roman" w:hint="eastAsia"/>
                <w:color w:val="000000"/>
                <w:kern w:val="0"/>
                <w:sz w:val="20"/>
                <w:szCs w:val="20"/>
                <w:lang w:bidi="ar"/>
              </w:rPr>
              <w:t>s GDP per capita</w:t>
            </w:r>
          </w:p>
        </w:tc>
        <w:tc>
          <w:tcPr>
            <w:tcW w:w="3401" w:type="dxa"/>
            <w:tcBorders>
              <w:top w:val="nil"/>
              <w:left w:val="nil"/>
              <w:bottom w:val="nil"/>
              <w:right w:val="nil"/>
            </w:tcBorders>
            <w:vAlign w:val="center"/>
          </w:tcPr>
          <w:p w14:paraId="6214C61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The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reduced health inequality between states (bivariate analysis showed pro-poor distribution) and improved social welfare, though the inequality reduction was small and uncertain; overall, it was win-win (Quadrant I)</w:t>
            </w:r>
          </w:p>
        </w:tc>
      </w:tr>
      <w:tr w:rsidR="00376D25" w14:paraId="30D8139B" w14:textId="77777777">
        <w:trPr>
          <w:trHeight w:val="270"/>
        </w:trPr>
        <w:tc>
          <w:tcPr>
            <w:tcW w:w="569" w:type="dxa"/>
            <w:tcBorders>
              <w:top w:val="nil"/>
              <w:left w:val="nil"/>
              <w:bottom w:val="nil"/>
              <w:right w:val="nil"/>
            </w:tcBorders>
            <w:noWrap/>
            <w:vAlign w:val="center"/>
          </w:tcPr>
          <w:p w14:paraId="473C1DA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9</w:t>
            </w:r>
          </w:p>
        </w:tc>
        <w:tc>
          <w:tcPr>
            <w:tcW w:w="1767" w:type="dxa"/>
            <w:tcBorders>
              <w:top w:val="nil"/>
              <w:left w:val="nil"/>
              <w:bottom w:val="nil"/>
              <w:right w:val="nil"/>
            </w:tcBorders>
            <w:noWrap/>
            <w:vAlign w:val="center"/>
          </w:tcPr>
          <w:p w14:paraId="684B8F60"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Quan, et al.</w:t>
            </w:r>
          </w:p>
        </w:tc>
        <w:tc>
          <w:tcPr>
            <w:tcW w:w="810" w:type="dxa"/>
            <w:tcBorders>
              <w:top w:val="nil"/>
              <w:left w:val="nil"/>
              <w:bottom w:val="nil"/>
              <w:right w:val="nil"/>
            </w:tcBorders>
            <w:noWrap/>
            <w:vAlign w:val="center"/>
          </w:tcPr>
          <w:p w14:paraId="35C836A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2021</w:t>
            </w:r>
          </w:p>
        </w:tc>
        <w:tc>
          <w:tcPr>
            <w:tcW w:w="1548" w:type="dxa"/>
            <w:tcBorders>
              <w:top w:val="nil"/>
              <w:left w:val="nil"/>
              <w:bottom w:val="nil"/>
              <w:right w:val="nil"/>
            </w:tcBorders>
            <w:noWrap/>
            <w:vAlign w:val="center"/>
          </w:tcPr>
          <w:p w14:paraId="5CE6A520"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1759966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Race and ethnicity, HIV risk behaviors</w:t>
            </w:r>
          </w:p>
        </w:tc>
        <w:tc>
          <w:tcPr>
            <w:tcW w:w="2346" w:type="dxa"/>
            <w:tcBorders>
              <w:top w:val="nil"/>
              <w:left w:val="nil"/>
              <w:bottom w:val="nil"/>
              <w:right w:val="nil"/>
            </w:tcBorders>
            <w:vAlign w:val="center"/>
          </w:tcPr>
          <w:p w14:paraId="62EB450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Difference index</w:t>
            </w:r>
            <w:r>
              <w:rPr>
                <w:rStyle w:val="font31"/>
                <w:rFonts w:ascii="Times New Roman" w:hAnsi="Times New Roman" w:cs="Times New Roman" w:hint="default"/>
                <w:lang w:bidi="ar"/>
              </w:rPr>
              <w:t xml:space="preserve">, </w:t>
            </w:r>
            <w:r>
              <w:rPr>
                <w:rStyle w:val="font11"/>
                <w:lang w:bidi="ar"/>
              </w:rPr>
              <w:t>Theil index</w:t>
            </w:r>
          </w:p>
        </w:tc>
        <w:tc>
          <w:tcPr>
            <w:tcW w:w="3470" w:type="dxa"/>
            <w:tcBorders>
              <w:top w:val="nil"/>
              <w:left w:val="nil"/>
              <w:bottom w:val="nil"/>
              <w:right w:val="nil"/>
            </w:tcBorders>
            <w:noWrap/>
            <w:vAlign w:val="center"/>
          </w:tcPr>
          <w:p w14:paraId="76C4216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Intervention cost adjustment</w:t>
            </w:r>
          </w:p>
        </w:tc>
        <w:tc>
          <w:tcPr>
            <w:tcW w:w="1957" w:type="dxa"/>
            <w:tcBorders>
              <w:top w:val="nil"/>
              <w:left w:val="nil"/>
              <w:bottom w:val="nil"/>
              <w:right w:val="nil"/>
            </w:tcBorders>
            <w:vAlign w:val="center"/>
          </w:tcPr>
          <w:p w14:paraId="5D42D3B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Dynamic HIV transmission model</w:t>
            </w:r>
          </w:p>
        </w:tc>
        <w:tc>
          <w:tcPr>
            <w:tcW w:w="3464" w:type="dxa"/>
            <w:tcBorders>
              <w:top w:val="nil"/>
              <w:left w:val="nil"/>
              <w:bottom w:val="nil"/>
              <w:right w:val="nil"/>
            </w:tcBorders>
            <w:vAlign w:val="center"/>
          </w:tcPr>
          <w:p w14:paraId="67C12F8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equity-focused implementation approach was dominant (cost-saving) or cost-effective (ICER below $100,000/QALY) compared with the proportional services approach</w:t>
            </w:r>
          </w:p>
        </w:tc>
        <w:tc>
          <w:tcPr>
            <w:tcW w:w="3401" w:type="dxa"/>
            <w:tcBorders>
              <w:top w:val="nil"/>
              <w:left w:val="nil"/>
              <w:bottom w:val="nil"/>
              <w:right w:val="nil"/>
            </w:tcBorders>
            <w:vAlign w:val="center"/>
          </w:tcPr>
          <w:p w14:paraId="794A4222"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equity approach reduced racial/ethnic health disparities across multiple inequality measures and increased population health, thus win-win (Quadrant I)</w:t>
            </w:r>
          </w:p>
        </w:tc>
      </w:tr>
      <w:tr w:rsidR="00376D25" w14:paraId="4CFA7752" w14:textId="77777777">
        <w:trPr>
          <w:trHeight w:val="270"/>
        </w:trPr>
        <w:tc>
          <w:tcPr>
            <w:tcW w:w="569" w:type="dxa"/>
            <w:tcBorders>
              <w:top w:val="nil"/>
              <w:left w:val="nil"/>
              <w:bottom w:val="nil"/>
              <w:right w:val="nil"/>
            </w:tcBorders>
            <w:noWrap/>
            <w:vAlign w:val="center"/>
          </w:tcPr>
          <w:p w14:paraId="6C74E185"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10</w:t>
            </w:r>
          </w:p>
        </w:tc>
        <w:tc>
          <w:tcPr>
            <w:tcW w:w="1767" w:type="dxa"/>
            <w:tcBorders>
              <w:top w:val="nil"/>
              <w:left w:val="nil"/>
              <w:bottom w:val="nil"/>
              <w:right w:val="nil"/>
            </w:tcBorders>
            <w:noWrap/>
            <w:vAlign w:val="center"/>
          </w:tcPr>
          <w:p w14:paraId="5AFC9EB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Olsen, et al.</w:t>
            </w:r>
          </w:p>
        </w:tc>
        <w:tc>
          <w:tcPr>
            <w:tcW w:w="810" w:type="dxa"/>
            <w:tcBorders>
              <w:top w:val="nil"/>
              <w:left w:val="nil"/>
              <w:bottom w:val="nil"/>
              <w:right w:val="nil"/>
            </w:tcBorders>
            <w:noWrap/>
            <w:vAlign w:val="center"/>
          </w:tcPr>
          <w:p w14:paraId="2861551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2021</w:t>
            </w:r>
          </w:p>
        </w:tc>
        <w:tc>
          <w:tcPr>
            <w:tcW w:w="1548" w:type="dxa"/>
            <w:tcBorders>
              <w:top w:val="nil"/>
              <w:left w:val="nil"/>
              <w:bottom w:val="nil"/>
              <w:right w:val="nil"/>
            </w:tcBorders>
            <w:noWrap/>
            <w:vAlign w:val="center"/>
          </w:tcPr>
          <w:p w14:paraId="390AADF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Life expectancy</w:t>
            </w:r>
          </w:p>
        </w:tc>
        <w:tc>
          <w:tcPr>
            <w:tcW w:w="1875" w:type="dxa"/>
            <w:tcBorders>
              <w:top w:val="nil"/>
              <w:left w:val="nil"/>
              <w:bottom w:val="nil"/>
              <w:right w:val="nil"/>
            </w:tcBorders>
            <w:noWrap/>
            <w:vAlign w:val="center"/>
          </w:tcPr>
          <w:p w14:paraId="69C1EA86"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Geographic region</w:t>
            </w:r>
          </w:p>
        </w:tc>
        <w:tc>
          <w:tcPr>
            <w:tcW w:w="2346" w:type="dxa"/>
            <w:tcBorders>
              <w:top w:val="nil"/>
              <w:left w:val="nil"/>
              <w:bottom w:val="nil"/>
              <w:right w:val="nil"/>
            </w:tcBorders>
            <w:vAlign w:val="center"/>
          </w:tcPr>
          <w:p w14:paraId="4F4EFD2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Gini index</w:t>
            </w:r>
          </w:p>
        </w:tc>
        <w:tc>
          <w:tcPr>
            <w:tcW w:w="3470" w:type="dxa"/>
            <w:tcBorders>
              <w:top w:val="nil"/>
              <w:left w:val="nil"/>
              <w:bottom w:val="nil"/>
              <w:right w:val="nil"/>
            </w:tcBorders>
            <w:vAlign w:val="center"/>
          </w:tcPr>
          <w:p w14:paraId="2453BA2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1957" w:type="dxa"/>
            <w:tcBorders>
              <w:top w:val="nil"/>
              <w:left w:val="nil"/>
              <w:bottom w:val="nil"/>
              <w:right w:val="nil"/>
            </w:tcBorders>
            <w:vAlign w:val="center"/>
          </w:tcPr>
          <w:p w14:paraId="3B187DD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359FC877"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Scaling up community-based treatment to 90% coverage in all regions was cost-effective (ICERs: $26</w:t>
            </w:r>
            <w:r>
              <w:rPr>
                <w:rFonts w:cs="Times New Roman" w:hint="eastAsia"/>
                <w:color w:val="000000"/>
                <w:kern w:val="0"/>
                <w:sz w:val="20"/>
                <w:szCs w:val="20"/>
                <w:lang w:bidi="ar"/>
              </w:rPr>
              <w:t>–</w:t>
            </w:r>
            <w:r>
              <w:rPr>
                <w:rFonts w:cs="Times New Roman" w:hint="eastAsia"/>
                <w:color w:val="000000"/>
                <w:kern w:val="0"/>
                <w:sz w:val="20"/>
                <w:szCs w:val="20"/>
                <w:lang w:bidi="ar"/>
              </w:rPr>
              <w:t>199 per life year gained, below 50% of GDP per capita</w:t>
            </w:r>
          </w:p>
        </w:tc>
        <w:tc>
          <w:tcPr>
            <w:tcW w:w="3401" w:type="dxa"/>
            <w:tcBorders>
              <w:top w:val="nil"/>
              <w:left w:val="nil"/>
              <w:bottom w:val="nil"/>
              <w:right w:val="nil"/>
            </w:tcBorders>
            <w:vAlign w:val="center"/>
          </w:tcPr>
          <w:p w14:paraId="4DDA5BA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universal scale-up and health-maximizing strategies increased regional health inequality (Quadrant II), whereas the strategy prioritizing high-mortality regions reduced regional inequality but saved fewer lives (Quadrant IV). The universal scale-up was thus a trade-off (Quadrant II)</w:t>
            </w:r>
          </w:p>
        </w:tc>
      </w:tr>
      <w:tr w:rsidR="00376D25" w14:paraId="08B53610" w14:textId="77777777">
        <w:trPr>
          <w:trHeight w:val="270"/>
        </w:trPr>
        <w:tc>
          <w:tcPr>
            <w:tcW w:w="569" w:type="dxa"/>
            <w:tcBorders>
              <w:top w:val="nil"/>
              <w:left w:val="nil"/>
              <w:bottom w:val="nil"/>
              <w:right w:val="nil"/>
            </w:tcBorders>
            <w:noWrap/>
            <w:vAlign w:val="center"/>
          </w:tcPr>
          <w:p w14:paraId="3FC06F56"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11</w:t>
            </w:r>
          </w:p>
        </w:tc>
        <w:tc>
          <w:tcPr>
            <w:tcW w:w="1767" w:type="dxa"/>
            <w:tcBorders>
              <w:top w:val="nil"/>
              <w:left w:val="nil"/>
              <w:bottom w:val="nil"/>
              <w:right w:val="nil"/>
            </w:tcBorders>
            <w:noWrap/>
            <w:vAlign w:val="center"/>
          </w:tcPr>
          <w:p w14:paraId="547C1B52"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Kowal, et al.</w:t>
            </w:r>
          </w:p>
        </w:tc>
        <w:tc>
          <w:tcPr>
            <w:tcW w:w="810" w:type="dxa"/>
            <w:tcBorders>
              <w:top w:val="nil"/>
              <w:left w:val="nil"/>
              <w:bottom w:val="nil"/>
              <w:right w:val="nil"/>
            </w:tcBorders>
            <w:noWrap/>
            <w:vAlign w:val="center"/>
          </w:tcPr>
          <w:p w14:paraId="3830F3E7"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noWrap/>
            <w:vAlign w:val="center"/>
          </w:tcPr>
          <w:p w14:paraId="4909B9F6"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152FF26E"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Race and ethnicity, SVI</w:t>
            </w:r>
          </w:p>
        </w:tc>
        <w:tc>
          <w:tcPr>
            <w:tcW w:w="2346" w:type="dxa"/>
            <w:tcBorders>
              <w:top w:val="nil"/>
              <w:left w:val="nil"/>
              <w:bottom w:val="nil"/>
              <w:right w:val="nil"/>
            </w:tcBorders>
            <w:vAlign w:val="center"/>
          </w:tcPr>
          <w:p w14:paraId="6B74143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5F37786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threshold</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w:t>
            </w:r>
            <w:r>
              <w:rPr>
                <w:rStyle w:val="font11"/>
                <w:lang w:bidi="ar"/>
              </w:rPr>
              <w:t>opportunity cost distributions</w:t>
            </w:r>
          </w:p>
        </w:tc>
        <w:tc>
          <w:tcPr>
            <w:tcW w:w="1957" w:type="dxa"/>
            <w:tcBorders>
              <w:top w:val="nil"/>
              <w:left w:val="nil"/>
              <w:bottom w:val="nil"/>
              <w:right w:val="nil"/>
            </w:tcBorders>
            <w:vAlign w:val="center"/>
          </w:tcPr>
          <w:p w14:paraId="6E13417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73C34C97"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Funding inpatient COVID-19 treatments was cost-effective (ICER: $28,651/QALY, below $150,000/QALY threshold)</w:t>
            </w:r>
          </w:p>
        </w:tc>
        <w:tc>
          <w:tcPr>
            <w:tcW w:w="3401" w:type="dxa"/>
            <w:tcBorders>
              <w:top w:val="nil"/>
              <w:left w:val="nil"/>
              <w:bottom w:val="nil"/>
              <w:right w:val="nil"/>
            </w:tcBorders>
            <w:vAlign w:val="center"/>
          </w:tcPr>
          <w:p w14:paraId="265E3F75"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intervention reduced health inequality (Atkinson index reduction of 0.234%), placing it in win-win (Quadrant I)</w:t>
            </w:r>
          </w:p>
        </w:tc>
      </w:tr>
      <w:tr w:rsidR="00376D25" w14:paraId="2731040D" w14:textId="77777777">
        <w:trPr>
          <w:trHeight w:val="525"/>
        </w:trPr>
        <w:tc>
          <w:tcPr>
            <w:tcW w:w="569" w:type="dxa"/>
            <w:tcBorders>
              <w:top w:val="nil"/>
              <w:left w:val="nil"/>
              <w:bottom w:val="nil"/>
              <w:right w:val="nil"/>
            </w:tcBorders>
            <w:noWrap/>
            <w:vAlign w:val="center"/>
          </w:tcPr>
          <w:p w14:paraId="2AE7AD06"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12</w:t>
            </w:r>
          </w:p>
        </w:tc>
        <w:tc>
          <w:tcPr>
            <w:tcW w:w="1767" w:type="dxa"/>
            <w:tcBorders>
              <w:top w:val="nil"/>
              <w:left w:val="nil"/>
              <w:bottom w:val="nil"/>
              <w:right w:val="nil"/>
            </w:tcBorders>
            <w:noWrap/>
            <w:vAlign w:val="center"/>
          </w:tcPr>
          <w:p w14:paraId="14E59546"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Meunier, et al.</w:t>
            </w:r>
          </w:p>
        </w:tc>
        <w:tc>
          <w:tcPr>
            <w:tcW w:w="810" w:type="dxa"/>
            <w:tcBorders>
              <w:top w:val="nil"/>
              <w:left w:val="nil"/>
              <w:bottom w:val="nil"/>
              <w:right w:val="nil"/>
            </w:tcBorders>
            <w:noWrap/>
            <w:vAlign w:val="center"/>
          </w:tcPr>
          <w:p w14:paraId="469C6CF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noWrap/>
            <w:vAlign w:val="center"/>
          </w:tcPr>
          <w:p w14:paraId="7A0CB443"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546C768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IMD</w:t>
            </w:r>
          </w:p>
        </w:tc>
        <w:tc>
          <w:tcPr>
            <w:tcW w:w="2346" w:type="dxa"/>
            <w:tcBorders>
              <w:top w:val="nil"/>
              <w:left w:val="nil"/>
              <w:bottom w:val="nil"/>
              <w:right w:val="nil"/>
            </w:tcBorders>
            <w:vAlign w:val="center"/>
          </w:tcPr>
          <w:p w14:paraId="600D2E7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74BCF90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threshold</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 xml:space="preserve">, </w:t>
            </w:r>
            <w:r>
              <w:rPr>
                <w:rStyle w:val="font11"/>
                <w:lang w:bidi="ar"/>
              </w:rPr>
              <w:t>patient distribution</w:t>
            </w:r>
          </w:p>
        </w:tc>
        <w:tc>
          <w:tcPr>
            <w:tcW w:w="1957" w:type="dxa"/>
            <w:tcBorders>
              <w:top w:val="nil"/>
              <w:left w:val="nil"/>
              <w:bottom w:val="nil"/>
              <w:right w:val="nil"/>
            </w:tcBorders>
            <w:vAlign w:val="center"/>
          </w:tcPr>
          <w:p w14:paraId="10AB55C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18072025"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Atezolizumab was not cost-effective at a £30,000/QALY threshold (ICER: £48,333/QALY, above threshold) but became cost-effective at a £50,000/QALY threshold; </w:t>
            </w:r>
            <w:proofErr w:type="spellStart"/>
            <w:r>
              <w:rPr>
                <w:rFonts w:cs="Times New Roman" w:hint="eastAsia"/>
                <w:color w:val="000000"/>
                <w:kern w:val="0"/>
                <w:sz w:val="20"/>
                <w:szCs w:val="20"/>
                <w:lang w:bidi="ar"/>
              </w:rPr>
              <w:t>alectinib</w:t>
            </w:r>
            <w:proofErr w:type="spellEnd"/>
            <w:r>
              <w:rPr>
                <w:rFonts w:cs="Times New Roman" w:hint="eastAsia"/>
                <w:color w:val="000000"/>
                <w:kern w:val="0"/>
                <w:sz w:val="20"/>
                <w:szCs w:val="20"/>
                <w:lang w:bidi="ar"/>
              </w:rPr>
              <w:t xml:space="preserve"> was cost-effective (ICER: £24,436/QALY, below £30,000/QALY threshold)</w:t>
            </w:r>
          </w:p>
        </w:tc>
        <w:tc>
          <w:tcPr>
            <w:tcW w:w="3401" w:type="dxa"/>
            <w:tcBorders>
              <w:top w:val="nil"/>
              <w:left w:val="nil"/>
              <w:bottom w:val="nil"/>
              <w:right w:val="nil"/>
            </w:tcBorders>
            <w:vAlign w:val="center"/>
          </w:tcPr>
          <w:p w14:paraId="6468E549"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At a £30,000/QALY threshold, </w:t>
            </w:r>
            <w:proofErr w:type="spellStart"/>
            <w:r>
              <w:rPr>
                <w:rFonts w:cs="Times New Roman" w:hint="eastAsia"/>
                <w:color w:val="000000"/>
                <w:kern w:val="0"/>
                <w:sz w:val="20"/>
                <w:szCs w:val="20"/>
                <w:lang w:bidi="ar"/>
              </w:rPr>
              <w:t>alectinib</w:t>
            </w:r>
            <w:proofErr w:type="spellEnd"/>
            <w:r>
              <w:rPr>
                <w:rFonts w:cs="Times New Roman" w:hint="eastAsia"/>
                <w:color w:val="000000"/>
                <w:kern w:val="0"/>
                <w:sz w:val="20"/>
                <w:szCs w:val="20"/>
                <w:lang w:bidi="ar"/>
              </w:rPr>
              <w:t xml:space="preserve"> was win-win (Quadrant I, improving both health and equity); atezolizumab was trade-off (Quadrant IV, reducing health inequality at the cost of lower total health) at the same threshold, but became win-win at higher thresholds where it was cost-effective</w:t>
            </w:r>
          </w:p>
        </w:tc>
      </w:tr>
      <w:tr w:rsidR="00376D25" w14:paraId="3EE4D444" w14:textId="77777777">
        <w:trPr>
          <w:trHeight w:val="525"/>
        </w:trPr>
        <w:tc>
          <w:tcPr>
            <w:tcW w:w="569" w:type="dxa"/>
            <w:tcBorders>
              <w:top w:val="nil"/>
              <w:left w:val="nil"/>
              <w:bottom w:val="nil"/>
              <w:right w:val="nil"/>
            </w:tcBorders>
            <w:noWrap/>
            <w:vAlign w:val="center"/>
          </w:tcPr>
          <w:p w14:paraId="1E753B18"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13</w:t>
            </w:r>
          </w:p>
        </w:tc>
        <w:tc>
          <w:tcPr>
            <w:tcW w:w="1767" w:type="dxa"/>
            <w:tcBorders>
              <w:top w:val="nil"/>
              <w:left w:val="nil"/>
              <w:bottom w:val="nil"/>
              <w:right w:val="nil"/>
            </w:tcBorders>
            <w:noWrap/>
            <w:vAlign w:val="center"/>
          </w:tcPr>
          <w:p w14:paraId="1268CF6E" w14:textId="77777777" w:rsidR="00376D25" w:rsidRDefault="00000000">
            <w:pPr>
              <w:widowControl/>
              <w:spacing w:line="240" w:lineRule="auto"/>
              <w:ind w:firstLineChars="0" w:firstLine="0"/>
              <w:jc w:val="center"/>
              <w:textAlignment w:val="center"/>
              <w:rPr>
                <w:rFonts w:cs="Times New Roman"/>
                <w:sz w:val="20"/>
                <w:szCs w:val="20"/>
              </w:rPr>
            </w:pPr>
            <w:proofErr w:type="spellStart"/>
            <w:r>
              <w:rPr>
                <w:rFonts w:cs="Times New Roman"/>
                <w:kern w:val="0"/>
                <w:sz w:val="20"/>
                <w:szCs w:val="20"/>
                <w:lang w:bidi="ar"/>
              </w:rPr>
              <w:t>Goshua</w:t>
            </w:r>
            <w:proofErr w:type="spellEnd"/>
            <w:r>
              <w:rPr>
                <w:rFonts w:cs="Times New Roman"/>
                <w:kern w:val="0"/>
                <w:sz w:val="20"/>
                <w:szCs w:val="20"/>
                <w:lang w:bidi="ar"/>
              </w:rPr>
              <w:t>, et al.</w:t>
            </w:r>
          </w:p>
        </w:tc>
        <w:tc>
          <w:tcPr>
            <w:tcW w:w="810" w:type="dxa"/>
            <w:tcBorders>
              <w:top w:val="nil"/>
              <w:left w:val="nil"/>
              <w:bottom w:val="nil"/>
              <w:right w:val="nil"/>
            </w:tcBorders>
            <w:noWrap/>
            <w:vAlign w:val="center"/>
          </w:tcPr>
          <w:p w14:paraId="59EA5BE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noWrap/>
            <w:vAlign w:val="center"/>
          </w:tcPr>
          <w:p w14:paraId="0ED51F9D"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212A8A53"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Gender</w:t>
            </w:r>
            <w:r>
              <w:rPr>
                <w:rStyle w:val="font31"/>
                <w:rFonts w:ascii="Times New Roman" w:hAnsi="Times New Roman" w:cs="Times New Roman" w:hint="default"/>
                <w:color w:val="auto"/>
                <w:lang w:bidi="ar"/>
              </w:rPr>
              <w:t>；</w:t>
            </w:r>
            <w:r>
              <w:rPr>
                <w:rStyle w:val="font11"/>
                <w:color w:val="auto"/>
                <w:lang w:bidi="ar"/>
              </w:rPr>
              <w:t>disease severity</w:t>
            </w:r>
          </w:p>
        </w:tc>
        <w:tc>
          <w:tcPr>
            <w:tcW w:w="2346" w:type="dxa"/>
            <w:tcBorders>
              <w:top w:val="nil"/>
              <w:left w:val="nil"/>
              <w:bottom w:val="nil"/>
              <w:right w:val="nil"/>
            </w:tcBorders>
            <w:vAlign w:val="center"/>
          </w:tcPr>
          <w:p w14:paraId="7809662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1BA08B0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Cost of gene therapy, age at which treatment begins</w:t>
            </w:r>
            <w:r>
              <w:rPr>
                <w:rStyle w:val="font31"/>
                <w:rFonts w:ascii="Times New Roman" w:hAnsi="Times New Roman" w:cs="Times New Roman" w:hint="default"/>
                <w:lang w:bidi="ar"/>
              </w:rPr>
              <w:t xml:space="preserve">, </w:t>
            </w:r>
            <w:r>
              <w:rPr>
                <w:rStyle w:val="font11"/>
                <w:lang w:bidi="ar"/>
              </w:rPr>
              <w:t>disease incidence/prevalence</w:t>
            </w:r>
          </w:p>
        </w:tc>
        <w:tc>
          <w:tcPr>
            <w:tcW w:w="1957" w:type="dxa"/>
            <w:tcBorders>
              <w:top w:val="nil"/>
              <w:left w:val="nil"/>
              <w:bottom w:val="nil"/>
              <w:right w:val="nil"/>
            </w:tcBorders>
            <w:vAlign w:val="center"/>
          </w:tcPr>
          <w:p w14:paraId="790299D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73D457B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Gene therapy was not cost-effective compared with standard of care (ICER: $176,000 per QALY, above the $100,000/QALY threshold)</w:t>
            </w:r>
          </w:p>
        </w:tc>
        <w:tc>
          <w:tcPr>
            <w:tcW w:w="3401" w:type="dxa"/>
            <w:tcBorders>
              <w:top w:val="nil"/>
              <w:left w:val="nil"/>
              <w:bottom w:val="nil"/>
              <w:right w:val="nil"/>
            </w:tcBorders>
            <w:vAlign w:val="center"/>
          </w:tcPr>
          <w:p w14:paraId="34370C6F"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With inequality aversion parameters, gene therapy could be win-win (Quadrant I) if societal preferences for reducing disparities are sufficiently strong (threshold inequality aversion parameter of 0.90, within commonly used US ranges</w:t>
            </w:r>
          </w:p>
        </w:tc>
      </w:tr>
      <w:tr w:rsidR="00376D25" w14:paraId="16E79F76" w14:textId="77777777">
        <w:trPr>
          <w:trHeight w:val="788"/>
        </w:trPr>
        <w:tc>
          <w:tcPr>
            <w:tcW w:w="569" w:type="dxa"/>
            <w:tcBorders>
              <w:top w:val="nil"/>
              <w:left w:val="nil"/>
              <w:bottom w:val="nil"/>
              <w:right w:val="nil"/>
            </w:tcBorders>
            <w:noWrap/>
            <w:vAlign w:val="center"/>
          </w:tcPr>
          <w:p w14:paraId="6BB01BA7"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14</w:t>
            </w:r>
          </w:p>
        </w:tc>
        <w:tc>
          <w:tcPr>
            <w:tcW w:w="1767" w:type="dxa"/>
            <w:tcBorders>
              <w:top w:val="nil"/>
              <w:left w:val="nil"/>
              <w:bottom w:val="nil"/>
              <w:right w:val="nil"/>
            </w:tcBorders>
            <w:noWrap/>
            <w:vAlign w:val="center"/>
          </w:tcPr>
          <w:p w14:paraId="5E21C589" w14:textId="77777777" w:rsidR="00376D25" w:rsidRDefault="00000000">
            <w:pPr>
              <w:widowControl/>
              <w:spacing w:line="240" w:lineRule="auto"/>
              <w:ind w:firstLineChars="0" w:firstLine="0"/>
              <w:jc w:val="center"/>
              <w:textAlignment w:val="center"/>
              <w:rPr>
                <w:rFonts w:cs="Times New Roman"/>
                <w:sz w:val="20"/>
                <w:szCs w:val="20"/>
              </w:rPr>
            </w:pPr>
            <w:proofErr w:type="spellStart"/>
            <w:r>
              <w:rPr>
                <w:rFonts w:cs="Times New Roman"/>
                <w:kern w:val="0"/>
                <w:sz w:val="20"/>
                <w:szCs w:val="20"/>
                <w:lang w:bidi="ar"/>
              </w:rPr>
              <w:t>Assebe</w:t>
            </w:r>
            <w:proofErr w:type="spellEnd"/>
            <w:r>
              <w:rPr>
                <w:rFonts w:cs="Times New Roman"/>
                <w:kern w:val="0"/>
                <w:sz w:val="20"/>
                <w:szCs w:val="20"/>
                <w:lang w:bidi="ar"/>
              </w:rPr>
              <w:t>, et al.</w:t>
            </w:r>
          </w:p>
        </w:tc>
        <w:tc>
          <w:tcPr>
            <w:tcW w:w="810" w:type="dxa"/>
            <w:tcBorders>
              <w:top w:val="nil"/>
              <w:left w:val="nil"/>
              <w:bottom w:val="nil"/>
              <w:right w:val="nil"/>
            </w:tcBorders>
            <w:noWrap/>
            <w:vAlign w:val="center"/>
          </w:tcPr>
          <w:p w14:paraId="50A3F9F3"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vAlign w:val="center"/>
          </w:tcPr>
          <w:p w14:paraId="3DB8CFAC"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HALY</w:t>
            </w:r>
          </w:p>
        </w:tc>
        <w:tc>
          <w:tcPr>
            <w:tcW w:w="1875" w:type="dxa"/>
            <w:tcBorders>
              <w:top w:val="nil"/>
              <w:left w:val="nil"/>
              <w:bottom w:val="nil"/>
              <w:right w:val="nil"/>
            </w:tcBorders>
            <w:noWrap/>
            <w:vAlign w:val="center"/>
          </w:tcPr>
          <w:p w14:paraId="7603BEA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HWQ</w:t>
            </w:r>
          </w:p>
        </w:tc>
        <w:tc>
          <w:tcPr>
            <w:tcW w:w="2346" w:type="dxa"/>
            <w:tcBorders>
              <w:top w:val="nil"/>
              <w:left w:val="nil"/>
              <w:bottom w:val="nil"/>
              <w:right w:val="nil"/>
            </w:tcBorders>
            <w:vAlign w:val="center"/>
          </w:tcPr>
          <w:p w14:paraId="08B58C8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Slope inequality index</w:t>
            </w:r>
            <w:r>
              <w:rPr>
                <w:rStyle w:val="font31"/>
                <w:rFonts w:ascii="Times New Roman" w:hAnsi="Times New Roman" w:cs="Times New Roman" w:hint="default"/>
                <w:lang w:bidi="ar"/>
              </w:rPr>
              <w:t xml:space="preserve">, </w:t>
            </w:r>
            <w:r>
              <w:rPr>
                <w:rStyle w:val="font11"/>
                <w:lang w:bidi="ar"/>
              </w:rPr>
              <w:t>relative inequality index</w:t>
            </w:r>
            <w:r>
              <w:rPr>
                <w:rStyle w:val="font31"/>
                <w:rFonts w:ascii="Times New Roman" w:hAnsi="Times New Roman" w:cs="Times New Roman" w:hint="default"/>
                <w:lang w:bidi="ar"/>
              </w:rPr>
              <w:t xml:space="preserve">, </w:t>
            </w:r>
            <w:r>
              <w:rPr>
                <w:rStyle w:val="font11"/>
                <w:lang w:bidi="ar"/>
              </w:rPr>
              <w:t>Atkinson index</w:t>
            </w:r>
            <w:r>
              <w:rPr>
                <w:rStyle w:val="font31"/>
                <w:rFonts w:ascii="Times New Roman" w:hAnsi="Times New Roman" w:cs="Times New Roman" w:hint="default"/>
                <w:lang w:bidi="ar"/>
              </w:rPr>
              <w:t xml:space="preserve">, </w:t>
            </w:r>
            <w:r>
              <w:rPr>
                <w:rStyle w:val="font11"/>
                <w:lang w:bidi="ar"/>
              </w:rPr>
              <w:t>Combe index</w:t>
            </w:r>
          </w:p>
        </w:tc>
        <w:tc>
          <w:tcPr>
            <w:tcW w:w="3470" w:type="dxa"/>
            <w:tcBorders>
              <w:top w:val="nil"/>
              <w:left w:val="nil"/>
              <w:bottom w:val="nil"/>
              <w:right w:val="nil"/>
            </w:tcBorders>
            <w:vAlign w:val="center"/>
          </w:tcPr>
          <w:p w14:paraId="37DC965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distributions</w:t>
            </w:r>
            <w:r>
              <w:rPr>
                <w:rStyle w:val="font31"/>
                <w:rFonts w:ascii="Times New Roman" w:hAnsi="Times New Roman" w:cs="Times New Roman" w:hint="default"/>
                <w:lang w:bidi="ar"/>
              </w:rPr>
              <w:t xml:space="preserve">, </w:t>
            </w:r>
            <w:r>
              <w:rPr>
                <w:rStyle w:val="font11"/>
                <w:lang w:bidi="ar"/>
              </w:rPr>
              <w:t>disease incidence/prevalence distributions</w:t>
            </w:r>
            <w:r>
              <w:rPr>
                <w:rStyle w:val="font31"/>
                <w:rFonts w:ascii="Times New Roman" w:hAnsi="Times New Roman" w:cs="Times New Roman" w:hint="default"/>
                <w:lang w:bidi="ar"/>
              </w:rPr>
              <w:t xml:space="preserve">, </w:t>
            </w:r>
            <w:r>
              <w:rPr>
                <w:rStyle w:val="font11"/>
                <w:lang w:bidi="ar"/>
              </w:rPr>
              <w:t>inequality aversion parameters</w:t>
            </w:r>
          </w:p>
        </w:tc>
        <w:tc>
          <w:tcPr>
            <w:tcW w:w="1957" w:type="dxa"/>
            <w:tcBorders>
              <w:top w:val="nil"/>
              <w:left w:val="nil"/>
              <w:bottom w:val="nil"/>
              <w:right w:val="nil"/>
            </w:tcBorders>
            <w:vAlign w:val="center"/>
          </w:tcPr>
          <w:p w14:paraId="24817C0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167EDC67"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overall package was cost-effective (positive net health benefit of 2.29 million HALYs)</w:t>
            </w:r>
          </w:p>
        </w:tc>
        <w:tc>
          <w:tcPr>
            <w:tcW w:w="3401" w:type="dxa"/>
            <w:tcBorders>
              <w:top w:val="nil"/>
              <w:left w:val="nil"/>
              <w:bottom w:val="nil"/>
              <w:right w:val="nil"/>
            </w:tcBorders>
            <w:vAlign w:val="center"/>
          </w:tcPr>
          <w:p w14:paraId="1BDA0B13"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Overall, the package was win-win (Quadrant I); 23 interventions were win-win, 3 were trade-off (Quadrant II), and 4 were trade-off (Quadrant IV)</w:t>
            </w:r>
          </w:p>
        </w:tc>
      </w:tr>
      <w:tr w:rsidR="00376D25" w14:paraId="3B40A64A" w14:textId="77777777">
        <w:trPr>
          <w:trHeight w:val="270"/>
        </w:trPr>
        <w:tc>
          <w:tcPr>
            <w:tcW w:w="569" w:type="dxa"/>
            <w:tcBorders>
              <w:top w:val="nil"/>
              <w:left w:val="nil"/>
              <w:bottom w:val="nil"/>
              <w:right w:val="nil"/>
            </w:tcBorders>
            <w:noWrap/>
            <w:vAlign w:val="center"/>
          </w:tcPr>
          <w:p w14:paraId="4EDD3740"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lastRenderedPageBreak/>
              <w:t>15</w:t>
            </w:r>
          </w:p>
        </w:tc>
        <w:tc>
          <w:tcPr>
            <w:tcW w:w="1767" w:type="dxa"/>
            <w:tcBorders>
              <w:top w:val="nil"/>
              <w:left w:val="nil"/>
              <w:bottom w:val="nil"/>
              <w:right w:val="nil"/>
            </w:tcBorders>
            <w:noWrap/>
            <w:vAlign w:val="center"/>
          </w:tcPr>
          <w:p w14:paraId="179D73BC" w14:textId="77777777" w:rsidR="00376D25" w:rsidRDefault="00000000">
            <w:pPr>
              <w:widowControl/>
              <w:spacing w:line="240" w:lineRule="auto"/>
              <w:ind w:firstLineChars="0" w:firstLine="0"/>
              <w:jc w:val="center"/>
              <w:textAlignment w:val="center"/>
              <w:rPr>
                <w:rFonts w:cs="Times New Roman"/>
                <w:sz w:val="20"/>
                <w:szCs w:val="20"/>
              </w:rPr>
            </w:pPr>
            <w:proofErr w:type="spellStart"/>
            <w:r>
              <w:rPr>
                <w:rFonts w:cs="Times New Roman"/>
                <w:kern w:val="0"/>
                <w:sz w:val="20"/>
                <w:szCs w:val="20"/>
                <w:lang w:bidi="ar"/>
              </w:rPr>
              <w:t>Killedar</w:t>
            </w:r>
            <w:proofErr w:type="spellEnd"/>
            <w:r>
              <w:rPr>
                <w:rFonts w:cs="Times New Roman"/>
                <w:kern w:val="0"/>
                <w:sz w:val="20"/>
                <w:szCs w:val="20"/>
                <w:lang w:bidi="ar"/>
              </w:rPr>
              <w:t>, et al.</w:t>
            </w:r>
          </w:p>
        </w:tc>
        <w:tc>
          <w:tcPr>
            <w:tcW w:w="810" w:type="dxa"/>
            <w:tcBorders>
              <w:top w:val="nil"/>
              <w:left w:val="nil"/>
              <w:bottom w:val="nil"/>
              <w:right w:val="nil"/>
            </w:tcBorders>
            <w:noWrap/>
            <w:vAlign w:val="center"/>
          </w:tcPr>
          <w:p w14:paraId="0E6DB2D7"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noWrap/>
            <w:vAlign w:val="center"/>
          </w:tcPr>
          <w:p w14:paraId="217296C8"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440F44B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SEP/SEP</w:t>
            </w:r>
          </w:p>
        </w:tc>
        <w:tc>
          <w:tcPr>
            <w:tcW w:w="2346" w:type="dxa"/>
            <w:tcBorders>
              <w:top w:val="nil"/>
              <w:left w:val="nil"/>
              <w:bottom w:val="nil"/>
              <w:right w:val="nil"/>
            </w:tcBorders>
            <w:vAlign w:val="center"/>
          </w:tcPr>
          <w:p w14:paraId="18CC9E1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Slope inequality index</w:t>
            </w:r>
          </w:p>
        </w:tc>
        <w:tc>
          <w:tcPr>
            <w:tcW w:w="3470" w:type="dxa"/>
            <w:tcBorders>
              <w:top w:val="nil"/>
              <w:left w:val="nil"/>
              <w:bottom w:val="nil"/>
              <w:right w:val="nil"/>
            </w:tcBorders>
            <w:vAlign w:val="center"/>
          </w:tcPr>
          <w:p w14:paraId="7CDA92C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Assessment of individual heterogeneity</w:t>
            </w:r>
          </w:p>
        </w:tc>
        <w:tc>
          <w:tcPr>
            <w:tcW w:w="1957" w:type="dxa"/>
            <w:tcBorders>
              <w:top w:val="nil"/>
              <w:left w:val="nil"/>
              <w:bottom w:val="nil"/>
              <w:right w:val="nil"/>
            </w:tcBorders>
            <w:vAlign w:val="center"/>
          </w:tcPr>
          <w:p w14:paraId="683CD63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Socioeconomic status-specific micro-simulation models</w:t>
            </w:r>
          </w:p>
        </w:tc>
        <w:tc>
          <w:tcPr>
            <w:tcW w:w="3464" w:type="dxa"/>
            <w:tcBorders>
              <w:top w:val="nil"/>
              <w:left w:val="nil"/>
              <w:bottom w:val="nil"/>
              <w:right w:val="nil"/>
            </w:tcBorders>
            <w:vAlign w:val="center"/>
          </w:tcPr>
          <w:p w14:paraId="00F40A87"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POI-Sleep and H54K were cost-effective (positive net health benefit), while POI-Combo was not cost-effective (negative net health benefit)</w:t>
            </w:r>
          </w:p>
        </w:tc>
        <w:tc>
          <w:tcPr>
            <w:tcW w:w="3401" w:type="dxa"/>
            <w:tcBorders>
              <w:top w:val="nil"/>
              <w:left w:val="nil"/>
              <w:bottom w:val="nil"/>
              <w:right w:val="nil"/>
            </w:tcBorders>
            <w:vAlign w:val="center"/>
          </w:tcPr>
          <w:p w14:paraId="2D44962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POI-Sleep and H54K were win-win (Quadrant I, with 67% and 100% probability, respectively); POI-Combo was lose-lose (Quadrant III, with 91% probability)</w:t>
            </w:r>
          </w:p>
        </w:tc>
      </w:tr>
      <w:tr w:rsidR="00376D25" w14:paraId="716D6CB4" w14:textId="77777777">
        <w:trPr>
          <w:trHeight w:val="270"/>
        </w:trPr>
        <w:tc>
          <w:tcPr>
            <w:tcW w:w="569" w:type="dxa"/>
            <w:tcBorders>
              <w:top w:val="nil"/>
              <w:left w:val="nil"/>
              <w:bottom w:val="nil"/>
              <w:right w:val="nil"/>
            </w:tcBorders>
            <w:noWrap/>
            <w:vAlign w:val="center"/>
          </w:tcPr>
          <w:p w14:paraId="3A38479A"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16</w:t>
            </w:r>
          </w:p>
        </w:tc>
        <w:tc>
          <w:tcPr>
            <w:tcW w:w="1767" w:type="dxa"/>
            <w:tcBorders>
              <w:top w:val="nil"/>
              <w:left w:val="nil"/>
              <w:bottom w:val="nil"/>
              <w:right w:val="nil"/>
            </w:tcBorders>
            <w:noWrap/>
            <w:vAlign w:val="center"/>
          </w:tcPr>
          <w:p w14:paraId="1C1FB185"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Kwon, et al.</w:t>
            </w:r>
          </w:p>
        </w:tc>
        <w:tc>
          <w:tcPr>
            <w:tcW w:w="810" w:type="dxa"/>
            <w:tcBorders>
              <w:top w:val="nil"/>
              <w:left w:val="nil"/>
              <w:bottom w:val="nil"/>
              <w:right w:val="nil"/>
            </w:tcBorders>
            <w:noWrap/>
            <w:vAlign w:val="center"/>
          </w:tcPr>
          <w:p w14:paraId="06E9F53D"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2023</w:t>
            </w:r>
          </w:p>
        </w:tc>
        <w:tc>
          <w:tcPr>
            <w:tcW w:w="1548" w:type="dxa"/>
            <w:tcBorders>
              <w:top w:val="nil"/>
              <w:left w:val="nil"/>
              <w:bottom w:val="nil"/>
              <w:right w:val="nil"/>
            </w:tcBorders>
            <w:noWrap/>
            <w:vAlign w:val="center"/>
          </w:tcPr>
          <w:p w14:paraId="5871E84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24E97BDC"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SEP/SEP</w:t>
            </w:r>
          </w:p>
        </w:tc>
        <w:tc>
          <w:tcPr>
            <w:tcW w:w="2346" w:type="dxa"/>
            <w:tcBorders>
              <w:top w:val="nil"/>
              <w:left w:val="nil"/>
              <w:bottom w:val="nil"/>
              <w:right w:val="nil"/>
            </w:tcBorders>
            <w:vAlign w:val="center"/>
          </w:tcPr>
          <w:p w14:paraId="2C416F0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654C492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1957" w:type="dxa"/>
            <w:tcBorders>
              <w:top w:val="nil"/>
              <w:left w:val="nil"/>
              <w:bottom w:val="nil"/>
              <w:right w:val="nil"/>
            </w:tcBorders>
            <w:vAlign w:val="center"/>
          </w:tcPr>
          <w:p w14:paraId="3A9F94E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Discrete Individual Simulation Model</w:t>
            </w:r>
          </w:p>
        </w:tc>
        <w:tc>
          <w:tcPr>
            <w:tcW w:w="3464" w:type="dxa"/>
            <w:tcBorders>
              <w:top w:val="nil"/>
              <w:left w:val="nil"/>
              <w:bottom w:val="nil"/>
              <w:right w:val="nil"/>
            </w:tcBorders>
            <w:vAlign w:val="center"/>
          </w:tcPr>
          <w:p w14:paraId="171FD75B"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Recommended care was cost-effective compared with usual care (societal ICER: £12,877</w:t>
            </w:r>
            <w:r>
              <w:rPr>
                <w:rFonts w:cs="Times New Roman" w:hint="eastAsia"/>
                <w:color w:val="000000"/>
                <w:kern w:val="0"/>
                <w:sz w:val="20"/>
                <w:szCs w:val="20"/>
                <w:lang w:bidi="ar"/>
              </w:rPr>
              <w:t>–</w:t>
            </w:r>
            <w:r>
              <w:rPr>
                <w:rFonts w:cs="Times New Roman" w:hint="eastAsia"/>
                <w:color w:val="000000"/>
                <w:kern w:val="0"/>
                <w:sz w:val="20"/>
                <w:szCs w:val="20"/>
                <w:lang w:bidi="ar"/>
              </w:rPr>
              <w:t>£15,149 per QALY gained, below £20,000/QALY threshold)</w:t>
            </w:r>
          </w:p>
        </w:tc>
        <w:tc>
          <w:tcPr>
            <w:tcW w:w="3401" w:type="dxa"/>
            <w:tcBorders>
              <w:top w:val="nil"/>
              <w:left w:val="nil"/>
              <w:bottom w:val="nil"/>
              <w:right w:val="nil"/>
            </w:tcBorders>
            <w:vAlign w:val="center"/>
          </w:tcPr>
          <w:p w14:paraId="3B958072"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Recommended care was win-win (Quadrant I), with EDE incremental net health benefits exceeding the no-aversion benefit under both relative and absolute inequality aversion</w:t>
            </w:r>
          </w:p>
        </w:tc>
      </w:tr>
      <w:tr w:rsidR="00376D25" w14:paraId="0B43841D" w14:textId="77777777">
        <w:trPr>
          <w:trHeight w:val="270"/>
        </w:trPr>
        <w:tc>
          <w:tcPr>
            <w:tcW w:w="569" w:type="dxa"/>
            <w:tcBorders>
              <w:top w:val="nil"/>
              <w:left w:val="nil"/>
              <w:bottom w:val="nil"/>
              <w:right w:val="nil"/>
            </w:tcBorders>
            <w:noWrap/>
            <w:vAlign w:val="center"/>
          </w:tcPr>
          <w:p w14:paraId="0DF026B0"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17</w:t>
            </w:r>
          </w:p>
        </w:tc>
        <w:tc>
          <w:tcPr>
            <w:tcW w:w="1767" w:type="dxa"/>
            <w:tcBorders>
              <w:top w:val="nil"/>
              <w:left w:val="nil"/>
              <w:bottom w:val="nil"/>
              <w:right w:val="nil"/>
            </w:tcBorders>
            <w:noWrap/>
            <w:vAlign w:val="center"/>
          </w:tcPr>
          <w:p w14:paraId="5108D3A0"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Meunier, et al.</w:t>
            </w:r>
          </w:p>
        </w:tc>
        <w:tc>
          <w:tcPr>
            <w:tcW w:w="810" w:type="dxa"/>
            <w:tcBorders>
              <w:top w:val="nil"/>
              <w:left w:val="nil"/>
              <w:bottom w:val="nil"/>
              <w:right w:val="nil"/>
            </w:tcBorders>
            <w:noWrap/>
            <w:vAlign w:val="center"/>
          </w:tcPr>
          <w:p w14:paraId="5AAB88F9"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2024</w:t>
            </w:r>
          </w:p>
        </w:tc>
        <w:tc>
          <w:tcPr>
            <w:tcW w:w="1548" w:type="dxa"/>
            <w:tcBorders>
              <w:top w:val="nil"/>
              <w:left w:val="nil"/>
              <w:bottom w:val="nil"/>
              <w:right w:val="nil"/>
            </w:tcBorders>
            <w:noWrap/>
            <w:vAlign w:val="center"/>
          </w:tcPr>
          <w:p w14:paraId="01B2AF39"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3EF8CD5D"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IMD</w:t>
            </w:r>
          </w:p>
        </w:tc>
        <w:tc>
          <w:tcPr>
            <w:tcW w:w="2346" w:type="dxa"/>
            <w:tcBorders>
              <w:top w:val="nil"/>
              <w:left w:val="nil"/>
              <w:bottom w:val="nil"/>
              <w:right w:val="nil"/>
            </w:tcBorders>
            <w:vAlign w:val="center"/>
          </w:tcPr>
          <w:p w14:paraId="69EB305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7EAA7C5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threshold</w:t>
            </w:r>
            <w:r>
              <w:rPr>
                <w:rStyle w:val="font31"/>
                <w:rFonts w:ascii="Times New Roman" w:hAnsi="Times New Roman" w:cs="Times New Roman" w:hint="default"/>
                <w:lang w:bidi="ar"/>
              </w:rPr>
              <w:t xml:space="preserve">, </w:t>
            </w:r>
            <w:r>
              <w:rPr>
                <w:rStyle w:val="font11"/>
                <w:lang w:bidi="ar"/>
              </w:rPr>
              <w:t>inequality aversion parameters, perspective</w:t>
            </w:r>
          </w:p>
        </w:tc>
        <w:tc>
          <w:tcPr>
            <w:tcW w:w="1957" w:type="dxa"/>
            <w:tcBorders>
              <w:top w:val="nil"/>
              <w:left w:val="nil"/>
              <w:bottom w:val="nil"/>
              <w:right w:val="nil"/>
            </w:tcBorders>
            <w:vAlign w:val="center"/>
          </w:tcPr>
          <w:p w14:paraId="6D71877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64" w:type="dxa"/>
            <w:tcBorders>
              <w:top w:val="nil"/>
              <w:left w:val="nil"/>
              <w:bottom w:val="nil"/>
              <w:right w:val="nil"/>
            </w:tcBorders>
            <w:vAlign w:val="center"/>
          </w:tcPr>
          <w:p w14:paraId="376713AF"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proofErr w:type="spellStart"/>
            <w:r>
              <w:rPr>
                <w:rFonts w:cs="Times New Roman" w:hint="eastAsia"/>
                <w:color w:val="000000"/>
                <w:kern w:val="0"/>
                <w:sz w:val="20"/>
                <w:szCs w:val="20"/>
                <w:lang w:bidi="ar"/>
              </w:rPr>
              <w:t>Faricimab</w:t>
            </w:r>
            <w:proofErr w:type="spellEnd"/>
            <w:r>
              <w:rPr>
                <w:rFonts w:cs="Times New Roman" w:hint="eastAsia"/>
                <w:color w:val="000000"/>
                <w:kern w:val="0"/>
                <w:sz w:val="20"/>
                <w:szCs w:val="20"/>
                <w:lang w:bidi="ar"/>
              </w:rPr>
              <w:t xml:space="preserve"> was dominant compared with ranibizumab and aflibercept (cost-saving with QALY gains), and cost-effective compared with off-label bevacizumab (ICER implied by positive net health benefit below £20,000/QALY threshold)</w:t>
            </w:r>
          </w:p>
        </w:tc>
        <w:tc>
          <w:tcPr>
            <w:tcW w:w="3401" w:type="dxa"/>
            <w:tcBorders>
              <w:top w:val="nil"/>
              <w:left w:val="nil"/>
              <w:bottom w:val="nil"/>
              <w:right w:val="nil"/>
            </w:tcBorders>
            <w:vAlign w:val="center"/>
          </w:tcPr>
          <w:p w14:paraId="086AFB9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proofErr w:type="spellStart"/>
            <w:r>
              <w:rPr>
                <w:rFonts w:cs="Times New Roman" w:hint="eastAsia"/>
                <w:color w:val="000000"/>
                <w:kern w:val="0"/>
                <w:sz w:val="20"/>
                <w:szCs w:val="20"/>
                <w:lang w:bidi="ar"/>
              </w:rPr>
              <w:t>Faricimab</w:t>
            </w:r>
            <w:proofErr w:type="spellEnd"/>
            <w:r>
              <w:rPr>
                <w:rFonts w:cs="Times New Roman" w:hint="eastAsia"/>
                <w:color w:val="000000"/>
                <w:kern w:val="0"/>
                <w:sz w:val="20"/>
                <w:szCs w:val="20"/>
                <w:lang w:bidi="ar"/>
              </w:rPr>
              <w:t xml:space="preserve"> was win-win (Quadrant I), improving both health and reducing socioeconomic inequality across all comparators at the base-case opportunity cost threshold</w:t>
            </w:r>
          </w:p>
        </w:tc>
      </w:tr>
      <w:tr w:rsidR="00376D25" w14:paraId="4418701E" w14:textId="77777777">
        <w:trPr>
          <w:trHeight w:val="270"/>
        </w:trPr>
        <w:tc>
          <w:tcPr>
            <w:tcW w:w="569" w:type="dxa"/>
            <w:tcBorders>
              <w:top w:val="nil"/>
              <w:left w:val="nil"/>
              <w:bottom w:val="nil"/>
              <w:right w:val="nil"/>
            </w:tcBorders>
            <w:noWrap/>
            <w:vAlign w:val="center"/>
          </w:tcPr>
          <w:p w14:paraId="38300A5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18</w:t>
            </w:r>
          </w:p>
        </w:tc>
        <w:tc>
          <w:tcPr>
            <w:tcW w:w="1767" w:type="dxa"/>
            <w:tcBorders>
              <w:top w:val="nil"/>
              <w:left w:val="nil"/>
              <w:bottom w:val="nil"/>
              <w:right w:val="nil"/>
            </w:tcBorders>
            <w:noWrap/>
            <w:vAlign w:val="center"/>
          </w:tcPr>
          <w:p w14:paraId="2609F2EB" w14:textId="77777777" w:rsidR="00376D25" w:rsidRDefault="00000000">
            <w:pPr>
              <w:widowControl/>
              <w:spacing w:line="240" w:lineRule="auto"/>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Stanimirovic</w:t>
            </w:r>
            <w:proofErr w:type="spellEnd"/>
            <w:r>
              <w:rPr>
                <w:rFonts w:cs="Times New Roman"/>
                <w:color w:val="000000"/>
                <w:kern w:val="0"/>
                <w:sz w:val="20"/>
                <w:szCs w:val="20"/>
                <w:lang w:bidi="ar"/>
              </w:rPr>
              <w:t>, et al.</w:t>
            </w:r>
          </w:p>
        </w:tc>
        <w:tc>
          <w:tcPr>
            <w:tcW w:w="810" w:type="dxa"/>
            <w:tcBorders>
              <w:top w:val="nil"/>
              <w:left w:val="nil"/>
              <w:bottom w:val="nil"/>
              <w:right w:val="nil"/>
            </w:tcBorders>
            <w:noWrap/>
            <w:vAlign w:val="center"/>
          </w:tcPr>
          <w:p w14:paraId="66B8DB2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5CBBCFA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2C199F1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Income, educational attainment, and area-level deprivation, ethnicity, area-level ethnic diversity,</w:t>
            </w:r>
            <w:r>
              <w:rPr>
                <w:rFonts w:cs="Times New Roman"/>
                <w:color w:val="000000"/>
                <w:kern w:val="0"/>
                <w:sz w:val="20"/>
                <w:szCs w:val="20"/>
                <w:lang w:bidi="ar"/>
              </w:rPr>
              <w:br/>
              <w:t>gender, age</w:t>
            </w:r>
          </w:p>
        </w:tc>
        <w:tc>
          <w:tcPr>
            <w:tcW w:w="2346" w:type="dxa"/>
            <w:tcBorders>
              <w:top w:val="nil"/>
              <w:left w:val="nil"/>
              <w:bottom w:val="nil"/>
              <w:right w:val="nil"/>
            </w:tcBorders>
            <w:vAlign w:val="center"/>
          </w:tcPr>
          <w:p w14:paraId="6DF83CD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r>
              <w:rPr>
                <w:rStyle w:val="font31"/>
                <w:rFonts w:ascii="Times New Roman" w:hAnsi="Times New Roman" w:cs="Times New Roman" w:hint="default"/>
                <w:lang w:bidi="ar"/>
              </w:rPr>
              <w:t xml:space="preserve">, </w:t>
            </w:r>
            <w:r>
              <w:rPr>
                <w:rStyle w:val="font11"/>
                <w:lang w:bidi="ar"/>
              </w:rPr>
              <w:t>Combe index</w:t>
            </w:r>
            <w:r>
              <w:rPr>
                <w:rStyle w:val="font31"/>
                <w:rFonts w:ascii="Times New Roman" w:hAnsi="Times New Roman" w:cs="Times New Roman" w:hint="default"/>
                <w:lang w:bidi="ar"/>
              </w:rPr>
              <w:t xml:space="preserve">, </w:t>
            </w:r>
            <w:r>
              <w:rPr>
                <w:rStyle w:val="font11"/>
                <w:lang w:bidi="ar"/>
              </w:rPr>
              <w:t>Gini index</w:t>
            </w:r>
          </w:p>
        </w:tc>
        <w:tc>
          <w:tcPr>
            <w:tcW w:w="3470" w:type="dxa"/>
            <w:tcBorders>
              <w:top w:val="nil"/>
              <w:left w:val="nil"/>
              <w:bottom w:val="nil"/>
              <w:right w:val="nil"/>
            </w:tcBorders>
            <w:noWrap/>
            <w:vAlign w:val="center"/>
          </w:tcPr>
          <w:p w14:paraId="67440DD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distributions</w:t>
            </w:r>
          </w:p>
        </w:tc>
        <w:tc>
          <w:tcPr>
            <w:tcW w:w="1957" w:type="dxa"/>
            <w:tcBorders>
              <w:top w:val="nil"/>
              <w:left w:val="nil"/>
              <w:bottom w:val="nil"/>
              <w:right w:val="nil"/>
            </w:tcBorders>
            <w:vAlign w:val="center"/>
          </w:tcPr>
          <w:p w14:paraId="38D4521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Decision Tree Model</w:t>
            </w:r>
          </w:p>
        </w:tc>
        <w:tc>
          <w:tcPr>
            <w:tcW w:w="3464" w:type="dxa"/>
            <w:tcBorders>
              <w:top w:val="nil"/>
              <w:left w:val="nil"/>
              <w:bottom w:val="nil"/>
              <w:right w:val="nil"/>
            </w:tcBorders>
            <w:vAlign w:val="center"/>
          </w:tcPr>
          <w:p w14:paraId="445F0E48"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hint="eastAsia"/>
                <w:color w:val="000000"/>
                <w:sz w:val="18"/>
                <w:szCs w:val="18"/>
              </w:rPr>
              <w:t>Not applicable</w:t>
            </w:r>
          </w:p>
        </w:tc>
        <w:tc>
          <w:tcPr>
            <w:tcW w:w="3401" w:type="dxa"/>
            <w:tcBorders>
              <w:top w:val="nil"/>
              <w:left w:val="nil"/>
              <w:bottom w:val="nil"/>
              <w:right w:val="nil"/>
            </w:tcBorders>
            <w:vAlign w:val="center"/>
          </w:tcPr>
          <w:p w14:paraId="0DB3C1A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hint="eastAsia"/>
                <w:color w:val="000000"/>
                <w:sz w:val="18"/>
                <w:szCs w:val="18"/>
              </w:rPr>
              <w:t>Not applicable</w:t>
            </w:r>
          </w:p>
        </w:tc>
      </w:tr>
      <w:tr w:rsidR="00376D25" w14:paraId="54252382" w14:textId="77777777">
        <w:trPr>
          <w:trHeight w:val="525"/>
        </w:trPr>
        <w:tc>
          <w:tcPr>
            <w:tcW w:w="569" w:type="dxa"/>
            <w:tcBorders>
              <w:top w:val="nil"/>
              <w:left w:val="nil"/>
              <w:bottom w:val="nil"/>
              <w:right w:val="nil"/>
            </w:tcBorders>
            <w:noWrap/>
            <w:vAlign w:val="center"/>
          </w:tcPr>
          <w:p w14:paraId="789209EF"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19</w:t>
            </w:r>
          </w:p>
        </w:tc>
        <w:tc>
          <w:tcPr>
            <w:tcW w:w="1767" w:type="dxa"/>
            <w:tcBorders>
              <w:top w:val="nil"/>
              <w:left w:val="nil"/>
              <w:bottom w:val="nil"/>
              <w:right w:val="nil"/>
            </w:tcBorders>
            <w:noWrap/>
            <w:vAlign w:val="center"/>
          </w:tcPr>
          <w:p w14:paraId="15940A44"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Synnott, et al.</w:t>
            </w:r>
          </w:p>
        </w:tc>
        <w:tc>
          <w:tcPr>
            <w:tcW w:w="810" w:type="dxa"/>
            <w:tcBorders>
              <w:top w:val="nil"/>
              <w:left w:val="nil"/>
              <w:bottom w:val="nil"/>
              <w:right w:val="nil"/>
            </w:tcBorders>
            <w:noWrap/>
            <w:vAlign w:val="center"/>
          </w:tcPr>
          <w:p w14:paraId="6B5A90AB"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2024</w:t>
            </w:r>
          </w:p>
        </w:tc>
        <w:tc>
          <w:tcPr>
            <w:tcW w:w="1548" w:type="dxa"/>
            <w:tcBorders>
              <w:top w:val="nil"/>
              <w:left w:val="nil"/>
              <w:bottom w:val="nil"/>
              <w:right w:val="nil"/>
            </w:tcBorders>
            <w:noWrap/>
            <w:vAlign w:val="center"/>
          </w:tcPr>
          <w:p w14:paraId="0C6CD248"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QALY</w:t>
            </w:r>
          </w:p>
        </w:tc>
        <w:tc>
          <w:tcPr>
            <w:tcW w:w="1875" w:type="dxa"/>
            <w:tcBorders>
              <w:top w:val="nil"/>
              <w:left w:val="nil"/>
              <w:bottom w:val="nil"/>
              <w:right w:val="nil"/>
            </w:tcBorders>
            <w:noWrap/>
            <w:vAlign w:val="center"/>
          </w:tcPr>
          <w:p w14:paraId="45CBC5D5" w14:textId="77777777" w:rsidR="00376D25" w:rsidRDefault="00000000">
            <w:pPr>
              <w:widowControl/>
              <w:spacing w:line="240" w:lineRule="auto"/>
              <w:ind w:firstLineChars="0" w:firstLine="0"/>
              <w:jc w:val="center"/>
              <w:textAlignment w:val="center"/>
              <w:rPr>
                <w:rFonts w:cs="Times New Roman"/>
                <w:sz w:val="20"/>
                <w:szCs w:val="20"/>
              </w:rPr>
            </w:pPr>
            <w:r>
              <w:rPr>
                <w:rFonts w:cs="Times New Roman"/>
                <w:kern w:val="0"/>
                <w:sz w:val="20"/>
                <w:szCs w:val="20"/>
                <w:lang w:bidi="ar"/>
              </w:rPr>
              <w:t>Race and ethnicity, SVI</w:t>
            </w:r>
          </w:p>
        </w:tc>
        <w:tc>
          <w:tcPr>
            <w:tcW w:w="2346" w:type="dxa"/>
            <w:tcBorders>
              <w:top w:val="nil"/>
              <w:left w:val="nil"/>
              <w:bottom w:val="nil"/>
              <w:right w:val="nil"/>
            </w:tcBorders>
            <w:vAlign w:val="center"/>
          </w:tcPr>
          <w:p w14:paraId="357166A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5A7AF7B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distributions</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 xml:space="preserve">, </w:t>
            </w:r>
            <w:r>
              <w:rPr>
                <w:rStyle w:val="font11"/>
                <w:lang w:bidi="ar"/>
              </w:rPr>
              <w:t>opportunity cost threshold</w:t>
            </w:r>
          </w:p>
        </w:tc>
        <w:tc>
          <w:tcPr>
            <w:tcW w:w="1957" w:type="dxa"/>
            <w:tcBorders>
              <w:top w:val="nil"/>
              <w:left w:val="nil"/>
              <w:bottom w:val="nil"/>
              <w:right w:val="nil"/>
            </w:tcBorders>
            <w:vAlign w:val="center"/>
          </w:tcPr>
          <w:p w14:paraId="3A7D2CE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nil"/>
              <w:right w:val="nil"/>
            </w:tcBorders>
            <w:vAlign w:val="center"/>
          </w:tcPr>
          <w:p w14:paraId="6F304719"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hypothetical disease-modifying treatment was cost-effective (ICER: $48,677/QALY, below $150,000/QALY threshold)</w:t>
            </w:r>
          </w:p>
        </w:tc>
        <w:tc>
          <w:tcPr>
            <w:tcW w:w="3401" w:type="dxa"/>
            <w:tcBorders>
              <w:top w:val="nil"/>
              <w:left w:val="nil"/>
              <w:bottom w:val="nil"/>
              <w:right w:val="nil"/>
            </w:tcBorders>
            <w:vAlign w:val="center"/>
          </w:tcPr>
          <w:p w14:paraId="2A24783A"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Treatment was win-win (Quadrant I), improving population health (28,197 QALYs gained) and reducing health inequality by 0.009% (Atkinson index reduction)</w:t>
            </w:r>
          </w:p>
        </w:tc>
      </w:tr>
      <w:tr w:rsidR="00376D25" w14:paraId="1B3024A4" w14:textId="77777777">
        <w:trPr>
          <w:trHeight w:val="525"/>
        </w:trPr>
        <w:tc>
          <w:tcPr>
            <w:tcW w:w="569" w:type="dxa"/>
            <w:tcBorders>
              <w:top w:val="nil"/>
              <w:left w:val="nil"/>
              <w:bottom w:val="nil"/>
              <w:right w:val="nil"/>
            </w:tcBorders>
            <w:noWrap/>
            <w:vAlign w:val="center"/>
          </w:tcPr>
          <w:p w14:paraId="2FD0154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w:t>
            </w:r>
          </w:p>
        </w:tc>
        <w:tc>
          <w:tcPr>
            <w:tcW w:w="1767" w:type="dxa"/>
            <w:tcBorders>
              <w:top w:val="nil"/>
              <w:left w:val="nil"/>
              <w:bottom w:val="nil"/>
              <w:right w:val="nil"/>
            </w:tcBorders>
            <w:noWrap/>
            <w:vAlign w:val="center"/>
          </w:tcPr>
          <w:p w14:paraId="5CCD49F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Kowal, et al.</w:t>
            </w:r>
          </w:p>
        </w:tc>
        <w:tc>
          <w:tcPr>
            <w:tcW w:w="810" w:type="dxa"/>
            <w:tcBorders>
              <w:top w:val="nil"/>
              <w:left w:val="nil"/>
              <w:bottom w:val="nil"/>
              <w:right w:val="nil"/>
            </w:tcBorders>
            <w:noWrap/>
            <w:vAlign w:val="center"/>
          </w:tcPr>
          <w:p w14:paraId="4A9A73C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225848E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2FF079F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 SVI</w:t>
            </w:r>
          </w:p>
        </w:tc>
        <w:tc>
          <w:tcPr>
            <w:tcW w:w="2346" w:type="dxa"/>
            <w:tcBorders>
              <w:top w:val="nil"/>
              <w:left w:val="nil"/>
              <w:bottom w:val="nil"/>
              <w:right w:val="nil"/>
            </w:tcBorders>
            <w:vAlign w:val="center"/>
          </w:tcPr>
          <w:p w14:paraId="3783C23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54BF58E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rPr>
              <w:t>O</w:t>
            </w:r>
            <w:r>
              <w:rPr>
                <w:rStyle w:val="font11"/>
                <w:lang w:bidi="ar"/>
              </w:rPr>
              <w:t>pportunity cost threshold</w:t>
            </w:r>
          </w:p>
        </w:tc>
        <w:tc>
          <w:tcPr>
            <w:tcW w:w="1957" w:type="dxa"/>
            <w:tcBorders>
              <w:top w:val="nil"/>
              <w:left w:val="nil"/>
              <w:bottom w:val="nil"/>
              <w:right w:val="nil"/>
            </w:tcBorders>
            <w:vAlign w:val="center"/>
          </w:tcPr>
          <w:p w14:paraId="4BC27F5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Decision Tree-Markov models</w:t>
            </w:r>
          </w:p>
        </w:tc>
        <w:tc>
          <w:tcPr>
            <w:tcW w:w="3464" w:type="dxa"/>
            <w:tcBorders>
              <w:top w:val="nil"/>
              <w:left w:val="nil"/>
              <w:bottom w:val="nil"/>
              <w:right w:val="nil"/>
            </w:tcBorders>
            <w:vAlign w:val="center"/>
          </w:tcPr>
          <w:p w14:paraId="7F9C1C3F"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Tocilizumab was cost-effective (ICER: $48,677/QALY, below $150,000/QALY threshold)</w:t>
            </w:r>
          </w:p>
        </w:tc>
        <w:tc>
          <w:tcPr>
            <w:tcW w:w="3401" w:type="dxa"/>
            <w:tcBorders>
              <w:top w:val="nil"/>
              <w:left w:val="nil"/>
              <w:bottom w:val="nil"/>
              <w:right w:val="nil"/>
            </w:tcBorders>
            <w:vAlign w:val="center"/>
          </w:tcPr>
          <w:p w14:paraId="22F48F7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Treatment was win-win (Quadrant I), improving population health (53,252 QALYs gained) and reducing health inequality by 0.003% (Atkinson index reduction)</w:t>
            </w:r>
          </w:p>
        </w:tc>
      </w:tr>
      <w:tr w:rsidR="00376D25" w14:paraId="1B1438D9" w14:textId="77777777">
        <w:trPr>
          <w:trHeight w:val="525"/>
        </w:trPr>
        <w:tc>
          <w:tcPr>
            <w:tcW w:w="569" w:type="dxa"/>
            <w:tcBorders>
              <w:top w:val="nil"/>
              <w:left w:val="nil"/>
              <w:bottom w:val="nil"/>
              <w:right w:val="nil"/>
            </w:tcBorders>
            <w:noWrap/>
            <w:vAlign w:val="center"/>
          </w:tcPr>
          <w:p w14:paraId="20FA76B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21</w:t>
            </w:r>
          </w:p>
        </w:tc>
        <w:tc>
          <w:tcPr>
            <w:tcW w:w="1767" w:type="dxa"/>
            <w:tcBorders>
              <w:top w:val="nil"/>
              <w:left w:val="nil"/>
              <w:bottom w:val="nil"/>
              <w:right w:val="nil"/>
            </w:tcBorders>
            <w:noWrap/>
            <w:vAlign w:val="center"/>
          </w:tcPr>
          <w:p w14:paraId="43A8AA0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Biundo, et al.</w:t>
            </w:r>
          </w:p>
        </w:tc>
        <w:tc>
          <w:tcPr>
            <w:tcW w:w="810" w:type="dxa"/>
            <w:tcBorders>
              <w:top w:val="nil"/>
              <w:left w:val="nil"/>
              <w:bottom w:val="nil"/>
              <w:right w:val="nil"/>
            </w:tcBorders>
            <w:noWrap/>
            <w:vAlign w:val="center"/>
          </w:tcPr>
          <w:p w14:paraId="3890028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2024</w:t>
            </w:r>
          </w:p>
        </w:tc>
        <w:tc>
          <w:tcPr>
            <w:tcW w:w="1548" w:type="dxa"/>
            <w:tcBorders>
              <w:top w:val="nil"/>
              <w:left w:val="nil"/>
              <w:bottom w:val="nil"/>
              <w:right w:val="nil"/>
            </w:tcBorders>
            <w:noWrap/>
            <w:vAlign w:val="center"/>
          </w:tcPr>
          <w:p w14:paraId="07BD8DB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0DF1B64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IMD</w:t>
            </w:r>
          </w:p>
        </w:tc>
        <w:tc>
          <w:tcPr>
            <w:tcW w:w="2346" w:type="dxa"/>
            <w:tcBorders>
              <w:top w:val="nil"/>
              <w:left w:val="nil"/>
              <w:bottom w:val="nil"/>
              <w:right w:val="nil"/>
            </w:tcBorders>
            <w:vAlign w:val="center"/>
          </w:tcPr>
          <w:p w14:paraId="0CEAF97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Combe index</w:t>
            </w:r>
          </w:p>
        </w:tc>
        <w:tc>
          <w:tcPr>
            <w:tcW w:w="3470" w:type="dxa"/>
            <w:tcBorders>
              <w:top w:val="nil"/>
              <w:left w:val="nil"/>
              <w:bottom w:val="nil"/>
              <w:right w:val="nil"/>
            </w:tcBorders>
            <w:vAlign w:val="center"/>
          </w:tcPr>
          <w:p w14:paraId="2D70459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hospitalization costs, length of hospital stay</w:t>
            </w:r>
            <w:r>
              <w:rPr>
                <w:rStyle w:val="font31"/>
                <w:rFonts w:ascii="Times New Roman" w:hAnsi="Times New Roman" w:cs="Times New Roman" w:hint="default"/>
                <w:lang w:bidi="ar"/>
              </w:rPr>
              <w:t xml:space="preserve">, </w:t>
            </w:r>
            <w:r>
              <w:rPr>
                <w:rStyle w:val="font11"/>
                <w:lang w:bidi="ar"/>
              </w:rPr>
              <w:t>inequality aversion parameters</w:t>
            </w:r>
          </w:p>
        </w:tc>
        <w:tc>
          <w:tcPr>
            <w:tcW w:w="1957" w:type="dxa"/>
            <w:tcBorders>
              <w:top w:val="nil"/>
              <w:left w:val="nil"/>
              <w:bottom w:val="nil"/>
              <w:right w:val="nil"/>
            </w:tcBorders>
            <w:vAlign w:val="center"/>
          </w:tcPr>
          <w:p w14:paraId="472B382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Micro-simulation models</w:t>
            </w:r>
          </w:p>
        </w:tc>
        <w:tc>
          <w:tcPr>
            <w:tcW w:w="3464" w:type="dxa"/>
            <w:tcBorders>
              <w:top w:val="nil"/>
              <w:left w:val="nil"/>
              <w:bottom w:val="nil"/>
              <w:right w:val="nil"/>
            </w:tcBorders>
            <w:vAlign w:val="center"/>
          </w:tcPr>
          <w:p w14:paraId="601713A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The rotavirus vaccination </w:t>
            </w:r>
            <w:proofErr w:type="spellStart"/>
            <w:r>
              <w:rPr>
                <w:rFonts w:cs="Times New Roman" w:hint="eastAsia"/>
                <w:color w:val="000000"/>
                <w:kern w:val="0"/>
                <w:sz w:val="20"/>
                <w:szCs w:val="20"/>
                <w:lang w:bidi="ar"/>
              </w:rPr>
              <w:t>programme</w:t>
            </w:r>
            <w:proofErr w:type="spellEnd"/>
            <w:r>
              <w:rPr>
                <w:rFonts w:cs="Times New Roman" w:hint="eastAsia"/>
                <w:color w:val="000000"/>
                <w:kern w:val="0"/>
                <w:sz w:val="20"/>
                <w:szCs w:val="20"/>
                <w:lang w:bidi="ar"/>
              </w:rPr>
              <w:t xml:space="preserve"> was cost-effective (baseline ICER: £23,337/QALY, below £20,000</w:t>
            </w:r>
            <w:r>
              <w:rPr>
                <w:rFonts w:cs="Times New Roman" w:hint="eastAsia"/>
                <w:color w:val="000000"/>
                <w:kern w:val="0"/>
                <w:sz w:val="20"/>
                <w:szCs w:val="20"/>
                <w:lang w:bidi="ar"/>
              </w:rPr>
              <w:t>–</w:t>
            </w:r>
            <w:r>
              <w:rPr>
                <w:rFonts w:cs="Times New Roman" w:hint="eastAsia"/>
                <w:color w:val="000000"/>
                <w:kern w:val="0"/>
                <w:sz w:val="20"/>
                <w:szCs w:val="20"/>
                <w:lang w:bidi="ar"/>
              </w:rPr>
              <w:t>£30,000 threshold).</w:t>
            </w:r>
          </w:p>
        </w:tc>
        <w:tc>
          <w:tcPr>
            <w:tcW w:w="3401" w:type="dxa"/>
            <w:tcBorders>
              <w:top w:val="nil"/>
              <w:left w:val="nil"/>
              <w:bottom w:val="nil"/>
              <w:right w:val="nil"/>
            </w:tcBorders>
            <w:vAlign w:val="center"/>
          </w:tcPr>
          <w:p w14:paraId="7058D5F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With inequality aversion parameters, the intervention was win-win (Quadrant I), with 78% of prevented cases among the three most deprived groups and ICER reduced by 22</w:t>
            </w:r>
            <w:r>
              <w:rPr>
                <w:rFonts w:cs="Times New Roman" w:hint="eastAsia"/>
                <w:color w:val="000000"/>
                <w:kern w:val="0"/>
                <w:sz w:val="20"/>
                <w:szCs w:val="20"/>
                <w:lang w:bidi="ar"/>
              </w:rPr>
              <w:t>–</w:t>
            </w:r>
            <w:r>
              <w:rPr>
                <w:rFonts w:cs="Times New Roman" w:hint="eastAsia"/>
                <w:color w:val="000000"/>
                <w:kern w:val="0"/>
                <w:sz w:val="20"/>
                <w:szCs w:val="20"/>
                <w:lang w:bidi="ar"/>
              </w:rPr>
              <w:t>56% after equity weighting</w:t>
            </w:r>
          </w:p>
        </w:tc>
      </w:tr>
      <w:tr w:rsidR="00376D25" w14:paraId="3ABD48D8" w14:textId="77777777">
        <w:trPr>
          <w:trHeight w:val="270"/>
        </w:trPr>
        <w:tc>
          <w:tcPr>
            <w:tcW w:w="569" w:type="dxa"/>
            <w:tcBorders>
              <w:top w:val="nil"/>
              <w:left w:val="nil"/>
              <w:bottom w:val="nil"/>
              <w:right w:val="nil"/>
            </w:tcBorders>
            <w:noWrap/>
            <w:vAlign w:val="center"/>
          </w:tcPr>
          <w:p w14:paraId="71D59C9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22</w:t>
            </w:r>
          </w:p>
        </w:tc>
        <w:tc>
          <w:tcPr>
            <w:tcW w:w="1767" w:type="dxa"/>
            <w:tcBorders>
              <w:top w:val="nil"/>
              <w:left w:val="nil"/>
              <w:bottom w:val="nil"/>
              <w:right w:val="nil"/>
            </w:tcBorders>
            <w:noWrap/>
            <w:vAlign w:val="center"/>
          </w:tcPr>
          <w:p w14:paraId="2AE5632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Majda, et al.</w:t>
            </w:r>
          </w:p>
        </w:tc>
        <w:tc>
          <w:tcPr>
            <w:tcW w:w="810" w:type="dxa"/>
            <w:tcBorders>
              <w:top w:val="nil"/>
              <w:left w:val="nil"/>
              <w:bottom w:val="nil"/>
              <w:right w:val="nil"/>
            </w:tcBorders>
            <w:noWrap/>
            <w:vAlign w:val="center"/>
          </w:tcPr>
          <w:p w14:paraId="3D1A041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2A1CE62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31B5B47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 SVI</w:t>
            </w:r>
          </w:p>
        </w:tc>
        <w:tc>
          <w:tcPr>
            <w:tcW w:w="2346" w:type="dxa"/>
            <w:tcBorders>
              <w:top w:val="nil"/>
              <w:left w:val="nil"/>
              <w:bottom w:val="nil"/>
              <w:right w:val="nil"/>
            </w:tcBorders>
            <w:noWrap/>
            <w:vAlign w:val="center"/>
          </w:tcPr>
          <w:p w14:paraId="22DA0F3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2286180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threshold</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 xml:space="preserve">, </w:t>
            </w:r>
            <w:r>
              <w:rPr>
                <w:rStyle w:val="font11"/>
                <w:lang w:bidi="ar"/>
              </w:rPr>
              <w:t>treatment rate scenario</w:t>
            </w:r>
          </w:p>
        </w:tc>
        <w:tc>
          <w:tcPr>
            <w:tcW w:w="1957" w:type="dxa"/>
            <w:tcBorders>
              <w:top w:val="nil"/>
              <w:left w:val="nil"/>
              <w:bottom w:val="nil"/>
              <w:right w:val="nil"/>
            </w:tcBorders>
            <w:vAlign w:val="center"/>
          </w:tcPr>
          <w:p w14:paraId="0D54B21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Decision Tree-Markov models</w:t>
            </w:r>
          </w:p>
        </w:tc>
        <w:tc>
          <w:tcPr>
            <w:tcW w:w="3464" w:type="dxa"/>
            <w:tcBorders>
              <w:top w:val="nil"/>
              <w:left w:val="nil"/>
              <w:bottom w:val="nil"/>
              <w:right w:val="nil"/>
            </w:tcBorders>
            <w:vAlign w:val="center"/>
          </w:tcPr>
          <w:p w14:paraId="0540E54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Alteplase was dominant compared with standard of care (cost-saving with QALY gains; ICER not applicable as it was dominant)</w:t>
            </w:r>
          </w:p>
        </w:tc>
        <w:tc>
          <w:tcPr>
            <w:tcW w:w="3401" w:type="dxa"/>
            <w:tcBorders>
              <w:top w:val="nil"/>
              <w:left w:val="nil"/>
              <w:bottom w:val="nil"/>
              <w:right w:val="nil"/>
            </w:tcBorders>
            <w:vAlign w:val="center"/>
          </w:tcPr>
          <w:p w14:paraId="25A80B11"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Alteplase was win-win (Quadrant I), improving population health (45,606 QALYs gained) and reducing health inequality by 0.0001% annually</w:t>
            </w:r>
          </w:p>
        </w:tc>
      </w:tr>
      <w:tr w:rsidR="00376D25" w14:paraId="2469C961" w14:textId="77777777">
        <w:trPr>
          <w:trHeight w:val="270"/>
        </w:trPr>
        <w:tc>
          <w:tcPr>
            <w:tcW w:w="569" w:type="dxa"/>
            <w:tcBorders>
              <w:top w:val="nil"/>
              <w:left w:val="nil"/>
              <w:bottom w:val="nil"/>
              <w:right w:val="nil"/>
            </w:tcBorders>
            <w:noWrap/>
            <w:vAlign w:val="center"/>
          </w:tcPr>
          <w:p w14:paraId="0AA04CC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lastRenderedPageBreak/>
              <w:t>23</w:t>
            </w:r>
          </w:p>
        </w:tc>
        <w:tc>
          <w:tcPr>
            <w:tcW w:w="1767" w:type="dxa"/>
            <w:tcBorders>
              <w:top w:val="nil"/>
              <w:left w:val="nil"/>
              <w:bottom w:val="nil"/>
              <w:right w:val="nil"/>
            </w:tcBorders>
            <w:noWrap/>
            <w:vAlign w:val="center"/>
          </w:tcPr>
          <w:p w14:paraId="42AD4A2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Walbaum, et al.</w:t>
            </w:r>
          </w:p>
        </w:tc>
        <w:tc>
          <w:tcPr>
            <w:tcW w:w="810" w:type="dxa"/>
            <w:tcBorders>
              <w:top w:val="nil"/>
              <w:left w:val="nil"/>
              <w:bottom w:val="nil"/>
              <w:right w:val="nil"/>
            </w:tcBorders>
            <w:noWrap/>
            <w:vAlign w:val="center"/>
          </w:tcPr>
          <w:p w14:paraId="0D01887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0EDC1039"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2B6724E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SEP/SEP</w:t>
            </w:r>
          </w:p>
        </w:tc>
        <w:tc>
          <w:tcPr>
            <w:tcW w:w="2346" w:type="dxa"/>
            <w:tcBorders>
              <w:top w:val="nil"/>
              <w:left w:val="nil"/>
              <w:bottom w:val="nil"/>
              <w:right w:val="nil"/>
            </w:tcBorders>
            <w:vAlign w:val="center"/>
          </w:tcPr>
          <w:p w14:paraId="2EFEEB9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noWrap/>
            <w:vAlign w:val="center"/>
          </w:tcPr>
          <w:p w14:paraId="049FB7A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lang w:bidi="ar"/>
              </w:rPr>
              <w:t>disease incidence/prevalence distributions</w:t>
            </w:r>
            <w:r>
              <w:rPr>
                <w:rStyle w:val="font31"/>
                <w:rFonts w:ascii="Times New Roman" w:hAnsi="Times New Roman" w:cs="Times New Roman" w:hint="default"/>
                <w:lang w:bidi="ar"/>
              </w:rPr>
              <w:t xml:space="preserve">, </w:t>
            </w:r>
            <w:r>
              <w:rPr>
                <w:rFonts w:cs="Times New Roman"/>
                <w:color w:val="000000"/>
                <w:kern w:val="0"/>
                <w:sz w:val="20"/>
                <w:szCs w:val="20"/>
                <w:lang w:bidi="ar"/>
              </w:rPr>
              <w:t>opportunity cost threshold</w:t>
            </w:r>
          </w:p>
        </w:tc>
        <w:tc>
          <w:tcPr>
            <w:tcW w:w="1957" w:type="dxa"/>
            <w:tcBorders>
              <w:top w:val="nil"/>
              <w:left w:val="nil"/>
              <w:bottom w:val="nil"/>
              <w:right w:val="nil"/>
            </w:tcBorders>
            <w:vAlign w:val="center"/>
          </w:tcPr>
          <w:p w14:paraId="7E5527F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Decision Tree-Markov models</w:t>
            </w:r>
          </w:p>
        </w:tc>
        <w:tc>
          <w:tcPr>
            <w:tcW w:w="3464" w:type="dxa"/>
            <w:tcBorders>
              <w:top w:val="nil"/>
              <w:left w:val="nil"/>
              <w:bottom w:val="nil"/>
              <w:right w:val="nil"/>
            </w:tcBorders>
            <w:vAlign w:val="center"/>
          </w:tcPr>
          <w:p w14:paraId="23EAB4E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biologics were cost-effective (ICERs below 1</w:t>
            </w:r>
            <w:r>
              <w:rPr>
                <w:rFonts w:cs="Times New Roman" w:hint="eastAsia"/>
                <w:color w:val="000000"/>
                <w:kern w:val="0"/>
                <w:sz w:val="20"/>
                <w:szCs w:val="20"/>
                <w:lang w:bidi="ar"/>
              </w:rPr>
              <w:t>–</w:t>
            </w:r>
            <w:r>
              <w:rPr>
                <w:rFonts w:cs="Times New Roman" w:hint="eastAsia"/>
                <w:color w:val="000000"/>
                <w:kern w:val="0"/>
                <w:sz w:val="20"/>
                <w:szCs w:val="20"/>
                <w:lang w:bidi="ar"/>
              </w:rPr>
              <w:t xml:space="preserve">3 GDP per QALY thresholds, with </w:t>
            </w:r>
            <w:proofErr w:type="spellStart"/>
            <w:r>
              <w:rPr>
                <w:rFonts w:cs="Times New Roman" w:hint="eastAsia"/>
                <w:color w:val="000000"/>
                <w:kern w:val="0"/>
                <w:sz w:val="20"/>
                <w:szCs w:val="20"/>
                <w:lang w:bidi="ar"/>
              </w:rPr>
              <w:t>Secukinumab</w:t>
            </w:r>
            <w:proofErr w:type="spellEnd"/>
            <w:r>
              <w:rPr>
                <w:rFonts w:cs="Times New Roman" w:hint="eastAsia"/>
                <w:color w:val="000000"/>
                <w:kern w:val="0"/>
                <w:sz w:val="20"/>
                <w:szCs w:val="20"/>
                <w:lang w:bidi="ar"/>
              </w:rPr>
              <w:t xml:space="preserve"> having the most </w:t>
            </w:r>
            <w:proofErr w:type="spellStart"/>
            <w:r>
              <w:rPr>
                <w:rFonts w:cs="Times New Roman" w:hint="eastAsia"/>
                <w:color w:val="000000"/>
                <w:kern w:val="0"/>
                <w:sz w:val="20"/>
                <w:szCs w:val="20"/>
                <w:lang w:bidi="ar"/>
              </w:rPr>
              <w:t>favourable</w:t>
            </w:r>
            <w:proofErr w:type="spellEnd"/>
            <w:r>
              <w:rPr>
                <w:rFonts w:cs="Times New Roman" w:hint="eastAsia"/>
                <w:color w:val="000000"/>
                <w:kern w:val="0"/>
                <w:sz w:val="20"/>
                <w:szCs w:val="20"/>
                <w:lang w:bidi="ar"/>
              </w:rPr>
              <w:t xml:space="preserve"> ICER)</w:t>
            </w:r>
          </w:p>
        </w:tc>
        <w:tc>
          <w:tcPr>
            <w:tcW w:w="3401" w:type="dxa"/>
            <w:tcBorders>
              <w:top w:val="nil"/>
              <w:left w:val="nil"/>
              <w:bottom w:val="nil"/>
              <w:right w:val="nil"/>
            </w:tcBorders>
            <w:vAlign w:val="center"/>
          </w:tcPr>
          <w:p w14:paraId="7E29CB50"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All biologics were win-win (Quadrant I), improving both health and equity, with </w:t>
            </w:r>
            <w:proofErr w:type="spellStart"/>
            <w:r>
              <w:rPr>
                <w:rFonts w:cs="Times New Roman" w:hint="eastAsia"/>
                <w:color w:val="000000"/>
                <w:kern w:val="0"/>
                <w:sz w:val="20"/>
                <w:szCs w:val="20"/>
                <w:lang w:bidi="ar"/>
              </w:rPr>
              <w:t>Secukinumab</w:t>
            </w:r>
            <w:proofErr w:type="spellEnd"/>
            <w:r>
              <w:rPr>
                <w:rFonts w:cs="Times New Roman" w:hint="eastAsia"/>
                <w:color w:val="000000"/>
                <w:kern w:val="0"/>
                <w:sz w:val="20"/>
                <w:szCs w:val="20"/>
                <w:lang w:bidi="ar"/>
              </w:rPr>
              <w:t xml:space="preserve"> showing the greatest positive impact on equity</w:t>
            </w:r>
          </w:p>
        </w:tc>
      </w:tr>
      <w:tr w:rsidR="00376D25" w14:paraId="1823F7FE" w14:textId="77777777">
        <w:trPr>
          <w:trHeight w:val="525"/>
        </w:trPr>
        <w:tc>
          <w:tcPr>
            <w:tcW w:w="569" w:type="dxa"/>
            <w:tcBorders>
              <w:top w:val="nil"/>
              <w:left w:val="nil"/>
              <w:bottom w:val="nil"/>
              <w:right w:val="nil"/>
            </w:tcBorders>
            <w:noWrap/>
            <w:vAlign w:val="center"/>
          </w:tcPr>
          <w:p w14:paraId="095F57E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24</w:t>
            </w:r>
          </w:p>
        </w:tc>
        <w:tc>
          <w:tcPr>
            <w:tcW w:w="1767" w:type="dxa"/>
            <w:tcBorders>
              <w:top w:val="nil"/>
              <w:left w:val="nil"/>
              <w:bottom w:val="nil"/>
              <w:right w:val="nil"/>
            </w:tcBorders>
            <w:noWrap/>
            <w:vAlign w:val="center"/>
          </w:tcPr>
          <w:p w14:paraId="29BBB4E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Barry, et al.</w:t>
            </w:r>
          </w:p>
        </w:tc>
        <w:tc>
          <w:tcPr>
            <w:tcW w:w="810" w:type="dxa"/>
            <w:tcBorders>
              <w:top w:val="nil"/>
              <w:left w:val="nil"/>
              <w:bottom w:val="nil"/>
              <w:right w:val="nil"/>
            </w:tcBorders>
            <w:noWrap/>
            <w:vAlign w:val="center"/>
          </w:tcPr>
          <w:p w14:paraId="2116B03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7E72383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7EE29B5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HWQ, Level of education, race and ethnicity</w:t>
            </w:r>
          </w:p>
        </w:tc>
        <w:tc>
          <w:tcPr>
            <w:tcW w:w="2346" w:type="dxa"/>
            <w:tcBorders>
              <w:top w:val="nil"/>
              <w:left w:val="nil"/>
              <w:bottom w:val="nil"/>
              <w:right w:val="nil"/>
            </w:tcBorders>
            <w:vAlign w:val="center"/>
          </w:tcPr>
          <w:p w14:paraId="566D8BCE"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439930C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Willingness to pay</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 xml:space="preserve">, </w:t>
            </w:r>
            <w:r>
              <w:rPr>
                <w:rStyle w:val="font11"/>
                <w:lang w:bidi="ar"/>
              </w:rPr>
              <w:t>household income, education, race/ethnicity</w:t>
            </w:r>
          </w:p>
        </w:tc>
        <w:tc>
          <w:tcPr>
            <w:tcW w:w="1957" w:type="dxa"/>
            <w:tcBorders>
              <w:top w:val="nil"/>
              <w:left w:val="nil"/>
              <w:bottom w:val="nil"/>
              <w:right w:val="nil"/>
            </w:tcBorders>
            <w:noWrap/>
            <w:vAlign w:val="center"/>
          </w:tcPr>
          <w:p w14:paraId="66F1456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Monte Carlo Markov-chain micro-simulation models</w:t>
            </w:r>
          </w:p>
        </w:tc>
        <w:tc>
          <w:tcPr>
            <w:tcW w:w="3464" w:type="dxa"/>
            <w:tcBorders>
              <w:top w:val="nil"/>
              <w:left w:val="nil"/>
              <w:bottom w:val="nil"/>
              <w:right w:val="nil"/>
            </w:tcBorders>
            <w:noWrap/>
            <w:vAlign w:val="center"/>
          </w:tcPr>
          <w:p w14:paraId="5100EEC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Medicaid expansion was cost-effective (positive incremental net health benefit of 0.0031 QALYs per person at $150,000/QALY threshold, with 53% probability of being cost-effective)</w:t>
            </w:r>
          </w:p>
        </w:tc>
        <w:tc>
          <w:tcPr>
            <w:tcW w:w="3401" w:type="dxa"/>
            <w:tcBorders>
              <w:top w:val="nil"/>
              <w:left w:val="nil"/>
              <w:bottom w:val="nil"/>
              <w:right w:val="nil"/>
            </w:tcBorders>
            <w:noWrap/>
            <w:vAlign w:val="center"/>
          </w:tcPr>
          <w:p w14:paraId="2BD4A753"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Medicaid expansion was win-win (Quadrant I), improving health and reducing inequality across income and education groups, with 26</w:t>
            </w:r>
            <w:r>
              <w:rPr>
                <w:rFonts w:cs="Times New Roman" w:hint="eastAsia"/>
                <w:color w:val="000000"/>
                <w:kern w:val="0"/>
                <w:sz w:val="20"/>
                <w:szCs w:val="20"/>
                <w:lang w:bidi="ar"/>
              </w:rPr>
              <w:t>–</w:t>
            </w:r>
            <w:r>
              <w:rPr>
                <w:rFonts w:cs="Times New Roman" w:hint="eastAsia"/>
                <w:color w:val="000000"/>
                <w:kern w:val="0"/>
                <w:sz w:val="20"/>
                <w:szCs w:val="20"/>
                <w:lang w:bidi="ar"/>
              </w:rPr>
              <w:t>29% probability of being both cost-effective and equity-enhancing</w:t>
            </w:r>
          </w:p>
        </w:tc>
      </w:tr>
      <w:tr w:rsidR="00376D25" w14:paraId="7E67C21E" w14:textId="77777777">
        <w:trPr>
          <w:trHeight w:val="270"/>
        </w:trPr>
        <w:tc>
          <w:tcPr>
            <w:tcW w:w="569" w:type="dxa"/>
            <w:tcBorders>
              <w:top w:val="nil"/>
              <w:left w:val="nil"/>
              <w:bottom w:val="nil"/>
              <w:right w:val="nil"/>
            </w:tcBorders>
            <w:noWrap/>
            <w:vAlign w:val="center"/>
          </w:tcPr>
          <w:p w14:paraId="36ED80C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25</w:t>
            </w:r>
          </w:p>
        </w:tc>
        <w:tc>
          <w:tcPr>
            <w:tcW w:w="1767" w:type="dxa"/>
            <w:tcBorders>
              <w:top w:val="nil"/>
              <w:left w:val="nil"/>
              <w:bottom w:val="nil"/>
              <w:right w:val="nil"/>
            </w:tcBorders>
            <w:noWrap/>
            <w:vAlign w:val="center"/>
          </w:tcPr>
          <w:p w14:paraId="5071F9EE" w14:textId="77777777" w:rsidR="00376D25" w:rsidRDefault="00000000">
            <w:pPr>
              <w:widowControl/>
              <w:spacing w:line="240" w:lineRule="auto"/>
              <w:ind w:firstLineChars="0" w:firstLine="0"/>
              <w:jc w:val="center"/>
              <w:textAlignment w:val="center"/>
              <w:rPr>
                <w:rFonts w:cs="Times New Roman"/>
                <w:color w:val="000000"/>
                <w:sz w:val="20"/>
                <w:szCs w:val="20"/>
              </w:rPr>
            </w:pPr>
            <w:proofErr w:type="spellStart"/>
            <w:r>
              <w:rPr>
                <w:rFonts w:cs="Times New Roman"/>
                <w:color w:val="000000"/>
                <w:kern w:val="0"/>
                <w:sz w:val="20"/>
                <w:szCs w:val="20"/>
                <w:lang w:bidi="ar"/>
              </w:rPr>
              <w:t>Tschampl</w:t>
            </w:r>
            <w:proofErr w:type="spellEnd"/>
            <w:r>
              <w:rPr>
                <w:rFonts w:cs="Times New Roman"/>
                <w:color w:val="000000"/>
                <w:kern w:val="0"/>
                <w:sz w:val="20"/>
                <w:szCs w:val="20"/>
                <w:lang w:bidi="ar"/>
              </w:rPr>
              <w:t>, et al.</w:t>
            </w:r>
          </w:p>
        </w:tc>
        <w:tc>
          <w:tcPr>
            <w:tcW w:w="810" w:type="dxa"/>
            <w:tcBorders>
              <w:top w:val="nil"/>
              <w:left w:val="nil"/>
              <w:bottom w:val="nil"/>
              <w:right w:val="nil"/>
            </w:tcBorders>
            <w:noWrap/>
            <w:vAlign w:val="center"/>
          </w:tcPr>
          <w:p w14:paraId="3F8DFCA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45232AD3"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712EC06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 gender</w:t>
            </w:r>
          </w:p>
        </w:tc>
        <w:tc>
          <w:tcPr>
            <w:tcW w:w="2346" w:type="dxa"/>
            <w:tcBorders>
              <w:top w:val="nil"/>
              <w:left w:val="nil"/>
              <w:bottom w:val="nil"/>
              <w:right w:val="nil"/>
            </w:tcBorders>
            <w:vAlign w:val="center"/>
          </w:tcPr>
          <w:p w14:paraId="29985B3B"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70" w:type="dxa"/>
            <w:tcBorders>
              <w:top w:val="nil"/>
              <w:left w:val="nil"/>
              <w:bottom w:val="nil"/>
              <w:right w:val="nil"/>
            </w:tcBorders>
            <w:noWrap/>
            <w:vAlign w:val="center"/>
          </w:tcPr>
          <w:p w14:paraId="54F0AD3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Intervention efficacy rate, average duration of BED</w:t>
            </w:r>
          </w:p>
        </w:tc>
        <w:tc>
          <w:tcPr>
            <w:tcW w:w="1957" w:type="dxa"/>
            <w:tcBorders>
              <w:top w:val="nil"/>
              <w:left w:val="nil"/>
              <w:bottom w:val="nil"/>
              <w:right w:val="nil"/>
            </w:tcBorders>
            <w:noWrap/>
            <w:vAlign w:val="center"/>
          </w:tcPr>
          <w:p w14:paraId="3032EFF4"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Monte Carlo Markov-chain micro-simulation models</w:t>
            </w:r>
          </w:p>
        </w:tc>
        <w:tc>
          <w:tcPr>
            <w:tcW w:w="3464" w:type="dxa"/>
            <w:tcBorders>
              <w:top w:val="nil"/>
              <w:left w:val="nil"/>
              <w:bottom w:val="nil"/>
              <w:right w:val="nil"/>
            </w:tcBorders>
            <w:noWrap/>
            <w:vAlign w:val="center"/>
          </w:tcPr>
          <w:p w14:paraId="2D2C219C"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Age-restriction policy was dominant (cost-saving with QALY gains; ICER not applicable as it was cost-saving)</w:t>
            </w:r>
          </w:p>
        </w:tc>
        <w:tc>
          <w:tcPr>
            <w:tcW w:w="3401" w:type="dxa"/>
            <w:tcBorders>
              <w:top w:val="nil"/>
              <w:left w:val="nil"/>
              <w:bottom w:val="nil"/>
              <w:right w:val="nil"/>
            </w:tcBorders>
            <w:noWrap/>
            <w:vAlign w:val="center"/>
          </w:tcPr>
          <w:p w14:paraId="11121978"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policy was win-win (Quadrant I), improving health and reducing racial/ethnic health inequalities, with Latine residents experiencing the highest per capita health benefits (0.044 QALYs), followed by Black (0.042 QALYs) and White (0.038 QALYs) residents</w:t>
            </w:r>
          </w:p>
        </w:tc>
      </w:tr>
      <w:tr w:rsidR="00376D25" w14:paraId="0DB54FE2" w14:textId="77777777">
        <w:trPr>
          <w:trHeight w:val="525"/>
        </w:trPr>
        <w:tc>
          <w:tcPr>
            <w:tcW w:w="569" w:type="dxa"/>
            <w:tcBorders>
              <w:top w:val="nil"/>
              <w:left w:val="nil"/>
              <w:bottom w:val="nil"/>
              <w:right w:val="nil"/>
            </w:tcBorders>
            <w:noWrap/>
            <w:vAlign w:val="center"/>
          </w:tcPr>
          <w:p w14:paraId="6D8EFB9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26</w:t>
            </w:r>
          </w:p>
        </w:tc>
        <w:tc>
          <w:tcPr>
            <w:tcW w:w="1767" w:type="dxa"/>
            <w:tcBorders>
              <w:top w:val="nil"/>
              <w:left w:val="nil"/>
              <w:bottom w:val="nil"/>
              <w:right w:val="nil"/>
            </w:tcBorders>
            <w:noWrap/>
            <w:vAlign w:val="center"/>
          </w:tcPr>
          <w:p w14:paraId="215607DA"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810" w:type="dxa"/>
            <w:tcBorders>
              <w:top w:val="nil"/>
              <w:left w:val="nil"/>
              <w:bottom w:val="nil"/>
              <w:right w:val="nil"/>
            </w:tcBorders>
            <w:noWrap/>
            <w:vAlign w:val="center"/>
          </w:tcPr>
          <w:p w14:paraId="7C77FAC0"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nil"/>
              <w:right w:val="nil"/>
            </w:tcBorders>
            <w:noWrap/>
            <w:vAlign w:val="center"/>
          </w:tcPr>
          <w:p w14:paraId="21DB9FA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nil"/>
              <w:right w:val="nil"/>
            </w:tcBorders>
            <w:noWrap/>
            <w:vAlign w:val="center"/>
          </w:tcPr>
          <w:p w14:paraId="01895025"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w:t>
            </w:r>
          </w:p>
        </w:tc>
        <w:tc>
          <w:tcPr>
            <w:tcW w:w="2346" w:type="dxa"/>
            <w:tcBorders>
              <w:top w:val="nil"/>
              <w:left w:val="nil"/>
              <w:bottom w:val="nil"/>
              <w:right w:val="nil"/>
            </w:tcBorders>
            <w:vAlign w:val="center"/>
          </w:tcPr>
          <w:p w14:paraId="0BD459E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p>
        </w:tc>
        <w:tc>
          <w:tcPr>
            <w:tcW w:w="3470" w:type="dxa"/>
            <w:tcBorders>
              <w:top w:val="nil"/>
              <w:left w:val="nil"/>
              <w:bottom w:val="nil"/>
              <w:right w:val="nil"/>
            </w:tcBorders>
            <w:vAlign w:val="center"/>
          </w:tcPr>
          <w:p w14:paraId="6C8AEC0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Inequality aversion parameters</w:t>
            </w:r>
            <w:r>
              <w:rPr>
                <w:rStyle w:val="font31"/>
                <w:rFonts w:ascii="Times New Roman" w:hAnsi="Times New Roman" w:cs="Times New Roman" w:hint="default"/>
                <w:lang w:bidi="ar"/>
              </w:rPr>
              <w:t xml:space="preserve">, </w:t>
            </w:r>
            <w:r>
              <w:rPr>
                <w:rStyle w:val="font11"/>
                <w:lang w:bidi="ar"/>
              </w:rPr>
              <w:t>opportunity cost threshold</w:t>
            </w:r>
            <w:r>
              <w:rPr>
                <w:rStyle w:val="font31"/>
                <w:rFonts w:ascii="Times New Roman" w:hAnsi="Times New Roman" w:cs="Times New Roman" w:hint="default"/>
                <w:lang w:bidi="ar"/>
              </w:rPr>
              <w:t xml:space="preserve">, </w:t>
            </w:r>
            <w:r>
              <w:rPr>
                <w:rStyle w:val="font11"/>
                <w:lang w:bidi="ar"/>
              </w:rPr>
              <w:t>race/ethnicity, survival differential adjustment</w:t>
            </w:r>
          </w:p>
        </w:tc>
        <w:tc>
          <w:tcPr>
            <w:tcW w:w="1957" w:type="dxa"/>
            <w:tcBorders>
              <w:top w:val="nil"/>
              <w:left w:val="nil"/>
              <w:bottom w:val="nil"/>
              <w:right w:val="nil"/>
            </w:tcBorders>
            <w:noWrap/>
            <w:vAlign w:val="center"/>
          </w:tcPr>
          <w:p w14:paraId="288DDBD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Individual Continuous-Time State Transition Model</w:t>
            </w:r>
          </w:p>
        </w:tc>
        <w:tc>
          <w:tcPr>
            <w:tcW w:w="3464" w:type="dxa"/>
            <w:tcBorders>
              <w:top w:val="nil"/>
              <w:left w:val="nil"/>
              <w:bottom w:val="nil"/>
              <w:right w:val="nil"/>
            </w:tcBorders>
            <w:noWrap/>
            <w:vAlign w:val="center"/>
          </w:tcPr>
          <w:p w14:paraId="6536A82E"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Darolutamide + ADT was cost-effective compared with ADT alone (ICER: $146,754/QALY, below $150,000/QALY threshold)</w:t>
            </w:r>
          </w:p>
        </w:tc>
        <w:tc>
          <w:tcPr>
            <w:tcW w:w="3401" w:type="dxa"/>
            <w:tcBorders>
              <w:top w:val="nil"/>
              <w:left w:val="nil"/>
              <w:bottom w:val="nil"/>
              <w:right w:val="nil"/>
            </w:tcBorders>
            <w:noWrap/>
            <w:vAlign w:val="center"/>
          </w:tcPr>
          <w:p w14:paraId="7CDEE2F2"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Darolutamide was win-win (Quadrant I), reducing inequality in QALYs among patients by 66% and having a </w:t>
            </w:r>
            <w:proofErr w:type="spellStart"/>
            <w:r>
              <w:rPr>
                <w:rFonts w:cs="Times New Roman" w:hint="eastAsia"/>
                <w:color w:val="000000"/>
                <w:kern w:val="0"/>
                <w:sz w:val="20"/>
                <w:szCs w:val="20"/>
                <w:lang w:bidi="ar"/>
              </w:rPr>
              <w:t>favourable</w:t>
            </w:r>
            <w:proofErr w:type="spellEnd"/>
            <w:r>
              <w:rPr>
                <w:rFonts w:cs="Times New Roman" w:hint="eastAsia"/>
                <w:color w:val="000000"/>
                <w:kern w:val="0"/>
                <w:sz w:val="20"/>
                <w:szCs w:val="20"/>
                <w:lang w:bidi="ar"/>
              </w:rPr>
              <w:t xml:space="preserve"> impact on general population health inequality</w:t>
            </w:r>
          </w:p>
        </w:tc>
      </w:tr>
      <w:tr w:rsidR="00376D25" w14:paraId="0578F357" w14:textId="77777777" w:rsidTr="005A592E">
        <w:trPr>
          <w:trHeight w:val="525"/>
        </w:trPr>
        <w:tc>
          <w:tcPr>
            <w:tcW w:w="569" w:type="dxa"/>
            <w:tcBorders>
              <w:top w:val="nil"/>
              <w:left w:val="nil"/>
              <w:right w:val="nil"/>
            </w:tcBorders>
            <w:noWrap/>
            <w:vAlign w:val="center"/>
          </w:tcPr>
          <w:p w14:paraId="7FC64F37"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27</w:t>
            </w:r>
          </w:p>
        </w:tc>
        <w:tc>
          <w:tcPr>
            <w:tcW w:w="1767" w:type="dxa"/>
            <w:tcBorders>
              <w:top w:val="nil"/>
              <w:left w:val="nil"/>
              <w:right w:val="nil"/>
            </w:tcBorders>
            <w:noWrap/>
            <w:vAlign w:val="center"/>
          </w:tcPr>
          <w:p w14:paraId="75D9E112"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Jansen, et al.</w:t>
            </w:r>
          </w:p>
        </w:tc>
        <w:tc>
          <w:tcPr>
            <w:tcW w:w="810" w:type="dxa"/>
            <w:tcBorders>
              <w:top w:val="nil"/>
              <w:left w:val="nil"/>
              <w:right w:val="nil"/>
            </w:tcBorders>
            <w:noWrap/>
            <w:vAlign w:val="center"/>
          </w:tcPr>
          <w:p w14:paraId="429C658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right w:val="nil"/>
            </w:tcBorders>
            <w:noWrap/>
            <w:vAlign w:val="center"/>
          </w:tcPr>
          <w:p w14:paraId="04F0AF5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right w:val="nil"/>
            </w:tcBorders>
            <w:noWrap/>
            <w:vAlign w:val="center"/>
          </w:tcPr>
          <w:p w14:paraId="20842DC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race and ethnicity</w:t>
            </w:r>
          </w:p>
        </w:tc>
        <w:tc>
          <w:tcPr>
            <w:tcW w:w="2346" w:type="dxa"/>
            <w:tcBorders>
              <w:top w:val="nil"/>
              <w:left w:val="nil"/>
              <w:right w:val="nil"/>
            </w:tcBorders>
            <w:vAlign w:val="center"/>
          </w:tcPr>
          <w:p w14:paraId="09DDA8A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Atkinson index</w:t>
            </w:r>
            <w:r>
              <w:rPr>
                <w:rStyle w:val="font31"/>
                <w:rFonts w:ascii="Times New Roman" w:hAnsi="Times New Roman" w:cs="Times New Roman" w:hint="default"/>
                <w:lang w:bidi="ar"/>
              </w:rPr>
              <w:t xml:space="preserve">, </w:t>
            </w:r>
            <w:r>
              <w:rPr>
                <w:rStyle w:val="font11"/>
                <w:lang w:bidi="ar"/>
              </w:rPr>
              <w:t>Combe index</w:t>
            </w:r>
            <w:r>
              <w:rPr>
                <w:rStyle w:val="font31"/>
                <w:rFonts w:ascii="Times New Roman" w:hAnsi="Times New Roman" w:cs="Times New Roman" w:hint="default"/>
                <w:lang w:bidi="ar"/>
              </w:rPr>
              <w:t xml:space="preserve">, </w:t>
            </w:r>
            <w:r>
              <w:rPr>
                <w:rStyle w:val="font11"/>
                <w:lang w:bidi="ar"/>
              </w:rPr>
              <w:t>Gini index</w:t>
            </w:r>
          </w:p>
        </w:tc>
        <w:tc>
          <w:tcPr>
            <w:tcW w:w="3470" w:type="dxa"/>
            <w:tcBorders>
              <w:top w:val="nil"/>
              <w:left w:val="nil"/>
              <w:right w:val="nil"/>
            </w:tcBorders>
            <w:vAlign w:val="center"/>
          </w:tcPr>
          <w:p w14:paraId="179AE0D6"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Opportunity cost threshold</w:t>
            </w:r>
            <w:r>
              <w:rPr>
                <w:rStyle w:val="font31"/>
                <w:rFonts w:ascii="Times New Roman" w:hAnsi="Times New Roman" w:cs="Times New Roman" w:hint="default"/>
                <w:lang w:bidi="ar"/>
              </w:rPr>
              <w:t xml:space="preserve">, </w:t>
            </w:r>
            <w:r>
              <w:rPr>
                <w:rStyle w:val="font11"/>
                <w:lang w:bidi="ar"/>
              </w:rPr>
              <w:t>inequality aversion parameters</w:t>
            </w:r>
            <w:r>
              <w:rPr>
                <w:rStyle w:val="font31"/>
                <w:rFonts w:ascii="Times New Roman" w:hAnsi="Times New Roman" w:cs="Times New Roman" w:hint="default"/>
                <w:lang w:bidi="ar"/>
              </w:rPr>
              <w:t xml:space="preserve">, </w:t>
            </w:r>
            <w:r>
              <w:rPr>
                <w:rStyle w:val="font11"/>
                <w:lang w:bidi="ar"/>
              </w:rPr>
              <w:t>performance adjustment for detection</w:t>
            </w:r>
          </w:p>
        </w:tc>
        <w:tc>
          <w:tcPr>
            <w:tcW w:w="1957" w:type="dxa"/>
            <w:tcBorders>
              <w:top w:val="nil"/>
              <w:left w:val="nil"/>
              <w:right w:val="nil"/>
            </w:tcBorders>
            <w:noWrap/>
            <w:vAlign w:val="center"/>
          </w:tcPr>
          <w:p w14:paraId="2BB03BF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Decision Tree-Partitioned Survival Model</w:t>
            </w:r>
          </w:p>
        </w:tc>
        <w:tc>
          <w:tcPr>
            <w:tcW w:w="3464" w:type="dxa"/>
            <w:tcBorders>
              <w:top w:val="nil"/>
              <w:left w:val="nil"/>
              <w:right w:val="nil"/>
            </w:tcBorders>
            <w:noWrap/>
            <w:vAlign w:val="center"/>
          </w:tcPr>
          <w:p w14:paraId="22FA7FB4"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Liquid biopsy-first strategy was cost-effective compared with tissue biopsy-only (incremental net health benefit of 91 QALYs per 100,000 general population at $150,000/QALY threshold)</w:t>
            </w:r>
          </w:p>
        </w:tc>
        <w:tc>
          <w:tcPr>
            <w:tcW w:w="3401" w:type="dxa"/>
            <w:tcBorders>
              <w:top w:val="nil"/>
              <w:left w:val="nil"/>
              <w:right w:val="nil"/>
            </w:tcBorders>
            <w:noWrap/>
            <w:vAlign w:val="center"/>
          </w:tcPr>
          <w:p w14:paraId="7F01DC9A"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Liquid biopsy-first was trade-off in the target patient population (Quadrant II), but was win-win in the general population (Quadrant I)</w:t>
            </w:r>
          </w:p>
        </w:tc>
      </w:tr>
      <w:tr w:rsidR="00376D25" w14:paraId="64D6CCD0" w14:textId="77777777" w:rsidTr="005A592E">
        <w:trPr>
          <w:trHeight w:val="270"/>
        </w:trPr>
        <w:tc>
          <w:tcPr>
            <w:tcW w:w="569" w:type="dxa"/>
            <w:tcBorders>
              <w:top w:val="nil"/>
              <w:left w:val="nil"/>
              <w:bottom w:val="single" w:sz="12" w:space="0" w:color="auto"/>
              <w:right w:val="nil"/>
            </w:tcBorders>
            <w:noWrap/>
            <w:vAlign w:val="center"/>
          </w:tcPr>
          <w:p w14:paraId="0C1BF99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28</w:t>
            </w:r>
          </w:p>
        </w:tc>
        <w:tc>
          <w:tcPr>
            <w:tcW w:w="1767" w:type="dxa"/>
            <w:tcBorders>
              <w:top w:val="nil"/>
              <w:left w:val="nil"/>
              <w:bottom w:val="single" w:sz="12" w:space="0" w:color="auto"/>
              <w:right w:val="nil"/>
            </w:tcBorders>
            <w:noWrap/>
            <w:vAlign w:val="center"/>
          </w:tcPr>
          <w:p w14:paraId="2842FD68"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Okafor, et al.</w:t>
            </w:r>
          </w:p>
        </w:tc>
        <w:tc>
          <w:tcPr>
            <w:tcW w:w="810" w:type="dxa"/>
            <w:tcBorders>
              <w:top w:val="nil"/>
              <w:left w:val="nil"/>
              <w:bottom w:val="single" w:sz="12" w:space="0" w:color="auto"/>
              <w:right w:val="nil"/>
            </w:tcBorders>
            <w:noWrap/>
            <w:vAlign w:val="center"/>
          </w:tcPr>
          <w:p w14:paraId="2D0059A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2025</w:t>
            </w:r>
          </w:p>
        </w:tc>
        <w:tc>
          <w:tcPr>
            <w:tcW w:w="1548" w:type="dxa"/>
            <w:tcBorders>
              <w:top w:val="nil"/>
              <w:left w:val="nil"/>
              <w:bottom w:val="single" w:sz="12" w:space="0" w:color="auto"/>
              <w:right w:val="nil"/>
            </w:tcBorders>
            <w:noWrap/>
            <w:vAlign w:val="center"/>
          </w:tcPr>
          <w:p w14:paraId="017CDBA1"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QALY</w:t>
            </w:r>
          </w:p>
        </w:tc>
        <w:tc>
          <w:tcPr>
            <w:tcW w:w="1875" w:type="dxa"/>
            <w:tcBorders>
              <w:top w:val="nil"/>
              <w:left w:val="nil"/>
              <w:bottom w:val="single" w:sz="12" w:space="0" w:color="auto"/>
              <w:right w:val="nil"/>
            </w:tcBorders>
            <w:noWrap/>
            <w:vAlign w:val="center"/>
          </w:tcPr>
          <w:p w14:paraId="2E024F2F"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age</w:t>
            </w:r>
            <w:r>
              <w:rPr>
                <w:rStyle w:val="font31"/>
                <w:rFonts w:ascii="Times New Roman" w:hAnsi="Times New Roman" w:cs="Times New Roman" w:hint="default"/>
                <w:lang w:bidi="ar"/>
              </w:rPr>
              <w:t>；</w:t>
            </w:r>
            <w:r>
              <w:rPr>
                <w:rStyle w:val="font11"/>
                <w:lang w:bidi="ar"/>
              </w:rPr>
              <w:t>race and ethnicity</w:t>
            </w:r>
          </w:p>
        </w:tc>
        <w:tc>
          <w:tcPr>
            <w:tcW w:w="2346" w:type="dxa"/>
            <w:tcBorders>
              <w:top w:val="nil"/>
              <w:left w:val="nil"/>
              <w:bottom w:val="single" w:sz="12" w:space="0" w:color="auto"/>
              <w:right w:val="nil"/>
            </w:tcBorders>
            <w:vAlign w:val="center"/>
          </w:tcPr>
          <w:p w14:paraId="29A4918C"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Not mentioned</w:t>
            </w:r>
          </w:p>
        </w:tc>
        <w:tc>
          <w:tcPr>
            <w:tcW w:w="3470" w:type="dxa"/>
            <w:tcBorders>
              <w:top w:val="nil"/>
              <w:left w:val="nil"/>
              <w:bottom w:val="single" w:sz="12" w:space="0" w:color="auto"/>
              <w:right w:val="nil"/>
            </w:tcBorders>
            <w:noWrap/>
            <w:vAlign w:val="center"/>
          </w:tcPr>
          <w:p w14:paraId="2970742D"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Vaccine utilization rate, vaccine cost, symptom management cost, health utility, vaccine efficacy, transmission probability</w:t>
            </w:r>
          </w:p>
        </w:tc>
        <w:tc>
          <w:tcPr>
            <w:tcW w:w="1957" w:type="dxa"/>
            <w:tcBorders>
              <w:top w:val="nil"/>
              <w:left w:val="nil"/>
              <w:bottom w:val="single" w:sz="12" w:space="0" w:color="auto"/>
              <w:right w:val="nil"/>
            </w:tcBorders>
            <w:vAlign w:val="center"/>
          </w:tcPr>
          <w:p w14:paraId="5A25A90B" w14:textId="77777777" w:rsidR="00376D25" w:rsidRDefault="00000000">
            <w:pPr>
              <w:widowControl/>
              <w:spacing w:line="240" w:lineRule="auto"/>
              <w:ind w:firstLineChars="0" w:firstLine="0"/>
              <w:jc w:val="center"/>
              <w:textAlignment w:val="center"/>
              <w:rPr>
                <w:rFonts w:cs="Times New Roman"/>
                <w:color w:val="000000"/>
                <w:sz w:val="20"/>
                <w:szCs w:val="20"/>
              </w:rPr>
            </w:pPr>
            <w:r>
              <w:rPr>
                <w:rFonts w:cs="Times New Roman"/>
                <w:color w:val="000000"/>
                <w:kern w:val="0"/>
                <w:sz w:val="20"/>
                <w:szCs w:val="20"/>
                <w:lang w:bidi="ar"/>
              </w:rPr>
              <w:t>Markov models</w:t>
            </w:r>
          </w:p>
        </w:tc>
        <w:tc>
          <w:tcPr>
            <w:tcW w:w="3464" w:type="dxa"/>
            <w:tcBorders>
              <w:top w:val="nil"/>
              <w:left w:val="nil"/>
              <w:bottom w:val="single" w:sz="12" w:space="0" w:color="auto"/>
              <w:right w:val="nil"/>
            </w:tcBorders>
            <w:vAlign w:val="center"/>
          </w:tcPr>
          <w:p w14:paraId="71D2E026"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The updated vaccine was dominant for the 18-64 age group (ICER dominant), and cost-effective for the 65</w:t>
            </w:r>
            <w:r>
              <w:rPr>
                <w:rFonts w:cs="Times New Roman" w:hint="eastAsia"/>
                <w:color w:val="000000"/>
                <w:kern w:val="0"/>
                <w:sz w:val="20"/>
                <w:szCs w:val="20"/>
                <w:lang w:bidi="ar"/>
              </w:rPr>
              <w:t>–</w:t>
            </w:r>
            <w:r>
              <w:rPr>
                <w:rFonts w:cs="Times New Roman" w:hint="eastAsia"/>
                <w:color w:val="000000"/>
                <w:kern w:val="0"/>
                <w:sz w:val="20"/>
                <w:szCs w:val="20"/>
                <w:lang w:bidi="ar"/>
              </w:rPr>
              <w:t xml:space="preserve">74 and </w:t>
            </w:r>
            <w:r>
              <w:rPr>
                <w:rFonts w:cs="Times New Roman" w:hint="eastAsia"/>
                <w:color w:val="000000"/>
                <w:kern w:val="0"/>
                <w:sz w:val="20"/>
                <w:szCs w:val="20"/>
                <w:lang w:bidi="ar"/>
              </w:rPr>
              <w:t>≥</w:t>
            </w:r>
            <w:r>
              <w:rPr>
                <w:rFonts w:cs="Times New Roman" w:hint="eastAsia"/>
                <w:color w:val="000000"/>
                <w:kern w:val="0"/>
                <w:sz w:val="20"/>
                <w:szCs w:val="20"/>
                <w:lang w:bidi="ar"/>
              </w:rPr>
              <w:t>75 age groups (ICERs: A$10,786/QALY and A$36,531/QALY, below A$50,000/QALY threshold)</w:t>
            </w:r>
          </w:p>
        </w:tc>
        <w:tc>
          <w:tcPr>
            <w:tcW w:w="3401" w:type="dxa"/>
            <w:tcBorders>
              <w:top w:val="nil"/>
              <w:left w:val="nil"/>
              <w:bottom w:val="single" w:sz="12" w:space="0" w:color="auto"/>
              <w:right w:val="nil"/>
            </w:tcBorders>
            <w:vAlign w:val="center"/>
          </w:tcPr>
          <w:p w14:paraId="41EE0F89" w14:textId="77777777" w:rsidR="00376D25" w:rsidRDefault="00000000">
            <w:pPr>
              <w:widowControl/>
              <w:spacing w:line="240" w:lineRule="auto"/>
              <w:ind w:firstLineChars="0" w:firstLine="0"/>
              <w:jc w:val="center"/>
              <w:textAlignment w:val="center"/>
              <w:rPr>
                <w:rFonts w:cs="Times New Roman"/>
                <w:color w:val="000000"/>
                <w:kern w:val="0"/>
                <w:sz w:val="20"/>
                <w:szCs w:val="20"/>
                <w:lang w:bidi="ar"/>
              </w:rPr>
            </w:pPr>
            <w:r>
              <w:rPr>
                <w:rFonts w:cs="Times New Roman" w:hint="eastAsia"/>
                <w:color w:val="000000"/>
                <w:kern w:val="0"/>
                <w:sz w:val="20"/>
                <w:szCs w:val="20"/>
                <w:lang w:bidi="ar"/>
              </w:rPr>
              <w:t xml:space="preserve">The 18-64 group was likely win-win or neutral; the 65-74 and </w:t>
            </w:r>
            <w:r>
              <w:rPr>
                <w:rFonts w:cs="Times New Roman" w:hint="eastAsia"/>
                <w:color w:val="000000"/>
                <w:kern w:val="0"/>
                <w:sz w:val="20"/>
                <w:szCs w:val="20"/>
                <w:lang w:bidi="ar"/>
              </w:rPr>
              <w:t>≥</w:t>
            </w:r>
            <w:r>
              <w:rPr>
                <w:rFonts w:cs="Times New Roman" w:hint="eastAsia"/>
                <w:color w:val="000000"/>
                <w:kern w:val="0"/>
                <w:sz w:val="20"/>
                <w:szCs w:val="20"/>
                <w:lang w:bidi="ar"/>
              </w:rPr>
              <w:t>75 groups were trade-off (Quadrant II</w:t>
            </w:r>
          </w:p>
        </w:tc>
      </w:tr>
    </w:tbl>
    <w:p w14:paraId="1F7C43CC" w14:textId="77777777" w:rsidR="00376D25" w:rsidRDefault="00376D25">
      <w:pPr>
        <w:spacing w:line="240" w:lineRule="auto"/>
        <w:ind w:firstLineChars="0" w:firstLine="0"/>
      </w:pPr>
    </w:p>
    <w:sectPr w:rsidR="00376D25">
      <w:endnotePr>
        <w:numFmt w:val="decimal"/>
      </w:endnotePr>
      <w:pgSz w:w="23811" w:h="16838" w:orient="landscape"/>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18EE0" w14:textId="77777777" w:rsidR="00C65DD5" w:rsidRDefault="00C65DD5">
      <w:pPr>
        <w:spacing w:line="240" w:lineRule="auto"/>
        <w:ind w:firstLine="480"/>
      </w:pPr>
      <w:r>
        <w:separator/>
      </w:r>
    </w:p>
  </w:endnote>
  <w:endnote w:type="continuationSeparator" w:id="0">
    <w:p w14:paraId="735935B4" w14:textId="77777777" w:rsidR="00C65DD5" w:rsidRDefault="00C65DD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default"/>
    <w:sig w:usb0="00000000"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27BC" w14:textId="77777777" w:rsidR="00376D25" w:rsidRDefault="00376D25">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ED836" w14:textId="77777777" w:rsidR="00376D25" w:rsidRDefault="00376D25">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9AA9" w14:textId="77777777" w:rsidR="00376D25" w:rsidRDefault="00376D25">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3563B" w14:textId="77777777" w:rsidR="00C65DD5" w:rsidRDefault="00C65DD5">
      <w:pPr>
        <w:ind w:firstLine="480"/>
      </w:pPr>
      <w:r>
        <w:separator/>
      </w:r>
    </w:p>
  </w:footnote>
  <w:footnote w:type="continuationSeparator" w:id="0">
    <w:p w14:paraId="03094578" w14:textId="77777777" w:rsidR="00C65DD5" w:rsidRDefault="00C65DD5">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58E7" w14:textId="77777777" w:rsidR="00376D25" w:rsidRDefault="00376D25">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C30C" w14:textId="77777777" w:rsidR="00376D25" w:rsidRDefault="00376D25">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1165" w14:textId="77777777" w:rsidR="00376D25" w:rsidRDefault="00376D25">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D1805F7"/>
    <w:rsid w:val="000163CC"/>
    <w:rsid w:val="00033461"/>
    <w:rsid w:val="00071A74"/>
    <w:rsid w:val="00097592"/>
    <w:rsid w:val="000D49B1"/>
    <w:rsid w:val="000E1123"/>
    <w:rsid w:val="00182147"/>
    <w:rsid w:val="001A312D"/>
    <w:rsid w:val="001C637F"/>
    <w:rsid w:val="00204E7C"/>
    <w:rsid w:val="00226B81"/>
    <w:rsid w:val="00266339"/>
    <w:rsid w:val="00376D25"/>
    <w:rsid w:val="0044208D"/>
    <w:rsid w:val="004B743C"/>
    <w:rsid w:val="00512F64"/>
    <w:rsid w:val="005A592E"/>
    <w:rsid w:val="005B2A11"/>
    <w:rsid w:val="00622453"/>
    <w:rsid w:val="0063699C"/>
    <w:rsid w:val="0066330C"/>
    <w:rsid w:val="006F5F94"/>
    <w:rsid w:val="006F62C1"/>
    <w:rsid w:val="007009AF"/>
    <w:rsid w:val="00784E21"/>
    <w:rsid w:val="009D1481"/>
    <w:rsid w:val="00A312B4"/>
    <w:rsid w:val="00A60DDA"/>
    <w:rsid w:val="00B16B2D"/>
    <w:rsid w:val="00B93868"/>
    <w:rsid w:val="00C01BF5"/>
    <w:rsid w:val="00C15B33"/>
    <w:rsid w:val="00C65DD5"/>
    <w:rsid w:val="00C94A40"/>
    <w:rsid w:val="00CC7770"/>
    <w:rsid w:val="00D16E81"/>
    <w:rsid w:val="00DD25FF"/>
    <w:rsid w:val="00DE044F"/>
    <w:rsid w:val="00EA2812"/>
    <w:rsid w:val="00EF0EB2"/>
    <w:rsid w:val="00F53389"/>
    <w:rsid w:val="00F77E54"/>
    <w:rsid w:val="02C36611"/>
    <w:rsid w:val="03157D0C"/>
    <w:rsid w:val="03D35AFC"/>
    <w:rsid w:val="043555FD"/>
    <w:rsid w:val="04721E6F"/>
    <w:rsid w:val="0C5817A4"/>
    <w:rsid w:val="0D8458C4"/>
    <w:rsid w:val="0E872FB9"/>
    <w:rsid w:val="10C029F3"/>
    <w:rsid w:val="11F36B75"/>
    <w:rsid w:val="12B46304"/>
    <w:rsid w:val="132D2100"/>
    <w:rsid w:val="15400323"/>
    <w:rsid w:val="1F9A693F"/>
    <w:rsid w:val="1FF218B4"/>
    <w:rsid w:val="21FB6297"/>
    <w:rsid w:val="2238083C"/>
    <w:rsid w:val="23BD0CAC"/>
    <w:rsid w:val="25014AB9"/>
    <w:rsid w:val="27244F74"/>
    <w:rsid w:val="2BED1D08"/>
    <w:rsid w:val="2CC13F7E"/>
    <w:rsid w:val="2D1805F7"/>
    <w:rsid w:val="2DFA19C5"/>
    <w:rsid w:val="2E2C36E3"/>
    <w:rsid w:val="32205943"/>
    <w:rsid w:val="3695459B"/>
    <w:rsid w:val="375A64B9"/>
    <w:rsid w:val="38F4791E"/>
    <w:rsid w:val="3925145A"/>
    <w:rsid w:val="3A1D0C24"/>
    <w:rsid w:val="3AF44401"/>
    <w:rsid w:val="3D7F7BCA"/>
    <w:rsid w:val="3E8B409F"/>
    <w:rsid w:val="3F560730"/>
    <w:rsid w:val="451F4FF4"/>
    <w:rsid w:val="45612AF3"/>
    <w:rsid w:val="46137C0D"/>
    <w:rsid w:val="46F40E21"/>
    <w:rsid w:val="47A6731B"/>
    <w:rsid w:val="480573CF"/>
    <w:rsid w:val="49043A6B"/>
    <w:rsid w:val="4A6139E1"/>
    <w:rsid w:val="4AEE5608"/>
    <w:rsid w:val="4CA43076"/>
    <w:rsid w:val="4CFD3C38"/>
    <w:rsid w:val="4D695C01"/>
    <w:rsid w:val="536D782E"/>
    <w:rsid w:val="55CD6A42"/>
    <w:rsid w:val="57022966"/>
    <w:rsid w:val="58BC6BC3"/>
    <w:rsid w:val="5B637FB3"/>
    <w:rsid w:val="5F650D70"/>
    <w:rsid w:val="62495E57"/>
    <w:rsid w:val="64E4482E"/>
    <w:rsid w:val="6AF46231"/>
    <w:rsid w:val="6D4A1104"/>
    <w:rsid w:val="6D8343C6"/>
    <w:rsid w:val="6DB93505"/>
    <w:rsid w:val="6DCC37CA"/>
    <w:rsid w:val="6DDF39BF"/>
    <w:rsid w:val="6FB910C3"/>
    <w:rsid w:val="708E24A8"/>
    <w:rsid w:val="717E2EDA"/>
    <w:rsid w:val="72BE454D"/>
    <w:rsid w:val="75A15F05"/>
    <w:rsid w:val="76A809F9"/>
    <w:rsid w:val="76E94CE4"/>
    <w:rsid w:val="793B5201"/>
    <w:rsid w:val="7B48397D"/>
    <w:rsid w:val="7C896BD7"/>
    <w:rsid w:val="7D4F1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477AD"/>
  <w15:docId w15:val="{FB5741FD-3EDC-4652-B887-5C121D5C5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dnote reference" w:qFormat="1"/>
    <w:lsdException w:name="endnote text"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jc w:val="both"/>
    </w:pPr>
    <w:rPr>
      <w:rFonts w:cstheme="minorBidi"/>
      <w:kern w:val="2"/>
      <w:sz w:val="24"/>
      <w:szCs w:val="24"/>
      <w14:ligatures w14:val="standardContextual"/>
    </w:rPr>
  </w:style>
  <w:style w:type="paragraph" w:styleId="3">
    <w:name w:val="heading 3"/>
    <w:basedOn w:val="a"/>
    <w:next w:val="a"/>
    <w:semiHidden/>
    <w:unhideWhenUsed/>
    <w:qFormat/>
    <w:pPr>
      <w:spacing w:beforeAutospacing="1" w:afterAutospacing="1"/>
      <w:jc w:val="left"/>
      <w:outlineLvl w:val="2"/>
    </w:pPr>
    <w:rPr>
      <w:rFonts w:ascii="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qFormat/>
    <w:pPr>
      <w:widowControl/>
      <w:snapToGrid w:val="0"/>
      <w:ind w:firstLineChars="0" w:firstLine="0"/>
      <w:jc w:val="left"/>
    </w:pPr>
    <w:rPr>
      <w14:ligatures w14:val="none"/>
    </w:rPr>
  </w:style>
  <w:style w:type="paragraph" w:styleId="a5">
    <w:name w:val="footer"/>
    <w:basedOn w:val="a"/>
    <w:link w:val="a6"/>
    <w:qFormat/>
    <w:pPr>
      <w:tabs>
        <w:tab w:val="center" w:pos="4153"/>
        <w:tab w:val="right" w:pos="8306"/>
      </w:tabs>
      <w:snapToGrid w:val="0"/>
      <w:spacing w:line="240" w:lineRule="auto"/>
      <w:jc w:val="left"/>
    </w:pPr>
    <w:rPr>
      <w:sz w:val="18"/>
      <w:szCs w:val="18"/>
    </w:rPr>
  </w:style>
  <w:style w:type="paragraph" w:styleId="a7">
    <w:name w:val="header"/>
    <w:basedOn w:val="a"/>
    <w:link w:val="a8"/>
    <w:qFormat/>
    <w:pPr>
      <w:tabs>
        <w:tab w:val="center" w:pos="4153"/>
        <w:tab w:val="right" w:pos="8306"/>
      </w:tabs>
      <w:snapToGrid w:val="0"/>
      <w:spacing w:line="240" w:lineRule="auto"/>
      <w:jc w:val="center"/>
    </w:pPr>
    <w:rPr>
      <w:sz w:val="18"/>
      <w:szCs w:val="18"/>
    </w:rPr>
  </w:style>
  <w:style w:type="table" w:styleId="a9">
    <w:name w:val="Table Grid"/>
    <w:basedOn w:val="a1"/>
    <w:uiPriority w:val="3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endnote reference"/>
    <w:basedOn w:val="a0"/>
    <w:qFormat/>
    <w:rPr>
      <w:vertAlign w:val="superscript"/>
    </w:rPr>
  </w:style>
  <w:style w:type="character" w:styleId="ac">
    <w:name w:val="Hyperlink"/>
    <w:qFormat/>
    <w:rPr>
      <w:color w:val="0563C1"/>
      <w:u w:val="single"/>
    </w:rPr>
  </w:style>
  <w:style w:type="character" w:customStyle="1" w:styleId="a4">
    <w:name w:val="尾注文本 字符"/>
    <w:basedOn w:val="a0"/>
    <w:link w:val="a3"/>
    <w:uiPriority w:val="99"/>
    <w:semiHidden/>
    <w:qFormat/>
    <w:rPr>
      <w:rFonts w:ascii="Times New Roman" w:eastAsia="宋体" w:hAnsi="Times New Roman"/>
      <w:sz w:val="24"/>
      <w14:ligatures w14:val="none"/>
    </w:rPr>
  </w:style>
  <w:style w:type="character" w:customStyle="1" w:styleId="font41">
    <w:name w:val="font41"/>
    <w:basedOn w:val="a0"/>
    <w:qFormat/>
    <w:rPr>
      <w:rFonts w:ascii="Segoe UI" w:eastAsia="Segoe UI" w:hAnsi="Segoe UI" w:cs="Segoe UI"/>
      <w:color w:val="000000"/>
      <w:sz w:val="24"/>
      <w:szCs w:val="24"/>
      <w:u w:val="none"/>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a8">
    <w:name w:val="页眉 字符"/>
    <w:basedOn w:val="a0"/>
    <w:link w:val="a7"/>
    <w:qFormat/>
    <w:rPr>
      <w:rFonts w:cstheme="minorBidi"/>
      <w:kern w:val="2"/>
      <w:sz w:val="18"/>
      <w:szCs w:val="18"/>
      <w14:ligatures w14:val="standardContextual"/>
    </w:rPr>
  </w:style>
  <w:style w:type="character" w:customStyle="1" w:styleId="a6">
    <w:name w:val="页脚 字符"/>
    <w:basedOn w:val="a0"/>
    <w:link w:val="a5"/>
    <w:qFormat/>
    <w:rPr>
      <w:rFonts w:cstheme="minorBidi"/>
      <w:kern w:val="2"/>
      <w:sz w:val="18"/>
      <w:szCs w:val="18"/>
      <w14:ligatures w14:val="standardContextual"/>
    </w:rPr>
  </w:style>
  <w:style w:type="character" w:customStyle="1" w:styleId="font81">
    <w:name w:val="font81"/>
    <w:basedOn w:val="a0"/>
    <w:qFormat/>
    <w:rPr>
      <w:rFonts w:ascii="宋体" w:eastAsia="宋体" w:hAnsi="宋体" w:cs="宋体" w:hint="eastAsia"/>
      <w:color w:val="231F20"/>
      <w:sz w:val="21"/>
      <w:szCs w:val="21"/>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2">
    <w:name w:val="CM2"/>
    <w:basedOn w:val="Default"/>
    <w:next w:val="Default"/>
    <w:qForma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creativecommons.org/licenses/by/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1743</TotalTime>
  <Pages>21</Pages>
  <Words>6709</Words>
  <Characters>38243</Characters>
  <Application>Microsoft Office Word</Application>
  <DocSecurity>0</DocSecurity>
  <Lines>318</Lines>
  <Paragraphs>89</Paragraphs>
  <ScaleCrop>false</ScaleCrop>
  <Company/>
  <LinksUpToDate>false</LinksUpToDate>
  <CharactersWithSpaces>44863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氵1423215319</dc:creator>
  <cp:lastModifiedBy>欣玥 袁</cp:lastModifiedBy>
  <cp:revision>23</cp:revision>
  <dcterms:created xsi:type="dcterms:W3CDTF">2025-10-11T08:19:00Z</dcterms:created>
  <dcterms:modified xsi:type="dcterms:W3CDTF">2026-04-02T18:24:00Z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E495DC8A3BBE41DEA1C9BD923CC31817_13</vt:lpwstr>
  </property>
  <property fmtid="{D5CDD505-2E9C-101B-9397-08002B2CF9AE}" pid="4" name="KSOTemplateDocerSaveRecord">
    <vt:lpwstr>eyJoZGlkIjoiMzEwNTM5NzYwMDRjMzkwZTVkZjY2ODkwMGIxNGU0OTUiLCJ1c2VySWQiOiIyOTY4NDAxNiJ9</vt:lpwstr>
  </property>
</Properties>
</file>