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C68F6">
      <w:pPr>
        <w:keepNext w:val="0"/>
        <w:keepLines w:val="0"/>
        <w:pageBreakBefore w:val="0"/>
        <w:widowControl w:val="0"/>
        <w:kinsoku/>
        <w:wordWrap/>
        <w:overflowPunct/>
        <w:topLinePunct w:val="0"/>
        <w:bidi w:val="0"/>
        <w:snapToGrid w:val="0"/>
        <w:spacing w:line="480" w:lineRule="auto"/>
        <w:textAlignment w:val="auto"/>
        <w:rPr>
          <w:rStyle w:val="7"/>
          <w:rFonts w:ascii="Times New Roman" w:hAnsi="Times New Roman"/>
          <w:color w:val="000000" w:themeColor="text1"/>
          <w:sz w:val="24"/>
          <w14:textFill>
            <w14:solidFill>
              <w14:schemeClr w14:val="tx1"/>
            </w14:solidFill>
          </w14:textFill>
        </w:rPr>
      </w:pPr>
      <w:bookmarkStart w:id="0" w:name="OLE_LINK16"/>
      <w:bookmarkStart w:id="1" w:name="_Hlk145014234"/>
      <w:r>
        <w:rPr>
          <w:rStyle w:val="7"/>
          <w:rFonts w:ascii="Times New Roman" w:hAnsi="Times New Roman" w:eastAsia="Segoe UI"/>
          <w:color w:val="000000" w:themeColor="text1"/>
          <w:sz w:val="24"/>
          <w14:textFill>
            <w14:solidFill>
              <w14:schemeClr w14:val="tx1"/>
            </w14:solidFill>
          </w14:textFill>
        </w:rPr>
        <w:t>Frailty Transitions and the Risk of Multisystem Burden of Chronic Disease: A Prospective Cohort Study in China</w:t>
      </w:r>
      <w:bookmarkEnd w:id="0"/>
      <w:r>
        <w:rPr>
          <w:rStyle w:val="7"/>
          <w:rFonts w:ascii="Times New Roman" w:hAnsi="Times New Roman" w:eastAsia="Segoe UI"/>
          <w:color w:val="000000" w:themeColor="text1"/>
          <w:sz w:val="24"/>
          <w14:textFill>
            <w14:solidFill>
              <w14:schemeClr w14:val="tx1"/>
            </w14:solidFill>
          </w14:textFill>
        </w:rPr>
        <w:t xml:space="preserve"> </w:t>
      </w:r>
    </w:p>
    <w:p w14:paraId="43138474">
      <w:pPr>
        <w:keepNext w:val="0"/>
        <w:keepLines w:val="0"/>
        <w:pageBreakBefore w:val="0"/>
        <w:widowControl w:val="0"/>
        <w:kinsoku/>
        <w:wordWrap/>
        <w:overflowPunct/>
        <w:topLinePunct w:val="0"/>
        <w:bidi w:val="0"/>
        <w:snapToGrid w:val="0"/>
        <w:spacing w:line="480" w:lineRule="auto"/>
        <w:textAlignment w:val="auto"/>
        <w:rPr>
          <w:rFonts w:hint="eastAsia" w:ascii="Times New Roman" w:hAnsi="Times New Roman" w:cs="Times New Roman"/>
          <w:b/>
          <w:bCs/>
          <w:sz w:val="24"/>
        </w:rPr>
      </w:pPr>
      <w:r>
        <w:rPr>
          <w:rFonts w:ascii="Times New Roman" w:hAnsi="Times New Roman" w:cs="Times New Roman"/>
          <w:b/>
          <w:bCs/>
          <w:sz w:val="24"/>
        </w:rPr>
        <w:t>Jian-Cheng Wu</w:t>
      </w:r>
      <w:r>
        <w:rPr>
          <w:rFonts w:hint="eastAsia" w:ascii="Times New Roman" w:hAnsi="Times New Roman" w:cs="Times New Roman"/>
          <w:b/>
          <w:bCs/>
          <w:sz w:val="24"/>
        </w:rPr>
        <w:t xml:space="preserve"> </w:t>
      </w:r>
      <w:r>
        <w:rPr>
          <w:rFonts w:hint="eastAsia" w:ascii="Times New Roman" w:hAnsi="Times New Roman" w:cs="Times New Roman"/>
          <w:b/>
          <w:bCs/>
          <w:sz w:val="24"/>
          <w:vertAlign w:val="superscript"/>
        </w:rPr>
        <w:t>a</w:t>
      </w:r>
      <w:r>
        <w:rPr>
          <w:rFonts w:hint="eastAsia" w:ascii="Times New Roman" w:hAnsi="Times New Roman" w:cs="Times New Roman"/>
          <w:b/>
          <w:bCs/>
          <w:sz w:val="24"/>
        </w:rPr>
        <w:t xml:space="preserve">, Tingting Weng </w:t>
      </w:r>
      <w:r>
        <w:rPr>
          <w:rFonts w:hint="eastAsia" w:ascii="Times New Roman" w:hAnsi="Times New Roman" w:cs="Times New Roman"/>
          <w:b/>
          <w:bCs/>
          <w:sz w:val="24"/>
          <w:vertAlign w:val="superscript"/>
        </w:rPr>
        <w:t>b</w:t>
      </w:r>
      <w:r>
        <w:rPr>
          <w:rFonts w:ascii="Times New Roman" w:hAnsi="Times New Roman" w:cs="Times New Roman"/>
          <w:b/>
          <w:bCs/>
          <w:sz w:val="24"/>
        </w:rPr>
        <w:t>, Qiang Xu</w:t>
      </w:r>
      <w:r>
        <w:rPr>
          <w:rFonts w:hint="eastAsia" w:ascii="Times New Roman" w:hAnsi="Times New Roman" w:cs="Times New Roman"/>
          <w:b/>
          <w:bCs/>
          <w:sz w:val="24"/>
        </w:rPr>
        <w:t xml:space="preserve"> </w:t>
      </w:r>
      <w:r>
        <w:rPr>
          <w:rFonts w:hint="eastAsia" w:ascii="Times New Roman" w:hAnsi="Times New Roman" w:cs="Times New Roman"/>
          <w:b/>
          <w:bCs/>
          <w:sz w:val="24"/>
          <w:vertAlign w:val="superscript"/>
        </w:rPr>
        <w:t>a</w:t>
      </w:r>
    </w:p>
    <w:p w14:paraId="5ECD1CDF">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cs="Times New Roman"/>
          <w:sz w:val="24"/>
        </w:rPr>
      </w:pPr>
      <w:r>
        <w:rPr>
          <w:rFonts w:hint="eastAsia" w:ascii="Times New Roman" w:hAnsi="Times New Roman" w:cs="Times New Roman"/>
          <w:sz w:val="24"/>
          <w:vertAlign w:val="superscript"/>
        </w:rPr>
        <w:t xml:space="preserve">a </w:t>
      </w:r>
      <w:r>
        <w:rPr>
          <w:rFonts w:ascii="Times New Roman" w:hAnsi="Times New Roman" w:cs="Times New Roman"/>
          <w:sz w:val="24"/>
        </w:rPr>
        <w:t>Department of Radiology, Tianjin Key Laboratory of Functional Imaging, and State Key Laboratory of Experimental Hematology, Tianjin Medical University General Hospital, Tianjin, China</w:t>
      </w:r>
    </w:p>
    <w:p w14:paraId="2CD4D843">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cs="Times New Roman"/>
          <w:sz w:val="24"/>
        </w:rPr>
      </w:pPr>
      <w:r>
        <w:rPr>
          <w:rFonts w:hint="eastAsia" w:ascii="Times New Roman" w:hAnsi="Times New Roman" w:cs="Times New Roman"/>
          <w:sz w:val="24"/>
          <w:vertAlign w:val="superscript"/>
        </w:rPr>
        <w:t xml:space="preserve">b </w:t>
      </w:r>
      <w:r>
        <w:rPr>
          <w:rFonts w:hint="eastAsia" w:ascii="Times New Roman" w:hAnsi="Times New Roman" w:cs="Times New Roman"/>
          <w:sz w:val="24"/>
        </w:rPr>
        <w:t>Department of Radiology, Tianjin Hospital of ITCWM Nankai Hospital, Tianjin, China</w:t>
      </w:r>
    </w:p>
    <w:p w14:paraId="13CC78DA">
      <w:pPr>
        <w:keepNext w:val="0"/>
        <w:keepLines w:val="0"/>
        <w:pageBreakBefore w:val="0"/>
        <w:widowControl w:val="0"/>
        <w:kinsoku/>
        <w:wordWrap/>
        <w:overflowPunct/>
        <w:topLinePunct w:val="0"/>
        <w:bidi w:val="0"/>
        <w:snapToGrid w:val="0"/>
        <w:spacing w:line="480" w:lineRule="auto"/>
        <w:textAlignment w:val="auto"/>
        <w:rPr>
          <w:rFonts w:ascii="Arial" w:hAnsi="Arial" w:cs="Arial"/>
          <w:sz w:val="24"/>
        </w:rPr>
      </w:pPr>
      <w:r>
        <w:rPr>
          <w:rFonts w:ascii="Times New Roman" w:hAnsi="Times New Roman" w:cs="Times New Roman"/>
          <w:sz w:val="24"/>
        </w:rPr>
        <w:t>Correspondence to: Qiang Xu, e-mail: xuqiang@tmu.edu.cn</w:t>
      </w:r>
      <w:r>
        <w:rPr>
          <w:rFonts w:ascii="Arial" w:hAnsi="Arial" w:cs="Arial"/>
          <w:sz w:val="24"/>
        </w:rPr>
        <w:br w:type="page"/>
      </w:r>
    </w:p>
    <w:p w14:paraId="2644FE3E">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eastAsia="宋体" w:cs="Times New Roman"/>
          <w:b/>
          <w:sz w:val="24"/>
        </w:rPr>
      </w:pPr>
      <w:r>
        <w:rPr>
          <w:rFonts w:ascii="Times New Roman" w:hAnsi="Times New Roman" w:eastAsia="宋体" w:cs="Times New Roman"/>
          <w:b/>
          <w:sz w:val="24"/>
        </w:rPr>
        <w:t xml:space="preserve">Supplemental </w:t>
      </w:r>
      <w:bookmarkEnd w:id="1"/>
      <w:r>
        <w:rPr>
          <w:rFonts w:ascii="Times New Roman" w:hAnsi="Times New Roman" w:eastAsia="宋体" w:cs="Times New Roman"/>
          <w:b/>
          <w:sz w:val="24"/>
        </w:rPr>
        <w:t>Information</w:t>
      </w:r>
    </w:p>
    <w:p w14:paraId="3FDA4918">
      <w:pPr>
        <w:keepNext w:val="0"/>
        <w:keepLines w:val="0"/>
        <w:pageBreakBefore w:val="0"/>
        <w:widowControl w:val="0"/>
        <w:kinsoku/>
        <w:wordWrap/>
        <w:overflowPunct/>
        <w:topLinePunct w:val="0"/>
        <w:bidi w:val="0"/>
        <w:snapToGrid w:val="0"/>
        <w:spacing w:line="480" w:lineRule="auto"/>
        <w:textAlignment w:val="auto"/>
        <w:rPr>
          <w:rFonts w:hint="eastAsia" w:ascii="Times New Roman" w:hAnsi="Times New Roman" w:eastAsia="宋体" w:cs="Times New Roman"/>
          <w:b/>
          <w:sz w:val="20"/>
          <w:szCs w:val="20"/>
          <w:lang w:eastAsia="zh-CN"/>
        </w:rPr>
      </w:pPr>
      <w:r>
        <w:rPr>
          <w:rFonts w:hint="eastAsia" w:ascii="Times New Roman" w:hAnsi="Times New Roman" w:eastAsia="宋体" w:cs="Times New Roman"/>
          <w:b/>
          <w:sz w:val="20"/>
          <w:szCs w:val="20"/>
          <w:lang w:eastAsia="zh-CN"/>
        </w:rPr>
        <w:drawing>
          <wp:inline distT="0" distB="0" distL="114300" distR="114300">
            <wp:extent cx="5262245" cy="2924810"/>
            <wp:effectExtent l="0" t="0" r="10795" b="1270"/>
            <wp:docPr id="2" name="图片 2" descr="E:/CHARLS/article/投稿/Archives of Public Health20251009/修改/筛选_R.tiff筛选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HARLS/article/投稿/Archives of Public Health20251009/修改/筛选_R.tiff筛选_R"/>
                    <pic:cNvPicPr>
                      <a:picLocks noChangeAspect="1"/>
                    </pic:cNvPicPr>
                  </pic:nvPicPr>
                  <pic:blipFill>
                    <a:blip r:embed="rId5"/>
                    <a:srcRect l="33" r="33"/>
                    <a:stretch>
                      <a:fillRect/>
                    </a:stretch>
                  </pic:blipFill>
                  <pic:spPr>
                    <a:xfrm>
                      <a:off x="0" y="0"/>
                      <a:ext cx="5262245" cy="2924810"/>
                    </a:xfrm>
                    <a:prstGeom prst="rect">
                      <a:avLst/>
                    </a:prstGeom>
                  </pic:spPr>
                </pic:pic>
              </a:graphicData>
            </a:graphic>
          </wp:inline>
        </w:drawing>
      </w:r>
    </w:p>
    <w:p w14:paraId="3432FCE1">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eastAsia="宋体" w:cs="Times New Roman"/>
          <w:b/>
          <w:sz w:val="24"/>
          <w:szCs w:val="24"/>
        </w:rPr>
      </w:pPr>
      <w:r>
        <w:rPr>
          <w:rFonts w:ascii="Times New Roman" w:hAnsi="Times New Roman" w:eastAsia="宋体" w:cs="Times New Roman"/>
          <w:b/>
          <w:sz w:val="24"/>
          <w:szCs w:val="24"/>
        </w:rPr>
        <w:t>Supplementa</w:t>
      </w:r>
      <w:r>
        <w:rPr>
          <w:rFonts w:hint="eastAsia" w:ascii="Times New Roman" w:hAnsi="Times New Roman" w:eastAsia="宋体" w:cs="Times New Roman"/>
          <w:b/>
          <w:sz w:val="24"/>
          <w:szCs w:val="24"/>
        </w:rPr>
        <w:t>ry</w:t>
      </w:r>
      <w:r>
        <w:rPr>
          <w:rFonts w:ascii="Times New Roman" w:hAnsi="Times New Roman" w:eastAsia="宋体" w:cs="Times New Roman"/>
          <w:b/>
          <w:sz w:val="24"/>
          <w:szCs w:val="24"/>
        </w:rPr>
        <w:t xml:space="preserve"> </w:t>
      </w:r>
      <w:r>
        <w:rPr>
          <w:rFonts w:ascii="Times New Roman" w:hAnsi="Times New Roman" w:eastAsia="Helvetica" w:cs="Times New Roman"/>
          <w:b/>
          <w:bCs/>
          <w:color w:val="2A2A2A"/>
          <w:sz w:val="24"/>
          <w:szCs w:val="24"/>
          <w:shd w:val="clear" w:color="auto" w:fill="FFFFFF"/>
        </w:rPr>
        <w:t xml:space="preserve">Figure. Selection process of the study population. </w:t>
      </w:r>
      <w:r>
        <w:rPr>
          <w:rFonts w:ascii="Times New Roman" w:hAnsi="Times New Roman" w:eastAsia="Helvetica" w:cs="Times New Roman"/>
          <w:color w:val="2A2A2A"/>
          <w:sz w:val="24"/>
          <w:szCs w:val="24"/>
          <w:shd w:val="clear" w:color="auto" w:fill="FFFFFF"/>
        </w:rPr>
        <w:t>Flowchart illustrating the selection process of the study population for the frailty risk prediction models based on 13 specific diseases. The diagram outlines participant inclusion for both baseline frailty status and frailty transitions. FI: frailty index.</w:t>
      </w:r>
    </w:p>
    <w:p w14:paraId="231C1171">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eastAsia="宋体" w:cs="Times New Roman"/>
          <w:b/>
          <w:sz w:val="24"/>
          <w:szCs w:val="24"/>
        </w:rPr>
      </w:pPr>
      <w:r>
        <w:rPr>
          <w:rFonts w:ascii="Times New Roman" w:hAnsi="Times New Roman" w:eastAsia="宋体" w:cs="Times New Roman"/>
          <w:b/>
          <w:sz w:val="24"/>
          <w:szCs w:val="24"/>
        </w:rPr>
        <w:t>Study designs of</w:t>
      </w:r>
      <w:r>
        <w:rPr>
          <w:rFonts w:ascii="Times New Roman" w:hAnsi="Times New Roman" w:cs="Times New Roman"/>
          <w:b/>
          <w:sz w:val="24"/>
          <w:szCs w:val="24"/>
        </w:rPr>
        <w:t xml:space="preserve"> </w:t>
      </w:r>
      <w:r>
        <w:rPr>
          <w:rFonts w:ascii="Times New Roman" w:hAnsi="Times New Roman" w:eastAsia="宋体" w:cs="Times New Roman"/>
          <w:b/>
          <w:sz w:val="24"/>
          <w:szCs w:val="24"/>
        </w:rPr>
        <w:t>the CHARLS</w:t>
      </w:r>
    </w:p>
    <w:p w14:paraId="06D5DD64">
      <w:pPr>
        <w:keepNext w:val="0"/>
        <w:keepLines w:val="0"/>
        <w:pageBreakBefore w:val="0"/>
        <w:widowControl w:val="0"/>
        <w:kinsoku/>
        <w:wordWrap/>
        <w:overflowPunct/>
        <w:topLinePunct w:val="0"/>
        <w:bidi w:val="0"/>
        <w:snapToGrid w:val="0"/>
        <w:spacing w:line="480" w:lineRule="auto"/>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China Health and Retirement Longitudinal Study (CHARLS) is a prospective cohort study initiated in 2011, designed to investigate the health and socioeconomic status of middle-aged and older adults in China. In the baseline survey (</w:t>
      </w:r>
      <w:r>
        <w:rPr>
          <w:rFonts w:hint="eastAsia" w:ascii="Times New Roman" w:hAnsi="Times New Roman" w:cs="Times New Roman"/>
          <w:color w:val="000000" w:themeColor="text1"/>
          <w:sz w:val="24"/>
          <w:szCs w:val="24"/>
          <w:lang w:val="en-US" w:eastAsia="zh-CN"/>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ave1), a nationally representative sample of 17,708 individuals aged 40 years and above was recruited using a multistage, stratified probability sampling method across 28 provinces. All participants completed in-person interviews conducted by trained personnel using standardized questionnaires to obtain detailed information on sociodemographic characteristics, lifestyle factors, and health status.</w:t>
      </w:r>
    </w:p>
    <w:p w14:paraId="559B07CA">
      <w:pPr>
        <w:keepNext w:val="0"/>
        <w:keepLines w:val="0"/>
        <w:pageBreakBefore w:val="0"/>
        <w:widowControl w:val="0"/>
        <w:kinsoku/>
        <w:wordWrap/>
        <w:overflowPunct/>
        <w:topLinePunct w:val="0"/>
        <w:bidi w:val="0"/>
        <w:snapToGrid w:val="0"/>
        <w:spacing w:line="48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Among the total participants, 13,978 underwent physical examinations that included measurements of height, weight, waist and hip circumference, blood pressure, and grip strength, among other indicators. Additionally, blood specimens were collected from 11,847 participants and analyzed for a range of biochemical markers, including total cholesterol, high-density lipoprotein cholesterol (HDL-C), low-density lipoprotein cholesterol (LDL-C), glycated hemoglobin (HbA1c), fasting plasma glucose, and C-reactive protein (CRP).</w:t>
      </w:r>
    </w:p>
    <w:p w14:paraId="3786AEA5">
      <w:pPr>
        <w:keepNext w:val="0"/>
        <w:keepLines w:val="0"/>
        <w:pageBreakBefore w:val="0"/>
        <w:widowControl w:val="0"/>
        <w:kinsoku/>
        <w:wordWrap/>
        <w:overflowPunct/>
        <w:topLinePunct w:val="0"/>
        <w:bidi w:val="0"/>
        <w:snapToGrid w:val="0"/>
        <w:spacing w:line="480" w:lineRule="auto"/>
        <w:ind w:firstLine="480" w:firstLineChars="200"/>
        <w:textAlignment w:val="auto"/>
        <w:rPr>
          <w:rFonts w:ascii="Times New Roman" w:hAnsi="Times New Roman" w:eastAsia="宋体" w:cs="Times New Roman"/>
          <w:b/>
          <w:sz w:val="24"/>
          <w:szCs w:val="24"/>
        </w:rPr>
      </w:pPr>
      <w:r>
        <w:rPr>
          <w:rFonts w:ascii="Times New Roman" w:hAnsi="Times New Roman" w:cs="Times New Roman"/>
          <w:color w:val="000000" w:themeColor="text1"/>
          <w:sz w:val="24"/>
          <w:szCs w:val="24"/>
          <w14:textFill>
            <w14:solidFill>
              <w14:schemeClr w14:val="tx1"/>
            </w14:solidFill>
          </w14:textFill>
        </w:rPr>
        <w:t>Follow-up assessments were conducted in 2013 (</w:t>
      </w:r>
      <w:r>
        <w:rPr>
          <w:rFonts w:hint="eastAsia" w:ascii="Times New Roman" w:hAnsi="Times New Roman" w:cs="Times New Roman"/>
          <w:color w:val="000000" w:themeColor="text1"/>
          <w:sz w:val="24"/>
          <w:szCs w:val="24"/>
          <w:lang w:val="en-US" w:eastAsia="zh-CN"/>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ave2), 2015 (</w:t>
      </w:r>
      <w:r>
        <w:rPr>
          <w:rFonts w:hint="eastAsia" w:ascii="Times New Roman" w:hAnsi="Times New Roman" w:cs="Times New Roman"/>
          <w:color w:val="000000" w:themeColor="text1"/>
          <w:sz w:val="24"/>
          <w:szCs w:val="24"/>
          <w:lang w:val="en-US" w:eastAsia="zh-CN"/>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ave3), and 2018 (</w:t>
      </w:r>
      <w:r>
        <w:rPr>
          <w:rFonts w:hint="eastAsia" w:ascii="Times New Roman" w:hAnsi="Times New Roman" w:cs="Times New Roman"/>
          <w:color w:val="000000" w:themeColor="text1"/>
          <w:sz w:val="24"/>
          <w:szCs w:val="24"/>
          <w:lang w:val="en-US" w:eastAsia="zh-CN"/>
          <w14:textFill>
            <w14:solidFill>
              <w14:schemeClr w14:val="tx1"/>
            </w14:solidFill>
          </w14:textFill>
        </w:rPr>
        <w:t>w</w:t>
      </w:r>
      <w:r>
        <w:rPr>
          <w:rFonts w:ascii="Times New Roman" w:hAnsi="Times New Roman" w:cs="Times New Roman"/>
          <w:color w:val="000000" w:themeColor="text1"/>
          <w:sz w:val="24"/>
          <w:szCs w:val="24"/>
          <w14:textFill>
            <w14:solidFill>
              <w14:schemeClr w14:val="tx1"/>
            </w14:solidFill>
          </w14:textFill>
        </w:rPr>
        <w:t>ave4), during which participants were re-interviewed and re-examined for anthropometric data. Blood samples were collected again in the 2015 follow-up, allowing for repeated measurement of key biochemical indicators.</w:t>
      </w:r>
    </w:p>
    <w:p w14:paraId="44E6B6C0">
      <w:pPr>
        <w:pStyle w:val="8"/>
        <w:keepNext w:val="0"/>
        <w:keepLines w:val="0"/>
        <w:pageBreakBefore w:val="0"/>
        <w:widowControl w:val="0"/>
        <w:suppressAutoHyphens/>
        <w:kinsoku/>
        <w:wordWrap/>
        <w:overflowPunct/>
        <w:topLinePunct w:val="0"/>
        <w:bidi w:val="0"/>
        <w:snapToGrid w:val="0"/>
        <w:spacing w:line="480" w:lineRule="auto"/>
        <w:jc w:val="both"/>
        <w:textAlignment w:val="auto"/>
        <w:rPr>
          <w:rFonts w:ascii="Times New Roman" w:hAnsi="Times New Roman" w:cs="Times New Roman"/>
          <w:b/>
          <w:color w:val="auto"/>
          <w:sz w:val="24"/>
          <w:szCs w:val="24"/>
        </w:rPr>
      </w:pPr>
      <w:r>
        <w:rPr>
          <w:rFonts w:ascii="Times New Roman" w:hAnsi="Times New Roman" w:cs="Times New Roman"/>
          <w:b/>
          <w:color w:val="auto"/>
          <w:sz w:val="24"/>
          <w:szCs w:val="24"/>
        </w:rPr>
        <w:t>Chronic disease assessment in CHARLS</w:t>
      </w:r>
    </w:p>
    <w:p w14:paraId="61FDB02D">
      <w:pPr>
        <w:pStyle w:val="8"/>
        <w:keepNext w:val="0"/>
        <w:keepLines w:val="0"/>
        <w:pageBreakBefore w:val="0"/>
        <w:widowControl w:val="0"/>
        <w:suppressAutoHyphens/>
        <w:kinsoku/>
        <w:wordWrap/>
        <w:overflowPunct/>
        <w:topLinePunct w:val="0"/>
        <w:bidi w:val="0"/>
        <w:snapToGrid w:val="0"/>
        <w:spacing w:line="480" w:lineRule="auto"/>
        <w:jc w:val="both"/>
        <w:textAlignment w:val="auto"/>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In the CHARLS study, chronic disease status was determined through self-reported physician diagnoses. During face-to-face interviews, participants were asked the following standardized question: </w:t>
      </w:r>
      <w:bookmarkStart w:id="2" w:name="_GoBack"/>
      <w:bookmarkEnd w:id="2"/>
      <w:r>
        <w:rPr>
          <w:rFonts w:hint="default" w:ascii="Times New Roman" w:hAnsi="Times New Roman" w:cs="Times New Roman"/>
          <w:bCs/>
          <w:color w:val="auto"/>
          <w:sz w:val="24"/>
          <w:szCs w:val="24"/>
          <w:lang w:val="en-US" w:eastAsia="zh-CN"/>
        </w:rPr>
        <w:t>“</w:t>
      </w:r>
      <w:r>
        <w:rPr>
          <w:rFonts w:ascii="Times New Roman" w:hAnsi="Times New Roman" w:cs="Times New Roman"/>
          <w:bCs/>
          <w:color w:val="auto"/>
          <w:sz w:val="24"/>
          <w:szCs w:val="24"/>
        </w:rPr>
        <w:t>Have you ever been diagnosed with any of the following conditions by a doctor?</w:t>
      </w:r>
      <w:r>
        <w:rPr>
          <w:rFonts w:hint="default" w:ascii="Times New Roman" w:hAnsi="Times New Roman" w:cs="Times New Roman"/>
          <w:bCs/>
          <w:color w:val="auto"/>
          <w:sz w:val="24"/>
          <w:szCs w:val="24"/>
          <w:lang w:val="en-US" w:eastAsia="zh-CN"/>
        </w:rPr>
        <w:t>”</w:t>
      </w:r>
      <w:r>
        <w:rPr>
          <w:rFonts w:ascii="Times New Roman" w:hAnsi="Times New Roman" w:cs="Times New Roman"/>
          <w:bCs/>
          <w:color w:val="auto"/>
          <w:sz w:val="24"/>
          <w:szCs w:val="24"/>
        </w:rPr>
        <w:t xml:space="preserve"> Response options were binary (1 </w:t>
      </w:r>
      <w:r>
        <w:rPr>
          <w:rFonts w:hint="eastAsia" w:ascii="Times New Roman" w:hAnsi="Times New Roman" w:cs="Times New Roman"/>
          <w:bCs/>
          <w:color w:val="auto"/>
          <w:sz w:val="24"/>
          <w:szCs w:val="24"/>
          <w:lang w:val="en-US" w:eastAsia="zh-CN"/>
        </w:rPr>
        <w:t>=</w:t>
      </w:r>
      <w:r>
        <w:rPr>
          <w:rFonts w:ascii="Times New Roman" w:hAnsi="Times New Roman" w:cs="Times New Roman"/>
          <w:bCs/>
          <w:color w:val="auto"/>
          <w:sz w:val="24"/>
          <w:szCs w:val="24"/>
        </w:rPr>
        <w:t xml:space="preserve"> yes, 2 = no). The list of conditions included: Hypertension; Dyslipidaemia, defined as elevated low-density lipoprotein (LDL), triglycerides, or total cholesterol levels, or decreased high-density lipoprotein (HDL) levels; Diabetes or high blood glucose; Chronic lung diseases (e.g., chronic bronchitis or emphysema; excluding neoplasms and malignancies); Liver diseases (excluding fatty liver, tumours, or cancer); Cardiovascular diseases, including myocardial infarction, coronary heart disease, angina, congestive heart failure, or other heart conditions; Stroke; Kidney diseases (excluding tumours or cancer); Gastrointestinal diseases (excluding tumours or cancer); Emotional, nervous, or psychiatric disorders; Memory-related disorders; Arthritis or rheumatism; Asthma. These self-reported conditions were used to define baseline chronic disease burden and to explore associations with frailty status and transitions over time.</w:t>
      </w:r>
    </w:p>
    <w:p w14:paraId="08986A7C">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jc w:val="both"/>
        <w:textAlignment w:val="auto"/>
        <w:rPr>
          <w:rFonts w:hint="eastAsia" w:ascii="Times New Roman" w:hAnsi="Times New Roman" w:cs="Times New Roman"/>
          <w:b/>
          <w:color w:val="auto"/>
          <w:sz w:val="24"/>
          <w:szCs w:val="24"/>
        </w:rPr>
      </w:pPr>
      <w:r>
        <w:rPr>
          <w:rFonts w:hint="eastAsia" w:ascii="Times New Roman" w:hAnsi="Times New Roman" w:cs="Times New Roman"/>
          <w:b/>
          <w:color w:val="auto"/>
          <w:sz w:val="24"/>
          <w:szCs w:val="24"/>
          <w:lang w:val="en-US" w:eastAsia="zh-CN"/>
        </w:rPr>
        <w:t>S</w:t>
      </w:r>
      <w:r>
        <w:rPr>
          <w:rFonts w:hint="eastAsia" w:ascii="Times New Roman" w:hAnsi="Times New Roman" w:cs="Times New Roman"/>
          <w:b/>
          <w:color w:val="auto"/>
          <w:sz w:val="24"/>
          <w:szCs w:val="24"/>
        </w:rPr>
        <w:t>ensitivity analyses</w:t>
      </w:r>
    </w:p>
    <w:p w14:paraId="349577C0">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We conducted a series of sensitivity analyses using 6-month and 2-year landmark approaches to evaluate the robustness of our primary findings by mitigating concerns related to reverse causality and immortal time bias. These analyses excluded participants who developed the outcome or were lost to follow-up within the specified landmark time windows, thereby ensuring that the exposure (baseline frailty status or frailty transition) preceded the outcome assessment.</w:t>
      </w:r>
    </w:p>
    <w:p w14:paraId="0937D804">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The associations between baseline frailty status and incident disease risks remained largely consistent in both the 6-month and 2-year landmark analyses, supporting the robustness of our primary observations.</w:t>
      </w:r>
      <w:r>
        <w:rPr>
          <w:rFonts w:hint="eastAsia" w:ascii="Times New Roman" w:hAnsi="Times New Roman" w:cs="Times New Roman"/>
          <w:bCs/>
          <w:color w:val="auto"/>
          <w:sz w:val="24"/>
          <w:szCs w:val="24"/>
          <w:lang w:val="en-US" w:eastAsia="zh-CN"/>
        </w:rPr>
        <w:t xml:space="preserve"> </w:t>
      </w:r>
      <w:r>
        <w:rPr>
          <w:rFonts w:hint="eastAsia" w:ascii="Times New Roman" w:hAnsi="Times New Roman" w:cs="Times New Roman"/>
          <w:bCs/>
          <w:color w:val="auto"/>
          <w:sz w:val="24"/>
          <w:szCs w:val="24"/>
        </w:rPr>
        <w:t>In the 6-month landmark analysis, frail individuals continued to exhibit significantly elevated risks across nearly all chronic disease outcomes compared with robust participants, with particularly strong associations observed for psychiatric problems (HR 5.71, 95% CI 3.62-8.99), asthma (HR 3.63, 95% CI 2.45-5.39), memory-related diseases (HR 3.58, 95% CI 2.60-4.93), and kidney diseases (HR 2.51, 95% CI 1.97-3.21). Pre-frail individuals also maintained increased risks, with the highest hazards noted for asthma (HR 2.51, 95% CI 1.79-3.52), heart disease (HR 1.93, 95% CI 1.66-2.24), and memory-related diseases (HR 1.69, 95% CI 1.26-2.26) (Supplemental Tables 99-111).</w:t>
      </w:r>
    </w:p>
    <w:p w14:paraId="554C78BB">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 xml:space="preserve">The 2-year landmark analysis yielded similar patterns, although some estimates were slightly attenuated, likely reflecting the longer exclusion window and reduced sample size. Frail status remained strongly predictive of psychiatric problems (HR 5.75, 95% CI 3.40-9.74), asthma (HR 3.79, 95% CI 2.35-6.09), memory-related diseases (HR 3.14, 95% CI 2.17-4.53), and kidney diseases (HR 2.57, 95% CI 1.91-3.46). Pre-frail individuals continued to show significantly elevated risks for most outcomes, including asthma (HR 2.33, 95% CI 1.54-3.51), heart disease (HR 1.79, 95% CI 1.50-2.13), and diabetes (HR 1.62, 95% CI 1.34-1.96) (Supplemental Tables 112-124). Notably, the association between pre-frailty and hypertension was attenuated and no longer significant </w:t>
      </w:r>
      <w:r>
        <w:rPr>
          <w:rFonts w:hint="eastAsia" w:ascii="Times New Roman" w:hAnsi="Times New Roman" w:cs="Times New Roman"/>
          <w:bCs/>
          <w:color w:val="auto"/>
          <w:sz w:val="24"/>
          <w:szCs w:val="24"/>
          <w:lang w:val="en-US" w:eastAsia="zh-CN"/>
        </w:rPr>
        <w:t xml:space="preserve">only </w:t>
      </w:r>
      <w:r>
        <w:rPr>
          <w:rFonts w:hint="eastAsia" w:ascii="Times New Roman" w:hAnsi="Times New Roman" w:cs="Times New Roman"/>
          <w:bCs/>
          <w:color w:val="auto"/>
          <w:sz w:val="24"/>
          <w:szCs w:val="24"/>
        </w:rPr>
        <w:t>in the 2-year analysis (HR 1.15, 95% CI 1.03-1.28 for pre-frail; HR 1.12, 95% CI 0.96-1.32 for frail), suggesting that the relationship between frailty and hypertension may be more sensitive to the timing of exposure assessment.</w:t>
      </w:r>
    </w:p>
    <w:p w14:paraId="06B8C5A2">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The dynamic associations between frailty transitions and disease risk observed in the primary analysis were consistently reproduced in both landmark sensitivity analyses, further strengthening the evidence for a potential causal relationship.</w:t>
      </w:r>
    </w:p>
    <w:p w14:paraId="4204F572">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highlight w:val="none"/>
        </w:rPr>
        <w:t>In the 6-month landmark analysis, the overall pattern for frailty transitions was broadly consistent with the primary transition analysis, although some contrasts</w:t>
      </w:r>
      <w:r>
        <w:rPr>
          <w:rFonts w:hint="eastAsia" w:ascii="Times New Roman" w:hAnsi="Times New Roman" w:cs="Times New Roman"/>
          <w:bCs/>
          <w:color w:val="auto"/>
          <w:sz w:val="24"/>
          <w:szCs w:val="24"/>
          <w:highlight w:val="none"/>
          <w:lang w:val="en-US" w:eastAsia="zh-CN"/>
        </w:rPr>
        <w:t xml:space="preserve"> </w:t>
      </w:r>
      <w:r>
        <w:rPr>
          <w:rFonts w:hint="eastAsia" w:ascii="Times New Roman" w:hAnsi="Times New Roman" w:cs="Times New Roman"/>
          <w:bCs/>
          <w:color w:val="auto"/>
          <w:sz w:val="24"/>
          <w:szCs w:val="24"/>
          <w:highlight w:val="none"/>
        </w:rPr>
        <w:t>showed wider confidence intervals and occasional loss of statistical significance.</w:t>
      </w:r>
      <w:r>
        <w:rPr>
          <w:rFonts w:hint="eastAsia" w:ascii="Times New Roman" w:hAnsi="Times New Roman" w:cs="Times New Roman"/>
          <w:bCs/>
          <w:color w:val="auto"/>
          <w:sz w:val="24"/>
          <w:szCs w:val="24"/>
        </w:rPr>
        <w:t xml:space="preserve"> Using stable pre-frail as the reference within the corresponding transition stratum, deterioration from pre-frail to frail remained associated with higher risks across multiple outcomes, including arthritis (HR 1.42, 95% CI 1.12</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1.79), asthma (HR 1.80, 95% CI 1.21</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2.68), heart disease (HR 1.37, 95% CI 1.12</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1.68), hypertension (HR 1.39, 95% CI 1.19</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1.62), kidney disease (HR 1.52, 95% CI 1.13</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2.04), digestive disease (HR 1.42, 95% CI 1.12</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1.79), and stroke (HR 1.69, 95% CI 1.31</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2.18) (Supplemental Tables 138</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150). Conversely, improvement from pre-frail to robust was consistently associated with lower risks for several endpoints, including arthritis (HR 0.64, 95% CI 0.50</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0.81), chronic lung disease (HR 0.67, 95% CI 0.50</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0.89), diabetes (HR 0.51, 95% CI 0.38</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0.69), memory-related disease (HR 0.32, 95% CI 0.16</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0.64), heart disease (HR 0.48, 95% CI 0.37</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0.63), hypertension (HR 0.83, 95% CI 0.70</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0.97), kidney disease (HR 0.41, 95% CI 0.26</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0.64), and stroke (HR 0.54, 95% CI 0.37</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0.79) (Supplemental Tables 138</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 xml:space="preserve">150). For transitions originating from the stable robust stratum, several estimates were imprecise; however, worsening transitions generally did not contradict the direction observed in the primary analysis (e.g., frail to pre-frail remained associated with elevated risks for asthma </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HR 3.64, 95% CI 1.21</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10.96</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 xml:space="preserve"> and heart disease </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HR 3.90, 95% CI 2.35</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6.47</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 (Supplemental Tables 139 and 141).</w:t>
      </w:r>
    </w:p>
    <w:p w14:paraId="0DFF85EE">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In the 2-year landmark analysis, the transition results showed similar directions but further attenuation for some outcomes, consistent with the longer exclusion window and reduced numbers of events within certain transition categories. Relative to stable pre-frail, deterioration from pre-frail to frail remained associated with higher risks of liver disease (HR 1.87, 95% CI 1.23</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2.85), asthma (HR 1.98, 95% CI 1.20</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3.26), hypertension (HR 1.27, 95% CI 1.04</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1.55), kidney disease (HR 1.80, 95% CI 1.26</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2.55), digestive disease (HR 1.39, 95% CI 1.04</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1.86), and stroke (HR 1.47, 95% CI 1.09</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1.98), while associations for some outcomes (e.g., arthritis, diabetes, heart disease, and memory-related disease) were directionally similar but not consistently statistically significant (Supplemental Tables 151</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163). Improvement from pre-frail to robust continued to show protective associations for several outcomes, including diabetes (HR 0.63, 95% CI 0.45</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0.87), memory-related disease (HR 0.43, 95% CI 0.22</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0.87), heart disease (HR 0.59, 95% CI 0.44</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0.79), kidney disease (HR 0.41, 95% CI 0.24</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0.72), and stroke (HR 0.58, 95% CI 0.38</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0.87) (Supplemental Tables 153</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156 and 160</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163). For transitions within the stable frail stratum, estimates were again limited by subgroup size; nevertheless, frail to robust was associated with lower risks for selected outcomes in this analysis (e.g., arthritis HR 1.54, 95% CI 1.15</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2.05; diabetes HR 1.56, 95% CI 1.12</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2.18; heart disease HR 2.10, 95% CI 1.55</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2.85; and hypertension HR 1.23, 95% CI 1.04</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1.46, each compared with stable frail as the reference) (Supplemental Tables 151, 153</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155). These stratum-specific comparisons should be interpreted with caution due to limited numbers in certain transition categories, as reflected by wide confidence intervals for some estimates (Supplemental Tables 151</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rPr>
        <w:t>163).</w:t>
      </w:r>
    </w:p>
    <w:p w14:paraId="524C7A16">
      <w:pPr>
        <w:pStyle w:val="8"/>
        <w:keepNext w:val="0"/>
        <w:keepLines w:val="0"/>
        <w:pageBreakBefore w:val="0"/>
        <w:widowControl w:val="0"/>
        <w:suppressAutoHyphens/>
        <w:kinsoku/>
        <w:wordWrap/>
        <w:overflowPunct/>
        <w:topLinePunct w:val="0"/>
        <w:autoSpaceDE w:val="0"/>
        <w:autoSpaceDN w:val="0"/>
        <w:bidi w:val="0"/>
        <w:adjustRightInd w:val="0"/>
        <w:snapToGrid w:val="0"/>
        <w:spacing w:line="480" w:lineRule="auto"/>
        <w:ind w:firstLine="480" w:firstLineChars="200"/>
        <w:jc w:val="both"/>
        <w:textAlignment w:val="auto"/>
        <w:rPr>
          <w:rFonts w:hint="eastAsia" w:ascii="Times New Roman" w:hAnsi="Times New Roman" w:cs="Times New Roman"/>
          <w:bCs/>
          <w:color w:val="auto"/>
          <w:sz w:val="24"/>
          <w:szCs w:val="24"/>
        </w:rPr>
      </w:pPr>
      <w:r>
        <w:rPr>
          <w:rFonts w:hint="eastAsia" w:ascii="Times New Roman" w:hAnsi="Times New Roman" w:cs="Times New Roman"/>
          <w:bCs/>
          <w:color w:val="auto"/>
          <w:sz w:val="24"/>
          <w:szCs w:val="24"/>
        </w:rPr>
        <w:t>Collectively, these landmark sensitivity analyses indicate that our primary results are robust to alternative analytical timepoints and are unlikely to be materially driven by reverse causality or immortal time bias. Across both the 6-month and 2-year landmark approaches, the overall directions and magnitudes of associations for baseline frailty status and frailty transitions were largely consistent with the main analysis, despite some attenuation and reduced precision for a subset of estimates with longer exclusion windows or smaller transition subgroups. Taken together, these findings strengthen confidence in the validity of the observed relationships and support a potential causal link between frailty (and changes in frailty status) and the subsequent development of multiple chronic conditions.</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Helvetica">
    <w:altName w:val="Arial"/>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2E2C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6993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9A6993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43E"/>
    <w:rsid w:val="00780948"/>
    <w:rsid w:val="00A81A7C"/>
    <w:rsid w:val="00DC0E35"/>
    <w:rsid w:val="00DE543E"/>
    <w:rsid w:val="00FF54A4"/>
    <w:rsid w:val="02FD4578"/>
    <w:rsid w:val="05472FB1"/>
    <w:rsid w:val="066D6724"/>
    <w:rsid w:val="072B3D10"/>
    <w:rsid w:val="10ED3546"/>
    <w:rsid w:val="13E65491"/>
    <w:rsid w:val="1A577D3D"/>
    <w:rsid w:val="1D862F93"/>
    <w:rsid w:val="255431D1"/>
    <w:rsid w:val="2AF22028"/>
    <w:rsid w:val="2C2A3701"/>
    <w:rsid w:val="51EE1C52"/>
    <w:rsid w:val="5ACE62E4"/>
    <w:rsid w:val="5F630848"/>
    <w:rsid w:val="6AAA5CB7"/>
    <w:rsid w:val="6DF43CCA"/>
    <w:rsid w:val="76BF0F64"/>
    <w:rsid w:val="79B841EB"/>
    <w:rsid w:val="7C4137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ascii="Calibri" w:hAnsi="Calibri" w:eastAsia="宋体" w:cs="Times New Roman"/>
      <w:kern w:val="0"/>
      <w:sz w:val="24"/>
    </w:rPr>
  </w:style>
  <w:style w:type="character" w:styleId="7">
    <w:name w:val="Strong"/>
    <w:basedOn w:val="6"/>
    <w:qFormat/>
    <w:uiPriority w:val="0"/>
    <w:rPr>
      <w:b/>
    </w:rPr>
  </w:style>
  <w:style w:type="paragraph" w:customStyle="1" w:styleId="8">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1440</Words>
  <Characters>9087</Characters>
  <Lines>24</Lines>
  <Paragraphs>6</Paragraphs>
  <TotalTime>5</TotalTime>
  <ScaleCrop>false</ScaleCrop>
  <LinksUpToDate>false</LinksUpToDate>
  <CharactersWithSpaces>10507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2025-05-10T10:36:00Z</dcterms:created>
  <dc:creator>wujia</dc:creator>
  <cp:lastModifiedBy>Wujiancheng</cp:lastModifiedBy>
  <dcterms:modified xsi:type="dcterms:W3CDTF">2026-02-21T07:24:10Z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eyJoZGlkIjoiMjI1MGUwNjNmODc3YWM2ODhlNGJlNjM1MDMxY2U0NDYiLCJ1c2VySWQiOiIyNjYwNjEyNDMifQ==</vt:lpwstr>
  </property>
  <property fmtid="{D5CDD505-2E9C-101B-9397-08002B2CF9AE}" pid="4" name="ICV">
    <vt:lpwstr>3DBFB41AA6A546FC93B9D2C5EC678B0E_12</vt:lpwstr>
  </property>
</Properties>
</file>