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B307" w14:textId="77777777" w:rsidR="009849FD" w:rsidRDefault="009849FD" w:rsidP="00BB693F">
      <w:pPr>
        <w:rPr>
          <w:b/>
          <w:bCs/>
          <w:sz w:val="22"/>
          <w:szCs w:val="22"/>
        </w:rPr>
      </w:pPr>
      <w:r w:rsidRPr="00BB693F">
        <w:rPr>
          <w:rFonts w:eastAsia="Times New Roman"/>
          <w:b/>
          <w:bCs/>
          <w:sz w:val="22"/>
          <w:szCs w:val="22"/>
        </w:rPr>
        <w:t>Supplementary material</w:t>
      </w:r>
    </w:p>
    <w:p w14:paraId="5B51B868" w14:textId="77777777" w:rsidR="00BB693F" w:rsidRPr="00BB693F" w:rsidRDefault="00BB693F" w:rsidP="00BB693F">
      <w:pPr>
        <w:rPr>
          <w:sz w:val="22"/>
          <w:szCs w:val="22"/>
        </w:rPr>
      </w:pPr>
    </w:p>
    <w:p w14:paraId="7F87D16E" w14:textId="77777777" w:rsidR="009849FD" w:rsidRPr="00BB693F" w:rsidRDefault="009849FD" w:rsidP="00BB693F">
      <w:pPr>
        <w:rPr>
          <w:sz w:val="22"/>
          <w:szCs w:val="22"/>
        </w:rPr>
      </w:pPr>
      <w:r w:rsidRPr="00BB693F">
        <w:rPr>
          <w:rFonts w:eastAsia="Times New Roman"/>
          <w:b/>
          <w:bCs/>
          <w:sz w:val="22"/>
          <w:szCs w:val="22"/>
        </w:rPr>
        <w:t>Supplementary Table S1. Natural-history transition parameters (three-state multi-state model)</w:t>
      </w:r>
    </w:p>
    <w:tbl>
      <w:tblPr>
        <w:tblW w:w="1120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4200"/>
        <w:gridCol w:w="2600"/>
      </w:tblGrid>
      <w:tr w:rsidR="009849FD" w:rsidRPr="00BB693F" w14:paraId="41FC26F6" w14:textId="77777777" w:rsidTr="00BB693F">
        <w:trPr>
          <w:tblHeader/>
        </w:trPr>
        <w:tc>
          <w:tcPr>
            <w:tcW w:w="4400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87A6A84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Transition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B54FFAE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Annual transition intensity (95% CI)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6E172C0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One-year transition probability</w:t>
            </w:r>
          </w:p>
        </w:tc>
      </w:tr>
      <w:tr w:rsidR="009849FD" w:rsidRPr="00BB693F" w14:paraId="36EA0854" w14:textId="77777777" w:rsidTr="00406A4E"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16F84E9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No CVD → CVD event</w:t>
            </w:r>
          </w:p>
        </w:tc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E4A9472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0.00616 (0.00538–0.00706)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E2D9CEC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0.00613</w:t>
            </w:r>
          </w:p>
        </w:tc>
      </w:tr>
      <w:tr w:rsidR="009849FD" w:rsidRPr="00BB693F" w14:paraId="088A0D4F" w14:textId="77777777" w:rsidTr="00406A4E"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B4E40AD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No CVD → non-CVD death</w:t>
            </w:r>
          </w:p>
        </w:tc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414159A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0.00513 (0.00443–0.00595)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18D65DF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0.00510</w:t>
            </w:r>
          </w:p>
        </w:tc>
      </w:tr>
      <w:tr w:rsidR="009849FD" w:rsidRPr="00BB693F" w14:paraId="4DC80E2B" w14:textId="77777777" w:rsidTr="00406A4E"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32D3564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No CVD → No CVD (remain)</w:t>
            </w:r>
          </w:p>
        </w:tc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865FED0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—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BED6853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0.98877</w:t>
            </w:r>
          </w:p>
        </w:tc>
      </w:tr>
      <w:tr w:rsidR="009849FD" w:rsidRPr="00BB693F" w14:paraId="5C9D493F" w14:textId="77777777" w:rsidTr="00BB693F"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ED4758B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CVD event (absorbing)</w:t>
            </w:r>
          </w:p>
        </w:tc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7AE1AE2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—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D4A0B38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1.000</w:t>
            </w:r>
          </w:p>
        </w:tc>
      </w:tr>
      <w:tr w:rsidR="009849FD" w:rsidRPr="00BB693F" w14:paraId="50D89D7A" w14:textId="77777777" w:rsidTr="00BB693F"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90FD0ED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Non-CVD death (absorbing)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ECEE22D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—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1C7962A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1.000</w:t>
            </w:r>
          </w:p>
        </w:tc>
      </w:tr>
    </w:tbl>
    <w:p w14:paraId="211E3175" w14:textId="77777777" w:rsidR="009849FD" w:rsidRPr="00BB693F" w:rsidRDefault="009849FD" w:rsidP="00BB693F">
      <w:pPr>
        <w:jc w:val="both"/>
        <w:rPr>
          <w:sz w:val="22"/>
          <w:szCs w:val="22"/>
        </w:rPr>
      </w:pPr>
      <w:r w:rsidRPr="00BB693F">
        <w:rPr>
          <w:rFonts w:eastAsia="Times New Roman"/>
          <w:color w:val="333333"/>
          <w:sz w:val="22"/>
          <w:szCs w:val="22"/>
        </w:rPr>
        <w:t>Total annual exit intensity from the No-CVD state was 0.01130 (0.01022–0.01248).</w:t>
      </w:r>
    </w:p>
    <w:p w14:paraId="1E5C0AB5" w14:textId="77777777" w:rsidR="009849FD" w:rsidRPr="00BB693F" w:rsidRDefault="009849FD" w:rsidP="00BB693F">
      <w:pPr>
        <w:jc w:val="both"/>
        <w:rPr>
          <w:color w:val="333333"/>
          <w:sz w:val="22"/>
          <w:szCs w:val="22"/>
        </w:rPr>
      </w:pPr>
      <w:r w:rsidRPr="00BB693F">
        <w:rPr>
          <w:rFonts w:eastAsia="Times New Roman"/>
          <w:color w:val="333333"/>
          <w:sz w:val="22"/>
          <w:szCs w:val="22"/>
        </w:rPr>
        <w:t>Estimates are from the covariate-adjusted three-state multi-state model (msm package), shown at the mean covariate profile; individual transition probabilities were driven by age, sex, blood pressure, lipids, smoking, and diabetes. CVD event and non-CVD death are absorbing states. CI, confidence interval.</w:t>
      </w:r>
    </w:p>
    <w:p w14:paraId="4EE5FAAF" w14:textId="77777777" w:rsidR="00BB693F" w:rsidRPr="00BB693F" w:rsidRDefault="00BB693F" w:rsidP="00BB693F">
      <w:pPr>
        <w:rPr>
          <w:color w:val="333333"/>
          <w:sz w:val="22"/>
          <w:szCs w:val="22"/>
        </w:rPr>
      </w:pPr>
    </w:p>
    <w:p w14:paraId="0871B79B" w14:textId="77777777" w:rsidR="00BB693F" w:rsidRPr="00BB693F" w:rsidRDefault="00BB693F" w:rsidP="00BB693F">
      <w:pPr>
        <w:rPr>
          <w:sz w:val="22"/>
          <w:szCs w:val="22"/>
        </w:rPr>
      </w:pPr>
    </w:p>
    <w:p w14:paraId="4C1373E1" w14:textId="77777777" w:rsidR="009849FD" w:rsidRPr="00BB693F" w:rsidRDefault="009849FD" w:rsidP="00BB693F">
      <w:pPr>
        <w:rPr>
          <w:sz w:val="22"/>
          <w:szCs w:val="22"/>
        </w:rPr>
      </w:pPr>
      <w:r w:rsidRPr="00BB693F">
        <w:rPr>
          <w:rFonts w:eastAsia="Times New Roman"/>
          <w:b/>
          <w:bCs/>
          <w:sz w:val="22"/>
          <w:szCs w:val="22"/>
        </w:rPr>
        <w:t>Supplementary Table S2. Age-stratified incremental effectiveness of the three screening strategies</w:t>
      </w:r>
    </w:p>
    <w:tbl>
      <w:tblPr>
        <w:tblW w:w="13325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2624"/>
        <w:gridCol w:w="2150"/>
        <w:gridCol w:w="1900"/>
        <w:gridCol w:w="1264"/>
        <w:gridCol w:w="1701"/>
        <w:gridCol w:w="1418"/>
        <w:gridCol w:w="992"/>
      </w:tblGrid>
      <w:tr w:rsidR="009849FD" w:rsidRPr="00BB693F" w14:paraId="748E39ED" w14:textId="77777777" w:rsidTr="00BB693F">
        <w:trPr>
          <w:tblHeader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1516C6F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Subgroup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BB9B52A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Strategy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E67FA1B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Incremental QALYs per person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5F29C39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Total incremental QALYs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7601C50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CVD events prevented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D2AE83B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NNS to prevent one event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21BD7A1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NNS to gain one QALY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12C1E2B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ICER, ¥/QALY</w:t>
            </w:r>
          </w:p>
        </w:tc>
      </w:tr>
      <w:tr w:rsidR="009849FD" w:rsidRPr="00BB693F" w14:paraId="2932514F" w14:textId="77777777" w:rsidTr="00BB693F"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F511EEE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Age 40–54 (n = 9,060)</w:t>
            </w:r>
          </w:p>
        </w:tc>
        <w:tc>
          <w:tcPr>
            <w:tcW w:w="26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61C3E3E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Strategy 1: China-PAR</w:t>
            </w:r>
          </w:p>
        </w:tc>
        <w:tc>
          <w:tcPr>
            <w:tcW w:w="2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48CA9AF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0.009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5356A49F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84.66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DF63FF4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32.16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B004577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281.7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475A731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107.0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09BEF25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11,173</w:t>
            </w:r>
          </w:p>
        </w:tc>
      </w:tr>
      <w:tr w:rsidR="009849FD" w:rsidRPr="00BB693F" w14:paraId="274B1C4A" w14:textId="77777777" w:rsidTr="00BB693F"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A6608B6" w14:textId="77777777" w:rsidR="009849FD" w:rsidRPr="00BB693F" w:rsidRDefault="009849FD" w:rsidP="00BB693F">
            <w:pPr>
              <w:rPr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768ECC3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Strategy 2: ASCVD Risk</w:t>
            </w:r>
          </w:p>
        </w:tc>
        <w:tc>
          <w:tcPr>
            <w:tcW w:w="2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5F4FA29F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0.039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D1E86EE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356.69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72B11C7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136.08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A55FDC5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66.6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FF55FC8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25.4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368672E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18,569</w:t>
            </w:r>
          </w:p>
        </w:tc>
      </w:tr>
      <w:tr w:rsidR="009849FD" w:rsidRPr="00BB693F" w14:paraId="0B56D640" w14:textId="77777777" w:rsidTr="00BB693F"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7890ECA" w14:textId="77777777" w:rsidR="009849FD" w:rsidRPr="00BB693F" w:rsidRDefault="009849FD" w:rsidP="00BB693F">
            <w:pPr>
              <w:rPr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0090EEF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Strategy 3: ASCVD + Vascular</w:t>
            </w:r>
          </w:p>
        </w:tc>
        <w:tc>
          <w:tcPr>
            <w:tcW w:w="2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68EBF76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0.051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D540D81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462.79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C96B619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176.68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CD4CBAC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51.3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A968995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19.6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C28FBF6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25,036</w:t>
            </w:r>
          </w:p>
        </w:tc>
      </w:tr>
      <w:tr w:rsidR="009849FD" w:rsidRPr="00BB693F" w14:paraId="22692D92" w14:textId="77777777" w:rsidTr="00BB693F"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D660C79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Age 55–80 (n = 5,064)</w:t>
            </w:r>
          </w:p>
        </w:tc>
        <w:tc>
          <w:tcPr>
            <w:tcW w:w="26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EF952C6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Strategy 1: China-PAR</w:t>
            </w:r>
          </w:p>
        </w:tc>
        <w:tc>
          <w:tcPr>
            <w:tcW w:w="2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DE96772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0.160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E326173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808.81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5DD134F1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331.88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DE8FC49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15.3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E23443A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6.3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9FD3865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4,151</w:t>
            </w:r>
          </w:p>
        </w:tc>
      </w:tr>
      <w:tr w:rsidR="009849FD" w:rsidRPr="00BB693F" w14:paraId="6D646DC2" w14:textId="77777777" w:rsidTr="00BB693F"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805FA54" w14:textId="77777777" w:rsidR="009849FD" w:rsidRPr="00BB693F" w:rsidRDefault="009849FD" w:rsidP="00BB693F">
            <w:pPr>
              <w:rPr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58613C82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Strategy 2: ASCVD Risk</w:t>
            </w:r>
          </w:p>
        </w:tc>
        <w:tc>
          <w:tcPr>
            <w:tcW w:w="2150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55B38D2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0.152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79F91DA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768.12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FAB2F8F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308.18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54C7935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16.4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1D2D4A0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6.6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5033C6F4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5,016</w:t>
            </w:r>
          </w:p>
        </w:tc>
      </w:tr>
      <w:tr w:rsidR="009849FD" w:rsidRPr="00BB693F" w14:paraId="172B8157" w14:textId="77777777" w:rsidTr="00BB693F"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0D393A1" w14:textId="77777777" w:rsidR="009849FD" w:rsidRPr="00BB693F" w:rsidRDefault="009849FD" w:rsidP="00BB693F">
            <w:pPr>
              <w:rPr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FD34D8D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Strategy 3: ASCVD + Vascular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852C755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0.224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5AB5C8B1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1136.72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AE10CB7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460.05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6B176DC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11.0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129C079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4.5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9C9A0D3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6,818</w:t>
            </w:r>
          </w:p>
        </w:tc>
      </w:tr>
    </w:tbl>
    <w:p w14:paraId="7B0DB367" w14:textId="77777777" w:rsidR="009849FD" w:rsidRPr="00BB693F" w:rsidRDefault="009849FD" w:rsidP="00BB693F">
      <w:pPr>
        <w:jc w:val="both"/>
        <w:rPr>
          <w:sz w:val="22"/>
          <w:szCs w:val="22"/>
        </w:rPr>
      </w:pPr>
      <w:r w:rsidRPr="00BB693F">
        <w:rPr>
          <w:rFonts w:eastAsia="Times New Roman"/>
          <w:color w:val="333333"/>
          <w:sz w:val="22"/>
          <w:szCs w:val="22"/>
        </w:rPr>
        <w:t>Incremental values are versus no screening, from the three-state model (consistent with Table 3 and Figure 4).</w:t>
      </w:r>
    </w:p>
    <w:p w14:paraId="57A87D96" w14:textId="77777777" w:rsidR="009849FD" w:rsidRPr="00BB693F" w:rsidRDefault="009849FD" w:rsidP="00BB693F">
      <w:pPr>
        <w:jc w:val="both"/>
        <w:rPr>
          <w:color w:val="333333"/>
          <w:sz w:val="22"/>
          <w:szCs w:val="22"/>
        </w:rPr>
      </w:pPr>
      <w:r w:rsidRPr="00BB693F">
        <w:rPr>
          <w:rFonts w:eastAsia="Times New Roman"/>
          <w:color w:val="333333"/>
          <w:sz w:val="22"/>
          <w:szCs w:val="22"/>
        </w:rPr>
        <w:t>In adults aged 55–80, China-PAR (Strategy 1) marginally outperforms the ASCVD risk assessment (Strategy 2). NNS, number needed to screen; ICER, incremental cost-effectiveness ratio; QALY, quality-adjusted life-year.</w:t>
      </w:r>
    </w:p>
    <w:p w14:paraId="691D6BF5" w14:textId="77777777" w:rsidR="00BB693F" w:rsidRPr="00BB693F" w:rsidRDefault="00BB693F" w:rsidP="00BB693F">
      <w:pPr>
        <w:rPr>
          <w:color w:val="333333"/>
          <w:sz w:val="22"/>
          <w:szCs w:val="22"/>
        </w:rPr>
      </w:pPr>
    </w:p>
    <w:p w14:paraId="2F22A22E" w14:textId="77777777" w:rsidR="00BB693F" w:rsidRPr="00BB693F" w:rsidRDefault="00BB693F" w:rsidP="00BB693F">
      <w:pPr>
        <w:rPr>
          <w:sz w:val="22"/>
          <w:szCs w:val="22"/>
        </w:rPr>
      </w:pPr>
    </w:p>
    <w:p w14:paraId="75E6D767" w14:textId="77777777" w:rsidR="009849FD" w:rsidRPr="00BB693F" w:rsidRDefault="009849FD" w:rsidP="00BB693F">
      <w:pPr>
        <w:rPr>
          <w:sz w:val="22"/>
          <w:szCs w:val="22"/>
        </w:rPr>
      </w:pPr>
      <w:r w:rsidRPr="00BB693F">
        <w:rPr>
          <w:rFonts w:eastAsia="Times New Roman"/>
          <w:b/>
          <w:bCs/>
          <w:sz w:val="22"/>
          <w:szCs w:val="22"/>
        </w:rPr>
        <w:t>Supplementary Table S3. Sex-stratified incremental effectiveness of the three screening strategies</w:t>
      </w:r>
    </w:p>
    <w:tbl>
      <w:tblPr>
        <w:tblW w:w="13183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2766"/>
        <w:gridCol w:w="2054"/>
        <w:gridCol w:w="1843"/>
        <w:gridCol w:w="1275"/>
        <w:gridCol w:w="1701"/>
        <w:gridCol w:w="1418"/>
        <w:gridCol w:w="992"/>
      </w:tblGrid>
      <w:tr w:rsidR="009849FD" w:rsidRPr="00BB693F" w14:paraId="2B2465D7" w14:textId="77777777" w:rsidTr="00BB693F">
        <w:trPr>
          <w:tblHeader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3E28A8C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Subgroup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4E9E7B7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Strategy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C6B1C90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Incremental QALYs per person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433AC48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Total incremental QALYs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D653C9F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CVD events prevented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FD359E9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NNS to prevent one event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A2CF153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NNS to gain one QALY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932C109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b/>
                <w:bCs/>
                <w:sz w:val="22"/>
                <w:szCs w:val="22"/>
              </w:rPr>
              <w:t>ICER, ¥/QALY</w:t>
            </w:r>
          </w:p>
        </w:tc>
      </w:tr>
      <w:tr w:rsidR="009849FD" w:rsidRPr="00BB693F" w14:paraId="47F89A04" w14:textId="77777777" w:rsidTr="00BB693F"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E63AE6A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 xml:space="preserve">Men (n = </w:t>
            </w:r>
            <w:r w:rsidRPr="00BB693F">
              <w:rPr>
                <w:rFonts w:eastAsia="Times New Roman"/>
                <w:sz w:val="22"/>
                <w:szCs w:val="22"/>
              </w:rPr>
              <w:lastRenderedPageBreak/>
              <w:t>9,897)</w:t>
            </w:r>
          </w:p>
        </w:tc>
        <w:tc>
          <w:tcPr>
            <w:tcW w:w="27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126F305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lastRenderedPageBreak/>
              <w:t>Strategy 1: China-PAR</w:t>
            </w:r>
          </w:p>
        </w:tc>
        <w:tc>
          <w:tcPr>
            <w:tcW w:w="20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E45F0D8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0.074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C3542C5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735.51</w:t>
            </w:r>
          </w:p>
        </w:tc>
        <w:tc>
          <w:tcPr>
            <w:tcW w:w="1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24F512B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301.46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7E98AAF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32.8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57A078F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13.5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5580C453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3,991</w:t>
            </w:r>
          </w:p>
        </w:tc>
      </w:tr>
      <w:tr w:rsidR="009849FD" w:rsidRPr="00BB693F" w14:paraId="3D6A3ADF" w14:textId="77777777" w:rsidTr="00BB693F"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7395A94" w14:textId="77777777" w:rsidR="009849FD" w:rsidRPr="00BB693F" w:rsidRDefault="009849FD" w:rsidP="00BB693F">
            <w:pPr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5E54B269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Strategy 2: ASCVD Risk</w:t>
            </w:r>
          </w:p>
        </w:tc>
        <w:tc>
          <w:tcPr>
            <w:tcW w:w="20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24D4D65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0.099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A9F0112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976.20</w:t>
            </w:r>
          </w:p>
        </w:tc>
        <w:tc>
          <w:tcPr>
            <w:tcW w:w="1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0F8E03C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386.07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6BF4FB0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25.6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460F060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10.1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5F259C3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8,832</w:t>
            </w:r>
          </w:p>
        </w:tc>
      </w:tr>
      <w:tr w:rsidR="009849FD" w:rsidRPr="00BB693F" w14:paraId="0A2CA058" w14:textId="77777777" w:rsidTr="00BB693F"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F615D39" w14:textId="77777777" w:rsidR="009849FD" w:rsidRPr="00BB693F" w:rsidRDefault="009849FD" w:rsidP="00BB693F">
            <w:pPr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5420FE0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Strategy 3: ASCVD + Vascular</w:t>
            </w:r>
          </w:p>
        </w:tc>
        <w:tc>
          <w:tcPr>
            <w:tcW w:w="20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267D8BF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0.135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4F2DF18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1338.45</w:t>
            </w:r>
          </w:p>
        </w:tc>
        <w:tc>
          <w:tcPr>
            <w:tcW w:w="1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4656F0A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534.07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261ABE0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18.5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80B70AB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7.4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9EDFDC2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10,875</w:t>
            </w:r>
          </w:p>
        </w:tc>
      </w:tr>
      <w:tr w:rsidR="009849FD" w:rsidRPr="00BB693F" w14:paraId="6309616B" w14:textId="77777777" w:rsidTr="00BB693F"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D101187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Women (n = 4,227)</w:t>
            </w:r>
          </w:p>
        </w:tc>
        <w:tc>
          <w:tcPr>
            <w:tcW w:w="27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C7D65C6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Strategy 1: China-PAR</w:t>
            </w:r>
          </w:p>
        </w:tc>
        <w:tc>
          <w:tcPr>
            <w:tcW w:w="20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1B62EFB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0.037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53502B1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157.96</w:t>
            </w:r>
          </w:p>
        </w:tc>
        <w:tc>
          <w:tcPr>
            <w:tcW w:w="1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DB4F9EC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62.58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2E4A05D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67.5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7E8CA27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26.8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8A0271D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8,660</w:t>
            </w:r>
          </w:p>
        </w:tc>
      </w:tr>
      <w:tr w:rsidR="009849FD" w:rsidRPr="00BB693F" w14:paraId="66126169" w14:textId="77777777" w:rsidTr="00BB693F"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9EB368F" w14:textId="77777777" w:rsidR="009849FD" w:rsidRPr="00BB693F" w:rsidRDefault="009849FD" w:rsidP="00BB693F">
            <w:pPr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F991358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Strategy 2: ASCVD Risk</w:t>
            </w:r>
          </w:p>
        </w:tc>
        <w:tc>
          <w:tcPr>
            <w:tcW w:w="2054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E87F980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0.035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17B77E0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148.61</w:t>
            </w:r>
          </w:p>
        </w:tc>
        <w:tc>
          <w:tcPr>
            <w:tcW w:w="1275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8B26DB7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58.19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027FF2A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72.6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974D309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28.4</w:t>
            </w:r>
          </w:p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1D0E5F3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12,476</w:t>
            </w:r>
          </w:p>
        </w:tc>
      </w:tr>
      <w:tr w:rsidR="009849FD" w:rsidRPr="00BB693F" w14:paraId="30A9232A" w14:textId="77777777" w:rsidTr="00BB693F"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A2FD395" w14:textId="77777777" w:rsidR="009849FD" w:rsidRPr="00BB693F" w:rsidRDefault="009849FD" w:rsidP="00BB693F">
            <w:pPr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7D4DE2F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Strategy 3: ASCVD + Vascular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C5C8FDC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0.062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607BC26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261.06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1C9AD62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102.66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10D6F8D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41.2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2B7D6418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16.2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475A78B" w14:textId="77777777" w:rsidR="009849FD" w:rsidRPr="00BB693F" w:rsidRDefault="009849FD" w:rsidP="00BB693F">
            <w:pPr>
              <w:rPr>
                <w:sz w:val="22"/>
                <w:szCs w:val="22"/>
              </w:rPr>
            </w:pPr>
            <w:r w:rsidRPr="00BB693F">
              <w:rPr>
                <w:rFonts w:eastAsia="Times New Roman"/>
                <w:sz w:val="22"/>
                <w:szCs w:val="22"/>
              </w:rPr>
              <w:t>18,311</w:t>
            </w:r>
          </w:p>
        </w:tc>
      </w:tr>
    </w:tbl>
    <w:p w14:paraId="63B6C76A" w14:textId="77777777" w:rsidR="009849FD" w:rsidRPr="00BB693F" w:rsidRDefault="009849FD" w:rsidP="00BB693F">
      <w:pPr>
        <w:jc w:val="both"/>
        <w:rPr>
          <w:sz w:val="22"/>
          <w:szCs w:val="22"/>
        </w:rPr>
      </w:pPr>
      <w:r w:rsidRPr="00BB693F">
        <w:rPr>
          <w:rFonts w:eastAsia="Times New Roman"/>
          <w:color w:val="333333"/>
          <w:sz w:val="22"/>
          <w:szCs w:val="22"/>
        </w:rPr>
        <w:t>Incremental values are versus no screening, from the three-state model (consistent with Table 3 and Figure 4).</w:t>
      </w:r>
    </w:p>
    <w:p w14:paraId="760D2072" w14:textId="77777777" w:rsidR="009849FD" w:rsidRPr="00BB693F" w:rsidRDefault="009849FD" w:rsidP="00BB693F">
      <w:pPr>
        <w:jc w:val="both"/>
        <w:rPr>
          <w:sz w:val="22"/>
          <w:szCs w:val="22"/>
        </w:rPr>
      </w:pPr>
      <w:r w:rsidRPr="00BB693F">
        <w:rPr>
          <w:rFonts w:eastAsia="Times New Roman"/>
          <w:color w:val="333333"/>
          <w:sz w:val="22"/>
          <w:szCs w:val="22"/>
        </w:rPr>
        <w:t>In women, China-PAR (Strategy 1) yields slightly more QALYs at a lower ICER than the ASCVD risk assessment (Strategy 2). NNS, number needed to screen; QALY, quality-adjusted life-year.</w:t>
      </w:r>
    </w:p>
    <w:p w14:paraId="6CF7DD1E" w14:textId="77777777" w:rsidR="003F4C7C" w:rsidRDefault="003F4C7C" w:rsidP="00BB693F">
      <w:pPr>
        <w:rPr>
          <w:sz w:val="22"/>
          <w:szCs w:val="22"/>
        </w:rPr>
      </w:pPr>
    </w:p>
    <w:p w14:paraId="2316467F" w14:textId="33F2B304" w:rsidR="00625F12" w:rsidRPr="00625F12" w:rsidRDefault="00625F12" w:rsidP="00625F12">
      <w:pPr>
        <w:rPr>
          <w:rFonts w:hint="eastAsia"/>
          <w:sz w:val="22"/>
          <w:szCs w:val="22"/>
        </w:rPr>
      </w:pPr>
      <w:bookmarkStart w:id="0" w:name="appendix-cheers-2022-reporting-checklist"/>
      <w:r w:rsidRPr="00BB693F">
        <w:rPr>
          <w:rFonts w:eastAsia="Times New Roman"/>
          <w:b/>
          <w:bCs/>
          <w:sz w:val="22"/>
          <w:szCs w:val="22"/>
        </w:rPr>
        <w:t>Supplementary Table S</w:t>
      </w:r>
      <w:r>
        <w:rPr>
          <w:rFonts w:hint="eastAsia"/>
          <w:b/>
          <w:bCs/>
          <w:sz w:val="22"/>
          <w:szCs w:val="22"/>
        </w:rPr>
        <w:t>4</w:t>
      </w:r>
      <w:r w:rsidRPr="00BB693F">
        <w:rPr>
          <w:rFonts w:eastAsia="Times New Roman"/>
          <w:b/>
          <w:bCs/>
          <w:sz w:val="22"/>
          <w:szCs w:val="22"/>
        </w:rPr>
        <w:t xml:space="preserve">. </w:t>
      </w:r>
      <w:r w:rsidRPr="00625F12">
        <w:rPr>
          <w:rFonts w:eastAsia="Times New Roman"/>
          <w:b/>
          <w:bCs/>
          <w:sz w:val="22"/>
          <w:szCs w:val="22"/>
        </w:rPr>
        <w:t>CHEERS 2022 Reporting Checklist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667"/>
        <w:gridCol w:w="5134"/>
        <w:gridCol w:w="1648"/>
        <w:gridCol w:w="5968"/>
      </w:tblGrid>
      <w:tr w:rsidR="00625F12" w:rsidRPr="00431567" w14:paraId="54CCE0CC" w14:textId="77777777" w:rsidTr="00B735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289B2DA9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643376B9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CHEERS 2022 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255E783E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Reported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34379E9E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Location (revised manuscript)</w:t>
            </w:r>
          </w:p>
        </w:tc>
      </w:tr>
      <w:tr w:rsidR="00625F12" w:rsidRPr="00431567" w14:paraId="27730003" w14:textId="77777777" w:rsidTr="00B735C2">
        <w:tc>
          <w:tcPr>
            <w:tcW w:w="0" w:type="auto"/>
            <w:tcBorders>
              <w:top w:val="single" w:sz="2" w:space="0" w:color="auto"/>
            </w:tcBorders>
          </w:tcPr>
          <w:p w14:paraId="52D8E44D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65BB30EB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Title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59508422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00E9E140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Title</w:t>
            </w:r>
          </w:p>
        </w:tc>
      </w:tr>
      <w:tr w:rsidR="00625F12" w:rsidRPr="00431567" w14:paraId="7380E852" w14:textId="77777777" w:rsidTr="00B735C2">
        <w:tc>
          <w:tcPr>
            <w:tcW w:w="0" w:type="auto"/>
          </w:tcPr>
          <w:p w14:paraId="01D4299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0" w:type="auto"/>
          </w:tcPr>
          <w:p w14:paraId="434B60AD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Abstract</w:t>
            </w:r>
          </w:p>
        </w:tc>
        <w:tc>
          <w:tcPr>
            <w:tcW w:w="0" w:type="auto"/>
          </w:tcPr>
          <w:p w14:paraId="3DC8A980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561B61B9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Abstract</w:t>
            </w:r>
          </w:p>
        </w:tc>
      </w:tr>
      <w:tr w:rsidR="00625F12" w:rsidRPr="00431567" w14:paraId="0092AE49" w14:textId="77777777" w:rsidTr="00B735C2">
        <w:tc>
          <w:tcPr>
            <w:tcW w:w="0" w:type="auto"/>
          </w:tcPr>
          <w:p w14:paraId="335D842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0" w:type="auto"/>
          </w:tcPr>
          <w:p w14:paraId="25A2C706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Background and objectives</w:t>
            </w:r>
          </w:p>
        </w:tc>
        <w:tc>
          <w:tcPr>
            <w:tcW w:w="0" w:type="auto"/>
          </w:tcPr>
          <w:p w14:paraId="70B9ED45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27D063D5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Section 1</w:t>
            </w:r>
          </w:p>
        </w:tc>
      </w:tr>
      <w:tr w:rsidR="00625F12" w:rsidRPr="00431567" w14:paraId="52693681" w14:textId="77777777" w:rsidTr="00B735C2">
        <w:tc>
          <w:tcPr>
            <w:tcW w:w="0" w:type="auto"/>
          </w:tcPr>
          <w:p w14:paraId="1634DA13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0" w:type="auto"/>
          </w:tcPr>
          <w:p w14:paraId="049EBD2F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Health economic analysis plan</w:t>
            </w:r>
          </w:p>
        </w:tc>
        <w:tc>
          <w:tcPr>
            <w:tcW w:w="0" w:type="auto"/>
          </w:tcPr>
          <w:p w14:paraId="58CC6E7B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35B741EF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2.1, 2.5</w:t>
            </w:r>
          </w:p>
        </w:tc>
      </w:tr>
      <w:tr w:rsidR="00625F12" w:rsidRPr="00431567" w14:paraId="15864BD1" w14:textId="77777777" w:rsidTr="00B735C2">
        <w:tc>
          <w:tcPr>
            <w:tcW w:w="0" w:type="auto"/>
          </w:tcPr>
          <w:p w14:paraId="295CD40C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0" w:type="auto"/>
          </w:tcPr>
          <w:p w14:paraId="693F9A63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Study population</w:t>
            </w:r>
          </w:p>
        </w:tc>
        <w:tc>
          <w:tcPr>
            <w:tcW w:w="0" w:type="auto"/>
          </w:tcPr>
          <w:p w14:paraId="4812B37D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107C8EFD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2.1; Table 1</w:t>
            </w:r>
          </w:p>
        </w:tc>
      </w:tr>
      <w:tr w:rsidR="00625F12" w:rsidRPr="00431567" w14:paraId="1AD96F29" w14:textId="77777777" w:rsidTr="00B735C2">
        <w:tc>
          <w:tcPr>
            <w:tcW w:w="0" w:type="auto"/>
          </w:tcPr>
          <w:p w14:paraId="5C17447A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0" w:type="auto"/>
          </w:tcPr>
          <w:p w14:paraId="03AAD4F7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Setting and location</w:t>
            </w:r>
          </w:p>
        </w:tc>
        <w:tc>
          <w:tcPr>
            <w:tcW w:w="0" w:type="auto"/>
          </w:tcPr>
          <w:p w14:paraId="4BB8B6A3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084359D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2.1</w:t>
            </w:r>
          </w:p>
        </w:tc>
      </w:tr>
      <w:tr w:rsidR="00625F12" w:rsidRPr="00431567" w14:paraId="46A0AF72" w14:textId="77777777" w:rsidTr="00B735C2">
        <w:tc>
          <w:tcPr>
            <w:tcW w:w="0" w:type="auto"/>
          </w:tcPr>
          <w:p w14:paraId="228A2F45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0" w:type="auto"/>
          </w:tcPr>
          <w:p w14:paraId="2A442676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Comparators</w:t>
            </w:r>
          </w:p>
        </w:tc>
        <w:tc>
          <w:tcPr>
            <w:tcW w:w="0" w:type="auto"/>
          </w:tcPr>
          <w:p w14:paraId="13843FC8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538F9700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2.2 (no screening)</w:t>
            </w:r>
          </w:p>
        </w:tc>
      </w:tr>
      <w:tr w:rsidR="00625F12" w:rsidRPr="00431567" w14:paraId="695072DB" w14:textId="77777777" w:rsidTr="00B735C2">
        <w:tc>
          <w:tcPr>
            <w:tcW w:w="0" w:type="auto"/>
          </w:tcPr>
          <w:p w14:paraId="1D777717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0" w:type="auto"/>
          </w:tcPr>
          <w:p w14:paraId="0B207C8F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Perspective</w:t>
            </w:r>
          </w:p>
        </w:tc>
        <w:tc>
          <w:tcPr>
            <w:tcW w:w="0" w:type="auto"/>
          </w:tcPr>
          <w:p w14:paraId="78572D32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436DE0A8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2.4 (health system / direct costs)</w:t>
            </w:r>
          </w:p>
        </w:tc>
      </w:tr>
      <w:tr w:rsidR="00625F12" w:rsidRPr="00431567" w14:paraId="32D2C67D" w14:textId="77777777" w:rsidTr="00B735C2">
        <w:tc>
          <w:tcPr>
            <w:tcW w:w="0" w:type="auto"/>
          </w:tcPr>
          <w:p w14:paraId="4E5335FE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0" w:type="auto"/>
          </w:tcPr>
          <w:p w14:paraId="694B2378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Time horizon</w:t>
            </w:r>
          </w:p>
        </w:tc>
        <w:tc>
          <w:tcPr>
            <w:tcW w:w="0" w:type="auto"/>
          </w:tcPr>
          <w:p w14:paraId="029C9667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4C429ECC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2.4 (10 years)</w:t>
            </w:r>
          </w:p>
        </w:tc>
      </w:tr>
      <w:tr w:rsidR="00625F12" w:rsidRPr="00431567" w14:paraId="50A51091" w14:textId="77777777" w:rsidTr="00B735C2">
        <w:tc>
          <w:tcPr>
            <w:tcW w:w="0" w:type="auto"/>
          </w:tcPr>
          <w:p w14:paraId="5B1573BD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0" w:type="auto"/>
          </w:tcPr>
          <w:p w14:paraId="6105FAB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Discount rate</w:t>
            </w:r>
          </w:p>
        </w:tc>
        <w:tc>
          <w:tcPr>
            <w:tcW w:w="0" w:type="auto"/>
          </w:tcPr>
          <w:p w14:paraId="3D6F3AC2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6F2DF1E0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2.4 (5%)</w:t>
            </w:r>
          </w:p>
        </w:tc>
      </w:tr>
      <w:tr w:rsidR="00625F12" w:rsidRPr="00431567" w14:paraId="42931484" w14:textId="77777777" w:rsidTr="00B735C2">
        <w:tc>
          <w:tcPr>
            <w:tcW w:w="0" w:type="auto"/>
          </w:tcPr>
          <w:p w14:paraId="67795D9F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0" w:type="auto"/>
          </w:tcPr>
          <w:p w14:paraId="36097986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Selection of outcomes</w:t>
            </w:r>
          </w:p>
        </w:tc>
        <w:tc>
          <w:tcPr>
            <w:tcW w:w="0" w:type="auto"/>
          </w:tcPr>
          <w:p w14:paraId="2487DE93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0B727F87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2.5 (QALY, events, NNS, ICER, NMB)</w:t>
            </w:r>
          </w:p>
        </w:tc>
      </w:tr>
      <w:tr w:rsidR="00625F12" w:rsidRPr="00431567" w14:paraId="7DC14D63" w14:textId="77777777" w:rsidTr="00B735C2">
        <w:tc>
          <w:tcPr>
            <w:tcW w:w="0" w:type="auto"/>
          </w:tcPr>
          <w:p w14:paraId="1F86E7D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lastRenderedPageBreak/>
              <w:t>12</w:t>
            </w:r>
          </w:p>
        </w:tc>
        <w:tc>
          <w:tcPr>
            <w:tcW w:w="0" w:type="auto"/>
          </w:tcPr>
          <w:p w14:paraId="15780AEE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Measurement of outcomes</w:t>
            </w:r>
          </w:p>
        </w:tc>
        <w:tc>
          <w:tcPr>
            <w:tcW w:w="0" w:type="auto"/>
          </w:tcPr>
          <w:p w14:paraId="3948034F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1AB3C60B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2.3, 2.4</w:t>
            </w:r>
          </w:p>
        </w:tc>
      </w:tr>
      <w:tr w:rsidR="00625F12" w:rsidRPr="00431567" w14:paraId="502A3B99" w14:textId="77777777" w:rsidTr="00B735C2">
        <w:tc>
          <w:tcPr>
            <w:tcW w:w="0" w:type="auto"/>
          </w:tcPr>
          <w:p w14:paraId="7BC2D469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0" w:type="auto"/>
          </w:tcPr>
          <w:p w14:paraId="7C5BAD50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Valuation of outcomes (utilities)</w:t>
            </w:r>
          </w:p>
        </w:tc>
        <w:tc>
          <w:tcPr>
            <w:tcW w:w="0" w:type="auto"/>
          </w:tcPr>
          <w:p w14:paraId="6414C8ED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0C6D1779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2.4; Table 2</w:t>
            </w:r>
          </w:p>
        </w:tc>
      </w:tr>
      <w:tr w:rsidR="00625F12" w:rsidRPr="00431567" w14:paraId="2A80149C" w14:textId="77777777" w:rsidTr="00B735C2">
        <w:tc>
          <w:tcPr>
            <w:tcW w:w="0" w:type="auto"/>
          </w:tcPr>
          <w:p w14:paraId="7F3D30B9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0" w:type="auto"/>
          </w:tcPr>
          <w:p w14:paraId="698328BC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Measurement and valuation of resources and costs</w:t>
            </w:r>
          </w:p>
        </w:tc>
        <w:tc>
          <w:tcPr>
            <w:tcW w:w="0" w:type="auto"/>
          </w:tcPr>
          <w:p w14:paraId="67BE942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15459C0B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2.4; Table 2</w:t>
            </w:r>
          </w:p>
        </w:tc>
      </w:tr>
      <w:tr w:rsidR="00625F12" w:rsidRPr="00431567" w14:paraId="4BD4AD33" w14:textId="77777777" w:rsidTr="00B735C2">
        <w:tc>
          <w:tcPr>
            <w:tcW w:w="0" w:type="auto"/>
          </w:tcPr>
          <w:p w14:paraId="0EA36A82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0" w:type="auto"/>
          </w:tcPr>
          <w:p w14:paraId="2E39BBCB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Currency, price date, and conversion</w:t>
            </w:r>
          </w:p>
        </w:tc>
        <w:tc>
          <w:tcPr>
            <w:tcW w:w="0" w:type="auto"/>
          </w:tcPr>
          <w:p w14:paraId="77E627EB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53966605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2.4 (CNY)</w:t>
            </w:r>
          </w:p>
        </w:tc>
      </w:tr>
      <w:tr w:rsidR="00625F12" w:rsidRPr="00431567" w14:paraId="4619E2B0" w14:textId="77777777" w:rsidTr="00B735C2">
        <w:tc>
          <w:tcPr>
            <w:tcW w:w="0" w:type="auto"/>
          </w:tcPr>
          <w:p w14:paraId="39056022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0" w:type="auto"/>
          </w:tcPr>
          <w:p w14:paraId="1E45D3B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Rationale and description of model</w:t>
            </w:r>
          </w:p>
        </w:tc>
        <w:tc>
          <w:tcPr>
            <w:tcW w:w="0" w:type="auto"/>
          </w:tcPr>
          <w:p w14:paraId="77D6F0E2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0BE4082A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2.3; Figure 2; Supplementary Table S1</w:t>
            </w:r>
          </w:p>
        </w:tc>
      </w:tr>
      <w:tr w:rsidR="00625F12" w:rsidRPr="00431567" w14:paraId="12FE841B" w14:textId="77777777" w:rsidTr="00B735C2">
        <w:tc>
          <w:tcPr>
            <w:tcW w:w="0" w:type="auto"/>
          </w:tcPr>
          <w:p w14:paraId="6A1A52F3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0" w:type="auto"/>
          </w:tcPr>
          <w:p w14:paraId="0EED2C64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Analytics and assumptions</w:t>
            </w:r>
          </w:p>
        </w:tc>
        <w:tc>
          <w:tcPr>
            <w:tcW w:w="0" w:type="auto"/>
          </w:tcPr>
          <w:p w14:paraId="3BCCB253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36E1E442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2.4, 2.5</w:t>
            </w:r>
          </w:p>
        </w:tc>
      </w:tr>
      <w:tr w:rsidR="00625F12" w:rsidRPr="00431567" w14:paraId="52129B9D" w14:textId="77777777" w:rsidTr="00B735C2">
        <w:tc>
          <w:tcPr>
            <w:tcW w:w="0" w:type="auto"/>
          </w:tcPr>
          <w:p w14:paraId="491EC844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0" w:type="auto"/>
          </w:tcPr>
          <w:p w14:paraId="3CF5A4FB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Characterizing heterogeneity</w:t>
            </w:r>
          </w:p>
        </w:tc>
        <w:tc>
          <w:tcPr>
            <w:tcW w:w="0" w:type="auto"/>
          </w:tcPr>
          <w:p w14:paraId="36C70794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0C7A7CCE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2.5; Supplementary Tables S2, S3; Figure 5</w:t>
            </w:r>
          </w:p>
        </w:tc>
      </w:tr>
      <w:tr w:rsidR="00625F12" w:rsidRPr="00431567" w14:paraId="40D9DC6F" w14:textId="77777777" w:rsidTr="00B735C2">
        <w:tc>
          <w:tcPr>
            <w:tcW w:w="0" w:type="auto"/>
          </w:tcPr>
          <w:p w14:paraId="2EE8B964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0" w:type="auto"/>
          </w:tcPr>
          <w:p w14:paraId="311D05A0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Characterizing distributional effects</w:t>
            </w:r>
          </w:p>
        </w:tc>
        <w:tc>
          <w:tcPr>
            <w:tcW w:w="0" w:type="auto"/>
          </w:tcPr>
          <w:p w14:paraId="416D8BDD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229B74BB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2.5 (subgroups)</w:t>
            </w:r>
          </w:p>
        </w:tc>
      </w:tr>
      <w:tr w:rsidR="00625F12" w:rsidRPr="00431567" w14:paraId="608B71A4" w14:textId="77777777" w:rsidTr="00B735C2">
        <w:tc>
          <w:tcPr>
            <w:tcW w:w="0" w:type="auto"/>
          </w:tcPr>
          <w:p w14:paraId="00EA7880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0" w:type="auto"/>
          </w:tcPr>
          <w:p w14:paraId="3E1D88BD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Characterizing uncertainty</w:t>
            </w:r>
          </w:p>
        </w:tc>
        <w:tc>
          <w:tcPr>
            <w:tcW w:w="0" w:type="auto"/>
          </w:tcPr>
          <w:p w14:paraId="0E138405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1DBC6C17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Methods 2.5; Supplementary PSA report; Figures 3, 4, 6, 7</w:t>
            </w:r>
          </w:p>
        </w:tc>
      </w:tr>
      <w:tr w:rsidR="00625F12" w:rsidRPr="00431567" w14:paraId="5A4D189B" w14:textId="77777777" w:rsidTr="00B735C2">
        <w:tc>
          <w:tcPr>
            <w:tcW w:w="0" w:type="auto"/>
          </w:tcPr>
          <w:p w14:paraId="60937EC3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0" w:type="auto"/>
          </w:tcPr>
          <w:p w14:paraId="1572E50C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Engagement with patients and others</w:t>
            </w:r>
          </w:p>
        </w:tc>
        <w:tc>
          <w:tcPr>
            <w:tcW w:w="0" w:type="auto"/>
          </w:tcPr>
          <w:p w14:paraId="73C9A78B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Not applicable</w:t>
            </w:r>
          </w:p>
        </w:tc>
        <w:tc>
          <w:tcPr>
            <w:tcW w:w="0" w:type="auto"/>
          </w:tcPr>
          <w:p w14:paraId="1A2D6374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N/A</w:t>
            </w:r>
          </w:p>
        </w:tc>
      </w:tr>
      <w:tr w:rsidR="00625F12" w:rsidRPr="00431567" w14:paraId="7D427C4E" w14:textId="77777777" w:rsidTr="00B735C2">
        <w:tc>
          <w:tcPr>
            <w:tcW w:w="0" w:type="auto"/>
          </w:tcPr>
          <w:p w14:paraId="5AB5C660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0" w:type="auto"/>
          </w:tcPr>
          <w:p w14:paraId="0A884970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Study parameters</w:t>
            </w:r>
          </w:p>
        </w:tc>
        <w:tc>
          <w:tcPr>
            <w:tcW w:w="0" w:type="auto"/>
          </w:tcPr>
          <w:p w14:paraId="29760B2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3095C8BB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Table 2; Supplementary Table S1</w:t>
            </w:r>
          </w:p>
        </w:tc>
      </w:tr>
      <w:tr w:rsidR="00625F12" w:rsidRPr="00431567" w14:paraId="6AB1CCB7" w14:textId="77777777" w:rsidTr="00B735C2">
        <w:tc>
          <w:tcPr>
            <w:tcW w:w="0" w:type="auto"/>
          </w:tcPr>
          <w:p w14:paraId="7AA7BC63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0" w:type="auto"/>
          </w:tcPr>
          <w:p w14:paraId="0FF30C24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Summary of main results</w:t>
            </w:r>
          </w:p>
        </w:tc>
        <w:tc>
          <w:tcPr>
            <w:tcW w:w="0" w:type="auto"/>
          </w:tcPr>
          <w:p w14:paraId="7A258363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0C2E63A8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Results 3.3, 3.4; Tables 3, 4</w:t>
            </w:r>
          </w:p>
        </w:tc>
      </w:tr>
      <w:tr w:rsidR="00625F12" w:rsidRPr="00431567" w14:paraId="011A4DD5" w14:textId="77777777" w:rsidTr="00B735C2">
        <w:tc>
          <w:tcPr>
            <w:tcW w:w="0" w:type="auto"/>
          </w:tcPr>
          <w:p w14:paraId="42077A86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0" w:type="auto"/>
          </w:tcPr>
          <w:p w14:paraId="33F42BB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Effect of uncertainty</w:t>
            </w:r>
          </w:p>
        </w:tc>
        <w:tc>
          <w:tcPr>
            <w:tcW w:w="0" w:type="auto"/>
          </w:tcPr>
          <w:p w14:paraId="393CE3F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700168B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Results 3.6; Figures 3, 4, 6, 7</w:t>
            </w:r>
          </w:p>
        </w:tc>
      </w:tr>
      <w:tr w:rsidR="00625F12" w:rsidRPr="00431567" w14:paraId="3AC9FC48" w14:textId="77777777" w:rsidTr="00B735C2">
        <w:tc>
          <w:tcPr>
            <w:tcW w:w="0" w:type="auto"/>
          </w:tcPr>
          <w:p w14:paraId="69289DD9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0" w:type="auto"/>
          </w:tcPr>
          <w:p w14:paraId="563C73E2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Effect of engagement with patients and others</w:t>
            </w:r>
          </w:p>
        </w:tc>
        <w:tc>
          <w:tcPr>
            <w:tcW w:w="0" w:type="auto"/>
          </w:tcPr>
          <w:p w14:paraId="6836998A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Not applicable</w:t>
            </w:r>
          </w:p>
        </w:tc>
        <w:tc>
          <w:tcPr>
            <w:tcW w:w="0" w:type="auto"/>
          </w:tcPr>
          <w:p w14:paraId="11AD275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N/A</w:t>
            </w:r>
          </w:p>
        </w:tc>
      </w:tr>
      <w:tr w:rsidR="00625F12" w:rsidRPr="00431567" w14:paraId="3C5E95A9" w14:textId="77777777" w:rsidTr="00B735C2">
        <w:tc>
          <w:tcPr>
            <w:tcW w:w="0" w:type="auto"/>
          </w:tcPr>
          <w:p w14:paraId="71E03649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0" w:type="auto"/>
          </w:tcPr>
          <w:p w14:paraId="418F9072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Discussion (findings, limitations, generalizability)</w:t>
            </w:r>
          </w:p>
        </w:tc>
        <w:tc>
          <w:tcPr>
            <w:tcW w:w="0" w:type="auto"/>
          </w:tcPr>
          <w:p w14:paraId="3BA53E0E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4D4A745B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Section 4; Limitations</w:t>
            </w:r>
          </w:p>
        </w:tc>
      </w:tr>
      <w:tr w:rsidR="00625F12" w:rsidRPr="00431567" w14:paraId="15889DF9" w14:textId="77777777" w:rsidTr="00B735C2">
        <w:tc>
          <w:tcPr>
            <w:tcW w:w="0" w:type="auto"/>
          </w:tcPr>
          <w:p w14:paraId="13A03CA1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0" w:type="auto"/>
          </w:tcPr>
          <w:p w14:paraId="0542A3DD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Source of funding</w:t>
            </w:r>
          </w:p>
        </w:tc>
        <w:tc>
          <w:tcPr>
            <w:tcW w:w="0" w:type="auto"/>
          </w:tcPr>
          <w:p w14:paraId="689511AD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</w:tcPr>
          <w:p w14:paraId="39D4031F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Declarations, Funding</w:t>
            </w:r>
          </w:p>
        </w:tc>
      </w:tr>
      <w:tr w:rsidR="00625F12" w:rsidRPr="00431567" w14:paraId="6CA77440" w14:textId="77777777" w:rsidTr="00B735C2">
        <w:tc>
          <w:tcPr>
            <w:tcW w:w="0" w:type="auto"/>
            <w:tcBorders>
              <w:bottom w:val="single" w:sz="4" w:space="0" w:color="auto"/>
            </w:tcBorders>
          </w:tcPr>
          <w:p w14:paraId="3521078A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2B07CF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Conflicts of interest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D75F66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73A5AC" w14:textId="77777777" w:rsidR="00625F12" w:rsidRPr="00431567" w:rsidRDefault="00625F12" w:rsidP="00B735C2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</w:rPr>
              <w:t>Declarations, Competing interests</w:t>
            </w:r>
          </w:p>
        </w:tc>
      </w:tr>
    </w:tbl>
    <w:p w14:paraId="6F23A100" w14:textId="77777777" w:rsidR="00625F12" w:rsidRPr="00431567" w:rsidRDefault="00625F12" w:rsidP="00625F12">
      <w:pPr>
        <w:pStyle w:val="FirstParagraph"/>
        <w:spacing w:line="360" w:lineRule="auto"/>
        <w:jc w:val="both"/>
        <w:rPr>
          <w:rFonts w:ascii="Times New Roman" w:hAnsi="Times New Roman" w:cs="Times New Roman" w:hint="eastAsia"/>
          <w:color w:val="000000" w:themeColor="text1"/>
          <w:lang w:eastAsia="zh-CN"/>
        </w:rPr>
      </w:pPr>
      <w:r>
        <w:rPr>
          <w:rFonts w:ascii="Times New Roman" w:hAnsi="Times New Roman" w:cs="Times New Roman" w:hint="eastAsia"/>
          <w:color w:val="000000" w:themeColor="text1"/>
          <w:lang w:eastAsia="zh-CN"/>
        </w:rPr>
        <w:t xml:space="preserve"> </w:t>
      </w:r>
    </w:p>
    <w:bookmarkEnd w:id="0"/>
    <w:p w14:paraId="0193EAA2" w14:textId="77777777" w:rsidR="006D0B07" w:rsidRDefault="006D0B07" w:rsidP="006D0B07">
      <w:pPr>
        <w:jc w:val="both"/>
        <w:rPr>
          <w:sz w:val="22"/>
          <w:szCs w:val="22"/>
        </w:rPr>
      </w:pPr>
      <w:r w:rsidRPr="006D0B07">
        <w:rPr>
          <w:b/>
          <w:bCs/>
          <w:sz w:val="22"/>
          <w:szCs w:val="22"/>
        </w:rPr>
        <w:t>Probabilistic sensitivity analysis (PSA).</w:t>
      </w:r>
      <w:r w:rsidRPr="006D0B07">
        <w:rPr>
          <w:sz w:val="22"/>
          <w:szCs w:val="22"/>
        </w:rPr>
        <w:t xml:space="preserve"> </w:t>
      </w:r>
    </w:p>
    <w:p w14:paraId="3ECDD186" w14:textId="470763FE" w:rsidR="006D0B07" w:rsidRPr="00BB693F" w:rsidRDefault="006D0B07" w:rsidP="006D0B07">
      <w:pPr>
        <w:jc w:val="both"/>
        <w:rPr>
          <w:sz w:val="22"/>
          <w:szCs w:val="22"/>
        </w:rPr>
      </w:pPr>
      <w:r w:rsidRPr="006D0B07">
        <w:rPr>
          <w:sz w:val="22"/>
          <w:szCs w:val="22"/>
        </w:rPr>
        <w:t xml:space="preserve">To characterize the joint effect of parameter uncertainty on the results, we performed a probabilistic sensitivity analysis with 1,000 Monte Carlo iterations. In each iteration, every uncertain parameter was drawn independently from an assigned probability distribution, and the full Markov cohort simulation </w:t>
      </w:r>
      <w:r w:rsidRPr="006D0B07">
        <w:rPr>
          <w:sz w:val="22"/>
          <w:szCs w:val="22"/>
        </w:rPr>
        <w:lastRenderedPageBreak/>
        <w:t>was re-run to obtain the incremental costs, incremental QALYs, and net monetary benefit of each strategy. Distributions were assigned according to parameter type and the China Guidelines for Pharmacoeconomic Evaluations (2020): cost parameters (screening, lifestyle management, statin, antihypertensive, and CVD-event costs) were drawn from Gamma distributions (allowing only non-negative values and right skew); health-state utilities and the disutility per CVD event were drawn from Beta distributions bounded on the plausible interval; intervention hazard ratios (weight control, salt reduction, smoking cessation, statin, antihypertensive) were drawn on the log scale from log-normal distributions parameterized by the point estimate and 95% confidence interval reported in Table 2; and the natural-history transition intensities were sampled from log-normal distributions parameterized by the maximum-likelihood estimate and standard error from the multistate model. The discount rate (5%) and time horizon (10 years) were held fixed. Where a 95% confidence interval was available, the distribution was calibrated so that its 2.5th and 97.5th percentiles matched the reported interval; otherwise a standard error of ±20% of the mean was assumed. Results were summarized on the cost-effectiveness plane (Figure 3), which shows the 1,000 paired incremental estimates per strategy together with the mean, and on the cost-effectiveness acceptability frontier (Figure 4), which reports, across willingness-to-pay thresholds from ¥0 to ¥90,000/QALY, the probability that each option yields the greatest net monetary benefit within each iteration. At the ¥90,000/QALY threshold, Strategy 3 had the highest probability (~99%) of being optimal. All simulations used a fixed random seed to ensure reproducibility.</w:t>
      </w:r>
    </w:p>
    <w:sectPr w:rsidR="006D0B07" w:rsidRPr="00BB693F" w:rsidSect="00BB693F">
      <w:pgSz w:w="16838" w:h="11906" w:orient="landscape"/>
      <w:pgMar w:top="720" w:right="2521" w:bottom="72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A3DAE" w14:textId="77777777" w:rsidR="00EA0E8D" w:rsidRDefault="00EA0E8D" w:rsidP="009849FD">
      <w:r>
        <w:separator/>
      </w:r>
    </w:p>
  </w:endnote>
  <w:endnote w:type="continuationSeparator" w:id="0">
    <w:p w14:paraId="1C2E21DD" w14:textId="77777777" w:rsidR="00EA0E8D" w:rsidRDefault="00EA0E8D" w:rsidP="00984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B9782" w14:textId="77777777" w:rsidR="00EA0E8D" w:rsidRDefault="00EA0E8D" w:rsidP="009849FD">
      <w:r>
        <w:separator/>
      </w:r>
    </w:p>
  </w:footnote>
  <w:footnote w:type="continuationSeparator" w:id="0">
    <w:p w14:paraId="2ABDDD6D" w14:textId="77777777" w:rsidR="00EA0E8D" w:rsidRDefault="00EA0E8D" w:rsidP="009849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95"/>
    <w:rsid w:val="000D781F"/>
    <w:rsid w:val="001611E4"/>
    <w:rsid w:val="003368DB"/>
    <w:rsid w:val="003F4C7C"/>
    <w:rsid w:val="004B4CE2"/>
    <w:rsid w:val="00625F12"/>
    <w:rsid w:val="006D0B07"/>
    <w:rsid w:val="009849FD"/>
    <w:rsid w:val="00BB693F"/>
    <w:rsid w:val="00BC5802"/>
    <w:rsid w:val="00E97595"/>
    <w:rsid w:val="00EA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9966ED"/>
  <w15:chartTrackingRefBased/>
  <w15:docId w15:val="{56B498CA-ED9C-431E-829F-D8123C88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9FD"/>
    <w:pPr>
      <w:widowControl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7595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5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7595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7595"/>
    <w:pPr>
      <w:keepNext/>
      <w:keepLines/>
      <w:spacing w:before="80" w:after="40" w:line="278" w:lineRule="auto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7595"/>
    <w:pPr>
      <w:keepNext/>
      <w:keepLines/>
      <w:spacing w:before="80" w:after="40" w:line="278" w:lineRule="auto"/>
      <w:outlineLvl w:val="4"/>
    </w:pPr>
    <w:rPr>
      <w:rFonts w:asciiTheme="minorHAnsi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7595"/>
    <w:pPr>
      <w:keepNext/>
      <w:keepLines/>
      <w:spacing w:before="40" w:line="278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7595"/>
    <w:pPr>
      <w:keepNext/>
      <w:keepLines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7595"/>
    <w:pPr>
      <w:keepNext/>
      <w:keepLines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759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9759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975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975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9759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9759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9759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9759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9759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9759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9759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97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7595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975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7595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975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7595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9759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75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9759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759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849FD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cstheme="minorBidi"/>
      <w:kern w:val="2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849F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849FD"/>
    <w:pPr>
      <w:tabs>
        <w:tab w:val="center" w:pos="4153"/>
        <w:tab w:val="right" w:pos="8306"/>
      </w:tabs>
      <w:snapToGrid w:val="0"/>
      <w:spacing w:after="160"/>
    </w:pPr>
    <w:rPr>
      <w:rFonts w:asciiTheme="minorHAnsi" w:hAnsiTheme="minorHAnsi" w:cstheme="minorBidi"/>
      <w:kern w:val="2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849FD"/>
    <w:rPr>
      <w:sz w:val="18"/>
      <w:szCs w:val="18"/>
    </w:rPr>
  </w:style>
  <w:style w:type="paragraph" w:customStyle="1" w:styleId="FirstParagraph">
    <w:name w:val="First Paragraph"/>
    <w:basedOn w:val="af2"/>
    <w:next w:val="af2"/>
    <w:qFormat/>
    <w:rsid w:val="00625F12"/>
    <w:pPr>
      <w:widowControl/>
      <w:spacing w:before="180" w:after="180"/>
    </w:pPr>
    <w:rPr>
      <w:rFonts w:asciiTheme="minorHAnsi" w:hAnsiTheme="minorHAnsi" w:cstheme="minorBidi"/>
      <w:sz w:val="24"/>
      <w:szCs w:val="24"/>
      <w:lang w:eastAsia="en-US"/>
    </w:rPr>
  </w:style>
  <w:style w:type="paragraph" w:customStyle="1" w:styleId="Compact">
    <w:name w:val="Compact"/>
    <w:basedOn w:val="af2"/>
    <w:qFormat/>
    <w:rsid w:val="00625F12"/>
    <w:pPr>
      <w:widowControl/>
      <w:spacing w:before="36" w:after="36"/>
    </w:pPr>
    <w:rPr>
      <w:rFonts w:asciiTheme="minorHAnsi" w:hAnsiTheme="minorHAnsi" w:cstheme="minorBidi"/>
      <w:sz w:val="24"/>
      <w:szCs w:val="24"/>
      <w:lang w:eastAsia="en-US"/>
    </w:rPr>
  </w:style>
  <w:style w:type="table" w:customStyle="1" w:styleId="Table">
    <w:name w:val="Table"/>
    <w:semiHidden/>
    <w:unhideWhenUsed/>
    <w:qFormat/>
    <w:rsid w:val="00625F12"/>
    <w:pPr>
      <w:spacing w:after="200" w:line="240" w:lineRule="auto"/>
    </w:pPr>
    <w:rPr>
      <w:kern w:val="0"/>
      <w:sz w:val="24"/>
      <w:lang w:eastAsia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af2">
    <w:name w:val="Body Text"/>
    <w:basedOn w:val="a"/>
    <w:link w:val="af3"/>
    <w:uiPriority w:val="99"/>
    <w:semiHidden/>
    <w:unhideWhenUsed/>
    <w:rsid w:val="00625F12"/>
    <w:pPr>
      <w:spacing w:after="120"/>
    </w:pPr>
  </w:style>
  <w:style w:type="character" w:customStyle="1" w:styleId="af3">
    <w:name w:val="正文文本 字符"/>
    <w:basedOn w:val="a0"/>
    <w:link w:val="af2"/>
    <w:uiPriority w:val="99"/>
    <w:semiHidden/>
    <w:rsid w:val="00625F12"/>
    <w:rPr>
      <w:rFonts w:ascii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980</Words>
  <Characters>5698</Characters>
  <Application>Microsoft Office Word</Application>
  <DocSecurity>0</DocSecurity>
  <Lines>80</Lines>
  <Paragraphs>24</Paragraphs>
  <ScaleCrop>false</ScaleCrop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pingting yang</dc:creator>
  <cp:keywords/>
  <dc:description/>
  <cp:lastModifiedBy>pingting yang</cp:lastModifiedBy>
  <cp:revision>5</cp:revision>
  <dcterms:created xsi:type="dcterms:W3CDTF">2026-09-04T02:33:00Z</dcterms:created>
  <dcterms:modified xsi:type="dcterms:W3CDTF">2026-09-05T06:27:00Z</dcterms:modified>
</cp:coreProperties>
</file>