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983" w:rsidRPr="00471CC9" w:rsidRDefault="006E3983" w:rsidP="004E797B">
      <w:pPr>
        <w:jc w:val="center"/>
        <w:rPr>
          <w:b/>
          <w:sz w:val="32"/>
          <w:szCs w:val="32"/>
        </w:rPr>
      </w:pPr>
      <w:bookmarkStart w:id="0" w:name="_Toc37863599"/>
      <w:bookmarkStart w:id="1" w:name="_Toc47195077"/>
      <w:r w:rsidRPr="00471CC9">
        <w:rPr>
          <w:b/>
          <w:sz w:val="32"/>
          <w:szCs w:val="32"/>
        </w:rPr>
        <w:t>Conceptual framework for increasing legitimacy and trust of sustainability governance</w:t>
      </w:r>
    </w:p>
    <w:p w:rsidR="006E3983" w:rsidRPr="00471CC9" w:rsidRDefault="006E3983" w:rsidP="004E797B">
      <w:pPr>
        <w:jc w:val="center"/>
      </w:pPr>
    </w:p>
    <w:p w:rsidR="006E3983" w:rsidRPr="00471CC9" w:rsidRDefault="006E3983" w:rsidP="004E797B">
      <w:pPr>
        <w:jc w:val="center"/>
      </w:pPr>
    </w:p>
    <w:p w:rsidR="006E3983" w:rsidRPr="00471CC9" w:rsidRDefault="006E3983" w:rsidP="004E797B">
      <w:pPr>
        <w:jc w:val="center"/>
      </w:pPr>
      <w:r w:rsidRPr="00471CC9">
        <w:t>Inge Stupak</w:t>
      </w:r>
      <w:r w:rsidRPr="00471CC9">
        <w:rPr>
          <w:vertAlign w:val="superscript"/>
        </w:rPr>
        <w:t>a</w:t>
      </w:r>
      <w:r w:rsidR="009C73E8">
        <w:rPr>
          <w:vertAlign w:val="superscript"/>
        </w:rPr>
        <w:t>,</w:t>
      </w:r>
      <w:r w:rsidR="009C73E8" w:rsidRPr="009C73E8">
        <w:t>*</w:t>
      </w:r>
      <w:r w:rsidRPr="00471CC9">
        <w:t>, Maha Mansoor</w:t>
      </w:r>
      <w:r w:rsidRPr="00471CC9">
        <w:rPr>
          <w:vertAlign w:val="superscript"/>
        </w:rPr>
        <w:t>b</w:t>
      </w:r>
      <w:r w:rsidRPr="00471CC9">
        <w:t>, C. Tattersall Smith</w:t>
      </w:r>
      <w:r w:rsidRPr="00471CC9">
        <w:rPr>
          <w:vertAlign w:val="superscript"/>
        </w:rPr>
        <w:t xml:space="preserve">b </w:t>
      </w:r>
    </w:p>
    <w:p w:rsidR="006E3983" w:rsidRPr="00471CC9" w:rsidRDefault="006E3983" w:rsidP="004E797B">
      <w:pPr>
        <w:jc w:val="center"/>
      </w:pPr>
    </w:p>
    <w:p w:rsidR="006E3983" w:rsidRPr="00471CC9" w:rsidRDefault="006E3983" w:rsidP="004E797B">
      <w:pPr>
        <w:rPr>
          <w:vertAlign w:val="superscript"/>
        </w:rPr>
      </w:pPr>
    </w:p>
    <w:p w:rsidR="006E3983" w:rsidRPr="00471CC9" w:rsidRDefault="006E3983" w:rsidP="004E797B">
      <w:pPr>
        <w:rPr>
          <w:vertAlign w:val="superscript"/>
        </w:rPr>
      </w:pPr>
    </w:p>
    <w:p w:rsidR="006E3983" w:rsidRPr="00471CC9" w:rsidRDefault="006E3983" w:rsidP="004E797B">
      <w:r w:rsidRPr="00471CC9">
        <w:rPr>
          <w:vertAlign w:val="superscript"/>
        </w:rPr>
        <w:t>a</w:t>
      </w:r>
      <w:r w:rsidRPr="00471CC9">
        <w:t xml:space="preserve">Department of Geosciences and Natural Resource Management, </w:t>
      </w:r>
      <w:r w:rsidR="00075E3C" w:rsidRPr="00471CC9">
        <w:t>University</w:t>
      </w:r>
      <w:r w:rsidRPr="00471CC9">
        <w:t xml:space="preserve"> of Copenhagen, Rolighedsvej 23, DK-1958 Frederiksberg C, Denmark, ism@ign.ku.dk</w:t>
      </w:r>
    </w:p>
    <w:p w:rsidR="006E3983" w:rsidRPr="00471CC9" w:rsidRDefault="006E3983" w:rsidP="004E797B"/>
    <w:p w:rsidR="006E3983" w:rsidRPr="00471CC9" w:rsidRDefault="006E3983" w:rsidP="004E797B">
      <w:r w:rsidRPr="00471CC9">
        <w:rPr>
          <w:vertAlign w:val="superscript"/>
        </w:rPr>
        <w:t>b</w:t>
      </w:r>
      <w:r w:rsidRPr="00471CC9">
        <w:t>University of Toronto, Canada, mahamansoor@outlook.com, tat.smith@utoronto.ca</w:t>
      </w:r>
    </w:p>
    <w:p w:rsidR="006E3983" w:rsidRPr="00471CC9" w:rsidRDefault="006E3983" w:rsidP="004E797B">
      <w:pPr>
        <w:spacing w:after="160" w:line="259" w:lineRule="auto"/>
        <w:rPr>
          <w:b/>
          <w:color w:val="FF0000"/>
        </w:rPr>
      </w:pPr>
    </w:p>
    <w:p w:rsidR="006E3983" w:rsidRPr="00471CC9" w:rsidRDefault="006E3983" w:rsidP="004E797B">
      <w:r w:rsidRPr="009C73E8">
        <w:t>*</w:t>
      </w:r>
      <w:r w:rsidRPr="00471CC9">
        <w:t>corresponding author, ism@ign.ku.dk</w:t>
      </w:r>
    </w:p>
    <w:p w:rsidR="006E3983" w:rsidRPr="00471CC9" w:rsidRDefault="006E3983" w:rsidP="004E797B">
      <w:pPr>
        <w:pStyle w:val="Heading1"/>
        <w:numPr>
          <w:ilvl w:val="0"/>
          <w:numId w:val="0"/>
        </w:numPr>
        <w:jc w:val="center"/>
      </w:pPr>
    </w:p>
    <w:p w:rsidR="006E3983" w:rsidRPr="00471CC9" w:rsidRDefault="006E3983" w:rsidP="004E797B">
      <w:pPr>
        <w:pStyle w:val="Heading1"/>
        <w:numPr>
          <w:ilvl w:val="0"/>
          <w:numId w:val="0"/>
        </w:numPr>
        <w:jc w:val="center"/>
      </w:pPr>
    </w:p>
    <w:p w:rsidR="006E3983" w:rsidRDefault="006E3983" w:rsidP="004E797B">
      <w:pPr>
        <w:pStyle w:val="Heading1"/>
        <w:numPr>
          <w:ilvl w:val="0"/>
          <w:numId w:val="0"/>
        </w:numPr>
        <w:jc w:val="center"/>
      </w:pPr>
      <w:r w:rsidRPr="00471CC9">
        <w:t>Supplementary</w:t>
      </w:r>
      <w:bookmarkEnd w:id="0"/>
      <w:bookmarkEnd w:id="1"/>
    </w:p>
    <w:p w:rsidR="00FC4AAF" w:rsidRDefault="00FC4AAF" w:rsidP="00FC4AAF"/>
    <w:p w:rsidR="00FC4AAF" w:rsidRDefault="00FC4AAF" w:rsidP="00FC4AAF">
      <w:pPr>
        <w:jc w:val="center"/>
      </w:pPr>
    </w:p>
    <w:p w:rsidR="00FC4AAF" w:rsidRDefault="00FC4AAF" w:rsidP="00FC4AAF">
      <w:pPr>
        <w:jc w:val="center"/>
      </w:pPr>
      <w:r>
        <w:t>Submitted to Energy Sustainability and Society</w:t>
      </w:r>
    </w:p>
    <w:p w:rsidR="00FC4AAF" w:rsidRDefault="00FC4AAF" w:rsidP="00FC4AAF">
      <w:pPr>
        <w:jc w:val="center"/>
      </w:pPr>
    </w:p>
    <w:p w:rsidR="00FC4AAF" w:rsidRPr="00FC4AAF" w:rsidRDefault="00FC4AAF" w:rsidP="00FC4AAF">
      <w:pPr>
        <w:jc w:val="center"/>
      </w:pPr>
      <w:r>
        <w:t>1</w:t>
      </w:r>
      <w:r w:rsidR="00660832">
        <w:t>9</w:t>
      </w:r>
      <w:r>
        <w:t xml:space="preserve">. </w:t>
      </w:r>
      <w:r w:rsidR="00660832">
        <w:t>January</w:t>
      </w:r>
      <w:r>
        <w:t xml:space="preserve"> 202</w:t>
      </w:r>
      <w:r w:rsidR="00660832">
        <w:t>1</w:t>
      </w:r>
    </w:p>
    <w:p w:rsidR="006E3983" w:rsidRPr="00471CC9" w:rsidRDefault="006E3983" w:rsidP="004E797B"/>
    <w:p w:rsidR="006E3983" w:rsidRPr="00471CC9" w:rsidRDefault="006E3983" w:rsidP="004E797B"/>
    <w:p w:rsidR="006E3983" w:rsidRPr="00471CC9" w:rsidRDefault="006E3983" w:rsidP="004E797B"/>
    <w:p w:rsidR="005F2FE8" w:rsidRDefault="005F2FE8">
      <w:pPr>
        <w:spacing w:after="200" w:line="276" w:lineRule="auto"/>
        <w:rPr>
          <w:b/>
          <w:sz w:val="28"/>
          <w:szCs w:val="28"/>
          <w:lang w:val="en-US"/>
        </w:rPr>
      </w:pPr>
      <w:r>
        <w:rPr>
          <w:b/>
          <w:sz w:val="28"/>
          <w:szCs w:val="28"/>
          <w:lang w:val="en-US"/>
        </w:rPr>
        <w:br w:type="page"/>
      </w:r>
    </w:p>
    <w:p w:rsidR="005F2FE8" w:rsidRDefault="005F2FE8" w:rsidP="005F2FE8">
      <w:pPr>
        <w:tabs>
          <w:tab w:val="left" w:pos="426"/>
          <w:tab w:val="left" w:pos="993"/>
        </w:tabs>
        <w:rPr>
          <w:b/>
          <w:sz w:val="28"/>
          <w:szCs w:val="28"/>
          <w:lang w:val="en-US"/>
        </w:rPr>
      </w:pPr>
      <w:r w:rsidRPr="00C5671D">
        <w:rPr>
          <w:b/>
          <w:sz w:val="28"/>
          <w:szCs w:val="28"/>
          <w:lang w:val="en-US"/>
        </w:rPr>
        <w:lastRenderedPageBreak/>
        <w:t>Table of Contents</w:t>
      </w:r>
      <w:r>
        <w:rPr>
          <w:b/>
          <w:sz w:val="28"/>
          <w:szCs w:val="28"/>
          <w:lang w:val="en-US"/>
        </w:rPr>
        <w:t xml:space="preserve"> of the main text of the article</w:t>
      </w:r>
    </w:p>
    <w:p w:rsidR="005F2FE8" w:rsidRPr="00C5671D" w:rsidRDefault="005F2FE8" w:rsidP="005F2FE8">
      <w:pPr>
        <w:tabs>
          <w:tab w:val="left" w:pos="426"/>
          <w:tab w:val="left" w:pos="993"/>
        </w:tabs>
        <w:rPr>
          <w:b/>
          <w:sz w:val="28"/>
          <w:szCs w:val="28"/>
          <w:lang w:val="en-US"/>
        </w:rPr>
      </w:pP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INTRODUCTION</w:t>
      </w: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THE EXAMPLE OF BIOENERGY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BIOENERGY POLICY AND SECTOR DEVELOPMENT</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BIOECONOMY POLICIES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THE CONFLICTING VIEWS OVER THE SUSTAINABILITY OF BIOENERGY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GOVERNANCE AS A TOOL TO RECONCILE CONFLICTING VIEWS OVE</w:t>
      </w:r>
      <w:r w:rsidR="00C92696">
        <w:rPr>
          <w:sz w:val="18"/>
          <w:szCs w:val="18"/>
          <w:lang w:val="en-US"/>
        </w:rPr>
        <w:t xml:space="preserve">R SUSTAINABILITY </w:t>
      </w:r>
      <w:r w:rsidRPr="00C5671D">
        <w:rPr>
          <w:sz w:val="18"/>
          <w:szCs w:val="18"/>
          <w:lang w:val="en-US"/>
        </w:rPr>
        <w:t>OF BIOENERGY</w:t>
      </w: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APPROACH</w:t>
      </w: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UNDERLYING PREMISES, CONCEPTS, AND TERMINOLOGY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PREMISES</w:t>
      </w:r>
    </w:p>
    <w:p w:rsidR="005F2FE8" w:rsidRPr="00C5671D" w:rsidRDefault="005F2FE8" w:rsidP="00C92696">
      <w:pPr>
        <w:tabs>
          <w:tab w:val="left" w:pos="426"/>
          <w:tab w:val="left" w:pos="993"/>
        </w:tabs>
        <w:spacing w:after="20"/>
        <w:ind w:left="1134" w:hanging="1134"/>
        <w:rPr>
          <w:sz w:val="18"/>
          <w:szCs w:val="18"/>
          <w:lang w:val="en-US"/>
        </w:rPr>
      </w:pPr>
      <w:r w:rsidRPr="00C5671D">
        <w:rPr>
          <w:sz w:val="18"/>
          <w:szCs w:val="18"/>
          <w:lang w:val="en-US"/>
        </w:rPr>
        <w:tab/>
      </w:r>
      <w:r w:rsidRPr="00C5671D">
        <w:rPr>
          <w:sz w:val="18"/>
          <w:szCs w:val="18"/>
          <w:lang w:val="en-US"/>
        </w:rPr>
        <w:tab/>
        <w:t>Human choices about our activities significantly impact life on Earth and there is a duty to care to transition towards more sustainable societies</w:t>
      </w:r>
    </w:p>
    <w:p w:rsidR="005F2FE8" w:rsidRPr="00C5671D" w:rsidRDefault="005F2FE8" w:rsidP="00C92696">
      <w:pPr>
        <w:tabs>
          <w:tab w:val="left" w:pos="426"/>
          <w:tab w:val="left" w:pos="993"/>
        </w:tabs>
        <w:spacing w:after="20"/>
        <w:ind w:left="1276" w:hanging="1276"/>
        <w:rPr>
          <w:sz w:val="18"/>
          <w:szCs w:val="18"/>
          <w:lang w:val="en-US"/>
        </w:rPr>
      </w:pPr>
      <w:r w:rsidRPr="00C5671D">
        <w:rPr>
          <w:sz w:val="18"/>
          <w:szCs w:val="18"/>
          <w:lang w:val="en-US"/>
        </w:rPr>
        <w:tab/>
      </w:r>
      <w:r w:rsidRPr="00C5671D">
        <w:rPr>
          <w:sz w:val="18"/>
          <w:szCs w:val="18"/>
          <w:lang w:val="en-US"/>
        </w:rPr>
        <w:tab/>
        <w:t>Societal trust is needed to transition towards more sustainable societies and governance is a tool</w:t>
      </w:r>
    </w:p>
    <w:p w:rsidR="005F2FE8" w:rsidRPr="00C5671D" w:rsidRDefault="005F2FE8" w:rsidP="00C92696">
      <w:pPr>
        <w:tabs>
          <w:tab w:val="left" w:pos="426"/>
          <w:tab w:val="left" w:pos="993"/>
        </w:tabs>
        <w:spacing w:after="20"/>
        <w:ind w:left="1276" w:hanging="1276"/>
        <w:rPr>
          <w:sz w:val="18"/>
          <w:szCs w:val="18"/>
          <w:lang w:val="en-US"/>
        </w:rPr>
      </w:pPr>
      <w:r w:rsidRPr="00C5671D">
        <w:rPr>
          <w:sz w:val="18"/>
          <w:szCs w:val="18"/>
          <w:lang w:val="en-US"/>
        </w:rPr>
        <w:tab/>
      </w:r>
      <w:r w:rsidRPr="00C5671D">
        <w:rPr>
          <w:sz w:val="18"/>
          <w:szCs w:val="18"/>
          <w:lang w:val="en-US"/>
        </w:rPr>
        <w:tab/>
        <w:t>Cooperation is needed to shape good sustainability governance systems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KEY CONCEPTS AND TERMINOLOGY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Sustainability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Sustainability transition</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Sustainability governance</w:t>
      </w:r>
      <w:r w:rsidRPr="00C5671D">
        <w:rPr>
          <w:sz w:val="18"/>
          <w:szCs w:val="18"/>
          <w:lang w:val="en-US"/>
        </w:rPr>
        <w:tab/>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Trust</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Legitimacy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PRINCIPAL-AGENT RELATIONSHIPS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Types of agents and agent systems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The principal</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Principals’ motives to grant legitimacy and trust</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Agents’ strategies to achieve legitimacy and trust</w:t>
      </w: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ASSESSING IF SUSTAINABILITY GOVERNANCE SYSTEMS ARE GOOD</w:t>
      </w:r>
    </w:p>
    <w:p w:rsidR="005F2FE8" w:rsidRPr="00C5671D" w:rsidRDefault="005F2FE8" w:rsidP="00C92696">
      <w:pPr>
        <w:tabs>
          <w:tab w:val="left" w:pos="426"/>
          <w:tab w:val="left" w:pos="993"/>
        </w:tabs>
        <w:spacing w:after="20"/>
        <w:ind w:left="1134" w:hanging="1134"/>
        <w:rPr>
          <w:sz w:val="18"/>
          <w:szCs w:val="18"/>
          <w:lang w:val="en-US"/>
        </w:rPr>
      </w:pPr>
      <w:r w:rsidRPr="00C5671D">
        <w:rPr>
          <w:sz w:val="18"/>
          <w:szCs w:val="18"/>
          <w:lang w:val="en-US"/>
        </w:rPr>
        <w:tab/>
        <w:t>THE HISTORY OF THE GOOD GOVERNANCE CONCEPT AND EXISTING ASSESSMENT FRAMEWORKS</w:t>
      </w:r>
    </w:p>
    <w:p w:rsidR="005F2FE8" w:rsidRPr="00C5671D" w:rsidRDefault="005F2FE8" w:rsidP="00C92696">
      <w:pPr>
        <w:tabs>
          <w:tab w:val="left" w:pos="426"/>
          <w:tab w:val="left" w:pos="993"/>
        </w:tabs>
        <w:spacing w:after="20"/>
        <w:ind w:left="1134" w:hanging="1134"/>
        <w:rPr>
          <w:sz w:val="18"/>
          <w:szCs w:val="18"/>
          <w:lang w:val="en-US"/>
        </w:rPr>
      </w:pPr>
      <w:r w:rsidRPr="00C5671D">
        <w:rPr>
          <w:sz w:val="18"/>
          <w:szCs w:val="18"/>
          <w:lang w:val="en-US"/>
        </w:rPr>
        <w:tab/>
        <w:t>DEFINING GOOD SUSTAINABILITY GOVERNANCE AND PROPOSING AN ASSESSMENT FRAMEWORK</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INPUT LEGI</w:t>
      </w:r>
      <w:bookmarkStart w:id="2" w:name="_GoBack"/>
      <w:bookmarkEnd w:id="2"/>
      <w:r w:rsidRPr="00C5671D">
        <w:rPr>
          <w:sz w:val="18"/>
          <w:szCs w:val="18"/>
          <w:lang w:val="en-US"/>
        </w:rPr>
        <w:t>TIMACY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Defining input legitimacy and level of ambitions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Criteria for quality of the stakeholder participation</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OUTPUT LEGITIMACY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Defining output legitimacy and level of ambition</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Criteria for the governance system effectiveness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Criteria for the governance system efficiency</w:t>
      </w:r>
      <w:r w:rsidRPr="00C5671D">
        <w:rPr>
          <w:sz w:val="18"/>
          <w:szCs w:val="18"/>
          <w:lang w:val="en-US"/>
        </w:rPr>
        <w:tab/>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Policy content and style as a basis for assessing rule effectiveness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Types of enforcement strategies as a basis for assessing degree of enforcement</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THROUGHPUT LEGITIMACY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Defining throughput legitimacy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Criteria for governance system fairness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Criteria for governance system truthfulness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ADAPTIVE SUSTAINABILITY GOVERNANCE SYSTEMS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The need for adaptive governance</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Adaptive elements in existing governance systems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Adaptive sustainability governance model</w:t>
      </w:r>
    </w:p>
    <w:p w:rsidR="005F2FE8" w:rsidRPr="00C92696" w:rsidRDefault="005F2FE8" w:rsidP="00C92696">
      <w:pPr>
        <w:tabs>
          <w:tab w:val="left" w:pos="426"/>
          <w:tab w:val="left" w:pos="993"/>
        </w:tabs>
        <w:spacing w:after="20"/>
        <w:rPr>
          <w:b/>
          <w:sz w:val="22"/>
          <w:szCs w:val="22"/>
          <w:lang w:val="en-US"/>
        </w:rPr>
      </w:pPr>
      <w:r w:rsidRPr="00C92696">
        <w:rPr>
          <w:b/>
          <w:sz w:val="22"/>
          <w:szCs w:val="22"/>
          <w:lang w:val="en-US"/>
        </w:rPr>
        <w:t>CONCEPTUAL GOVERNANCE RESEARCH FRAMEWORK</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APPROACH</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TYPOLOGY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The three dimensions</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Methodological approaches in a policy study perspective</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r>
      <w:r w:rsidRPr="00C5671D">
        <w:rPr>
          <w:sz w:val="18"/>
          <w:szCs w:val="18"/>
          <w:lang w:val="en-US"/>
        </w:rPr>
        <w:tab/>
        <w:t>Links between the three dimensions of the typology</w:t>
      </w:r>
    </w:p>
    <w:p w:rsidR="005F2FE8" w:rsidRPr="00C5671D" w:rsidRDefault="005F2FE8" w:rsidP="00C92696">
      <w:pPr>
        <w:tabs>
          <w:tab w:val="left" w:pos="426"/>
          <w:tab w:val="left" w:pos="993"/>
        </w:tabs>
        <w:spacing w:after="20"/>
        <w:rPr>
          <w:sz w:val="18"/>
          <w:szCs w:val="18"/>
          <w:lang w:val="en-US"/>
        </w:rPr>
      </w:pPr>
      <w:r w:rsidRPr="00C5671D">
        <w:rPr>
          <w:sz w:val="18"/>
          <w:szCs w:val="18"/>
          <w:lang w:val="en-US"/>
        </w:rPr>
        <w:tab/>
        <w:t>THE GOVERNANCE RESEARCH FRAMEWORK AND ITS APPLICATION IN RESEARCH</w:t>
      </w:r>
    </w:p>
    <w:p w:rsidR="005F2FE8" w:rsidRPr="00C5671D" w:rsidRDefault="005F2FE8" w:rsidP="00C92696">
      <w:pPr>
        <w:tabs>
          <w:tab w:val="left" w:pos="426"/>
          <w:tab w:val="left" w:pos="993"/>
        </w:tabs>
        <w:spacing w:after="20"/>
        <w:ind w:left="709" w:hanging="283"/>
        <w:rPr>
          <w:sz w:val="18"/>
          <w:szCs w:val="18"/>
          <w:lang w:val="en-US"/>
        </w:rPr>
      </w:pPr>
      <w:r w:rsidRPr="00C5671D">
        <w:rPr>
          <w:sz w:val="18"/>
          <w:szCs w:val="18"/>
          <w:lang w:val="en-US"/>
        </w:rPr>
        <w:t>THE GOVERNANCE RESEARCH FRAMEWORK AND ITS APPLICATION TO PROVIDE POLICY RECOMMENDATIONS</w:t>
      </w:r>
    </w:p>
    <w:p w:rsidR="005F2FE8" w:rsidRPr="00C92696" w:rsidRDefault="005F2FE8" w:rsidP="00C92696">
      <w:pPr>
        <w:tabs>
          <w:tab w:val="left" w:pos="426"/>
          <w:tab w:val="left" w:pos="993"/>
        </w:tabs>
        <w:spacing w:after="20"/>
        <w:rPr>
          <w:b/>
          <w:sz w:val="22"/>
          <w:szCs w:val="22"/>
        </w:rPr>
      </w:pPr>
      <w:r w:rsidRPr="00C92696">
        <w:rPr>
          <w:b/>
          <w:sz w:val="22"/>
          <w:szCs w:val="22"/>
        </w:rPr>
        <w:t>OUTLOOK</w:t>
      </w:r>
    </w:p>
    <w:p w:rsidR="00A041DB" w:rsidRPr="00C92696" w:rsidRDefault="005F2FE8" w:rsidP="00C92696">
      <w:pPr>
        <w:tabs>
          <w:tab w:val="left" w:pos="426"/>
          <w:tab w:val="left" w:pos="993"/>
        </w:tabs>
        <w:spacing w:after="20"/>
        <w:rPr>
          <w:b/>
          <w:sz w:val="22"/>
          <w:szCs w:val="22"/>
          <w:lang w:val="en-GB"/>
        </w:rPr>
      </w:pPr>
      <w:r w:rsidRPr="00C92696">
        <w:rPr>
          <w:b/>
          <w:sz w:val="22"/>
          <w:szCs w:val="22"/>
          <w:lang w:val="en-GB"/>
        </w:rPr>
        <w:t>CONCLUSION</w:t>
      </w:r>
    </w:p>
    <w:p w:rsidR="006E3983" w:rsidRPr="00471CC9" w:rsidRDefault="006E3983" w:rsidP="004E797B">
      <w:pPr>
        <w:spacing w:after="160" w:line="259" w:lineRule="auto"/>
        <w:rPr>
          <w:rFonts w:ascii="Verdana" w:hAnsi="Verdana"/>
          <w:sz w:val="22"/>
          <w:szCs w:val="22"/>
        </w:rPr>
        <w:sectPr w:rsidR="006E3983" w:rsidRPr="00471CC9" w:rsidSect="004E797B">
          <w:footerReference w:type="default" r:id="rId8"/>
          <w:pgSz w:w="11906" w:h="16838"/>
          <w:pgMar w:top="1701" w:right="1134" w:bottom="1701" w:left="1134" w:header="708" w:footer="708" w:gutter="0"/>
          <w:cols w:space="708"/>
          <w:docGrid w:linePitch="360"/>
        </w:sectPr>
      </w:pPr>
    </w:p>
    <w:p w:rsidR="006E3983" w:rsidRPr="00471CC9" w:rsidRDefault="006E3983" w:rsidP="004E797B">
      <w:pPr>
        <w:rPr>
          <w:sz w:val="20"/>
          <w:szCs w:val="20"/>
        </w:rPr>
      </w:pPr>
      <w:r w:rsidRPr="00471CC9">
        <w:rPr>
          <w:b/>
          <w:sz w:val="20"/>
          <w:szCs w:val="20"/>
        </w:rPr>
        <w:lastRenderedPageBreak/>
        <w:t>Table S1</w:t>
      </w:r>
      <w:r w:rsidRPr="00471CC9">
        <w:rPr>
          <w:sz w:val="20"/>
          <w:szCs w:val="20"/>
        </w:rPr>
        <w:t xml:space="preserve"> Benchmark of principles and criteria for “good governance” across different systems described in the literature [1-9], grouped by the authors of this paper under four different “principles” that largely correspond to the tripartite legitimacy concept, with an additional category for substantive content. Numbers in round brackets refer to the number of the principle in the original publication.</w:t>
      </w:r>
    </w:p>
    <w:tbl>
      <w:tblPr>
        <w:tblW w:w="12631" w:type="dxa"/>
        <w:tblCellMar>
          <w:left w:w="0" w:type="dxa"/>
          <w:right w:w="0" w:type="dxa"/>
        </w:tblCellMar>
        <w:tblLook w:val="04A0" w:firstRow="1" w:lastRow="0" w:firstColumn="1" w:lastColumn="0" w:noHBand="0" w:noVBand="1"/>
      </w:tblPr>
      <w:tblGrid>
        <w:gridCol w:w="1164"/>
        <w:gridCol w:w="1686"/>
        <w:gridCol w:w="1560"/>
        <w:gridCol w:w="1984"/>
        <w:gridCol w:w="1100"/>
        <w:gridCol w:w="885"/>
        <w:gridCol w:w="1074"/>
        <w:gridCol w:w="1004"/>
        <w:gridCol w:w="1142"/>
        <w:gridCol w:w="1032"/>
      </w:tblGrid>
      <w:tr w:rsidR="006E3983" w:rsidRPr="00471CC9" w:rsidTr="004E797B">
        <w:trPr>
          <w:trHeight w:val="259"/>
        </w:trPr>
        <w:tc>
          <w:tcPr>
            <w:tcW w:w="1164" w:type="dxa"/>
            <w:vMerge w:val="restart"/>
            <w:tcBorders>
              <w:right w:val="single" w:sz="4" w:space="0" w:color="FFFFFF" w:themeColor="background1"/>
            </w:tcBorders>
            <w:shd w:val="clear" w:color="auto" w:fill="7D7D7D"/>
            <w:tcMar>
              <w:top w:w="15" w:type="dxa"/>
              <w:left w:w="15" w:type="dxa"/>
              <w:bottom w:w="0" w:type="dxa"/>
              <w:right w:w="15" w:type="dxa"/>
            </w:tcMar>
          </w:tcPr>
          <w:p w:rsidR="006E3983" w:rsidRPr="00471CC9" w:rsidRDefault="006E3983" w:rsidP="004E797B">
            <w:pPr>
              <w:rPr>
                <w:color w:val="FFFFFF" w:themeColor="background1"/>
                <w:sz w:val="15"/>
                <w:szCs w:val="15"/>
              </w:rPr>
            </w:pPr>
            <w:r w:rsidRPr="00471CC9">
              <w:rPr>
                <w:color w:val="FFFFFF" w:themeColor="background1"/>
                <w:sz w:val="15"/>
                <w:szCs w:val="15"/>
              </w:rPr>
              <w:t>Principle</w:t>
            </w:r>
          </w:p>
        </w:tc>
        <w:tc>
          <w:tcPr>
            <w:tcW w:w="52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jc w:val="center"/>
              <w:rPr>
                <w:color w:val="000000"/>
                <w:sz w:val="15"/>
                <w:szCs w:val="15"/>
              </w:rPr>
            </w:pPr>
            <w:r w:rsidRPr="00471CC9">
              <w:rPr>
                <w:color w:val="000000"/>
                <w:sz w:val="15"/>
                <w:szCs w:val="15"/>
              </w:rPr>
              <w:t>Governmental governance</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jc w:val="center"/>
              <w:rPr>
                <w:color w:val="000000"/>
                <w:sz w:val="15"/>
                <w:szCs w:val="15"/>
              </w:rPr>
            </w:pPr>
            <w:r w:rsidRPr="00471CC9">
              <w:rPr>
                <w:color w:val="000000"/>
                <w:sz w:val="15"/>
                <w:szCs w:val="15"/>
              </w:rPr>
              <w:t>Private governance</w:t>
            </w:r>
          </w:p>
        </w:tc>
        <w:tc>
          <w:tcPr>
            <w:tcW w:w="513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jc w:val="center"/>
              <w:rPr>
                <w:color w:val="000000"/>
                <w:sz w:val="15"/>
                <w:szCs w:val="15"/>
              </w:rPr>
            </w:pPr>
            <w:r w:rsidRPr="00471CC9">
              <w:rPr>
                <w:color w:val="000000"/>
                <w:sz w:val="15"/>
                <w:szCs w:val="15"/>
              </w:rPr>
              <w:t>Scientific studies (by example)</w:t>
            </w:r>
          </w:p>
        </w:tc>
      </w:tr>
      <w:tr w:rsidR="006E3983" w:rsidRPr="00471CC9" w:rsidTr="004E797B">
        <w:trPr>
          <w:trHeight w:val="259"/>
        </w:trPr>
        <w:tc>
          <w:tcPr>
            <w:tcW w:w="1164" w:type="dxa"/>
            <w:vMerge/>
            <w:tcBorders>
              <w:right w:val="single" w:sz="4" w:space="0" w:color="FFFFFF" w:themeColor="background1"/>
            </w:tcBorders>
            <w:shd w:val="clear" w:color="auto" w:fill="7D7D7D"/>
            <w:tcMar>
              <w:top w:w="15" w:type="dxa"/>
              <w:left w:w="15" w:type="dxa"/>
              <w:bottom w:w="0" w:type="dxa"/>
              <w:right w:w="15" w:type="dxa"/>
            </w:tcMa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jc w:val="both"/>
              <w:rPr>
                <w:color w:val="000000"/>
                <w:sz w:val="15"/>
                <w:szCs w:val="15"/>
              </w:rPr>
            </w:pPr>
            <w:r w:rsidRPr="00471CC9">
              <w:rPr>
                <w:color w:val="000000"/>
                <w:sz w:val="15"/>
                <w:szCs w:val="15"/>
              </w:rPr>
              <w:t>Global</w:t>
            </w:r>
          </w:p>
        </w:tc>
        <w:tc>
          <w:tcPr>
            <w:tcW w:w="354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jc w:val="center"/>
              <w:rPr>
                <w:color w:val="000000"/>
                <w:sz w:val="15"/>
                <w:szCs w:val="15"/>
              </w:rPr>
            </w:pPr>
            <w:r w:rsidRPr="00471CC9">
              <w:rPr>
                <w:color w:val="000000"/>
                <w:sz w:val="15"/>
                <w:szCs w:val="15"/>
              </w:rPr>
              <w:t>Regional</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Global</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Government</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Climate</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Forestry</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xml:space="preserve">Maritime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Pr>
          <w:p w:rsidR="006E3983" w:rsidRPr="00471CC9" w:rsidRDefault="006E3983" w:rsidP="004E797B">
            <w:pPr>
              <w:rPr>
                <w:color w:val="000000"/>
                <w:sz w:val="15"/>
                <w:szCs w:val="15"/>
              </w:rPr>
            </w:pPr>
            <w:r w:rsidRPr="00471CC9">
              <w:rPr>
                <w:color w:val="000000"/>
                <w:sz w:val="15"/>
                <w:szCs w:val="15"/>
              </w:rPr>
              <w:t xml:space="preserve">EU multilevel </w:t>
            </w:r>
          </w:p>
        </w:tc>
      </w:tr>
      <w:tr w:rsidR="006E3983" w:rsidRPr="00471CC9" w:rsidTr="004E797B">
        <w:trPr>
          <w:trHeight w:val="259"/>
        </w:trPr>
        <w:tc>
          <w:tcPr>
            <w:tcW w:w="1164" w:type="dxa"/>
            <w:vMerge/>
            <w:tcBorders>
              <w:bottom w:val="single" w:sz="4" w:space="0" w:color="FFFFFF" w:themeColor="background1"/>
              <w:right w:val="single" w:sz="4" w:space="0" w:color="FFFFFF" w:themeColor="background1"/>
            </w:tcBorders>
            <w:shd w:val="clear" w:color="auto" w:fill="7D7D7D"/>
            <w:tcMar>
              <w:top w:w="15" w:type="dxa"/>
              <w:left w:w="15" w:type="dxa"/>
              <w:bottom w:w="0" w:type="dxa"/>
              <w:right w:w="15" w:type="dxa"/>
            </w:tcMa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World Bank WGI </w:t>
            </w:r>
            <w:r w:rsidRPr="00471CC9">
              <w:rPr>
                <w:noProof/>
                <w:sz w:val="15"/>
                <w:szCs w:val="15"/>
              </w:rPr>
              <w:t>[1]</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UNESCAP.</w:t>
            </w:r>
            <w:r w:rsidRPr="00471CC9">
              <w:rPr>
                <w:noProof/>
                <w:sz w:val="15"/>
                <w:szCs w:val="15"/>
              </w:rPr>
              <w:t>[2]</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Council of Europe </w:t>
            </w:r>
            <w:r w:rsidRPr="00471CC9">
              <w:rPr>
                <w:noProof/>
                <w:sz w:val="15"/>
                <w:szCs w:val="15"/>
              </w:rPr>
              <w:t>[3]</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ISEAL </w:t>
            </w:r>
            <w:r w:rsidRPr="00471CC9">
              <w:rPr>
                <w:noProof/>
                <w:sz w:val="15"/>
                <w:szCs w:val="15"/>
              </w:rPr>
              <w:t>[4]</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Rothstein </w:t>
            </w:r>
            <w:r w:rsidRPr="00471CC9">
              <w:rPr>
                <w:noProof/>
                <w:sz w:val="15"/>
                <w:szCs w:val="15"/>
              </w:rPr>
              <w:t>[5]</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Davidovic and Harring </w:t>
            </w:r>
            <w:r w:rsidRPr="00471CC9">
              <w:rPr>
                <w:noProof/>
                <w:sz w:val="15"/>
                <w:szCs w:val="15"/>
              </w:rPr>
              <w:t>[6]</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Göhler et al. </w:t>
            </w:r>
            <w:r w:rsidRPr="00471CC9">
              <w:rPr>
                <w:noProof/>
                <w:sz w:val="15"/>
                <w:szCs w:val="15"/>
              </w:rPr>
              <w:t>[7]</w:t>
            </w:r>
            <w:r w:rsidRPr="00471CC9">
              <w:rPr>
                <w:sz w:val="15"/>
                <w:szCs w:val="15"/>
              </w:rPr>
              <w:t xml:space="preserve">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 xml:space="preserve">Bennett and Sattersfield </w:t>
            </w:r>
            <w:r w:rsidRPr="00471CC9">
              <w:rPr>
                <w:noProof/>
                <w:sz w:val="15"/>
                <w:szCs w:val="15"/>
              </w:rPr>
              <w:t>[8]</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5"/>
                <w:szCs w:val="15"/>
              </w:rPr>
            </w:pPr>
            <w:r w:rsidRPr="00471CC9">
              <w:rPr>
                <w:sz w:val="15"/>
                <w:szCs w:val="15"/>
              </w:rPr>
              <w:t xml:space="preserve">Schmidt and Wood </w:t>
            </w:r>
            <w:r w:rsidRPr="00471CC9">
              <w:rPr>
                <w:noProof/>
                <w:sz w:val="15"/>
                <w:szCs w:val="15"/>
              </w:rPr>
              <w:t>[9]</w:t>
            </w:r>
          </w:p>
        </w:tc>
      </w:tr>
      <w:tr w:rsidR="006E3983" w:rsidRPr="00471CC9" w:rsidTr="004E797B">
        <w:trPr>
          <w:trHeight w:val="55"/>
        </w:trPr>
        <w:tc>
          <w:tcPr>
            <w:tcW w:w="1164" w:type="dxa"/>
            <w:vMerge w:val="restart"/>
            <w:tcBorders>
              <w:top w:val="single" w:sz="4" w:space="0" w:color="FFFFFF" w:themeColor="background1"/>
              <w:right w:val="single" w:sz="4" w:space="0" w:color="FFFFFF" w:themeColor="background1"/>
            </w:tcBorders>
            <w:shd w:val="clear" w:color="auto" w:fill="D9D9D9"/>
            <w:tcMar>
              <w:top w:w="15" w:type="dxa"/>
              <w:left w:w="15" w:type="dxa"/>
              <w:bottom w:w="0" w:type="dxa"/>
              <w:right w:w="15" w:type="dxa"/>
            </w:tcMar>
          </w:tcPr>
          <w:p w:rsidR="006E3983" w:rsidRPr="00471CC9" w:rsidRDefault="006E3983" w:rsidP="004E797B">
            <w:pPr>
              <w:rPr>
                <w:sz w:val="15"/>
                <w:szCs w:val="15"/>
              </w:rPr>
            </w:pPr>
            <w:r w:rsidRPr="00471CC9">
              <w:rPr>
                <w:sz w:val="15"/>
                <w:szCs w:val="15"/>
              </w:rPr>
              <w:t>Justice, impartiality, accountability, transparency, truthfulness</w:t>
            </w:r>
          </w:p>
          <w:p w:rsidR="006E3983" w:rsidRPr="00471CC9" w:rsidRDefault="006E3983" w:rsidP="004E797B">
            <w:pPr>
              <w:rPr>
                <w:sz w:val="15"/>
                <w:szCs w:val="15"/>
              </w:rPr>
            </w:pPr>
            <w:r w:rsidRPr="00471CC9">
              <w:rPr>
                <w:sz w:val="15"/>
                <w:szCs w:val="15"/>
              </w:rPr>
              <w:t>(throughput legitimacy)</w:t>
            </w:r>
          </w:p>
          <w:p w:rsidR="006E3983" w:rsidRPr="00471CC9" w:rsidRDefault="006E3983" w:rsidP="004E797B">
            <w:pPr>
              <w:rPr>
                <w:sz w:val="15"/>
                <w:szCs w:val="15"/>
              </w:rPr>
            </w:pPr>
            <w:r w:rsidRPr="00471CC9">
              <w:rPr>
                <w:sz w:val="15"/>
                <w:szCs w:val="15"/>
              </w:rPr>
              <w:t> </w:t>
            </w: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Impartiality (6)</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Impartiality</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1164" w:type="dxa"/>
            <w:vMerge/>
            <w:tcBorders>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Rule of Law (5)</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Rule of law (8)</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Rule of Law (5)</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Law and order</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207"/>
        </w:trPr>
        <w:tc>
          <w:tcPr>
            <w:tcW w:w="0" w:type="auto"/>
            <w:vMerge/>
            <w:tcBorders>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Equitable (7)</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Equitable**</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173"/>
        </w:trPr>
        <w:tc>
          <w:tcPr>
            <w:tcW w:w="0" w:type="auto"/>
            <w:vMerge/>
            <w:tcBorders>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Control of Corruption (6)</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Corruption  minimized</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Corruption</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64"/>
        </w:trPr>
        <w:tc>
          <w:tcPr>
            <w:tcW w:w="0" w:type="auto"/>
            <w:vMerge/>
            <w:tcBorders>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Transparent (4)</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Openness and Transparency (4)</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Transparency (7)</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Transparency</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r w:rsidRPr="00471CC9">
              <w:rPr>
                <w:color w:val="000000"/>
                <w:sz w:val="15"/>
                <w:szCs w:val="15"/>
              </w:rPr>
              <w:t>Transparency</w:t>
            </w:r>
          </w:p>
        </w:tc>
      </w:tr>
      <w:tr w:rsidR="006E3983" w:rsidRPr="00471CC9" w:rsidTr="004E797B">
        <w:trPr>
          <w:trHeight w:val="71"/>
        </w:trPr>
        <w:tc>
          <w:tcPr>
            <w:tcW w:w="0" w:type="auto"/>
            <w:vMerge/>
            <w:tcBorders>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Regulatory Quality (4)</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p w:rsidR="006E3983" w:rsidRPr="00471CC9" w:rsidRDefault="006E3983" w:rsidP="004E797B">
            <w:pPr>
              <w:jc w:val="center"/>
              <w:rPr>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Bureaucracy quality</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1164" w:type="dxa"/>
            <w:vMerge/>
            <w:tcBorders>
              <w:right w:val="single" w:sz="4" w:space="0" w:color="FFFFFF" w:themeColor="background1"/>
            </w:tcBorders>
            <w:shd w:val="clear" w:color="auto" w:fill="D9D9D9"/>
            <w:tcMar>
              <w:top w:w="15" w:type="dxa"/>
              <w:left w:w="15" w:type="dxa"/>
              <w:bottom w:w="0" w:type="dxa"/>
              <w:right w:w="15" w:type="dxa"/>
            </w:tcMa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Accou</w:t>
            </w:r>
            <w:r w:rsidR="00075E3C" w:rsidRPr="00471CC9">
              <w:rPr>
                <w:color w:val="000000"/>
                <w:sz w:val="15"/>
                <w:szCs w:val="15"/>
              </w:rPr>
              <w:t>n</w:t>
            </w:r>
            <w:r w:rsidRPr="00471CC9">
              <w:rPr>
                <w:color w:val="000000"/>
                <w:sz w:val="15"/>
                <w:szCs w:val="15"/>
              </w:rPr>
              <w:t>tability (1)</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Accountable (3)</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Accountability (12)</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Rigour (4)</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xml:space="preserve">Accountability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r w:rsidRPr="00471CC9">
              <w:rPr>
                <w:color w:val="000000"/>
                <w:sz w:val="15"/>
                <w:szCs w:val="15"/>
              </w:rPr>
              <w:t>Accountability</w:t>
            </w:r>
          </w:p>
        </w:tc>
      </w:tr>
      <w:tr w:rsidR="006E3983" w:rsidRPr="00471CC9" w:rsidTr="004E797B">
        <w:trPr>
          <w:trHeight w:val="55"/>
        </w:trPr>
        <w:tc>
          <w:tcPr>
            <w:tcW w:w="1164" w:type="dxa"/>
            <w:vMerge/>
            <w:tcBorders>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Ethical Conduct (6)</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Truthfulness (9)</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45"/>
        </w:trPr>
        <w:tc>
          <w:tcPr>
            <w:tcW w:w="1164" w:type="dxa"/>
            <w:vMerge/>
            <w:tcBorders>
              <w:right w:val="single" w:sz="4" w:space="0" w:color="FFFFFF" w:themeColor="background1"/>
            </w:tcBorders>
            <w:shd w:val="clear" w:color="auto" w:fill="D9D9D9"/>
            <w:tcMar>
              <w:top w:w="15" w:type="dxa"/>
              <w:left w:w="15" w:type="dxa"/>
              <w:bottom w:w="0" w:type="dxa"/>
              <w:right w:w="15" w:type="dxa"/>
            </w:tcMa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Political Stability and Absence of Violence (2)</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278"/>
        </w:trPr>
        <w:tc>
          <w:tcPr>
            <w:tcW w:w="1164" w:type="dxa"/>
            <w:vMerge/>
            <w:tcBorders>
              <w:right w:val="single" w:sz="4" w:space="0" w:color="FFFFFF" w:themeColor="background1"/>
            </w:tcBorders>
            <w:shd w:val="clear" w:color="auto" w:fill="D9D9D9"/>
            <w:tcMar>
              <w:top w:w="15" w:type="dxa"/>
              <w:left w:w="15" w:type="dxa"/>
              <w:bottom w:w="0" w:type="dxa"/>
              <w:right w:w="15" w:type="dxa"/>
            </w:tcMa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Innovation and Openness to Change (8)</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r w:rsidRPr="00471CC9">
              <w:rPr>
                <w:color w:val="000000"/>
                <w:sz w:val="15"/>
                <w:szCs w:val="15"/>
              </w:rPr>
              <w:t>Openness</w:t>
            </w:r>
          </w:p>
        </w:tc>
      </w:tr>
      <w:tr w:rsidR="006E3983" w:rsidRPr="00471CC9" w:rsidTr="004E797B">
        <w:trPr>
          <w:trHeight w:val="45"/>
        </w:trPr>
        <w:tc>
          <w:tcPr>
            <w:tcW w:w="1164" w:type="dxa"/>
            <w:vMerge/>
            <w:tcBorders>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Inclusive (7)</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Inclusiveness</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r w:rsidRPr="00471CC9">
              <w:rPr>
                <w:color w:val="000000"/>
                <w:sz w:val="15"/>
                <w:szCs w:val="15"/>
              </w:rPr>
              <w:t>Inclusiveness</w:t>
            </w:r>
          </w:p>
        </w:tc>
      </w:tr>
      <w:tr w:rsidR="006E3983" w:rsidRPr="00471CC9" w:rsidTr="004E797B">
        <w:trPr>
          <w:trHeight w:val="45"/>
        </w:trPr>
        <w:tc>
          <w:tcPr>
            <w:tcW w:w="1164"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Representation, participation, voice, responsiveness (input legitimacy)</w:t>
            </w: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Representation (1)</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82"/>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Voice (1)</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vertAlign w:val="superscript"/>
              </w:rPr>
            </w:pPr>
            <w:r w:rsidRPr="00471CC9">
              <w:rPr>
                <w:color w:val="000000"/>
                <w:sz w:val="15"/>
                <w:szCs w:val="15"/>
              </w:rPr>
              <w:t>Participatory* (1)</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Participation (1)</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Engagement (5)</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Responsive (5)</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Responsiveness (2)</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Responsive*****</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Robust***</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4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Consensus oriented (2)</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45"/>
        </w:trPr>
        <w:tc>
          <w:tcPr>
            <w:tcW w:w="1164"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Outcome, impact, effectiv</w:t>
            </w:r>
            <w:r w:rsidR="00075E3C" w:rsidRPr="00471CC9">
              <w:rPr>
                <w:sz w:val="15"/>
                <w:szCs w:val="15"/>
              </w:rPr>
              <w:t>e</w:t>
            </w:r>
            <w:r w:rsidRPr="00471CC9">
              <w:rPr>
                <w:sz w:val="15"/>
                <w:szCs w:val="15"/>
              </w:rPr>
              <w:t xml:space="preserve">ness and efficiency </w:t>
            </w:r>
          </w:p>
          <w:p w:rsidR="006E3983" w:rsidRPr="00471CC9" w:rsidRDefault="006E3983" w:rsidP="004E797B">
            <w:pPr>
              <w:rPr>
                <w:sz w:val="15"/>
                <w:szCs w:val="15"/>
              </w:rPr>
            </w:pPr>
            <w:r w:rsidRPr="00471CC9">
              <w:rPr>
                <w:sz w:val="15"/>
                <w:szCs w:val="15"/>
              </w:rPr>
              <w:t>(output legitimacy)</w:t>
            </w: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Government Effectiveness (3)</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Effective (6)</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Effectiveness (3)</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Improvement (2)</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Effective****</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Competence and Capacity (7)</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55"/>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Accessibility (8)</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60"/>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r w:rsidRPr="00471CC9">
              <w:rPr>
                <w:color w:val="000000"/>
                <w:sz w:val="15"/>
                <w:szCs w:val="15"/>
              </w:rPr>
              <w:t>Relevance (3)</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tcPr>
          <w:p w:rsidR="006E3983" w:rsidRPr="00471CC9" w:rsidRDefault="006E3983" w:rsidP="004E797B">
            <w:pPr>
              <w:rPr>
                <w:color w:val="000000"/>
                <w:sz w:val="15"/>
                <w:szCs w:val="15"/>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60"/>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Efficient (6)</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Efficiency (3)</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Efficiency (10)</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237"/>
        </w:trPr>
        <w:tc>
          <w:tcPr>
            <w:tcW w:w="1164"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9D9D9"/>
            <w:tcMar>
              <w:top w:w="15" w:type="dxa"/>
              <w:left w:w="15" w:type="dxa"/>
              <w:bottom w:w="0" w:type="dxa"/>
              <w:right w:w="15" w:type="dxa"/>
            </w:tcMar>
            <w:hideMark/>
          </w:tcPr>
          <w:p w:rsidR="006E3983" w:rsidRPr="00471CC9" w:rsidRDefault="006E3983" w:rsidP="004E797B">
            <w:pPr>
              <w:rPr>
                <w:sz w:val="15"/>
                <w:szCs w:val="15"/>
              </w:rPr>
            </w:pPr>
            <w:r w:rsidRPr="00471CC9">
              <w:rPr>
                <w:sz w:val="15"/>
                <w:szCs w:val="15"/>
              </w:rPr>
              <w:t>Values/substantive contents</w:t>
            </w: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Sustainability and Long-Term Orientation (9)</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Sustainability (1)</w:t>
            </w: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80"/>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color w:val="000000"/>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Sound Financial Management (10)</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vAlign w:val="center"/>
            <w:hideMark/>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144"/>
        </w:trPr>
        <w:tc>
          <w:tcPr>
            <w:tcW w:w="0" w:type="auto"/>
            <w:vMerge/>
            <w:tcBorders>
              <w:top w:val="single" w:sz="4" w:space="0" w:color="FFFFFF" w:themeColor="background1"/>
              <w:bottom w:val="single" w:sz="4" w:space="0" w:color="FFFFFF" w:themeColor="background1"/>
              <w:right w:val="single" w:sz="4" w:space="0" w:color="FFFFFF" w:themeColor="background1"/>
            </w:tcBorders>
            <w:shd w:val="clear" w:color="auto" w:fill="D9D9D9"/>
            <w:vAlign w:val="center"/>
            <w:hideMark/>
          </w:tcPr>
          <w:p w:rsidR="006E3983" w:rsidRPr="00471CC9" w:rsidRDefault="006E3983" w:rsidP="004E797B">
            <w:pPr>
              <w:rPr>
                <w:color w:val="000000"/>
                <w:sz w:val="15"/>
                <w:szCs w:val="15"/>
              </w:rPr>
            </w:pPr>
          </w:p>
        </w:tc>
        <w:tc>
          <w:tcPr>
            <w:tcW w:w="1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Human Rights, Cultural Diversity and Social Cohesion (11)</w:t>
            </w:r>
          </w:p>
        </w:tc>
        <w:tc>
          <w:tcPr>
            <w:tcW w:w="11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vAlign w:val="center"/>
            <w:hideMark/>
          </w:tcPr>
          <w:p w:rsidR="006E3983" w:rsidRPr="00471CC9" w:rsidRDefault="006E3983" w:rsidP="004E797B">
            <w:pPr>
              <w:rPr>
                <w:color w:val="000000"/>
                <w:sz w:val="15"/>
                <w:szCs w:val="15"/>
              </w:rPr>
            </w:pPr>
          </w:p>
        </w:tc>
        <w:tc>
          <w:tcPr>
            <w:tcW w:w="8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Mar>
              <w:top w:w="15" w:type="dxa"/>
              <w:left w:w="15" w:type="dxa"/>
              <w:bottom w:w="0" w:type="dxa"/>
              <w:right w:w="15" w:type="dxa"/>
            </w:tcMar>
            <w:hideMark/>
          </w:tcPr>
          <w:p w:rsidR="006E3983" w:rsidRPr="00471CC9" w:rsidRDefault="006E3983" w:rsidP="004E797B">
            <w:pPr>
              <w:rPr>
                <w:color w:val="000000"/>
                <w:sz w:val="15"/>
                <w:szCs w:val="15"/>
              </w:rPr>
            </w:pPr>
            <w:r w:rsidRPr="00471CC9">
              <w:rPr>
                <w:color w:val="000000"/>
                <w:sz w:val="15"/>
                <w:szCs w:val="15"/>
              </w:rPr>
              <w:t> </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color w:val="000000"/>
                <w:sz w:val="15"/>
                <w:szCs w:val="15"/>
              </w:rPr>
            </w:pPr>
          </w:p>
        </w:tc>
      </w:tr>
      <w:tr w:rsidR="006E3983" w:rsidRPr="00471CC9" w:rsidTr="004E797B">
        <w:trPr>
          <w:trHeight w:val="144"/>
        </w:trPr>
        <w:tc>
          <w:tcPr>
            <w:tcW w:w="11599" w:type="dxa"/>
            <w:gridSpan w:val="9"/>
            <w:tcBorders>
              <w:top w:val="single" w:sz="4" w:space="0" w:color="FFFFFF" w:themeColor="background1"/>
            </w:tcBorders>
            <w:vAlign w:val="center"/>
          </w:tcPr>
          <w:p w:rsidR="006E3983" w:rsidRPr="00471CC9" w:rsidRDefault="006E3983" w:rsidP="004E797B">
            <w:pPr>
              <w:rPr>
                <w:color w:val="000000"/>
                <w:sz w:val="15"/>
                <w:szCs w:val="15"/>
              </w:rPr>
            </w:pPr>
            <w:r w:rsidRPr="00471CC9">
              <w:rPr>
                <w:color w:val="000000"/>
                <w:sz w:val="15"/>
                <w:szCs w:val="15"/>
              </w:rPr>
              <w:t>*Minority views are taken into account,  and the voices of the most vulnerable in society are heard in decision-making</w:t>
            </w:r>
          </w:p>
          <w:p w:rsidR="006E3983" w:rsidRPr="00471CC9" w:rsidRDefault="006E3983" w:rsidP="004E797B">
            <w:pPr>
              <w:rPr>
                <w:color w:val="000000"/>
                <w:sz w:val="15"/>
                <w:szCs w:val="15"/>
              </w:rPr>
            </w:pPr>
            <w:r w:rsidRPr="00471CC9">
              <w:rPr>
                <w:color w:val="000000"/>
                <w:sz w:val="15"/>
                <w:szCs w:val="15"/>
              </w:rPr>
              <w:t>** Recognition, Participation, Fair, Just</w:t>
            </w:r>
          </w:p>
          <w:p w:rsidR="006E3983" w:rsidRPr="00471CC9" w:rsidRDefault="006E3983" w:rsidP="004E797B">
            <w:pPr>
              <w:rPr>
                <w:color w:val="000000"/>
                <w:sz w:val="15"/>
                <w:szCs w:val="15"/>
              </w:rPr>
            </w:pPr>
            <w:r w:rsidRPr="00471CC9">
              <w:rPr>
                <w:color w:val="000000"/>
                <w:sz w:val="15"/>
                <w:szCs w:val="15"/>
              </w:rPr>
              <w:t>***</w:t>
            </w:r>
            <w:r w:rsidRPr="00471CC9">
              <w:rPr>
                <w:sz w:val="15"/>
                <w:szCs w:val="15"/>
              </w:rPr>
              <w:t xml:space="preserve"> </w:t>
            </w:r>
            <w:r w:rsidRPr="00471CC9">
              <w:rPr>
                <w:color w:val="000000"/>
                <w:sz w:val="15"/>
                <w:szCs w:val="15"/>
              </w:rPr>
              <w:t>Legitimate, Connected, Nested, Polycentric</w:t>
            </w:r>
          </w:p>
          <w:p w:rsidR="006E3983" w:rsidRPr="00471CC9" w:rsidRDefault="006E3983" w:rsidP="004E797B">
            <w:pPr>
              <w:rPr>
                <w:color w:val="000000"/>
                <w:sz w:val="15"/>
                <w:szCs w:val="15"/>
              </w:rPr>
            </w:pPr>
            <w:r w:rsidRPr="00471CC9">
              <w:rPr>
                <w:color w:val="000000"/>
                <w:sz w:val="15"/>
                <w:szCs w:val="15"/>
              </w:rPr>
              <w:t>****</w:t>
            </w:r>
            <w:r w:rsidRPr="00471CC9">
              <w:rPr>
                <w:sz w:val="15"/>
                <w:szCs w:val="15"/>
              </w:rPr>
              <w:t xml:space="preserve"> </w:t>
            </w:r>
            <w:r w:rsidRPr="00471CC9">
              <w:rPr>
                <w:color w:val="000000"/>
                <w:sz w:val="15"/>
                <w:szCs w:val="15"/>
              </w:rPr>
              <w:t>Direct, Coordination, Capacity, Informed, Accountable, Efficient</w:t>
            </w:r>
          </w:p>
          <w:p w:rsidR="006E3983" w:rsidRPr="00471CC9" w:rsidRDefault="006E3983" w:rsidP="004E797B">
            <w:pPr>
              <w:rPr>
                <w:color w:val="000000"/>
                <w:sz w:val="15"/>
                <w:szCs w:val="15"/>
              </w:rPr>
            </w:pPr>
            <w:r w:rsidRPr="00471CC9">
              <w:rPr>
                <w:color w:val="000000"/>
                <w:sz w:val="15"/>
                <w:szCs w:val="15"/>
              </w:rPr>
              <w:t>*****</w:t>
            </w:r>
            <w:r w:rsidRPr="00471CC9">
              <w:rPr>
                <w:sz w:val="15"/>
                <w:szCs w:val="15"/>
              </w:rPr>
              <w:t xml:space="preserve"> </w:t>
            </w:r>
            <w:r w:rsidRPr="00471CC9">
              <w:rPr>
                <w:color w:val="000000"/>
                <w:sz w:val="15"/>
                <w:szCs w:val="15"/>
              </w:rPr>
              <w:t>Learning, Anticipatory, Adaptive, Innovative, Flexible</w:t>
            </w:r>
          </w:p>
        </w:tc>
        <w:tc>
          <w:tcPr>
            <w:tcW w:w="1032" w:type="dxa"/>
            <w:tcBorders>
              <w:top w:val="single" w:sz="4" w:space="0" w:color="FFFFFF" w:themeColor="background1"/>
            </w:tcBorders>
          </w:tcPr>
          <w:p w:rsidR="006E3983" w:rsidRPr="00471CC9" w:rsidRDefault="006E3983" w:rsidP="004E797B">
            <w:pPr>
              <w:rPr>
                <w:color w:val="000000"/>
                <w:sz w:val="15"/>
                <w:szCs w:val="15"/>
              </w:rPr>
            </w:pPr>
          </w:p>
        </w:tc>
      </w:tr>
    </w:tbl>
    <w:p w:rsidR="006E3983" w:rsidRPr="00471CC9" w:rsidRDefault="006E3983">
      <w:pPr>
        <w:spacing w:after="160" w:line="259" w:lineRule="auto"/>
        <w:sectPr w:rsidR="006E3983" w:rsidRPr="00471CC9" w:rsidSect="004E797B">
          <w:footerReference w:type="default" r:id="rId9"/>
          <w:pgSz w:w="15840" w:h="12240" w:orient="landscape"/>
          <w:pgMar w:top="1440" w:right="1440" w:bottom="1440" w:left="1440" w:header="708" w:footer="708" w:gutter="0"/>
          <w:cols w:space="708"/>
          <w:docGrid w:linePitch="360"/>
        </w:sectPr>
      </w:pPr>
    </w:p>
    <w:tbl>
      <w:tblPr>
        <w:tblW w:w="9445" w:type="dxa"/>
        <w:tblInd w:w="55" w:type="dxa"/>
        <w:tblBorders>
          <w:bottom w:val="single" w:sz="4" w:space="0" w:color="auto"/>
        </w:tblBorders>
        <w:tblCellMar>
          <w:left w:w="70" w:type="dxa"/>
          <w:right w:w="70" w:type="dxa"/>
        </w:tblCellMar>
        <w:tblLook w:val="0420" w:firstRow="1" w:lastRow="0" w:firstColumn="0" w:lastColumn="0" w:noHBand="0" w:noVBand="1"/>
      </w:tblPr>
      <w:tblGrid>
        <w:gridCol w:w="1716"/>
        <w:gridCol w:w="1843"/>
        <w:gridCol w:w="1843"/>
        <w:gridCol w:w="1984"/>
        <w:gridCol w:w="2059"/>
      </w:tblGrid>
      <w:tr w:rsidR="006E3983" w:rsidRPr="00471CC9" w:rsidTr="004E797B">
        <w:trPr>
          <w:trHeight w:val="300"/>
        </w:trPr>
        <w:tc>
          <w:tcPr>
            <w:tcW w:w="9445" w:type="dxa"/>
            <w:gridSpan w:val="5"/>
            <w:tcBorders>
              <w:bottom w:val="single" w:sz="4" w:space="0" w:color="FFFFFF" w:themeColor="background1"/>
            </w:tcBorders>
            <w:shd w:val="clear" w:color="auto" w:fill="auto"/>
            <w:noWrap/>
            <w:vAlign w:val="bottom"/>
          </w:tcPr>
          <w:p w:rsidR="006E3983" w:rsidRPr="00471CC9" w:rsidRDefault="006E3983" w:rsidP="004E797B">
            <w:pPr>
              <w:rPr>
                <w:rFonts w:eastAsia="Times New Roman"/>
                <w:color w:val="000000"/>
                <w:sz w:val="20"/>
                <w:szCs w:val="20"/>
                <w:lang w:eastAsia="da-DK"/>
              </w:rPr>
            </w:pPr>
            <w:r w:rsidRPr="00471CC9">
              <w:rPr>
                <w:rFonts w:eastAsia="Times New Roman"/>
                <w:b/>
                <w:color w:val="000000"/>
                <w:sz w:val="20"/>
                <w:szCs w:val="20"/>
                <w:lang w:eastAsia="da-DK"/>
              </w:rPr>
              <w:lastRenderedPageBreak/>
              <w:t>Table S2</w:t>
            </w:r>
            <w:r w:rsidRPr="00471CC9">
              <w:rPr>
                <w:rFonts w:eastAsia="Times New Roman"/>
                <w:color w:val="000000"/>
                <w:sz w:val="20"/>
                <w:szCs w:val="20"/>
                <w:lang w:eastAsia="da-DK"/>
              </w:rPr>
              <w:t xml:space="preserve"> Formalised and informal risk-based elements in different types of certification when considering the whole supply chain, based on Stupak and Smith </w:t>
            </w:r>
            <w:r w:rsidRPr="00471CC9">
              <w:rPr>
                <w:rFonts w:eastAsia="Times New Roman"/>
                <w:noProof/>
                <w:color w:val="000000"/>
                <w:sz w:val="20"/>
                <w:szCs w:val="20"/>
                <w:lang w:eastAsia="da-DK"/>
              </w:rPr>
              <w:t>[10]</w:t>
            </w:r>
            <w:r w:rsidRPr="00471CC9">
              <w:rPr>
                <w:rFonts w:eastAsia="Times New Roman"/>
                <w:color w:val="000000"/>
                <w:sz w:val="20"/>
                <w:szCs w:val="20"/>
                <w:lang w:eastAsia="da-DK"/>
              </w:rPr>
              <w:t>. Risk may be evaluated, for example in terms of quantity, severity, and frequency of the impact.</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18"/>
                <w:szCs w:val="18"/>
                <w:lang w:eastAsia="da-DK"/>
              </w:rPr>
            </w:pPr>
            <w:r w:rsidRPr="00471CC9">
              <w:rPr>
                <w:rFonts w:eastAsia="Times New Roman"/>
                <w:color w:val="FFFFFF" w:themeColor="background1"/>
                <w:sz w:val="18"/>
                <w:szCs w:val="18"/>
                <w:lang w:eastAsia="da-DK"/>
              </w:rPr>
              <w:t> </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18"/>
                <w:szCs w:val="18"/>
                <w:lang w:eastAsia="da-DK"/>
              </w:rPr>
            </w:pPr>
            <w:r w:rsidRPr="00471CC9">
              <w:rPr>
                <w:rFonts w:eastAsia="Times New Roman"/>
                <w:color w:val="FFFFFF" w:themeColor="background1"/>
                <w:sz w:val="18"/>
                <w:szCs w:val="18"/>
                <w:lang w:eastAsia="da-DK"/>
              </w:rPr>
              <w:t>Forest management unit (FMU) level certification</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18"/>
                <w:szCs w:val="18"/>
                <w:lang w:eastAsia="da-DK"/>
              </w:rPr>
            </w:pPr>
            <w:r w:rsidRPr="00471CC9">
              <w:rPr>
                <w:rFonts w:eastAsia="Times New Roman"/>
                <w:color w:val="FFFFFF" w:themeColor="background1"/>
                <w:sz w:val="18"/>
                <w:szCs w:val="18"/>
                <w:lang w:eastAsia="da-DK"/>
              </w:rPr>
              <w:t>Group certification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18"/>
                <w:szCs w:val="18"/>
                <w:lang w:eastAsia="da-DK"/>
              </w:rPr>
            </w:pPr>
            <w:r w:rsidRPr="00471CC9">
              <w:rPr>
                <w:rFonts w:eastAsia="Times New Roman"/>
                <w:color w:val="FFFFFF" w:themeColor="background1"/>
                <w:sz w:val="18"/>
                <w:szCs w:val="18"/>
                <w:lang w:eastAsia="da-DK"/>
              </w:rPr>
              <w:t>Risk-based certification, with supply base evaluation (SBE)</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rFonts w:eastAsia="Times New Roman"/>
                <w:color w:val="FFFFFF" w:themeColor="background1"/>
                <w:sz w:val="18"/>
                <w:szCs w:val="18"/>
                <w:lang w:eastAsia="da-DK"/>
              </w:rPr>
            </w:pPr>
            <w:r w:rsidRPr="00471CC9">
              <w:rPr>
                <w:rFonts w:eastAsia="Times New Roman"/>
                <w:color w:val="FFFFFF" w:themeColor="background1"/>
                <w:sz w:val="18"/>
                <w:szCs w:val="18"/>
                <w:lang w:eastAsia="da-DK"/>
              </w:rPr>
              <w:t>Risk-based certification, with regional risk assessment (RRA)</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Coverage in a region, jurisdiction, or country</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Certified organizations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Certified organizations</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All certified and uncertified FMUs supplying the biomass producer (BP), if specified risks are mitigated</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All certified and uncertified organizations in a region or country, if specified risks are mitigated</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No coverage of the region, jurisdiction, or country</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075E3C" w:rsidP="004E797B">
            <w:pPr>
              <w:spacing w:after="80"/>
              <w:rPr>
                <w:rFonts w:eastAsia="Times New Roman"/>
                <w:color w:val="000000"/>
                <w:sz w:val="18"/>
                <w:szCs w:val="18"/>
                <w:lang w:eastAsia="da-DK"/>
              </w:rPr>
            </w:pPr>
            <w:r w:rsidRPr="00471CC9">
              <w:rPr>
                <w:rFonts w:eastAsia="Times New Roman"/>
                <w:color w:val="000000"/>
                <w:sz w:val="18"/>
                <w:szCs w:val="18"/>
                <w:lang w:eastAsia="da-DK"/>
              </w:rPr>
              <w:t>Non-</w:t>
            </w:r>
            <w:r w:rsidR="006E3983" w:rsidRPr="00471CC9">
              <w:rPr>
                <w:rFonts w:eastAsia="Times New Roman"/>
                <w:color w:val="000000"/>
                <w:sz w:val="18"/>
                <w:szCs w:val="18"/>
                <w:lang w:eastAsia="da-DK"/>
              </w:rPr>
              <w:t xml:space="preserve">certified organizations </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075E3C" w:rsidP="004E797B">
            <w:pPr>
              <w:spacing w:after="80"/>
              <w:rPr>
                <w:rFonts w:eastAsia="Times New Roman"/>
                <w:color w:val="000000"/>
                <w:sz w:val="18"/>
                <w:szCs w:val="18"/>
                <w:lang w:eastAsia="da-DK"/>
              </w:rPr>
            </w:pPr>
            <w:r w:rsidRPr="00471CC9">
              <w:rPr>
                <w:rFonts w:eastAsia="Times New Roman"/>
                <w:color w:val="000000"/>
                <w:sz w:val="18"/>
                <w:szCs w:val="18"/>
                <w:lang w:eastAsia="da-DK"/>
              </w:rPr>
              <w:t>Non-</w:t>
            </w:r>
            <w:r w:rsidR="006E3983" w:rsidRPr="00471CC9">
              <w:rPr>
                <w:rFonts w:eastAsia="Times New Roman"/>
                <w:color w:val="000000"/>
                <w:sz w:val="18"/>
                <w:szCs w:val="18"/>
                <w:lang w:eastAsia="da-DK"/>
              </w:rPr>
              <w:t xml:space="preserve">certified organizations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Uncertified organizations outside the certified biomass producer’s supply base</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Uncertified organizations  that do not mitigate specified risks, e.g. if t</w:t>
            </w:r>
            <w:r w:rsidR="00075E3C" w:rsidRPr="00471CC9">
              <w:rPr>
                <w:rFonts w:eastAsia="Times New Roman"/>
                <w:color w:val="000000"/>
                <w:sz w:val="18"/>
                <w:szCs w:val="18"/>
                <w:lang w:eastAsia="da-DK"/>
              </w:rPr>
              <w:t>h</w:t>
            </w:r>
            <w:r w:rsidRPr="00471CC9">
              <w:rPr>
                <w:rFonts w:eastAsia="Times New Roman"/>
                <w:color w:val="000000"/>
                <w:sz w:val="18"/>
                <w:szCs w:val="18"/>
                <w:lang w:eastAsia="da-DK"/>
              </w:rPr>
              <w:t>ey do not supply certified biomass producers</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Area subject to the possible risk assessment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Management unit area</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Aggregated area of the group</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Supply base area of the certified biomass producer</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All potential supply areas in a region or a country</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Unit responsible for risk assessment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Auditor</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Auditor</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Biomass producers, usually commissioning the assessment to consultancy</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Collaborative group of biomass producers and possibly users, usually commissioning the assessment to consultancy</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Assessor of the risk</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Individual auditor</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Individual auditor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The organization that is responsible and candidate to get certified, with third party auditing</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The body that coordinates and is responsible for the RRA, with third party  auditing</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Level of formalization of the risk-based element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Low</w:t>
            </w:r>
          </w:p>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Instruction or guidance may exist on how to decide on priorities for the limited auditing time and resources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Low</w:t>
            </w:r>
          </w:p>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Instruction or guidance may exist on priorities for which organizations to select for auditing.</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High</w:t>
            </w:r>
          </w:p>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Formalized written risk assessment procedures, with reporting of the outcome that is subject to public consultation</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High</w:t>
            </w:r>
          </w:p>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Formalised written risk assessment procedures with reporting of the outcome that is subject to public consultation.</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Nature of the risk-based element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Selection of issues to be audited</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Selection of the group members to be audited + selection of the issues to be audited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Risk assessment to appoint indicators with specified risk</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Risk assessment to appoint indicators with specified risk</w:t>
            </w:r>
          </w:p>
        </w:tc>
      </w:tr>
      <w:tr w:rsidR="006E3983" w:rsidRPr="00471CC9" w:rsidTr="004E797B">
        <w:trPr>
          <w:trHeight w:val="300"/>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High auditing priority </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Sustainability criteria that entail the largest risk in a certified property</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Organizations that entail the largest risk to sustainability goals of the standard among the certified </w:t>
            </w:r>
            <w:r w:rsidR="00075E3C" w:rsidRPr="00471CC9">
              <w:rPr>
                <w:rFonts w:eastAsia="Times New Roman"/>
                <w:color w:val="000000"/>
                <w:sz w:val="18"/>
                <w:szCs w:val="18"/>
                <w:lang w:eastAsia="da-DK"/>
              </w:rPr>
              <w:t>organiz</w:t>
            </w:r>
            <w:r w:rsidRPr="00471CC9">
              <w:rPr>
                <w:rFonts w:eastAsia="Times New Roman"/>
                <w:color w:val="000000"/>
                <w:sz w:val="18"/>
                <w:szCs w:val="18"/>
                <w:lang w:eastAsia="da-DK"/>
              </w:rPr>
              <w:t>ations within the group</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Sustainability indicators with specified risks, for implementation of mitigation measures</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Sustainability indicators with specified risks, for implementation of mitigation measures</w:t>
            </w:r>
          </w:p>
        </w:tc>
      </w:tr>
      <w:tr w:rsidR="006E3983" w:rsidRPr="00471CC9" w:rsidTr="004E797B">
        <w:trPr>
          <w:trHeight w:val="251"/>
        </w:trPr>
        <w:tc>
          <w:tcPr>
            <w:tcW w:w="1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Low auditing priority </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Other sustainability criteria with low risk in the certified property</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Other forest owners in the group</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Sustainability indicators assessed with low risk, for which no </w:t>
            </w:r>
            <w:r w:rsidR="00075E3C" w:rsidRPr="00471CC9">
              <w:rPr>
                <w:rFonts w:eastAsia="Times New Roman"/>
                <w:color w:val="000000"/>
                <w:sz w:val="18"/>
                <w:szCs w:val="18"/>
                <w:lang w:eastAsia="da-DK"/>
              </w:rPr>
              <w:t>mitigation</w:t>
            </w:r>
            <w:r w:rsidRPr="00471CC9">
              <w:rPr>
                <w:rFonts w:eastAsia="Times New Roman"/>
                <w:color w:val="000000"/>
                <w:sz w:val="18"/>
                <w:szCs w:val="18"/>
                <w:lang w:eastAsia="da-DK"/>
              </w:rPr>
              <w:t xml:space="preserve"> </w:t>
            </w:r>
            <w:r w:rsidR="00075E3C" w:rsidRPr="00471CC9">
              <w:rPr>
                <w:rFonts w:eastAsia="Times New Roman"/>
                <w:color w:val="000000"/>
                <w:sz w:val="18"/>
                <w:szCs w:val="18"/>
                <w:lang w:eastAsia="da-DK"/>
              </w:rPr>
              <w:t>measures</w:t>
            </w:r>
            <w:r w:rsidRPr="00471CC9">
              <w:rPr>
                <w:rFonts w:eastAsia="Times New Roman"/>
                <w:color w:val="000000"/>
                <w:sz w:val="18"/>
                <w:szCs w:val="18"/>
                <w:lang w:eastAsia="da-DK"/>
              </w:rPr>
              <w:t xml:space="preserve"> are needed</w:t>
            </w:r>
          </w:p>
        </w:tc>
        <w:tc>
          <w:tcPr>
            <w:tcW w:w="2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80"/>
              <w:rPr>
                <w:rFonts w:eastAsia="Times New Roman"/>
                <w:color w:val="000000"/>
                <w:sz w:val="18"/>
                <w:szCs w:val="18"/>
                <w:lang w:eastAsia="da-DK"/>
              </w:rPr>
            </w:pPr>
            <w:r w:rsidRPr="00471CC9">
              <w:rPr>
                <w:rFonts w:eastAsia="Times New Roman"/>
                <w:color w:val="000000"/>
                <w:sz w:val="18"/>
                <w:szCs w:val="18"/>
                <w:lang w:eastAsia="da-DK"/>
              </w:rPr>
              <w:t xml:space="preserve">Sustainability indicators assessed with low risk, for which no </w:t>
            </w:r>
            <w:r w:rsidR="00075E3C" w:rsidRPr="00471CC9">
              <w:rPr>
                <w:rFonts w:eastAsia="Times New Roman"/>
                <w:color w:val="000000"/>
                <w:sz w:val="18"/>
                <w:szCs w:val="18"/>
                <w:lang w:eastAsia="da-DK"/>
              </w:rPr>
              <w:t>mitigation</w:t>
            </w:r>
            <w:r w:rsidRPr="00471CC9">
              <w:rPr>
                <w:rFonts w:eastAsia="Times New Roman"/>
                <w:color w:val="000000"/>
                <w:sz w:val="18"/>
                <w:szCs w:val="18"/>
                <w:lang w:eastAsia="da-DK"/>
              </w:rPr>
              <w:t xml:space="preserve"> </w:t>
            </w:r>
            <w:r w:rsidR="00075E3C" w:rsidRPr="00471CC9">
              <w:rPr>
                <w:rFonts w:eastAsia="Times New Roman"/>
                <w:color w:val="000000"/>
                <w:sz w:val="18"/>
                <w:szCs w:val="18"/>
                <w:lang w:eastAsia="da-DK"/>
              </w:rPr>
              <w:t>measures</w:t>
            </w:r>
            <w:r w:rsidRPr="00471CC9">
              <w:rPr>
                <w:rFonts w:eastAsia="Times New Roman"/>
                <w:color w:val="000000"/>
                <w:sz w:val="18"/>
                <w:szCs w:val="18"/>
                <w:lang w:eastAsia="da-DK"/>
              </w:rPr>
              <w:t xml:space="preserve"> are needed </w:t>
            </w:r>
          </w:p>
        </w:tc>
      </w:tr>
      <w:tr w:rsidR="006E3983" w:rsidRPr="00471CC9" w:rsidTr="004E797B">
        <w:trPr>
          <w:trHeight w:val="251"/>
        </w:trPr>
        <w:tc>
          <w:tcPr>
            <w:tcW w:w="9445" w:type="dxa"/>
            <w:gridSpan w:val="5"/>
            <w:tcBorders>
              <w:top w:val="single" w:sz="4" w:space="0" w:color="FFFFFF" w:themeColor="background1"/>
              <w:bottom w:val="nil"/>
            </w:tcBorders>
            <w:shd w:val="clear" w:color="auto" w:fill="auto"/>
            <w:noWrap/>
          </w:tcPr>
          <w:p w:rsidR="006E3983" w:rsidRPr="00471CC9" w:rsidRDefault="006E3983" w:rsidP="004E797B"/>
        </w:tc>
      </w:tr>
    </w:tbl>
    <w:p w:rsidR="006E3983" w:rsidRPr="00471CC9" w:rsidRDefault="006E3983">
      <w:pPr>
        <w:spacing w:after="160" w:line="259" w:lineRule="auto"/>
      </w:pPr>
    </w:p>
    <w:p w:rsidR="006E3983" w:rsidRPr="00471CC9" w:rsidRDefault="006E3983">
      <w:pPr>
        <w:spacing w:after="160" w:line="259" w:lineRule="auto"/>
      </w:pPr>
      <w:r w:rsidRPr="00471CC9">
        <w:br w:type="page"/>
      </w:r>
    </w:p>
    <w:tbl>
      <w:tblPr>
        <w:tblStyle w:val="TableGrid"/>
        <w:tblW w:w="0" w:type="auto"/>
        <w:tblInd w:w="108" w:type="dxa"/>
        <w:tblLook w:val="04A0" w:firstRow="1" w:lastRow="0" w:firstColumn="1" w:lastColumn="0" w:noHBand="0" w:noVBand="1"/>
      </w:tblPr>
      <w:tblGrid>
        <w:gridCol w:w="1272"/>
        <w:gridCol w:w="2354"/>
        <w:gridCol w:w="2463"/>
        <w:gridCol w:w="2693"/>
      </w:tblGrid>
      <w:tr w:rsidR="006E3983" w:rsidRPr="00471CC9" w:rsidTr="004E797B">
        <w:tc>
          <w:tcPr>
            <w:tcW w:w="8771" w:type="dxa"/>
            <w:gridSpan w:val="4"/>
            <w:tcBorders>
              <w:top w:val="nil"/>
              <w:left w:val="nil"/>
              <w:bottom w:val="single" w:sz="4" w:space="0" w:color="FFFFFF" w:themeColor="background1"/>
              <w:right w:val="nil"/>
            </w:tcBorders>
          </w:tcPr>
          <w:p w:rsidR="006E3983" w:rsidRPr="00471CC9" w:rsidRDefault="006E3983" w:rsidP="004E797B">
            <w:pPr>
              <w:rPr>
                <w:sz w:val="20"/>
                <w:szCs w:val="20"/>
              </w:rPr>
            </w:pPr>
            <w:r w:rsidRPr="00471CC9">
              <w:rPr>
                <w:b/>
                <w:sz w:val="20"/>
                <w:szCs w:val="20"/>
              </w:rPr>
              <w:lastRenderedPageBreak/>
              <w:t>Table S3</w:t>
            </w:r>
            <w:r w:rsidRPr="00471CC9">
              <w:rPr>
                <w:sz w:val="20"/>
                <w:szCs w:val="20"/>
              </w:rPr>
              <w:t xml:space="preserve"> Data, information, and knowledge collected and processed at difference scales, illustrating the differences in transparency depending if data, information. and/or knowledge are publicly available. </w:t>
            </w:r>
          </w:p>
        </w:tc>
      </w:tr>
      <w:tr w:rsidR="006E3983" w:rsidRPr="00471CC9" w:rsidTr="004E797B">
        <w:tc>
          <w:tcPr>
            <w:tcW w:w="8771" w:type="dxa"/>
            <w:gridSpan w:val="4"/>
            <w:tcBorders>
              <w:top w:val="single" w:sz="4" w:space="0" w:color="FFFFFF" w:themeColor="background1"/>
              <w:left w:val="single" w:sz="4" w:space="0" w:color="FFFFFF" w:themeColor="background1"/>
              <w:bottom w:val="nil"/>
              <w:right w:val="single" w:sz="4" w:space="0" w:color="FFFFFF" w:themeColor="background1"/>
            </w:tcBorders>
            <w:shd w:val="clear" w:color="auto" w:fill="7D7D7D"/>
          </w:tcPr>
          <w:p w:rsidR="006E3983" w:rsidRPr="00471CC9" w:rsidRDefault="006E3983" w:rsidP="004E797B">
            <w:pPr>
              <w:rPr>
                <w:color w:val="FFFFFF" w:themeColor="background1"/>
                <w:sz w:val="8"/>
                <w:szCs w:val="8"/>
              </w:rPr>
            </w:pPr>
          </w:p>
          <w:p w:rsidR="006E3983" w:rsidRPr="00471CC9" w:rsidRDefault="006E3983" w:rsidP="004E797B">
            <w:pPr>
              <w:rPr>
                <w:color w:val="FFFFFF" w:themeColor="background1"/>
                <w:sz w:val="20"/>
                <w:szCs w:val="20"/>
              </w:rPr>
            </w:pPr>
            <w:r w:rsidRPr="00471CC9">
              <w:rPr>
                <w:color w:val="FFFFFF" w:themeColor="background1"/>
                <w:sz w:val="20"/>
                <w:szCs w:val="20"/>
              </w:rPr>
              <w:t>-------------------------------- Increased information and knowledge transparency  ------------------------------&gt;</w:t>
            </w:r>
          </w:p>
        </w:tc>
      </w:tr>
      <w:tr w:rsidR="006E3983" w:rsidRPr="00471CC9" w:rsidTr="004E797B">
        <w:tc>
          <w:tcPr>
            <w:tcW w:w="8771" w:type="dxa"/>
            <w:gridSpan w:val="4"/>
            <w:tcBorders>
              <w:top w:val="nil"/>
              <w:left w:val="nil"/>
              <w:bottom w:val="single" w:sz="4" w:space="0" w:color="FFFFFF" w:themeColor="background1"/>
              <w:right w:val="nil"/>
            </w:tcBorders>
            <w:shd w:val="clear" w:color="auto" w:fill="7D7D7D"/>
          </w:tcPr>
          <w:p w:rsidR="006E3983" w:rsidRPr="00471CC9" w:rsidRDefault="006E3983" w:rsidP="004E797B">
            <w:pPr>
              <w:spacing w:after="120"/>
              <w:rPr>
                <w:color w:val="FFFFFF" w:themeColor="background1"/>
                <w:sz w:val="8"/>
                <w:szCs w:val="8"/>
              </w:rPr>
            </w:pPr>
          </w:p>
          <w:p w:rsidR="006E3983" w:rsidRPr="00471CC9" w:rsidRDefault="006E3983" w:rsidP="004E797B">
            <w:pPr>
              <w:spacing w:after="120"/>
              <w:rPr>
                <w:color w:val="FFFFFF" w:themeColor="background1"/>
                <w:sz w:val="20"/>
                <w:szCs w:val="20"/>
              </w:rPr>
            </w:pPr>
            <w:r w:rsidRPr="00471CC9">
              <w:rPr>
                <w:color w:val="FFFFFF" w:themeColor="background1"/>
                <w:sz w:val="20"/>
                <w:szCs w:val="20"/>
              </w:rPr>
              <w:t>&lt;-------------------------------------------- Increased data transparency -----------------------------------------------</w:t>
            </w:r>
          </w:p>
        </w:tc>
      </w:tr>
      <w:tr w:rsidR="006E3983" w:rsidRPr="00471CC9" w:rsidTr="004E797B">
        <w:tc>
          <w:tcPr>
            <w:tcW w:w="1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Pr>
          <w:p w:rsidR="006E3983" w:rsidRPr="00471CC9" w:rsidRDefault="006E3983" w:rsidP="004E797B">
            <w:pPr>
              <w:spacing w:after="120"/>
              <w:rPr>
                <w:sz w:val="20"/>
                <w:szCs w:val="20"/>
              </w:rPr>
            </w:pPr>
            <w:r w:rsidRPr="00471CC9">
              <w:rPr>
                <w:sz w:val="20"/>
                <w:szCs w:val="20"/>
              </w:rPr>
              <w:t>Scope of verification</w:t>
            </w:r>
          </w:p>
        </w:tc>
        <w:tc>
          <w:tcPr>
            <w:tcW w:w="2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Pr>
          <w:p w:rsidR="006E3983" w:rsidRPr="00471CC9" w:rsidRDefault="006E3983" w:rsidP="004E797B">
            <w:pPr>
              <w:rPr>
                <w:sz w:val="20"/>
                <w:szCs w:val="20"/>
              </w:rPr>
            </w:pPr>
            <w:r w:rsidRPr="00471CC9">
              <w:rPr>
                <w:sz w:val="20"/>
                <w:szCs w:val="20"/>
              </w:rPr>
              <w:t>Data collection</w:t>
            </w:r>
          </w:p>
          <w:p w:rsidR="006E3983" w:rsidRPr="00471CC9" w:rsidRDefault="006E3983" w:rsidP="004E797B">
            <w:pPr>
              <w:spacing w:after="120"/>
              <w:rPr>
                <w:sz w:val="20"/>
                <w:szCs w:val="20"/>
              </w:rPr>
            </w:pPr>
            <w:r w:rsidRPr="00471CC9">
              <w:rPr>
                <w:sz w:val="20"/>
                <w:szCs w:val="20"/>
              </w:rPr>
              <w:t>(data)</w:t>
            </w:r>
          </w:p>
        </w:tc>
        <w:tc>
          <w:tcPr>
            <w:tcW w:w="2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Pr>
          <w:p w:rsidR="006E3983" w:rsidRPr="00471CC9" w:rsidRDefault="006E3983" w:rsidP="004E797B">
            <w:pPr>
              <w:spacing w:after="120"/>
              <w:rPr>
                <w:sz w:val="20"/>
                <w:szCs w:val="20"/>
              </w:rPr>
            </w:pPr>
            <w:r w:rsidRPr="00471CC9">
              <w:rPr>
                <w:sz w:val="20"/>
                <w:szCs w:val="20"/>
              </w:rPr>
              <w:t>Data presentation (information)</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EC8BE"/>
          </w:tcPr>
          <w:p w:rsidR="006E3983" w:rsidRPr="00471CC9" w:rsidRDefault="006E3983" w:rsidP="004E797B">
            <w:pPr>
              <w:spacing w:after="120"/>
              <w:rPr>
                <w:sz w:val="20"/>
                <w:szCs w:val="20"/>
              </w:rPr>
            </w:pPr>
            <w:r w:rsidRPr="00471CC9">
              <w:rPr>
                <w:sz w:val="20"/>
                <w:szCs w:val="20"/>
              </w:rPr>
              <w:t>Data interpretation (knowledge)</w:t>
            </w:r>
          </w:p>
        </w:tc>
      </w:tr>
      <w:tr w:rsidR="006E3983" w:rsidRPr="00471CC9" w:rsidTr="004E797B">
        <w:tc>
          <w:tcPr>
            <w:tcW w:w="1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spacing w:after="120"/>
              <w:rPr>
                <w:sz w:val="20"/>
                <w:szCs w:val="20"/>
              </w:rPr>
            </w:pPr>
            <w:r w:rsidRPr="00471CC9">
              <w:rPr>
                <w:sz w:val="20"/>
                <w:szCs w:val="20"/>
              </w:rPr>
              <w:t xml:space="preserve">Landscape or </w:t>
            </w:r>
            <w:r w:rsidR="00075E3C" w:rsidRPr="00471CC9">
              <w:rPr>
                <w:sz w:val="20"/>
                <w:szCs w:val="20"/>
              </w:rPr>
              <w:t>jurisdictional</w:t>
            </w:r>
            <w:r w:rsidRPr="00471CC9">
              <w:rPr>
                <w:sz w:val="20"/>
                <w:szCs w:val="20"/>
              </w:rPr>
              <w:t xml:space="preserve"> level</w:t>
            </w:r>
          </w:p>
        </w:tc>
        <w:tc>
          <w:tcPr>
            <w:tcW w:w="2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Landscape level measurements and registrations at the international, national, sub-national or local level, e.g. databases with on-the-ground data, aerial photos, remote sensing data etc.</w:t>
            </w:r>
          </w:p>
        </w:tc>
        <w:tc>
          <w:tcPr>
            <w:tcW w:w="2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Geographically explicit data presentation, e.g. maps, graphs, tables, with links back to the data on which it is based</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Scientific reporting of landscape level information with appropriate context-specific interpretation and discussion, also about accuracy, uncertainty and risk of bias, and links back to the information and data on which it is based</w:t>
            </w:r>
          </w:p>
        </w:tc>
      </w:tr>
      <w:tr w:rsidR="006E3983" w:rsidRPr="00471CC9" w:rsidTr="004E797B">
        <w:tc>
          <w:tcPr>
            <w:tcW w:w="1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075E3C">
            <w:pPr>
              <w:spacing w:after="120"/>
              <w:rPr>
                <w:sz w:val="20"/>
                <w:szCs w:val="20"/>
              </w:rPr>
            </w:pPr>
            <w:r w:rsidRPr="00471CC9">
              <w:rPr>
                <w:sz w:val="20"/>
                <w:szCs w:val="20"/>
              </w:rPr>
              <w:t>Company</w:t>
            </w:r>
            <w:r w:rsidR="00075E3C" w:rsidRPr="00471CC9">
              <w:rPr>
                <w:sz w:val="20"/>
                <w:szCs w:val="20"/>
              </w:rPr>
              <w:t xml:space="preserve"> s</w:t>
            </w:r>
            <w:r w:rsidRPr="00471CC9">
              <w:rPr>
                <w:sz w:val="20"/>
                <w:szCs w:val="20"/>
              </w:rPr>
              <w:t>ourcing area level</w:t>
            </w:r>
          </w:p>
        </w:tc>
        <w:tc>
          <w:tcPr>
            <w:tcW w:w="2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Company level measurements and registrations for the sourcing area, e.g. on-site data, e.g. collected by drones, or possibly aerial photos, remote sensing data etc.</w:t>
            </w:r>
          </w:p>
        </w:tc>
        <w:tc>
          <w:tcPr>
            <w:tcW w:w="2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pPr>
            <w:r w:rsidRPr="00471CC9">
              <w:rPr>
                <w:sz w:val="20"/>
                <w:szCs w:val="20"/>
              </w:rPr>
              <w:t>Geographically explicit data presentations, e.g. maps, graphs, tables, with links back to the data on which it is based</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Companies’ sustainability reporting, with appropriate context-specific interpretation and discussion and links back to the information and data on which it is based</w:t>
            </w:r>
          </w:p>
        </w:tc>
      </w:tr>
      <w:tr w:rsidR="006E3983" w:rsidRPr="00471CC9" w:rsidTr="004E797B">
        <w:tc>
          <w:tcPr>
            <w:tcW w:w="1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spacing w:after="120"/>
              <w:rPr>
                <w:sz w:val="20"/>
                <w:szCs w:val="20"/>
              </w:rPr>
            </w:pPr>
            <w:r w:rsidRPr="00471CC9">
              <w:rPr>
                <w:sz w:val="20"/>
                <w:szCs w:val="20"/>
              </w:rPr>
              <w:t>Management unit level</w:t>
            </w:r>
          </w:p>
        </w:tc>
        <w:tc>
          <w:tcPr>
            <w:tcW w:w="2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075E3C" w:rsidP="004E797B">
            <w:pPr>
              <w:spacing w:after="120"/>
              <w:rPr>
                <w:sz w:val="20"/>
                <w:szCs w:val="20"/>
              </w:rPr>
            </w:pPr>
            <w:r w:rsidRPr="00471CC9">
              <w:rPr>
                <w:sz w:val="20"/>
                <w:szCs w:val="20"/>
              </w:rPr>
              <w:t>Company</w:t>
            </w:r>
            <w:r w:rsidR="006E3983" w:rsidRPr="00471CC9">
              <w:rPr>
                <w:sz w:val="20"/>
                <w:szCs w:val="20"/>
              </w:rPr>
              <w:t xml:space="preserve"> audit documentation files</w:t>
            </w:r>
          </w:p>
        </w:tc>
        <w:tc>
          <w:tcPr>
            <w:tcW w:w="2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Audit report for the company, with links back to the document files on which it is based</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spacing w:after="120"/>
              <w:rPr>
                <w:sz w:val="20"/>
                <w:szCs w:val="20"/>
              </w:rPr>
            </w:pPr>
            <w:r w:rsidRPr="00471CC9">
              <w:rPr>
                <w:sz w:val="20"/>
                <w:szCs w:val="20"/>
              </w:rPr>
              <w:t>Full interpretation and qualified discussion of the audit report in terms of sustainability goal achievement and progress towards sustainability goals</w:t>
            </w:r>
          </w:p>
        </w:tc>
      </w:tr>
    </w:tbl>
    <w:p w:rsidR="006E3983" w:rsidRPr="00471CC9" w:rsidRDefault="006E3983">
      <w:pPr>
        <w:spacing w:after="160" w:line="259" w:lineRule="auto"/>
      </w:pPr>
      <w:r w:rsidRPr="00471CC9">
        <w:br w:type="page"/>
      </w:r>
    </w:p>
    <w:tbl>
      <w:tblPr>
        <w:tblW w:w="10073" w:type="dxa"/>
        <w:tblInd w:w="55" w:type="dxa"/>
        <w:tblBorders>
          <w:bottom w:val="single" w:sz="4" w:space="0" w:color="auto"/>
        </w:tblBorders>
        <w:tblCellMar>
          <w:left w:w="70" w:type="dxa"/>
          <w:right w:w="70" w:type="dxa"/>
        </w:tblCellMar>
        <w:tblLook w:val="04A0" w:firstRow="1" w:lastRow="0" w:firstColumn="1" w:lastColumn="0" w:noHBand="0" w:noVBand="1"/>
      </w:tblPr>
      <w:tblGrid>
        <w:gridCol w:w="385"/>
        <w:gridCol w:w="9688"/>
      </w:tblGrid>
      <w:tr w:rsidR="006E3983" w:rsidRPr="00471CC9" w:rsidTr="004E797B">
        <w:trPr>
          <w:trHeight w:val="300"/>
        </w:trPr>
        <w:tc>
          <w:tcPr>
            <w:tcW w:w="10073" w:type="dxa"/>
            <w:gridSpan w:val="2"/>
            <w:tcBorders>
              <w:bottom w:val="single" w:sz="4" w:space="0" w:color="FFFFFF" w:themeColor="background1"/>
            </w:tcBorders>
            <w:shd w:val="clear" w:color="auto" w:fill="auto"/>
            <w:noWrap/>
          </w:tcPr>
          <w:p w:rsidR="006E3983" w:rsidRPr="00471CC9" w:rsidRDefault="006E3983" w:rsidP="004E797B">
            <w:pPr>
              <w:rPr>
                <w:rFonts w:eastAsia="Times New Roman"/>
                <w:color w:val="000000"/>
                <w:sz w:val="20"/>
                <w:szCs w:val="20"/>
                <w:lang w:eastAsia="da-DK"/>
              </w:rPr>
            </w:pPr>
            <w:r w:rsidRPr="00471CC9">
              <w:rPr>
                <w:rFonts w:eastAsia="Times New Roman"/>
                <w:b/>
                <w:color w:val="000000"/>
                <w:sz w:val="20"/>
                <w:szCs w:val="20"/>
                <w:lang w:eastAsia="da-DK"/>
              </w:rPr>
              <w:lastRenderedPageBreak/>
              <w:t>Table S4</w:t>
            </w:r>
            <w:r w:rsidRPr="00471CC9">
              <w:rPr>
                <w:rFonts w:eastAsia="Times New Roman"/>
                <w:color w:val="000000"/>
                <w:sz w:val="20"/>
                <w:szCs w:val="20"/>
                <w:lang w:eastAsia="da-DK"/>
              </w:rPr>
              <w:t xml:space="preserve"> Selected references identified as useful for developing the typology in Table 11, and the conceptual governance research framework in Fig. 9.</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20"/>
                <w:szCs w:val="20"/>
                <w:lang w:eastAsia="da-DK"/>
              </w:rPr>
            </w:pPr>
            <w:r w:rsidRPr="00471CC9">
              <w:rPr>
                <w:rFonts w:eastAsia="Times New Roman"/>
                <w:color w:val="FFFFFF" w:themeColor="background1"/>
                <w:sz w:val="20"/>
                <w:szCs w:val="20"/>
                <w:lang w:eastAsia="da-DK"/>
              </w:rPr>
              <w:t xml:space="preserve">No </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rFonts w:eastAsia="Times New Roman"/>
                <w:color w:val="FFFFFF" w:themeColor="background1"/>
                <w:sz w:val="20"/>
                <w:szCs w:val="20"/>
                <w:lang w:eastAsia="da-DK"/>
              </w:rPr>
            </w:pPr>
            <w:r w:rsidRPr="00471CC9">
              <w:rPr>
                <w:rFonts w:eastAsia="Times New Roman"/>
                <w:color w:val="FFFFFF" w:themeColor="background1"/>
                <w:sz w:val="20"/>
                <w:szCs w:val="20"/>
                <w:lang w:eastAsia="da-DK"/>
              </w:rPr>
              <w:t>Reference</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Abbott, K.W. and Snidal, D. 2009. The Governance Triangle: Regulatory Standards Institutions and the Shadow of the State. In The Politics of Global Regulation. Princeton University Press </w:t>
            </w:r>
            <w:r w:rsidRPr="00471CC9">
              <w:rPr>
                <w:rFonts w:eastAsia="Times New Roman"/>
                <w:noProof/>
                <w:color w:val="000000"/>
                <w:sz w:val="20"/>
                <w:szCs w:val="20"/>
                <w:lang w:eastAsia="da-DK"/>
              </w:rPr>
              <w:t>[11]</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2</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Al-Seadi, T., Stupak, I., and Smith, C.T. 2018. Governance of environmental sustainability of manure-based centralised biogas production in Denmark. IEA Bioenergy Task 37, Edited by: Jerry D. Murphy (MaREI Centre, University College Cork, Ireland). Rep. Report 2018:7 </w:t>
            </w:r>
            <w:r w:rsidRPr="00471CC9">
              <w:rPr>
                <w:rFonts w:eastAsia="Times New Roman"/>
                <w:noProof/>
                <w:color w:val="000000"/>
                <w:sz w:val="20"/>
                <w:szCs w:val="20"/>
                <w:lang w:eastAsia="da-DK"/>
              </w:rPr>
              <w:t>[12]</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3</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Bennett, N.J., Di Franco, A., Caló, A., Nethery, E., Niccolini, F., Milazzo, M., and Guidetti, P. 2019. Local support for conservation is associated with perceptions of good governance, social impacts, and ecological effectiveness. Conservation Letters 0(0): e12640. doi: doi: 10.1111/conl.12640 </w:t>
            </w:r>
            <w:r w:rsidRPr="00471CC9">
              <w:rPr>
                <w:rFonts w:eastAsia="Times New Roman"/>
                <w:noProof/>
                <w:color w:val="000000"/>
                <w:sz w:val="20"/>
                <w:szCs w:val="20"/>
                <w:lang w:eastAsia="da-DK"/>
              </w:rPr>
              <w:t>[13]</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4</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Buliga, B. and Nichiforel, L. 2019. Voluntary forest certification vs. stringent legal frameworks: Romania as a case study. Journal of Cleaner Production 207: 329-342 </w:t>
            </w:r>
            <w:r w:rsidRPr="00471CC9">
              <w:rPr>
                <w:rFonts w:eastAsia="Times New Roman"/>
                <w:noProof/>
                <w:color w:val="000000"/>
                <w:sz w:val="20"/>
                <w:szCs w:val="20"/>
                <w:lang w:eastAsia="da-DK"/>
              </w:rPr>
              <w:t>[14]</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5</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Cheung, Q., Smith Jr, C.T., and Stupak, I. 2019. Governance of sustainable forest management and bioenergy feedstock harvesting in Ontario, Canada. Rep. IEA Bioenergy: Task 43: TR2019:04 </w:t>
            </w:r>
            <w:r w:rsidRPr="00471CC9">
              <w:rPr>
                <w:rFonts w:eastAsia="Times New Roman"/>
                <w:noProof/>
                <w:color w:val="000000"/>
                <w:sz w:val="20"/>
                <w:szCs w:val="20"/>
                <w:lang w:eastAsia="da-DK"/>
              </w:rPr>
              <w:t>[15]</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6</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Dale, V.H., and Kline, K.L. 2017. Interactive posters: A valuable means of enhancing communication and learning about productive paths toward sustainable bioenergy. Biofuels Bioproducts &amp; Biorefining-Biofpr, 11(2): 243-246 </w:t>
            </w:r>
            <w:r w:rsidRPr="00471CC9">
              <w:rPr>
                <w:rFonts w:eastAsia="Times New Roman"/>
                <w:noProof/>
                <w:color w:val="000000"/>
                <w:sz w:val="20"/>
                <w:szCs w:val="20"/>
                <w:lang w:eastAsia="da-DK"/>
              </w:rPr>
              <w:t>[16]</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7</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Di Lucia, L. and Kronsell, A. 2010. The willing, the unwilling and the unable - explaining implementation of the EU Biofuels Directive. Journal of European Public Policy 17(4): 545-563. doi: doi: 10.1080/13501761003673559 </w:t>
            </w:r>
            <w:r w:rsidRPr="00471CC9">
              <w:rPr>
                <w:rFonts w:eastAsia="Times New Roman"/>
                <w:noProof/>
                <w:color w:val="000000"/>
                <w:sz w:val="20"/>
                <w:szCs w:val="20"/>
                <w:lang w:eastAsia="da-DK"/>
              </w:rPr>
              <w:t>[17]</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8</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rFonts w:eastAsia="Times New Roman"/>
                <w:color w:val="000000"/>
                <w:sz w:val="20"/>
                <w:szCs w:val="20"/>
                <w:lang w:eastAsia="da-DK"/>
              </w:rPr>
            </w:pPr>
            <w:r w:rsidRPr="00471CC9">
              <w:rPr>
                <w:rFonts w:eastAsia="Times New Roman"/>
                <w:color w:val="000000"/>
                <w:sz w:val="20"/>
                <w:szCs w:val="20"/>
                <w:lang w:eastAsia="da-DK"/>
              </w:rPr>
              <w:t xml:space="preserve">Forest Europe 2015. State of Europe's Forests 2015. FOREST EUROPE Liaison Unit Madrid., p. 1-314. https://www.foresteurope.org/docs/fullsoef2015.pdf </w:t>
            </w:r>
            <w:r w:rsidRPr="00471CC9">
              <w:rPr>
                <w:rFonts w:eastAsia="Times New Roman"/>
                <w:noProof/>
                <w:color w:val="000000"/>
                <w:sz w:val="20"/>
                <w:szCs w:val="20"/>
                <w:lang w:eastAsia="da-DK"/>
              </w:rPr>
              <w:t>[18]</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9</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Gunningham, N. 2009. Environment Law, Regulation and Governance: Shifting Architectures. jel 21(2): 179-212 </w:t>
            </w:r>
            <w:r w:rsidRPr="00471CC9">
              <w:rPr>
                <w:rFonts w:eastAsia="Times New Roman"/>
                <w:noProof/>
                <w:color w:val="000000"/>
                <w:sz w:val="20"/>
                <w:szCs w:val="20"/>
                <w:lang w:eastAsia="da-DK"/>
              </w:rPr>
              <w:t>[19]</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10</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Kittler, B., Stupak, I. and Smith, C.T. 2020. Assessing the wood sourcing practices of the U.S. industrial wood pellet industry supplying European energy demand. Energy, Sustainability and Society 10 (1) 23 </w:t>
            </w:r>
            <w:r w:rsidRPr="00471CC9">
              <w:rPr>
                <w:rFonts w:eastAsia="Times New Roman"/>
                <w:noProof/>
                <w:color w:val="000000"/>
                <w:sz w:val="20"/>
                <w:szCs w:val="20"/>
                <w:lang w:eastAsia="da-DK"/>
              </w:rPr>
              <w:t>[20]</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11</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Koven, A. 2015.  Policy Networks and Paradigm Change in Ontario Forest Policy 1988-2014. Faculty of Forestry, University of Toronto </w:t>
            </w:r>
            <w:r w:rsidRPr="00471CC9">
              <w:rPr>
                <w:rFonts w:eastAsia="Times New Roman"/>
                <w:noProof/>
                <w:color w:val="000000"/>
                <w:sz w:val="20"/>
                <w:szCs w:val="20"/>
                <w:lang w:eastAsia="da-DK"/>
              </w:rPr>
              <w:t>[21]</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12</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Lehtonen, M. 2007. Environmental policy integration through OECD peer reviews: Integrating the economy with the environment or the environment with the economy? Environmental Politics 16(1): 15-35 </w:t>
            </w:r>
            <w:r w:rsidRPr="00471CC9">
              <w:rPr>
                <w:rFonts w:eastAsia="Times New Roman"/>
                <w:noProof/>
                <w:color w:val="000000"/>
                <w:sz w:val="20"/>
                <w:szCs w:val="20"/>
                <w:lang w:eastAsia="da-DK"/>
              </w:rPr>
              <w:t>[22]</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jc w:val="both"/>
              <w:rPr>
                <w:rFonts w:eastAsia="Times New Roman"/>
                <w:color w:val="000000"/>
                <w:sz w:val="20"/>
                <w:szCs w:val="20"/>
                <w:lang w:eastAsia="da-DK"/>
              </w:rPr>
            </w:pPr>
            <w:r w:rsidRPr="00471CC9">
              <w:rPr>
                <w:rFonts w:eastAsia="Times New Roman"/>
                <w:color w:val="000000"/>
                <w:sz w:val="20"/>
                <w:szCs w:val="20"/>
                <w:lang w:eastAsia="da-DK"/>
              </w:rPr>
              <w:t>13</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Lindahl, K.B., Sténs, A., Sandstrøm, C., Johansson, J., Lidskog, R., Ranius, T., and Roberge, J.M. 2017. The Swedish forestry model: More of everything? Forest Policy and Economics 77: 44-55 </w:t>
            </w:r>
            <w:r w:rsidRPr="00471CC9">
              <w:rPr>
                <w:rFonts w:eastAsia="Times New Roman"/>
                <w:noProof/>
                <w:color w:val="000000"/>
                <w:sz w:val="20"/>
                <w:szCs w:val="20"/>
                <w:lang w:eastAsia="da-DK"/>
              </w:rPr>
              <w:t>[23]</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14</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Mai-Moulin, T., Fritsche, U.R., and Junginger, M. 2019. Charting global position and vision of stakeholders towards sustainable bioenergy. Energy, Sustainability and Society 9(1): 48 </w:t>
            </w:r>
            <w:r w:rsidRPr="00471CC9">
              <w:rPr>
                <w:rFonts w:eastAsia="Times New Roman"/>
                <w:noProof/>
                <w:color w:val="000000"/>
                <w:sz w:val="20"/>
                <w:szCs w:val="20"/>
                <w:lang w:eastAsia="da-DK"/>
              </w:rPr>
              <w:t>[24]</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15</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McDermott, C., Cashore, B., and Kanowski, P. 2010. Global Environmental Forest Policies - An international comparison. Earthscan Forest Library, London, Washington DC. pp. 1-372 </w:t>
            </w:r>
            <w:r w:rsidRPr="00471CC9">
              <w:rPr>
                <w:rFonts w:eastAsia="Times New Roman"/>
                <w:noProof/>
                <w:color w:val="000000"/>
                <w:sz w:val="20"/>
                <w:szCs w:val="20"/>
                <w:lang w:eastAsia="da-DK"/>
              </w:rPr>
              <w:t>[25]</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16</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McDermott, C.L., Cashore, B., and Kanowski, P. 2009. Setting the bar: an international comparison of public and private forest policy specifications and implications for explaining policy trends. Journal of Integrative Environmental Sciences 6(3): 217-237. doi: doi: 10.1080/19438150903090533 </w:t>
            </w:r>
            <w:r w:rsidRPr="00471CC9">
              <w:rPr>
                <w:rFonts w:eastAsia="Times New Roman"/>
                <w:noProof/>
                <w:color w:val="000000"/>
                <w:sz w:val="20"/>
                <w:szCs w:val="20"/>
                <w:lang w:eastAsia="da-DK"/>
              </w:rPr>
              <w:t>[26]</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17</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Mrosek, T., Basille, D., and Schleifenbaum, P. 2006. Field testing of a criteria and indicators system for sustainable forest management at the local level. Case study results concerning the sustainability of the privat forest Haliburton Forest and Wild Life Reserve in Ontario, Canada. 8 ed. pp. 593-609 </w:t>
            </w:r>
            <w:r w:rsidRPr="00471CC9">
              <w:rPr>
                <w:rFonts w:eastAsia="Times New Roman"/>
                <w:noProof/>
                <w:color w:val="000000"/>
                <w:sz w:val="20"/>
                <w:szCs w:val="20"/>
                <w:lang w:eastAsia="da-DK"/>
              </w:rPr>
              <w:t>[27]</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18</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Nichiforel, L., Keary, K., Deuffic, P., Weiss, G., Thorsen, B.J., Winkel, G., Avdibegovic, M., Dobsinska, Z., Feliciano, D., Gatto, P., Mifsud, E.G., Hoogstra-Klein, M., Hrib, M., Hujala, T., Jager, L., Jarsky, V., Jodlowski, K., Lawrence, A., Lukmine, D., Malovrh, S.P., Nedeljkovic, J., Nonic, D., Ostoic, S.K., Pukall, K., Rondeux, J., Samara, T., Sarvasova, Z., Scriban, R.E., Silingiene, R., Sinko, M., Stojanovska, M., Stojanovski, V., Stoyanov, N., Teder, M., Vennesland, B., Vilkriste, L., Wilhelmsson, E., Wilkes-Allemann, J., and Bouriaud, L. 2018. How private are Europe's private forests? A comparative property rights analysis. Land Use Policy 76: 535-552 </w:t>
            </w:r>
            <w:r w:rsidRPr="00471CC9">
              <w:rPr>
                <w:rFonts w:eastAsia="Times New Roman"/>
                <w:noProof/>
                <w:color w:val="000000"/>
                <w:sz w:val="20"/>
                <w:szCs w:val="20"/>
                <w:lang w:eastAsia="da-DK"/>
              </w:rPr>
              <w:t>[28]</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19</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Purkus, A. 2016. Concepts and Instruments for a Rational Bioenergy Policy - A New Institutional Economics Approach. Springer. pp. 1-418 </w:t>
            </w:r>
            <w:r w:rsidRPr="00471CC9">
              <w:rPr>
                <w:rFonts w:eastAsia="Times New Roman"/>
                <w:noProof/>
                <w:color w:val="000000"/>
                <w:sz w:val="20"/>
                <w:szCs w:val="20"/>
                <w:lang w:eastAsia="da-DK"/>
              </w:rPr>
              <w:t>[29]</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lastRenderedPageBreak/>
              <w:t>20</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Thrän, D., Schaubach, K., Majer, S., and Horschig, T. 2020. Governance of sustainability in the German biogas sector - adaptive management of the Renewable Energy Act between agriculture and the energy sector. Energy, Sustainability and Society 10(1): 3 </w:t>
            </w:r>
            <w:r w:rsidRPr="00471CC9">
              <w:rPr>
                <w:rFonts w:eastAsia="Times New Roman"/>
                <w:noProof/>
                <w:color w:val="000000"/>
                <w:sz w:val="20"/>
                <w:szCs w:val="20"/>
                <w:lang w:eastAsia="da-DK"/>
              </w:rPr>
              <w:t>[30]</w:t>
            </w:r>
          </w:p>
        </w:tc>
      </w:tr>
      <w:tr w:rsidR="006E3983" w:rsidRPr="00471CC9" w:rsidTr="004E797B">
        <w:trPr>
          <w:trHeight w:val="300"/>
        </w:trPr>
        <w:tc>
          <w:tcPr>
            <w:tcW w:w="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21</w:t>
            </w:r>
          </w:p>
        </w:tc>
        <w:tc>
          <w:tcPr>
            <w:tcW w:w="96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spacing w:after="80"/>
              <w:rPr>
                <w:rFonts w:eastAsia="Times New Roman"/>
                <w:color w:val="000000"/>
                <w:sz w:val="20"/>
                <w:szCs w:val="20"/>
                <w:lang w:eastAsia="da-DK"/>
              </w:rPr>
            </w:pPr>
            <w:r w:rsidRPr="00471CC9">
              <w:rPr>
                <w:rFonts w:eastAsia="Times New Roman"/>
                <w:color w:val="000000"/>
                <w:sz w:val="20"/>
                <w:szCs w:val="20"/>
                <w:lang w:eastAsia="da-DK"/>
              </w:rPr>
              <w:t xml:space="preserve">Visseren-Hamakers, I.J. and Pattberg, P. 2013. We Can't See the Forest for the Trees The Environmental Impact of Global Forest Certification Is Unknown. Gaia-Ecological Perspectives for Science and Society 22(1): 25-28 </w:t>
            </w:r>
            <w:r w:rsidRPr="00471CC9">
              <w:rPr>
                <w:rFonts w:eastAsia="Times New Roman"/>
                <w:noProof/>
                <w:color w:val="000000"/>
                <w:sz w:val="20"/>
                <w:szCs w:val="20"/>
                <w:lang w:eastAsia="da-DK"/>
              </w:rPr>
              <w:t>[31]</w:t>
            </w:r>
          </w:p>
        </w:tc>
      </w:tr>
    </w:tbl>
    <w:p w:rsidR="006E3983" w:rsidRPr="00471CC9" w:rsidRDefault="006E3983" w:rsidP="004E797B">
      <w:pPr>
        <w:rPr>
          <w:i/>
        </w:rPr>
      </w:pPr>
    </w:p>
    <w:p w:rsidR="006E3983" w:rsidRPr="00471CC9" w:rsidRDefault="006E3983" w:rsidP="004E797B">
      <w:pPr>
        <w:rPr>
          <w:i/>
        </w:rPr>
        <w:sectPr w:rsidR="006E3983" w:rsidRPr="00471CC9" w:rsidSect="004E797B">
          <w:pgSz w:w="12240" w:h="15840"/>
          <w:pgMar w:top="1440" w:right="1440" w:bottom="1440" w:left="1440" w:header="708" w:footer="708" w:gutter="0"/>
          <w:cols w:space="708"/>
          <w:docGrid w:linePitch="360"/>
        </w:sectPr>
      </w:pPr>
    </w:p>
    <w:p w:rsidR="006E3983" w:rsidRPr="00471CC9" w:rsidRDefault="006E3983" w:rsidP="004E797B">
      <w:pPr>
        <w:rPr>
          <w:sz w:val="20"/>
          <w:szCs w:val="20"/>
        </w:rPr>
      </w:pPr>
      <w:r w:rsidRPr="00471CC9">
        <w:rPr>
          <w:b/>
          <w:sz w:val="20"/>
          <w:szCs w:val="20"/>
        </w:rPr>
        <w:lastRenderedPageBreak/>
        <w:t>Table S5</w:t>
      </w:r>
      <w:r w:rsidRPr="00471CC9">
        <w:rPr>
          <w:sz w:val="20"/>
          <w:szCs w:val="20"/>
        </w:rPr>
        <w:t xml:space="preserve"> Working table which was used as a tool to develop the typology presented in Table 11, and the conceptual governance research framework presented in Fig. 9. The literature included in Table S5 was a basis for developing the structure. This table does as such does not represent a comprehensive review and there are not examples in every combination of research focus (R1-R6), comparative approach (A1-A3) and type of research question (Q1-Q3). Type of question combined with research foci has 11 levels in the table and is, in principle, a product of research focus and type of research question, except omitting the “if” question and the research focus “context” (R1).</w:t>
      </w:r>
      <w:r w:rsidR="00075E3C" w:rsidRPr="00471CC9">
        <w:rPr>
          <w:sz w:val="20"/>
          <w:szCs w:val="20"/>
        </w:rPr>
        <w:t xml:space="preserve"> SFM: Sustainable Forest Management.</w:t>
      </w:r>
    </w:p>
    <w:tbl>
      <w:tblPr>
        <w:tblW w:w="13205" w:type="dxa"/>
        <w:tblInd w:w="55" w:type="dxa"/>
        <w:tblCellMar>
          <w:left w:w="70" w:type="dxa"/>
          <w:right w:w="70" w:type="dxa"/>
        </w:tblCellMar>
        <w:tblLook w:val="04A0" w:firstRow="1" w:lastRow="0" w:firstColumn="1" w:lastColumn="0" w:noHBand="0" w:noVBand="1"/>
      </w:tblPr>
      <w:tblGrid>
        <w:gridCol w:w="441"/>
        <w:gridCol w:w="1289"/>
        <w:gridCol w:w="1206"/>
        <w:gridCol w:w="1736"/>
        <w:gridCol w:w="1737"/>
        <w:gridCol w:w="1737"/>
        <w:gridCol w:w="2535"/>
        <w:gridCol w:w="2524"/>
      </w:tblGrid>
      <w:tr w:rsidR="006E3983" w:rsidRPr="00471CC9" w:rsidTr="004E797B">
        <w:trPr>
          <w:trHeight w:val="438"/>
        </w:trPr>
        <w:tc>
          <w:tcPr>
            <w:tcW w:w="44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46464"/>
          </w:tcPr>
          <w:p w:rsidR="006E3983" w:rsidRPr="00471CC9" w:rsidRDefault="006E3983" w:rsidP="004E797B">
            <w:pPr>
              <w:rPr>
                <w:color w:val="FFFFFF" w:themeColor="background1"/>
                <w:sz w:val="16"/>
                <w:szCs w:val="16"/>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46464"/>
            <w:noWrap/>
          </w:tcPr>
          <w:p w:rsidR="006E3983" w:rsidRPr="00471CC9" w:rsidRDefault="006E3983" w:rsidP="004E797B">
            <w:pPr>
              <w:rPr>
                <w:color w:val="FFFFFF" w:themeColor="background1"/>
                <w:sz w:val="16"/>
                <w:szCs w:val="16"/>
              </w:rPr>
            </w:pPr>
            <w:r w:rsidRPr="00471CC9">
              <w:rPr>
                <w:color w:val="FFFFFF" w:themeColor="background1"/>
                <w:sz w:val="16"/>
                <w:szCs w:val="16"/>
              </w:rPr>
              <w:t>Type of research question</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46464"/>
            <w:noWrap/>
          </w:tcPr>
          <w:p w:rsidR="006E3983" w:rsidRPr="00471CC9" w:rsidRDefault="006E3983" w:rsidP="004E797B">
            <w:pPr>
              <w:rPr>
                <w:color w:val="FFFFFF" w:themeColor="background1"/>
                <w:sz w:val="16"/>
                <w:szCs w:val="16"/>
              </w:rPr>
            </w:pPr>
            <w:r w:rsidRPr="00471CC9">
              <w:rPr>
                <w:color w:val="FFFFFF" w:themeColor="background1"/>
                <w:sz w:val="16"/>
                <w:szCs w:val="16"/>
              </w:rPr>
              <w:t>Type of research question combined with various research foci</w:t>
            </w:r>
          </w:p>
        </w:tc>
        <w:tc>
          <w:tcPr>
            <w:tcW w:w="521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46464"/>
          </w:tcPr>
          <w:p w:rsidR="006E3983" w:rsidRPr="00471CC9" w:rsidRDefault="006E3983" w:rsidP="004E797B">
            <w:pPr>
              <w:jc w:val="center"/>
              <w:rPr>
                <w:color w:val="FFFFFF" w:themeColor="background1"/>
                <w:sz w:val="16"/>
                <w:szCs w:val="16"/>
              </w:rPr>
            </w:pPr>
            <w:r w:rsidRPr="00471CC9">
              <w:rPr>
                <w:color w:val="FFFFFF" w:themeColor="background1"/>
                <w:sz w:val="16"/>
                <w:szCs w:val="16"/>
              </w:rPr>
              <w:t>Comparative approach</w:t>
            </w:r>
          </w:p>
        </w:tc>
        <w:tc>
          <w:tcPr>
            <w:tcW w:w="505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46464"/>
            <w:noWrap/>
          </w:tcPr>
          <w:p w:rsidR="006E3983" w:rsidRPr="00471CC9" w:rsidRDefault="006E3983" w:rsidP="004E797B">
            <w:pPr>
              <w:jc w:val="center"/>
              <w:rPr>
                <w:color w:val="FFFFFF" w:themeColor="background1"/>
                <w:sz w:val="16"/>
                <w:szCs w:val="16"/>
              </w:rPr>
            </w:pPr>
            <w:r w:rsidRPr="00471CC9">
              <w:rPr>
                <w:color w:val="FFFFFF" w:themeColor="background1"/>
                <w:sz w:val="16"/>
                <w:szCs w:val="16"/>
              </w:rPr>
              <w:t>Contributions to…</w:t>
            </w:r>
          </w:p>
        </w:tc>
      </w:tr>
      <w:tr w:rsidR="006E3983" w:rsidRPr="00471CC9" w:rsidTr="004E797B">
        <w:trPr>
          <w:trHeight w:val="438"/>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p>
        </w:tc>
        <w:tc>
          <w:tcPr>
            <w:tcW w:w="1289" w:type="dxa"/>
            <w:vMerge/>
            <w:tcBorders>
              <w:left w:val="single" w:sz="4" w:space="0" w:color="FFFFFF" w:themeColor="background1"/>
              <w:right w:val="single" w:sz="4" w:space="0" w:color="FFFFFF" w:themeColor="background1"/>
            </w:tcBorders>
            <w:shd w:val="clear" w:color="auto" w:fill="7D7D7D"/>
            <w:noWrap/>
          </w:tcPr>
          <w:p w:rsidR="006E3983" w:rsidRPr="00471CC9" w:rsidRDefault="006E3983" w:rsidP="004E797B">
            <w:pPr>
              <w:rPr>
                <w:color w:val="FFFFFF" w:themeColor="background1"/>
                <w:sz w:val="16"/>
                <w:szCs w:val="16"/>
              </w:rPr>
            </w:pPr>
          </w:p>
        </w:tc>
        <w:tc>
          <w:tcPr>
            <w:tcW w:w="1206" w:type="dxa"/>
            <w:vMerge/>
            <w:tcBorders>
              <w:left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color w:val="FFFFFF" w:themeColor="background1"/>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hideMark/>
          </w:tcPr>
          <w:p w:rsidR="006E3983" w:rsidRPr="00471CC9" w:rsidRDefault="006E3983" w:rsidP="004E797B">
            <w:pPr>
              <w:rPr>
                <w:color w:val="FFFFFF" w:themeColor="background1"/>
                <w:sz w:val="16"/>
                <w:szCs w:val="16"/>
              </w:rPr>
            </w:pPr>
            <w:r w:rsidRPr="00471CC9">
              <w:rPr>
                <w:color w:val="FFFFFF" w:themeColor="background1"/>
                <w:sz w:val="16"/>
                <w:szCs w:val="16"/>
              </w:rPr>
              <w:t>Temporal: period of time (A1)</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hideMark/>
          </w:tcPr>
          <w:p w:rsidR="006E3983" w:rsidRPr="00471CC9" w:rsidRDefault="006E3983" w:rsidP="004E797B">
            <w:pPr>
              <w:rPr>
                <w:color w:val="FFFFFF" w:themeColor="background1"/>
                <w:sz w:val="16"/>
                <w:szCs w:val="16"/>
              </w:rPr>
            </w:pPr>
            <w:r w:rsidRPr="00471CC9">
              <w:rPr>
                <w:color w:val="FFFFFF" w:themeColor="background1"/>
                <w:sz w:val="16"/>
                <w:szCs w:val="16"/>
              </w:rPr>
              <w:t>Spatial: multiple policy settings  (A2)</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hideMark/>
          </w:tcPr>
          <w:p w:rsidR="006E3983" w:rsidRPr="00471CC9" w:rsidRDefault="006E3983" w:rsidP="004E797B">
            <w:pPr>
              <w:rPr>
                <w:color w:val="FFFFFF" w:themeColor="background1"/>
                <w:sz w:val="16"/>
                <w:szCs w:val="16"/>
              </w:rPr>
            </w:pPr>
            <w:r w:rsidRPr="00471CC9">
              <w:rPr>
                <w:color w:val="FFFFFF" w:themeColor="background1"/>
                <w:sz w:val="16"/>
                <w:szCs w:val="16"/>
              </w:rPr>
              <w:t>Vertical: multiple governance levels (A3)</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hideMark/>
          </w:tcPr>
          <w:p w:rsidR="006E3983" w:rsidRPr="00471CC9" w:rsidRDefault="006E3983" w:rsidP="004E797B">
            <w:pPr>
              <w:rPr>
                <w:color w:val="FFFFFF" w:themeColor="background1"/>
                <w:sz w:val="16"/>
                <w:szCs w:val="16"/>
              </w:rPr>
            </w:pPr>
            <w:r w:rsidRPr="00471CC9">
              <w:rPr>
                <w:color w:val="FFFFFF" w:themeColor="background1"/>
                <w:sz w:val="16"/>
                <w:szCs w:val="16"/>
              </w:rPr>
              <w:t>…answering the overall resea</w:t>
            </w:r>
            <w:r w:rsidR="00075E3C" w:rsidRPr="00471CC9">
              <w:rPr>
                <w:color w:val="FFFFFF" w:themeColor="background1"/>
                <w:sz w:val="16"/>
                <w:szCs w:val="16"/>
              </w:rPr>
              <w:t>r</w:t>
            </w:r>
            <w:r w:rsidRPr="00471CC9">
              <w:rPr>
                <w:color w:val="FFFFFF" w:themeColor="background1"/>
                <w:sz w:val="16"/>
                <w:szCs w:val="16"/>
              </w:rPr>
              <w:t>ch question of this paper</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r w:rsidRPr="00471CC9">
              <w:rPr>
                <w:color w:val="FFFFFF" w:themeColor="background1"/>
                <w:sz w:val="16"/>
                <w:szCs w:val="16"/>
              </w:rPr>
              <w:t>…policy recommendations for creating behavioral change</w:t>
            </w:r>
          </w:p>
        </w:tc>
      </w:tr>
      <w:tr w:rsidR="006E3983" w:rsidRPr="00471CC9" w:rsidTr="004E797B">
        <w:trPr>
          <w:trHeight w:val="30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7D7D7D"/>
            <w:noWrap/>
          </w:tcPr>
          <w:p w:rsidR="006E3983" w:rsidRPr="00471CC9" w:rsidRDefault="006E3983" w:rsidP="004E797B">
            <w:pPr>
              <w:rPr>
                <w:color w:val="FFFFFF" w:themeColor="background1"/>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7D7D7D"/>
            <w:noWrap/>
          </w:tcPr>
          <w:p w:rsidR="006E3983" w:rsidRPr="00471CC9" w:rsidRDefault="006E3983" w:rsidP="004E797B">
            <w:pPr>
              <w:rPr>
                <w:color w:val="FFFFFF" w:themeColor="background1"/>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r w:rsidRPr="00471CC9">
              <w:rPr>
                <w:color w:val="FFFFFF" w:themeColor="background1"/>
                <w:sz w:val="16"/>
                <w:szCs w:val="16"/>
              </w:rPr>
              <w:t>Policy setting and governance level held constant</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r w:rsidRPr="00471CC9">
              <w:rPr>
                <w:color w:val="FFFFFF" w:themeColor="background1"/>
                <w:sz w:val="16"/>
                <w:szCs w:val="16"/>
              </w:rPr>
              <w:t>Governance level and point in time held constant</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r w:rsidRPr="00471CC9">
              <w:rPr>
                <w:color w:val="FFFFFF" w:themeColor="background1"/>
                <w:sz w:val="16"/>
                <w:szCs w:val="16"/>
              </w:rPr>
              <w:t>Policy setting and point in time held constant</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noWrap/>
          </w:tcPr>
          <w:p w:rsidR="006E3983" w:rsidRPr="00471CC9" w:rsidRDefault="006E3983" w:rsidP="004E797B">
            <w:pPr>
              <w:rPr>
                <w:color w:val="FFFFFF" w:themeColor="background1"/>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16"/>
                <w:szCs w:val="16"/>
              </w:rPr>
            </w:pPr>
          </w:p>
        </w:tc>
      </w:tr>
      <w:tr w:rsidR="006E3983" w:rsidRPr="00471CC9" w:rsidTr="004E797B">
        <w:trPr>
          <w:trHeight w:val="600"/>
        </w:trPr>
        <w:tc>
          <w:tcPr>
            <w:tcW w:w="44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7D7D7D"/>
            <w:textDirection w:val="btLr"/>
          </w:tcPr>
          <w:p w:rsidR="006E3983" w:rsidRPr="00471CC9" w:rsidRDefault="006E3983" w:rsidP="004E797B">
            <w:pPr>
              <w:ind w:left="113" w:right="113"/>
              <w:rPr>
                <w:sz w:val="20"/>
                <w:szCs w:val="20"/>
              </w:rPr>
            </w:pPr>
            <w:r w:rsidRPr="00471CC9">
              <w:rPr>
                <w:color w:val="FFFFFF" w:themeColor="background1"/>
                <w:sz w:val="20"/>
                <w:szCs w:val="20"/>
              </w:rPr>
              <w:t>Policies  (R2)</w:t>
            </w: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“if”, Q1</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hideMark/>
          </w:tcPr>
          <w:p w:rsidR="006E3983" w:rsidRPr="00471CC9" w:rsidRDefault="006E3983" w:rsidP="004E797B">
            <w:pPr>
              <w:rPr>
                <w:sz w:val="16"/>
                <w:szCs w:val="16"/>
              </w:rPr>
            </w:pPr>
            <w:r w:rsidRPr="00471CC9">
              <w:rPr>
                <w:sz w:val="16"/>
                <w:szCs w:val="16"/>
              </w:rPr>
              <w:t>Type 1 questions</w:t>
            </w:r>
          </w:p>
          <w:p w:rsidR="006E3983" w:rsidRPr="00471CC9" w:rsidRDefault="006E3983" w:rsidP="004E797B">
            <w:pPr>
              <w:rPr>
                <w:sz w:val="16"/>
                <w:szCs w:val="16"/>
              </w:rPr>
            </w:pPr>
          </w:p>
          <w:p w:rsidR="006E3983" w:rsidRPr="00471CC9" w:rsidRDefault="00075E3C" w:rsidP="004E797B">
            <w:pPr>
              <w:rPr>
                <w:sz w:val="16"/>
                <w:szCs w:val="16"/>
              </w:rPr>
            </w:pPr>
            <w:r w:rsidRPr="00471CC9">
              <w:rPr>
                <w:sz w:val="16"/>
                <w:szCs w:val="16"/>
              </w:rPr>
              <w:t>Occurrence</w:t>
            </w:r>
            <w:r w:rsidR="006E3983" w:rsidRPr="00471CC9">
              <w:rPr>
                <w:sz w:val="16"/>
                <w:szCs w:val="16"/>
              </w:rPr>
              <w:t xml:space="preserve"> of changes or differences in policy/ institutional characteristics (R2)</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 xml:space="preserve">Has a change in policy/institutions </w:t>
            </w:r>
            <w:r w:rsidR="00075E3C" w:rsidRPr="00471CC9">
              <w:rPr>
                <w:sz w:val="16"/>
                <w:szCs w:val="16"/>
              </w:rPr>
              <w:t>occurred</w:t>
            </w:r>
            <w:r w:rsidRPr="00471CC9">
              <w:rPr>
                <w:sz w:val="16"/>
                <w:szCs w:val="16"/>
              </w:rPr>
              <w:t xml:space="preserve"> over a period of time for a particular regulatory setting at a certain regulatory level? </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Do policies/ institutions differ across regulatory settings, for a certain regulatory level at a certain point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Do policies/institutions exist at multiple levels, for a particular regulatory setting at a certain point in time?</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pStyle w:val="ListBullet"/>
              <w:numPr>
                <w:ilvl w:val="0"/>
                <w:numId w:val="0"/>
              </w:numPr>
              <w:rPr>
                <w:sz w:val="16"/>
                <w:szCs w:val="16"/>
              </w:rPr>
            </w:pPr>
            <w:r w:rsidRPr="00471CC9">
              <w:rPr>
                <w:sz w:val="16"/>
                <w:szCs w:val="16"/>
              </w:rPr>
              <w:t xml:space="preserve">Helps to answer the basic question if any further research is relevant. </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rPr>
                <w:sz w:val="16"/>
                <w:szCs w:val="16"/>
              </w:rPr>
            </w:pPr>
            <w:r w:rsidRPr="00471CC9">
              <w:rPr>
                <w:sz w:val="16"/>
                <w:szCs w:val="16"/>
              </w:rPr>
              <w:t>Usually there will be no doubt among policy makers or other agents about changes to policy/institutional characteristics</w:t>
            </w:r>
            <w:r w:rsidR="00075E3C" w:rsidRPr="00471CC9">
              <w:rPr>
                <w:sz w:val="16"/>
                <w:szCs w:val="16"/>
              </w:rPr>
              <w:t>, where</w:t>
            </w:r>
            <w:r w:rsidRPr="00471CC9">
              <w:rPr>
                <w:sz w:val="16"/>
                <w:szCs w:val="16"/>
              </w:rPr>
              <w:t>as principals are not necessarily as well informed.</w:t>
            </w:r>
          </w:p>
        </w:tc>
      </w:tr>
      <w:tr w:rsidR="006E3983" w:rsidRPr="00471CC9" w:rsidTr="004E797B">
        <w:trPr>
          <w:trHeight w:val="133"/>
        </w:trPr>
        <w:tc>
          <w:tcPr>
            <w:tcW w:w="441" w:type="dxa"/>
            <w:vMerge/>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tcBorders>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rPr>
                <w:i/>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rPr>
                <w:sz w:val="16"/>
                <w:szCs w:val="16"/>
              </w:rPr>
            </w:pPr>
          </w:p>
        </w:tc>
      </w:tr>
      <w:tr w:rsidR="006E3983" w:rsidRPr="00471CC9" w:rsidTr="004E797B">
        <w:trPr>
          <w:trHeight w:val="720"/>
        </w:trPr>
        <w:tc>
          <w:tcPr>
            <w:tcW w:w="441" w:type="dxa"/>
            <w:vMerge/>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“how”, Q2</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hideMark/>
          </w:tcPr>
          <w:p w:rsidR="006E3983" w:rsidRPr="00471CC9" w:rsidRDefault="006E3983" w:rsidP="004E797B">
            <w:pPr>
              <w:rPr>
                <w:sz w:val="16"/>
                <w:szCs w:val="16"/>
              </w:rPr>
            </w:pPr>
            <w:r w:rsidRPr="00471CC9">
              <w:rPr>
                <w:sz w:val="16"/>
                <w:szCs w:val="16"/>
              </w:rPr>
              <w:t>Type 2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policy /institutional  characteristics (comparative analysis) (R2)</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hideMark/>
          </w:tcPr>
          <w:p w:rsidR="006E3983" w:rsidRPr="00471CC9" w:rsidRDefault="006E3983" w:rsidP="004E797B">
            <w:pPr>
              <w:rPr>
                <w:sz w:val="16"/>
                <w:szCs w:val="16"/>
              </w:rPr>
            </w:pPr>
            <w:r w:rsidRPr="00471CC9">
              <w:rPr>
                <w:sz w:val="16"/>
                <w:szCs w:val="16"/>
              </w:rPr>
              <w:t xml:space="preserve">When and how has changes in policy/institutional </w:t>
            </w:r>
            <w:r w:rsidR="00075E3C" w:rsidRPr="00471CC9">
              <w:rPr>
                <w:sz w:val="16"/>
                <w:szCs w:val="16"/>
              </w:rPr>
              <w:t>characteristics</w:t>
            </w:r>
            <w:r w:rsidRPr="00471CC9">
              <w:rPr>
                <w:sz w:val="16"/>
                <w:szCs w:val="16"/>
              </w:rPr>
              <w:t xml:space="preserve"> occurred during a specific period of time, with regard to inputs, outputs and/or throughputs?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hideMark/>
          </w:tcPr>
          <w:p w:rsidR="006E3983" w:rsidRPr="00471CC9" w:rsidRDefault="006E3983" w:rsidP="004E797B">
            <w:pPr>
              <w:rPr>
                <w:sz w:val="16"/>
                <w:szCs w:val="16"/>
              </w:rPr>
            </w:pPr>
            <w:r w:rsidRPr="00471CC9">
              <w:rPr>
                <w:sz w:val="16"/>
                <w:szCs w:val="16"/>
              </w:rPr>
              <w:t>How do policies/ institutional characteristics differ across regulatory settings, with regard to inputs, outputs and/or throughputs?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hideMark/>
          </w:tcPr>
          <w:p w:rsidR="006E3983" w:rsidRPr="00471CC9" w:rsidRDefault="006E3983" w:rsidP="004E797B">
            <w:pPr>
              <w:rPr>
                <w:sz w:val="16"/>
                <w:szCs w:val="16"/>
              </w:rPr>
            </w:pPr>
            <w:r w:rsidRPr="00471CC9">
              <w:rPr>
                <w:sz w:val="16"/>
                <w:szCs w:val="16"/>
              </w:rPr>
              <w:t>How and to which extent do policiy/institutional characteristics overlap, complement or conflict with one another, with regard to inputs, outputs and/or throughputs?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Basis for developing and testing hypotheses about causality of the observed changes or differences in policy/institutional characteristics with context (Type 3).</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rPr>
                <w:sz w:val="16"/>
                <w:szCs w:val="16"/>
              </w:rPr>
            </w:pPr>
            <w:r w:rsidRPr="00471CC9">
              <w:rPr>
                <w:sz w:val="16"/>
                <w:szCs w:val="16"/>
              </w:rPr>
              <w:t>Benchmarking of policy /institutional characteristics may lead  to convergence of agent policies and/or principal behaviors, because of improved understanding of general norms or (perceived) better policies in other places with conditions that are seen as be similar to that of the individual agent or principal.</w:t>
            </w:r>
          </w:p>
        </w:tc>
      </w:tr>
      <w:tr w:rsidR="006E3983" w:rsidRPr="00471CC9" w:rsidTr="004E797B">
        <w:trPr>
          <w:trHeight w:val="285"/>
        </w:trPr>
        <w:tc>
          <w:tcPr>
            <w:tcW w:w="441" w:type="dxa"/>
            <w:vMerge/>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Koven (2015) about forest policy in Ontario 1984-2015</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Al Seadi et al. (2018) about biogas developments in Denmark</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Gunningham (2009) about environmental law in US and Europe</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Lindahl et al. (2017) about changes in goals and approach in Swedish forest </w:t>
            </w:r>
            <w:r w:rsidRPr="00471CC9">
              <w:rPr>
                <w:i/>
                <w:sz w:val="16"/>
                <w:szCs w:val="16"/>
              </w:rPr>
              <w:lastRenderedPageBreak/>
              <w:t>legislation over 100 years.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Abbot and Snidal (2009). Developments in types of agent and agent partnerships occurring in a specific period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lastRenderedPageBreak/>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Nichiforel et al. (2018) comparing jurisdictional forest legisilation European scale</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McDermott et al. (2010) comparing jurisdictional forest legislation at global scale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Cheung et al. (2019) for the forest sector in Ontario</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Buliga et al. (2019) for extent of overlap between legal requirements and FSC standards.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McDermott et al. (2010) indicate hypotheses that differences are due to public or private ownership, developed and developing countries etc. and that some similarities are due to emergence of international norms</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075E3C" w:rsidP="004E797B">
            <w:pPr>
              <w:pStyle w:val="ListBullet"/>
              <w:tabs>
                <w:tab w:val="clear" w:pos="360"/>
                <w:tab w:val="num" w:pos="72"/>
              </w:tabs>
              <w:ind w:left="214" w:hanging="214"/>
              <w:rPr>
                <w:i/>
                <w:sz w:val="16"/>
                <w:szCs w:val="16"/>
              </w:rPr>
            </w:pPr>
            <w:r w:rsidRPr="00471CC9">
              <w:rPr>
                <w:i/>
                <w:sz w:val="16"/>
                <w:szCs w:val="16"/>
              </w:rPr>
              <w:t>Forest Europe (2015) indic</w:t>
            </w:r>
            <w:r w:rsidR="006E3983" w:rsidRPr="00471CC9">
              <w:rPr>
                <w:i/>
                <w:sz w:val="16"/>
                <w:szCs w:val="16"/>
              </w:rPr>
              <w:t xml:space="preserve">ate that the European collaboration  on SFM standards as well as benchmarking of forest policies has led to an increasing number of countries that include an increasing number of Forest Europe SFM indicators in their forest legislation. </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Visseren-Hamaker and Pattberg (2013)</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Lehtonen (2007) address the use of environmental and economic country reviews and comparisons to enhance environmental policy </w:t>
            </w:r>
            <w:r w:rsidRPr="00471CC9">
              <w:rPr>
                <w:i/>
                <w:sz w:val="16"/>
                <w:szCs w:val="16"/>
              </w:rPr>
              <w:lastRenderedPageBreak/>
              <w:t>integration</w:t>
            </w:r>
          </w:p>
        </w:tc>
      </w:tr>
      <w:tr w:rsidR="006E3983" w:rsidRPr="00471CC9" w:rsidTr="004E797B">
        <w:trPr>
          <w:trHeight w:val="394"/>
        </w:trPr>
        <w:tc>
          <w:tcPr>
            <w:tcW w:w="441" w:type="dxa"/>
            <w:vMerge/>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“why”, Q3</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hideMark/>
          </w:tcPr>
          <w:p w:rsidR="006E3983" w:rsidRPr="00471CC9" w:rsidRDefault="006E3983" w:rsidP="004E797B">
            <w:pPr>
              <w:rPr>
                <w:sz w:val="16"/>
                <w:szCs w:val="16"/>
              </w:rPr>
            </w:pPr>
            <w:r w:rsidRPr="00471CC9">
              <w:rPr>
                <w:sz w:val="16"/>
                <w:szCs w:val="16"/>
              </w:rPr>
              <w:t>Type 3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policy/ institutional characteristics and causality with contextual factors (R2=f(R1))</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Why has this policy/institutional change occurred in a specific period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Why do policies/ institutions differ across regulatory settings?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Why do policies/ institutions overlap, complement or conflict with one another across levels? For which intended or unintended reasons?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explain and develop a deeper understanding of which policy/institutional characteristics that occur or result from different contexts.</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create hypotheses about policy/institutional characteristics that lead to real changes or differences (Type 5).</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Classified policy/institutional characteristics may be used as indicators of expected real or perceived changes or differences,, and principal’s granted legitimacy and/or trust.*</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May point to conditions that indicate political, social and cultural feasibility of different policy/institutional characteristics, and perhaps what needs to change before certain policy/institutional designs can be decided.</w:t>
            </w:r>
          </w:p>
        </w:tc>
      </w:tr>
      <w:tr w:rsidR="006E3983" w:rsidRPr="00471CC9" w:rsidTr="004E797B">
        <w:trPr>
          <w:trHeight w:val="394"/>
        </w:trPr>
        <w:tc>
          <w:tcPr>
            <w:tcW w:w="441" w:type="dxa"/>
            <w:vMerge/>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Koven (2015) – change in forest laws related to changed power relationships </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Thrän et al. (2019) – change in RES policy related to monitoring of biophysical factors and market development</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Gunningham (2009) about environmental law in US and Europe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Kittler et al. (2019) – different wood pellet company policies related to supply chain structure.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r>
      <w:tr w:rsidR="006E3983" w:rsidRPr="00471CC9" w:rsidTr="004E797B">
        <w:trPr>
          <w:trHeight w:val="60"/>
        </w:trPr>
        <w:tc>
          <w:tcPr>
            <w:tcW w:w="441" w:type="dxa"/>
            <w:vMerge w:val="restart"/>
            <w:tcBorders>
              <w:left w:val="single" w:sz="4" w:space="0" w:color="FFFFFF" w:themeColor="background1"/>
              <w:right w:val="single" w:sz="4" w:space="0" w:color="FFFFFF" w:themeColor="background1"/>
            </w:tcBorders>
            <w:shd w:val="clear" w:color="auto" w:fill="7D7D7D"/>
            <w:textDirection w:val="btLr"/>
          </w:tcPr>
          <w:p w:rsidR="006E3983" w:rsidRPr="00471CC9" w:rsidRDefault="006E3983" w:rsidP="004E797B">
            <w:pPr>
              <w:ind w:left="113" w:right="113"/>
              <w:rPr>
                <w:sz w:val="20"/>
                <w:szCs w:val="20"/>
              </w:rPr>
            </w:pPr>
            <w:r w:rsidRPr="00471CC9">
              <w:rPr>
                <w:color w:val="FFFFFF" w:themeColor="background1"/>
                <w:sz w:val="20"/>
                <w:szCs w:val="20"/>
              </w:rPr>
              <w:t>Measureable  impacts (R3)</w:t>
            </w: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“how”, Q2</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Type 4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real changes or  differences (comparative analysis)  (R3)</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Have real changes relevant to inputs, outputs and/or throughputs occurred in a specific period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Do real differences relevant to inputs, outputs and/or throughputs occur across regulatory settings?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Have real changes relevant to inputs, outputs and/or throughputs occurred?</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Basis for developing and testing hypotheses about causality of the observed real changes or differences with policy/ institutional characteristics (Type 5).</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Benchmarking of real changes or differences for a specific set of factors may motivate agents to develop new policies/institutional designs and/or change principals’ views on these,  because of improved understanding of general norms or (perceived) performance under conditions that are seen as similar to that of the individual agent </w:t>
            </w:r>
            <w:r w:rsidRPr="00471CC9">
              <w:rPr>
                <w:sz w:val="16"/>
                <w:szCs w:val="16"/>
              </w:rPr>
              <w:lastRenderedPageBreak/>
              <w:t>or principal.</w:t>
            </w:r>
          </w:p>
        </w:tc>
      </w:tr>
      <w:tr w:rsidR="006E3983" w:rsidRPr="00471CC9" w:rsidTr="004E797B">
        <w:trPr>
          <w:trHeight w:val="6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66125">
              <w:rPr>
                <w:i/>
                <w:sz w:val="16"/>
                <w:szCs w:val="16"/>
                <w:lang w:val="da-DK"/>
              </w:rPr>
              <w:t xml:space="preserve">Al Seadi et al. (2018) and Thrän et al. </w:t>
            </w:r>
            <w:r w:rsidRPr="00471CC9">
              <w:rPr>
                <w:i/>
                <w:sz w:val="16"/>
                <w:szCs w:val="16"/>
              </w:rPr>
              <w:t>(2019) – changes in biogas production</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Forest Europe (2015) – comparing forest conditions at European scale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sz w:val="16"/>
                <w:szCs w:val="16"/>
              </w:rPr>
            </w:pPr>
            <w:r w:rsidRPr="00471CC9">
              <w:rPr>
                <w:i/>
                <w:sz w:val="16"/>
                <w:szCs w:val="16"/>
              </w:rPr>
              <w:t>NGO reports, concerns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r>
      <w:tr w:rsidR="006E3983" w:rsidRPr="00471CC9" w:rsidTr="004E797B">
        <w:trPr>
          <w:trHeight w:val="501"/>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“why”, Q3</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hideMark/>
          </w:tcPr>
          <w:p w:rsidR="006E3983" w:rsidRPr="00471CC9" w:rsidRDefault="006E3983" w:rsidP="004E797B">
            <w:pPr>
              <w:rPr>
                <w:sz w:val="16"/>
                <w:szCs w:val="16"/>
              </w:rPr>
            </w:pPr>
            <w:r w:rsidRPr="00471CC9">
              <w:rPr>
                <w:sz w:val="16"/>
                <w:szCs w:val="16"/>
              </w:rPr>
              <w:t>Type 5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real changes or differences and causality with policy/ institutional characteristics (R3=f(R2))</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real changes relevant to inputs, outputs and/or throughputs link to policy/</w:t>
            </w:r>
            <w:r w:rsidR="00A6684B" w:rsidRPr="00471CC9">
              <w:rPr>
                <w:sz w:val="16"/>
                <w:szCs w:val="16"/>
              </w:rPr>
              <w:t>institutional</w:t>
            </w:r>
            <w:r w:rsidRPr="00471CC9">
              <w:rPr>
                <w:sz w:val="16"/>
                <w:szCs w:val="16"/>
              </w:rPr>
              <w:t xml:space="preserve"> changes for this period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 xml:space="preserve">How (and why) do real differences </w:t>
            </w:r>
            <w:r w:rsidR="00A6684B" w:rsidRPr="00471CC9">
              <w:rPr>
                <w:sz w:val="16"/>
                <w:szCs w:val="16"/>
              </w:rPr>
              <w:t>rele</w:t>
            </w:r>
            <w:r w:rsidRPr="00471CC9">
              <w:rPr>
                <w:sz w:val="16"/>
                <w:szCs w:val="16"/>
              </w:rPr>
              <w:t>vant to inputs, outputs and/or throughputs link to policy/institutional differences?</w:t>
            </w:r>
          </w:p>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hideMark/>
          </w:tcPr>
          <w:p w:rsidR="006E3983" w:rsidRPr="00471CC9" w:rsidRDefault="006E3983" w:rsidP="004E797B">
            <w:pPr>
              <w:rPr>
                <w:sz w:val="16"/>
                <w:szCs w:val="16"/>
              </w:rPr>
            </w:pPr>
            <w:r w:rsidRPr="00471CC9">
              <w:rPr>
                <w:sz w:val="16"/>
                <w:szCs w:val="16"/>
              </w:rPr>
              <w:t>How (and why) do real changes relevant to inputs, outputs and/or throughputs link to added levels of regulation? Is more being obtained by adding more levels?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hideMark/>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explain and develop deeper understanding of which policy/ institutional characteristics that are linked to real changes or differences.</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create hypotheses about which real changes that lead to perceived changes (Type 7)</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Classified real changes or differences may be used as indicators of expected perceived changes or differences,, and  changes to or differences in principal’s granted legitimacy and/or trust.*</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May help to create models for prediction of real change, if the basic conditions under which the causality was proved do not change in a way that leaves the causality no longer valid. This includes economic policy analyzes to identify the first, second or third most efficient and effective policy</w:t>
            </w:r>
            <w:r w:rsidR="007A770E" w:rsidRPr="00471CC9">
              <w:rPr>
                <w:sz w:val="16"/>
                <w:szCs w:val="16"/>
              </w:rPr>
              <w:t xml:space="preserve"> among a set of alternatives.</w:t>
            </w:r>
          </w:p>
        </w:tc>
      </w:tr>
      <w:tr w:rsidR="006E3983" w:rsidRPr="00471CC9" w:rsidTr="004E797B">
        <w:trPr>
          <w:trHeight w:val="6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Al Seadi et al. (2018)  – Development of the biogas sector in Denmark related to policy</w:t>
            </w:r>
          </w:p>
          <w:p w:rsidR="006E3983" w:rsidRPr="00471CC9" w:rsidRDefault="006E3983" w:rsidP="004E797B">
            <w:pPr>
              <w:pStyle w:val="ListBullet"/>
              <w:tabs>
                <w:tab w:val="clear" w:pos="360"/>
                <w:tab w:val="num" w:pos="72"/>
              </w:tabs>
              <w:ind w:left="214" w:hanging="214"/>
              <w:rPr>
                <w:sz w:val="16"/>
                <w:szCs w:val="16"/>
              </w:rPr>
            </w:pPr>
            <w:r w:rsidRPr="00471CC9">
              <w:rPr>
                <w:i/>
                <w:sz w:val="16"/>
                <w:szCs w:val="16"/>
              </w:rPr>
              <w:t>Thrän et al. (2019) –Development of biogas sector in Germany related to policy</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Di Lucia and Kronsell (2010). - Effectiveness in reaching biofuel targets depending on EU Member State policy and institutional capacity variables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sz w:val="16"/>
                <w:szCs w:val="16"/>
              </w:rPr>
            </w:pPr>
            <w:r w:rsidRPr="00471CC9">
              <w:rPr>
                <w:i/>
                <w:sz w:val="16"/>
                <w:szCs w:val="16"/>
              </w:rPr>
              <w:t>Mrosek et al. (2006) –effectiveness of forest certification measured by corrective action requests (CAR***)</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Purkus (2016) – suggesting instruments for a rational bioenergy policy </w:t>
            </w:r>
          </w:p>
        </w:tc>
      </w:tr>
      <w:tr w:rsidR="006E3983" w:rsidRPr="00471CC9" w:rsidTr="004E797B">
        <w:trPr>
          <w:trHeight w:val="398"/>
        </w:trPr>
        <w:tc>
          <w:tcPr>
            <w:tcW w:w="441" w:type="dxa"/>
            <w:tcBorders>
              <w:top w:val="single" w:sz="4" w:space="0" w:color="FFFFFF" w:themeColor="background1"/>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“how”, Q2</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hideMark/>
          </w:tcPr>
          <w:p w:rsidR="006E3983" w:rsidRPr="00471CC9" w:rsidRDefault="006E3983" w:rsidP="004E797B">
            <w:pPr>
              <w:rPr>
                <w:sz w:val="16"/>
                <w:szCs w:val="16"/>
              </w:rPr>
            </w:pPr>
            <w:r w:rsidRPr="00471CC9">
              <w:rPr>
                <w:sz w:val="16"/>
                <w:szCs w:val="16"/>
              </w:rPr>
              <w:t>Type 6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perceived of changes or differences  (comparative analysis)</w:t>
            </w:r>
          </w:p>
          <w:p w:rsidR="006E3983" w:rsidRPr="00471CC9" w:rsidRDefault="006E3983" w:rsidP="004E797B">
            <w:pPr>
              <w:rPr>
                <w:sz w:val="16"/>
                <w:szCs w:val="16"/>
              </w:rPr>
            </w:pPr>
            <w:r w:rsidRPr="00471CC9">
              <w:rPr>
                <w:sz w:val="16"/>
                <w:szCs w:val="16"/>
              </w:rPr>
              <w:t>(R4)</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Have perceptions of changes relevant to inputs, outputs and/or throughputs occurred in a specific period of time?</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Do perceptions relevant to inputs, outputs and/or throughputs differ across regulatory settings</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A6684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Are perceptions of changes relevant to inputs, outputs and/or throughputs </w:t>
            </w:r>
            <w:r w:rsidR="00A6684B" w:rsidRPr="00471CC9">
              <w:rPr>
                <w:sz w:val="16"/>
                <w:szCs w:val="16"/>
              </w:rPr>
              <w:t>occurring before</w:t>
            </w:r>
            <w:r w:rsidRPr="00471CC9">
              <w:rPr>
                <w:sz w:val="16"/>
                <w:szCs w:val="16"/>
              </w:rPr>
              <w:t xml:space="preserve">? </w:t>
            </w:r>
          </w:p>
          <w:p w:rsidR="006E3983" w:rsidRPr="00471CC9" w:rsidRDefault="006E3983" w:rsidP="004E797B">
            <w:pPr>
              <w:rPr>
                <w:sz w:val="16"/>
                <w:szCs w:val="16"/>
              </w:rPr>
            </w:pPr>
          </w:p>
          <w:p w:rsidR="006E3983" w:rsidRPr="00471CC9" w:rsidRDefault="006E3983" w:rsidP="00A6684B">
            <w:pPr>
              <w:rPr>
                <w:sz w:val="16"/>
                <w:szCs w:val="16"/>
              </w:rPr>
            </w:pPr>
            <w:r w:rsidRPr="00471CC9">
              <w:rPr>
                <w:sz w:val="16"/>
                <w:szCs w:val="16"/>
              </w:rPr>
              <w:t>Are there differences among specific groups?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hideMark/>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Basis for developing and testing hypotheses about causality between perceived changes or differences and policy/ institutional characteristics, or real changes or differences (Type 7).</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Benchmarking may motivate agents to develop new policies or strategies to change principals’ views on existing policies/institution or their effectiveness,</w:t>
            </w:r>
            <w:r w:rsidR="00075E3C" w:rsidRPr="00471CC9">
              <w:rPr>
                <w:sz w:val="16"/>
                <w:szCs w:val="16"/>
              </w:rPr>
              <w:t xml:space="preserve"> </w:t>
            </w:r>
            <w:r w:rsidRPr="00471CC9">
              <w:rPr>
                <w:sz w:val="16"/>
                <w:szCs w:val="16"/>
              </w:rPr>
              <w:t xml:space="preserve">based on researchers or own hypotheses about how perceived changes are linked to real changes or changes in policies or institutions </w:t>
            </w:r>
          </w:p>
        </w:tc>
      </w:tr>
      <w:tr w:rsidR="006E3983" w:rsidRPr="00471CC9" w:rsidTr="004E797B">
        <w:trPr>
          <w:trHeight w:val="145"/>
        </w:trPr>
        <w:tc>
          <w:tcPr>
            <w:tcW w:w="441" w:type="dxa"/>
            <w:vMerge w:val="restart"/>
            <w:tcBorders>
              <w:left w:val="single" w:sz="4" w:space="0" w:color="FFFFFF" w:themeColor="background1"/>
              <w:right w:val="single" w:sz="4" w:space="0" w:color="FFFFFF" w:themeColor="background1"/>
            </w:tcBorders>
            <w:shd w:val="clear" w:color="auto" w:fill="7D7D7D"/>
            <w:textDirection w:val="btLr"/>
          </w:tcPr>
          <w:p w:rsidR="006E3983" w:rsidRPr="00471CC9" w:rsidRDefault="006E3983" w:rsidP="004E797B">
            <w:pPr>
              <w:ind w:left="113" w:right="113"/>
              <w:rPr>
                <w:color w:val="FFFFFF" w:themeColor="background1"/>
                <w:sz w:val="20"/>
                <w:szCs w:val="20"/>
              </w:rPr>
            </w:pPr>
            <w:r w:rsidRPr="00471CC9">
              <w:rPr>
                <w:color w:val="FFFFFF" w:themeColor="background1"/>
                <w:sz w:val="20"/>
                <w:szCs w:val="20"/>
              </w:rPr>
              <w:t>Perceived impacts (R4)</w:t>
            </w: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Mai-Moulin et al. (2019) – differences in perceptions among stakeholder groups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Dale et al. Interactive poster – </w:t>
            </w:r>
            <w:r w:rsidRPr="00471CC9">
              <w:rPr>
                <w:i/>
                <w:sz w:val="16"/>
                <w:szCs w:val="16"/>
              </w:rPr>
              <w:lastRenderedPageBreak/>
              <w:t>perceptions of environmental risk</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numPr>
                <w:ilvl w:val="0"/>
                <w:numId w:val="0"/>
              </w:numPr>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r>
      <w:tr w:rsidR="006E3983" w:rsidRPr="00471CC9" w:rsidTr="004E797B">
        <w:trPr>
          <w:trHeight w:val="6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20"/>
                <w:szCs w:val="20"/>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“why”, Q3</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Type 7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perceived changes or differences and causality with policy/</w:t>
            </w:r>
          </w:p>
          <w:p w:rsidR="006E3983" w:rsidRPr="00471CC9" w:rsidRDefault="006E3983" w:rsidP="004E797B">
            <w:pPr>
              <w:rPr>
                <w:sz w:val="16"/>
                <w:szCs w:val="16"/>
              </w:rPr>
            </w:pPr>
            <w:r w:rsidRPr="00471CC9">
              <w:rPr>
                <w:sz w:val="16"/>
                <w:szCs w:val="16"/>
              </w:rPr>
              <w:t xml:space="preserve">institutional characteristics or real changes or differences </w:t>
            </w:r>
          </w:p>
          <w:p w:rsidR="006E3983" w:rsidRPr="00471CC9" w:rsidRDefault="006E3983" w:rsidP="004E797B">
            <w:pPr>
              <w:rPr>
                <w:sz w:val="16"/>
                <w:szCs w:val="16"/>
              </w:rPr>
            </w:pPr>
            <w:r w:rsidRPr="00471CC9">
              <w:rPr>
                <w:sz w:val="16"/>
                <w:szCs w:val="16"/>
              </w:rPr>
              <w:t>(R4=f(R2), R4=R(R2))</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 xml:space="preserve">How (and why) do </w:t>
            </w:r>
            <w:r w:rsidR="00075E3C" w:rsidRPr="00471CC9">
              <w:rPr>
                <w:sz w:val="16"/>
                <w:szCs w:val="16"/>
              </w:rPr>
              <w:t>perceived</w:t>
            </w:r>
            <w:r w:rsidRPr="00471CC9">
              <w:rPr>
                <w:sz w:val="16"/>
                <w:szCs w:val="16"/>
              </w:rPr>
              <w:t xml:space="preserve"> changes relevant to inputs, outputs and/or throughputs link to policy/institutional changes or to real changes for a specific period of time?</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differences in perceptions relevant to inputs, outputs and/or throughputs link to policy/institutional differences or real changes?</w:t>
            </w:r>
          </w:p>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perceived changes relevant to inputs, outputs and/or throughputs link to added levels of policies/inst</w:t>
            </w:r>
            <w:r w:rsidR="00075E3C" w:rsidRPr="00471CC9">
              <w:rPr>
                <w:sz w:val="16"/>
                <w:szCs w:val="16"/>
              </w:rPr>
              <w:t>it</w:t>
            </w:r>
            <w:r w:rsidRPr="00471CC9">
              <w:rPr>
                <w:sz w:val="16"/>
                <w:szCs w:val="16"/>
              </w:rPr>
              <w:t>utions or to real changes?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 xml:space="preserve">Helps to explain and develop deeper understanding of how </w:t>
            </w:r>
            <w:r w:rsidR="00075E3C" w:rsidRPr="00471CC9">
              <w:rPr>
                <w:sz w:val="16"/>
                <w:szCs w:val="16"/>
              </w:rPr>
              <w:t>perceived</w:t>
            </w:r>
            <w:r w:rsidRPr="00471CC9">
              <w:rPr>
                <w:sz w:val="16"/>
                <w:szCs w:val="16"/>
              </w:rPr>
              <w:t xml:space="preserve"> changes are linked to policy/ institutional characteristics, or real changes or differences. </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create hypotheses about which perceived changes or differences that are linked to which changes or differences in legitimacy (Type 9)</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 xml:space="preserve">Classified perceived changes or differences may be used as indicators of expected changes to or </w:t>
            </w:r>
            <w:r w:rsidR="00075E3C" w:rsidRPr="00471CC9">
              <w:rPr>
                <w:sz w:val="16"/>
                <w:szCs w:val="16"/>
              </w:rPr>
              <w:t>differences</w:t>
            </w:r>
            <w:r w:rsidRPr="00471CC9">
              <w:rPr>
                <w:sz w:val="16"/>
                <w:szCs w:val="16"/>
              </w:rPr>
              <w:t xml:space="preserve"> in principal’s granted legitimacy and/or trust.*</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May prompt agents to elaborate or improve their communication strategies about their polices and their effectiveness, to change principal’s perceptions about these matters, based on what is known about possible gaps between real and perceived changes, and ultimately achieve higher levels of legitimacy and principals’ granting  of trust, assuming that this will change with a change in perceptions.</w:t>
            </w:r>
          </w:p>
        </w:tc>
      </w:tr>
      <w:tr w:rsidR="006E3983" w:rsidRPr="00471CC9" w:rsidTr="004E797B">
        <w:trPr>
          <w:trHeight w:val="6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color w:val="FFFFFF" w:themeColor="background1"/>
                <w:sz w:val="20"/>
                <w:szCs w:val="20"/>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r>
      <w:tr w:rsidR="006E3983" w:rsidRPr="00471CC9" w:rsidTr="004E797B">
        <w:trPr>
          <w:trHeight w:val="70"/>
        </w:trPr>
        <w:tc>
          <w:tcPr>
            <w:tcW w:w="441" w:type="dxa"/>
            <w:vMerge w:val="restart"/>
            <w:tcBorders>
              <w:left w:val="single" w:sz="4" w:space="0" w:color="FFFFFF" w:themeColor="background1"/>
              <w:right w:val="single" w:sz="4" w:space="0" w:color="FFFFFF" w:themeColor="background1"/>
            </w:tcBorders>
            <w:shd w:val="clear" w:color="auto" w:fill="7D7D7D"/>
            <w:textDirection w:val="btLr"/>
          </w:tcPr>
          <w:p w:rsidR="006E3983" w:rsidRPr="00471CC9" w:rsidRDefault="006E3983" w:rsidP="004E797B">
            <w:pPr>
              <w:ind w:left="113" w:right="113"/>
              <w:rPr>
                <w:color w:val="FFFFFF" w:themeColor="background1"/>
                <w:sz w:val="20"/>
                <w:szCs w:val="20"/>
              </w:rPr>
            </w:pPr>
            <w:r w:rsidRPr="00471CC9">
              <w:rPr>
                <w:color w:val="FFFFFF" w:themeColor="background1"/>
                <w:sz w:val="20"/>
                <w:szCs w:val="20"/>
              </w:rPr>
              <w:t>Legitimacy (R5)</w:t>
            </w: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“how”, Q2</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Type 8 question</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Changes or differences in legitimacy (comparative analysis) (R5)</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Have changes in granting of input, output and/or throughput legitimacy occurred in a </w:t>
            </w:r>
            <w:r w:rsidR="00075E3C" w:rsidRPr="00471CC9">
              <w:rPr>
                <w:sz w:val="16"/>
                <w:szCs w:val="16"/>
              </w:rPr>
              <w:t>specific</w:t>
            </w:r>
            <w:r w:rsidRPr="00471CC9">
              <w:rPr>
                <w:sz w:val="16"/>
                <w:szCs w:val="16"/>
              </w:rPr>
              <w:t xml:space="preserve"> period of time? </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Do granted input, output and/or throughput legitimacy differ across regulatory settings?</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Have changes in granting of input, output and/or throughput legitimacy occurred?</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075E3C">
            <w:pPr>
              <w:pStyle w:val="ListBullet"/>
              <w:tabs>
                <w:tab w:val="clear" w:pos="360"/>
                <w:tab w:val="num" w:pos="72"/>
              </w:tabs>
              <w:ind w:left="214" w:hanging="214"/>
              <w:rPr>
                <w:sz w:val="16"/>
                <w:szCs w:val="16"/>
              </w:rPr>
            </w:pPr>
            <w:r w:rsidRPr="00471CC9">
              <w:rPr>
                <w:sz w:val="16"/>
                <w:szCs w:val="16"/>
              </w:rPr>
              <w:t xml:space="preserve">Helps to develop hypotheses about causality between the legitimacy changes and changes to or differences in policy/ institutional </w:t>
            </w:r>
            <w:r w:rsidR="00075E3C" w:rsidRPr="00471CC9">
              <w:rPr>
                <w:sz w:val="16"/>
                <w:szCs w:val="16"/>
              </w:rPr>
              <w:t>characteristics, or</w:t>
            </w:r>
            <w:r w:rsidRPr="00471CC9">
              <w:rPr>
                <w:sz w:val="16"/>
                <w:szCs w:val="16"/>
              </w:rPr>
              <w:t xml:space="preserve"> real or perceived changes (Type 9).</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Benchmarking may motivate or push agents to develop new policies and/or change principals’ views on policies or </w:t>
            </w:r>
            <w:r w:rsidR="00075E3C" w:rsidRPr="00471CC9">
              <w:rPr>
                <w:sz w:val="16"/>
                <w:szCs w:val="16"/>
              </w:rPr>
              <w:t>i</w:t>
            </w:r>
            <w:r w:rsidRPr="00471CC9">
              <w:rPr>
                <w:sz w:val="16"/>
                <w:szCs w:val="16"/>
              </w:rPr>
              <w:t xml:space="preserve">nstitutions, because of improved understanding of general norms or (perceived) levels of legitimacy under conditions that are seen as similar to that of the individual agent or principal. </w:t>
            </w: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“why”, Q3</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Type 9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Changes or differences in legitimacy and causality with policy/ institutional characteristics, real or perceived changes</w:t>
            </w:r>
          </w:p>
          <w:p w:rsidR="006E3983" w:rsidRPr="00471CC9" w:rsidRDefault="006E3983" w:rsidP="004E797B">
            <w:pPr>
              <w:rPr>
                <w:sz w:val="16"/>
                <w:szCs w:val="16"/>
              </w:rPr>
            </w:pPr>
            <w:r w:rsidRPr="00471CC9">
              <w:rPr>
                <w:sz w:val="16"/>
                <w:szCs w:val="16"/>
              </w:rPr>
              <w:t>(R5=f(R2), R5=f(R3), R5=f(R4))</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 xml:space="preserve">How (and why) do changes ing granting of input, output and/or throughput legitimacy link to policy/institutional changes or real or perceived changes in a </w:t>
            </w:r>
            <w:r w:rsidR="00075E3C" w:rsidRPr="00471CC9">
              <w:rPr>
                <w:sz w:val="16"/>
                <w:szCs w:val="16"/>
              </w:rPr>
              <w:t>specific</w:t>
            </w:r>
            <w:r w:rsidRPr="00471CC9">
              <w:rPr>
                <w:sz w:val="16"/>
                <w:szCs w:val="16"/>
              </w:rPr>
              <w:t xml:space="preserve"> period of time?</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differences in input, output and/or throughput legitimacy link to policy/</w:t>
            </w:r>
            <w:r w:rsidR="00075E3C" w:rsidRPr="00471CC9">
              <w:rPr>
                <w:sz w:val="16"/>
                <w:szCs w:val="16"/>
              </w:rPr>
              <w:t>instructional</w:t>
            </w:r>
            <w:r w:rsidRPr="00471CC9">
              <w:rPr>
                <w:sz w:val="16"/>
                <w:szCs w:val="16"/>
              </w:rPr>
              <w:t xml:space="preserve"> differences or real or perceived differences?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 xml:space="preserve">How (and why) do changes in input, output and/or throughput legitimacy link to added levels of policies/institutions or real or </w:t>
            </w:r>
            <w:r w:rsidR="00075E3C" w:rsidRPr="00471CC9">
              <w:rPr>
                <w:sz w:val="16"/>
                <w:szCs w:val="16"/>
              </w:rPr>
              <w:t>perceived</w:t>
            </w:r>
            <w:r w:rsidRPr="00471CC9">
              <w:rPr>
                <w:sz w:val="16"/>
                <w:szCs w:val="16"/>
              </w:rPr>
              <w:t xml:space="preserve"> changes?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 xml:space="preserve">Are there differences among specific groups? </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explain and develop deeper understanding of how principals’ granting of legitimacy is linked to policy/ institutional characteristics, or real or perceived changes or differences.</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 xml:space="preserve">Helps to create hypotheses about how changes to or </w:t>
            </w:r>
            <w:r w:rsidR="00075E3C" w:rsidRPr="00471CC9">
              <w:rPr>
                <w:sz w:val="16"/>
                <w:szCs w:val="16"/>
              </w:rPr>
              <w:t>differences</w:t>
            </w:r>
            <w:r w:rsidRPr="00471CC9">
              <w:rPr>
                <w:sz w:val="16"/>
                <w:szCs w:val="16"/>
              </w:rPr>
              <w:t xml:space="preserve"> in principal’s granting of legitimacy is linked to changes to or differences in granting of trust (Type 11)</w:t>
            </w:r>
          </w:p>
          <w:p w:rsidR="006E3983" w:rsidRPr="00471CC9" w:rsidRDefault="006E3983" w:rsidP="004E797B">
            <w:pPr>
              <w:pStyle w:val="ListBullet"/>
              <w:tabs>
                <w:tab w:val="clear" w:pos="360"/>
                <w:tab w:val="num" w:pos="72"/>
              </w:tabs>
              <w:ind w:left="214" w:hanging="214"/>
              <w:rPr>
                <w:sz w:val="16"/>
                <w:szCs w:val="16"/>
              </w:rPr>
            </w:pPr>
            <w:r w:rsidRPr="00471CC9">
              <w:rPr>
                <w:sz w:val="16"/>
                <w:szCs w:val="16"/>
              </w:rPr>
              <w:t xml:space="preserve">Classified changes to or differences in principal’s granted legitimacy may be used as indicators of expected changes to or </w:t>
            </w:r>
            <w:r w:rsidR="00075E3C" w:rsidRPr="00471CC9">
              <w:rPr>
                <w:sz w:val="16"/>
                <w:szCs w:val="16"/>
              </w:rPr>
              <w:t>differences</w:t>
            </w:r>
            <w:r w:rsidRPr="00471CC9">
              <w:rPr>
                <w:sz w:val="16"/>
                <w:szCs w:val="16"/>
              </w:rPr>
              <w:t xml:space="preserve"> in principal’s granted trust.*</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May prompt agents to elaborate or improve their strategies to increase principals’ granting of legitimacy, based on what is known about its dependency on the effectiveness of polices/</w:t>
            </w:r>
            <w:r w:rsidR="00075E3C" w:rsidRPr="00471CC9">
              <w:rPr>
                <w:sz w:val="16"/>
                <w:szCs w:val="16"/>
              </w:rPr>
              <w:t>institutions in</w:t>
            </w:r>
            <w:r w:rsidRPr="00471CC9">
              <w:rPr>
                <w:sz w:val="16"/>
                <w:szCs w:val="16"/>
              </w:rPr>
              <w:t xml:space="preserve"> creating real or perceived change in factors related to policy/institutional inputs, outputs, or throughputs.</w:t>
            </w: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20"/>
                <w:szCs w:val="20"/>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pStyle w:val="ListBullet"/>
              <w:numPr>
                <w:ilvl w:val="0"/>
                <w:numId w:val="0"/>
              </w:numPr>
              <w:ind w:left="360" w:hanging="360"/>
              <w:rPr>
                <w:i/>
                <w:sz w:val="16"/>
                <w:szCs w:val="16"/>
              </w:rPr>
            </w:pPr>
            <w:r w:rsidRPr="00471CC9">
              <w:rPr>
                <w:i/>
                <w:sz w:val="16"/>
                <w:szCs w:val="16"/>
              </w:rPr>
              <w:t>Examples:</w:t>
            </w:r>
          </w:p>
          <w:p w:rsidR="006E3983" w:rsidRPr="00471CC9" w:rsidRDefault="006E3983" w:rsidP="004E797B">
            <w:pPr>
              <w:pStyle w:val="ListBullet"/>
              <w:tabs>
                <w:tab w:val="clear" w:pos="360"/>
                <w:tab w:val="num" w:pos="72"/>
              </w:tabs>
              <w:ind w:left="214" w:hanging="214"/>
              <w:rPr>
                <w:i/>
                <w:sz w:val="16"/>
                <w:szCs w:val="16"/>
              </w:rPr>
            </w:pPr>
            <w:r w:rsidRPr="00471CC9">
              <w:rPr>
                <w:i/>
                <w:sz w:val="16"/>
                <w:szCs w:val="16"/>
              </w:rPr>
              <w:t xml:space="preserve">Bennet et al. (2019) – local support for </w:t>
            </w:r>
            <w:r w:rsidRPr="00471CC9">
              <w:rPr>
                <w:i/>
                <w:sz w:val="16"/>
                <w:szCs w:val="16"/>
              </w:rPr>
              <w:lastRenderedPageBreak/>
              <w:t>conservation was linked to</w:t>
            </w:r>
            <w:r w:rsidR="00075E3C" w:rsidRPr="00471CC9">
              <w:rPr>
                <w:i/>
                <w:sz w:val="16"/>
                <w:szCs w:val="16"/>
              </w:rPr>
              <w:t xml:space="preserve"> </w:t>
            </w:r>
            <w:r w:rsidRPr="00471CC9">
              <w:rPr>
                <w:i/>
                <w:sz w:val="16"/>
                <w:szCs w:val="16"/>
              </w:rPr>
              <w:t>perception of good governance, environmental effectiveness and social impact</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ind w:left="214"/>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r>
      <w:tr w:rsidR="006E3983" w:rsidRPr="00471CC9" w:rsidTr="004E797B">
        <w:trPr>
          <w:trHeight w:val="70"/>
        </w:trPr>
        <w:tc>
          <w:tcPr>
            <w:tcW w:w="44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7D7D7D"/>
            <w:textDirection w:val="btLr"/>
          </w:tcPr>
          <w:p w:rsidR="006E3983" w:rsidRPr="00471CC9" w:rsidRDefault="006E3983" w:rsidP="004E797B">
            <w:pPr>
              <w:ind w:left="113" w:right="113"/>
              <w:rPr>
                <w:sz w:val="20"/>
                <w:szCs w:val="20"/>
              </w:rPr>
            </w:pPr>
            <w:r w:rsidRPr="00471CC9">
              <w:rPr>
                <w:color w:val="FFFFFF" w:themeColor="background1"/>
                <w:sz w:val="20"/>
                <w:szCs w:val="20"/>
              </w:rPr>
              <w:lastRenderedPageBreak/>
              <w:t>Trust (R6)</w:t>
            </w: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“how”, Q2</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r w:rsidRPr="00471CC9">
              <w:rPr>
                <w:sz w:val="16"/>
                <w:szCs w:val="16"/>
              </w:rPr>
              <w:t>Type 10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Patterns of changes or differences in trust (R6)</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Have changes in granting of trust occurred in a specific period of time? </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Do granting of trust differ across regulatory settings?</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 xml:space="preserve">Have changes in granting of trust </w:t>
            </w:r>
            <w:r w:rsidR="00075E3C" w:rsidRPr="00471CC9">
              <w:rPr>
                <w:sz w:val="16"/>
                <w:szCs w:val="16"/>
              </w:rPr>
              <w:t>occurred</w:t>
            </w:r>
            <w:r w:rsidRPr="00471CC9">
              <w:rPr>
                <w:sz w:val="16"/>
                <w:szCs w:val="16"/>
              </w:rPr>
              <w:t>?</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 xml:space="preserve">Helps to develop hypotheses about causality between changes to or differences in trust and changes to or differences in with policy/ institutional characteristics, real or perceived changes or </w:t>
            </w:r>
            <w:r w:rsidR="00075E3C" w:rsidRPr="00471CC9">
              <w:rPr>
                <w:sz w:val="16"/>
                <w:szCs w:val="16"/>
              </w:rPr>
              <w:t>differences</w:t>
            </w:r>
            <w:r w:rsidRPr="00471CC9">
              <w:rPr>
                <w:sz w:val="16"/>
                <w:szCs w:val="16"/>
              </w:rPr>
              <w:t>, or with changes or differences in legitimacy (Type 11) *</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r w:rsidRPr="00471CC9">
              <w:rPr>
                <w:sz w:val="16"/>
                <w:szCs w:val="16"/>
              </w:rPr>
              <w:t>Benchmarking may motivate or push agents to develop new policies and/or change principals’ views on policies or institutions, because of improved understanding of general norms or (perceived) levels of trust under conditions that are seen as similar to that of the individual agent or principal.</w:t>
            </w: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206"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cPr>
          <w:p w:rsidR="006E3983" w:rsidRPr="00471CC9" w:rsidRDefault="006E3983" w:rsidP="004E797B">
            <w:pPr>
              <w:rPr>
                <w:sz w:val="16"/>
                <w:szCs w:val="16"/>
              </w:rPr>
            </w:pP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 xml:space="preserve"> “why”, Q3</w:t>
            </w:r>
          </w:p>
        </w:tc>
        <w:tc>
          <w:tcPr>
            <w:tcW w:w="120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r w:rsidRPr="00471CC9">
              <w:rPr>
                <w:sz w:val="16"/>
                <w:szCs w:val="16"/>
              </w:rPr>
              <w:t>Type 11 questions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 xml:space="preserve">Changes or differences in trust and causality with policy/ institutional characteristics, real or perceived changes or </w:t>
            </w:r>
            <w:r w:rsidR="00075E3C" w:rsidRPr="00471CC9">
              <w:rPr>
                <w:sz w:val="16"/>
                <w:szCs w:val="16"/>
              </w:rPr>
              <w:t>differences</w:t>
            </w:r>
            <w:r w:rsidRPr="00471CC9">
              <w:rPr>
                <w:sz w:val="16"/>
                <w:szCs w:val="16"/>
              </w:rPr>
              <w:t>, or with changes or differences in legitimacy**</w:t>
            </w:r>
          </w:p>
          <w:p w:rsidR="006E3983" w:rsidRPr="00471CC9" w:rsidRDefault="006E3983" w:rsidP="004E797B">
            <w:pPr>
              <w:rPr>
                <w:sz w:val="16"/>
                <w:szCs w:val="16"/>
              </w:rPr>
            </w:pPr>
            <w:r w:rsidRPr="00471CC9">
              <w:rPr>
                <w:sz w:val="16"/>
                <w:szCs w:val="16"/>
              </w:rPr>
              <w:t>(R6=f(R2), R6=f(R3), R6=f(R4),</w:t>
            </w:r>
          </w:p>
          <w:p w:rsidR="006E3983" w:rsidRPr="00471CC9" w:rsidRDefault="006E3983" w:rsidP="004E797B">
            <w:pPr>
              <w:rPr>
                <w:sz w:val="16"/>
                <w:szCs w:val="16"/>
              </w:rPr>
            </w:pPr>
            <w:r w:rsidRPr="00471CC9">
              <w:rPr>
                <w:sz w:val="16"/>
                <w:szCs w:val="16"/>
              </w:rPr>
              <w:t>R6=f(R5))</w:t>
            </w:r>
          </w:p>
        </w:tc>
        <w:tc>
          <w:tcPr>
            <w:tcW w:w="17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changes in trust link to policy/ institutional changes or real or perceived changes, or with changes in legitimacy?</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differences in trust link to policy/institutional differences or real or perceived differences, with with differences in legitimacy?</w:t>
            </w:r>
          </w:p>
          <w:p w:rsidR="006E3983" w:rsidRPr="00471CC9" w:rsidRDefault="006E3983" w:rsidP="004E797B">
            <w:pPr>
              <w:rPr>
                <w:sz w:val="16"/>
                <w:szCs w:val="16"/>
              </w:rPr>
            </w:pP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Are there differences among specific groups?</w:t>
            </w:r>
          </w:p>
        </w:tc>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How (and why) do changes in trust link to added levels of regulatory activity or real changes, assuming that real changes occur as a consequence of policy changes?</w:t>
            </w:r>
          </w:p>
          <w:p w:rsidR="006E3983" w:rsidRPr="00471CC9" w:rsidRDefault="006E3983" w:rsidP="004E797B">
            <w:pPr>
              <w:rPr>
                <w:sz w:val="16"/>
                <w:szCs w:val="16"/>
              </w:rPr>
            </w:pPr>
          </w:p>
          <w:p w:rsidR="006E3983" w:rsidRPr="00471CC9" w:rsidRDefault="006E3983" w:rsidP="004E797B">
            <w:pPr>
              <w:rPr>
                <w:sz w:val="16"/>
                <w:szCs w:val="16"/>
              </w:rPr>
            </w:pPr>
            <w:r w:rsidRPr="00471CC9">
              <w:rPr>
                <w:sz w:val="16"/>
                <w:szCs w:val="16"/>
              </w:rPr>
              <w:t xml:space="preserve">Are there differences among specific groups? </w:t>
            </w: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tabs>
                <w:tab w:val="clear" w:pos="360"/>
                <w:tab w:val="num" w:pos="72"/>
              </w:tabs>
              <w:ind w:left="214" w:hanging="214"/>
              <w:rPr>
                <w:sz w:val="16"/>
                <w:szCs w:val="16"/>
              </w:rPr>
            </w:pPr>
            <w:r w:rsidRPr="00471CC9">
              <w:rPr>
                <w:sz w:val="16"/>
                <w:szCs w:val="16"/>
              </w:rPr>
              <w:t>Helps to explain and develop deeper understanding of how principals’ granting of trust is linked to policy/ institutional characteristics, real or perceived changes or differences, and principal’s granting of legitimacy.</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r w:rsidRPr="00471CC9">
              <w:rPr>
                <w:sz w:val="16"/>
                <w:szCs w:val="16"/>
              </w:rPr>
              <w:t>May prompt agents to elaborate or improve their strategies to increase principals’ granting of trust, based on what is known about its dependency on legitimacy, or effectiveness of polices/</w:t>
            </w:r>
            <w:r w:rsidR="00075E3C" w:rsidRPr="00471CC9">
              <w:rPr>
                <w:sz w:val="16"/>
                <w:szCs w:val="16"/>
              </w:rPr>
              <w:t>institutions in</w:t>
            </w:r>
            <w:r w:rsidRPr="00471CC9">
              <w:rPr>
                <w:sz w:val="16"/>
                <w:szCs w:val="16"/>
              </w:rPr>
              <w:t xml:space="preserve"> creating real or perceived change in factors related  policy/institutional to inputs, outputs, or throughputs.</w:t>
            </w:r>
          </w:p>
        </w:tc>
      </w:tr>
      <w:tr w:rsidR="006E3983" w:rsidRPr="00471CC9" w:rsidTr="004E797B">
        <w:trPr>
          <w:trHeight w:val="70"/>
        </w:trPr>
        <w:tc>
          <w:tcPr>
            <w:tcW w:w="441" w:type="dxa"/>
            <w:vMerge/>
            <w:tcBorders>
              <w:left w:val="single" w:sz="4" w:space="0" w:color="FFFFFF" w:themeColor="background1"/>
              <w:right w:val="single" w:sz="4" w:space="0" w:color="FFFFFF" w:themeColor="background1"/>
            </w:tcBorders>
            <w:shd w:val="clear" w:color="auto" w:fill="7D7D7D"/>
          </w:tcPr>
          <w:p w:rsidR="006E3983" w:rsidRPr="00471CC9" w:rsidRDefault="006E3983" w:rsidP="004E797B">
            <w:pPr>
              <w:rPr>
                <w:sz w:val="16"/>
                <w:szCs w:val="16"/>
              </w:rPr>
            </w:pPr>
          </w:p>
        </w:tc>
        <w:tc>
          <w:tcPr>
            <w:tcW w:w="1289" w:type="dxa"/>
            <w:vMerge/>
            <w:tcBorders>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206" w:type="dxa"/>
            <w:vMerge/>
            <w:tcBorders>
              <w:left w:val="single" w:sz="4" w:space="0" w:color="FFFFFF" w:themeColor="background1"/>
              <w:right w:val="single" w:sz="4" w:space="0" w:color="FFFFFF" w:themeColor="background1"/>
            </w:tcBorders>
            <w:shd w:val="clear" w:color="auto" w:fill="D9D9D9"/>
            <w:noWrap/>
          </w:tcPr>
          <w:p w:rsidR="006E3983" w:rsidRPr="00471CC9" w:rsidRDefault="006E3983" w:rsidP="004E797B">
            <w:pPr>
              <w:rPr>
                <w:sz w:val="16"/>
                <w:szCs w:val="16"/>
              </w:rPr>
            </w:pPr>
          </w:p>
        </w:tc>
        <w:tc>
          <w:tcPr>
            <w:tcW w:w="1736" w:type="dxa"/>
            <w:tcBorders>
              <w:top w:val="single" w:sz="4" w:space="0" w:color="FFFFFF" w:themeColor="background1"/>
              <w:left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1737" w:type="dxa"/>
            <w:tcBorders>
              <w:top w:val="single" w:sz="4" w:space="0" w:color="FFFFFF" w:themeColor="background1"/>
              <w:left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c>
          <w:tcPr>
            <w:tcW w:w="2535" w:type="dxa"/>
            <w:tcBorders>
              <w:top w:val="single" w:sz="4" w:space="0" w:color="FFFFFF" w:themeColor="background1"/>
              <w:left w:val="single" w:sz="4" w:space="0" w:color="FFFFFF" w:themeColor="background1"/>
              <w:right w:val="single" w:sz="4" w:space="0" w:color="FFFFFF" w:themeColor="background1"/>
            </w:tcBorders>
            <w:shd w:val="clear" w:color="auto" w:fill="D9D9D9"/>
            <w:noWrap/>
          </w:tcPr>
          <w:p w:rsidR="006E3983" w:rsidRPr="00471CC9" w:rsidRDefault="006E3983" w:rsidP="004E797B">
            <w:pPr>
              <w:pStyle w:val="ListBullet"/>
              <w:numPr>
                <w:ilvl w:val="0"/>
                <w:numId w:val="0"/>
              </w:numPr>
              <w:ind w:left="360" w:hanging="360"/>
              <w:rPr>
                <w:sz w:val="16"/>
                <w:szCs w:val="16"/>
              </w:rPr>
            </w:pPr>
          </w:p>
        </w:tc>
        <w:tc>
          <w:tcPr>
            <w:tcW w:w="2524" w:type="dxa"/>
            <w:tcBorders>
              <w:top w:val="single" w:sz="4" w:space="0" w:color="FFFFFF" w:themeColor="background1"/>
              <w:left w:val="single" w:sz="4" w:space="0" w:color="FFFFFF" w:themeColor="background1"/>
              <w:right w:val="single" w:sz="4" w:space="0" w:color="FFFFFF" w:themeColor="background1"/>
            </w:tcBorders>
            <w:shd w:val="clear" w:color="auto" w:fill="D9D9D9"/>
          </w:tcPr>
          <w:p w:rsidR="006E3983" w:rsidRPr="00471CC9" w:rsidRDefault="006E3983" w:rsidP="004E797B">
            <w:pPr>
              <w:rPr>
                <w:sz w:val="16"/>
                <w:szCs w:val="16"/>
              </w:rPr>
            </w:pPr>
          </w:p>
        </w:tc>
      </w:tr>
      <w:tr w:rsidR="006E3983" w:rsidRPr="00471CC9" w:rsidTr="004E797B">
        <w:trPr>
          <w:trHeight w:val="70"/>
        </w:trPr>
        <w:tc>
          <w:tcPr>
            <w:tcW w:w="13205" w:type="dxa"/>
            <w:gridSpan w:val="8"/>
            <w:tcBorders>
              <w:left w:val="single" w:sz="4" w:space="0" w:color="FFFFFF" w:themeColor="background1"/>
              <w:bottom w:val="single" w:sz="4" w:space="0" w:color="FFFFFF" w:themeColor="background1"/>
              <w:right w:val="single" w:sz="4" w:space="0" w:color="FFFFFF" w:themeColor="background1"/>
            </w:tcBorders>
          </w:tcPr>
          <w:p w:rsidR="006E3983" w:rsidRPr="00471CC9" w:rsidRDefault="006E3983" w:rsidP="004E797B">
            <w:pPr>
              <w:rPr>
                <w:sz w:val="16"/>
                <w:szCs w:val="16"/>
              </w:rPr>
            </w:pPr>
            <w:r w:rsidRPr="00471CC9">
              <w:rPr>
                <w:sz w:val="16"/>
                <w:szCs w:val="16"/>
              </w:rPr>
              <w:t>*In the absence of verified knowledge.</w:t>
            </w:r>
          </w:p>
          <w:p w:rsidR="006E3983" w:rsidRPr="00471CC9" w:rsidRDefault="006E3983" w:rsidP="004E797B">
            <w:pPr>
              <w:rPr>
                <w:sz w:val="16"/>
                <w:szCs w:val="16"/>
              </w:rPr>
            </w:pPr>
            <w:r w:rsidRPr="00471CC9">
              <w:rPr>
                <w:sz w:val="16"/>
                <w:szCs w:val="16"/>
              </w:rPr>
              <w:t>**To the extent that trust and legitimacy are not overlapping, cf. Fig. 3a.</w:t>
            </w:r>
          </w:p>
          <w:p w:rsidR="006E3983" w:rsidRPr="00471CC9" w:rsidRDefault="006E3983" w:rsidP="004E797B">
            <w:pPr>
              <w:rPr>
                <w:sz w:val="16"/>
                <w:szCs w:val="16"/>
              </w:rPr>
            </w:pPr>
            <w:r w:rsidRPr="00471CC9">
              <w:rPr>
                <w:sz w:val="16"/>
                <w:szCs w:val="16"/>
              </w:rPr>
              <w:t>***See also Table 6.</w:t>
            </w:r>
          </w:p>
          <w:p w:rsidR="006E3983" w:rsidRPr="00471CC9" w:rsidRDefault="006E3983" w:rsidP="00075E3C">
            <w:pPr>
              <w:rPr>
                <w:sz w:val="16"/>
                <w:szCs w:val="16"/>
              </w:rPr>
            </w:pPr>
          </w:p>
        </w:tc>
      </w:tr>
    </w:tbl>
    <w:p w:rsidR="006E3983" w:rsidRPr="00471CC9" w:rsidRDefault="006E3983">
      <w:pPr>
        <w:spacing w:after="160" w:line="259" w:lineRule="auto"/>
      </w:pPr>
    </w:p>
    <w:p w:rsidR="006E3983" w:rsidRPr="00471CC9" w:rsidRDefault="006E3983">
      <w:pPr>
        <w:spacing w:after="160" w:line="259" w:lineRule="auto"/>
      </w:pPr>
      <w:r w:rsidRPr="00471CC9">
        <w:br w:type="page"/>
      </w:r>
    </w:p>
    <w:p w:rsidR="006E3983" w:rsidRPr="00471CC9" w:rsidRDefault="006E3983">
      <w:pPr>
        <w:spacing w:after="160" w:line="259" w:lineRule="auto"/>
        <w:sectPr w:rsidR="006E3983" w:rsidRPr="00471CC9" w:rsidSect="004E797B">
          <w:pgSz w:w="15840" w:h="12240" w:orient="landscape"/>
          <w:pgMar w:top="1440" w:right="1440" w:bottom="1440" w:left="1440" w:header="708" w:footer="708" w:gutter="0"/>
          <w:cols w:space="708"/>
          <w:docGrid w:linePitch="360"/>
        </w:sectPr>
      </w:pPr>
    </w:p>
    <w:p w:rsidR="006E3983" w:rsidRPr="00471CC9" w:rsidRDefault="006E3983" w:rsidP="004E797B">
      <w:pPr>
        <w:rPr>
          <w:b/>
          <w:noProof/>
        </w:rPr>
      </w:pPr>
      <w:r w:rsidRPr="00471CC9">
        <w:rPr>
          <w:b/>
          <w:noProof/>
        </w:rPr>
        <w:lastRenderedPageBreak/>
        <w:t>Reference List</w:t>
      </w:r>
    </w:p>
    <w:p w:rsidR="006E3983" w:rsidRPr="00471CC9" w:rsidRDefault="006E3983" w:rsidP="004E797B">
      <w:pPr>
        <w:jc w:val="center"/>
        <w:rPr>
          <w:noProof/>
        </w:rPr>
      </w:pPr>
    </w:p>
    <w:p w:rsidR="006E3983" w:rsidRPr="00471CC9" w:rsidRDefault="006E3983" w:rsidP="004E797B">
      <w:pPr>
        <w:tabs>
          <w:tab w:val="right" w:pos="360"/>
          <w:tab w:val="left" w:pos="540"/>
        </w:tabs>
        <w:spacing w:after="240"/>
        <w:ind w:left="540" w:hanging="540"/>
        <w:rPr>
          <w:noProof/>
        </w:rPr>
      </w:pPr>
      <w:r w:rsidRPr="00471CC9">
        <w:rPr>
          <w:noProof/>
        </w:rPr>
        <w:tab/>
        <w:t xml:space="preserve">1. </w:t>
      </w:r>
      <w:r w:rsidRPr="00471CC9">
        <w:rPr>
          <w:noProof/>
        </w:rPr>
        <w:tab/>
        <w:t>World Bank</w:t>
      </w:r>
      <w:r w:rsidR="004E797B" w:rsidRPr="00471CC9">
        <w:rPr>
          <w:noProof/>
        </w:rPr>
        <w:t xml:space="preserve"> (2020)</w:t>
      </w:r>
      <w:r w:rsidRPr="00471CC9">
        <w:rPr>
          <w:noProof/>
        </w:rPr>
        <w:t xml:space="preserve"> Worldwide Governance Indicators. </w:t>
      </w:r>
      <w:hyperlink r:id="rId10" w:history="1">
        <w:r w:rsidR="004E797B" w:rsidRPr="00471CC9">
          <w:rPr>
            <w:rStyle w:val="Hyperlink"/>
            <w:noProof/>
          </w:rPr>
          <w:t>http://info.worldbank.org/governance/wgi/</w:t>
        </w:r>
      </w:hyperlink>
      <w:r w:rsidR="008B3381" w:rsidRPr="00471CC9">
        <w:rPr>
          <w:noProof/>
        </w:rPr>
        <w:t>. Accessed 15</w:t>
      </w:r>
      <w:r w:rsidR="004E797B" w:rsidRPr="00471CC9">
        <w:rPr>
          <w:noProof/>
        </w:rPr>
        <w:t xml:space="preserve"> Aug 2020</w:t>
      </w:r>
    </w:p>
    <w:p w:rsidR="004E797B" w:rsidRPr="00471CC9" w:rsidRDefault="006E3983" w:rsidP="004E797B">
      <w:pPr>
        <w:tabs>
          <w:tab w:val="right" w:pos="360"/>
          <w:tab w:val="left" w:pos="540"/>
        </w:tabs>
        <w:spacing w:after="240"/>
        <w:ind w:left="540" w:hanging="540"/>
        <w:rPr>
          <w:noProof/>
        </w:rPr>
      </w:pPr>
      <w:r w:rsidRPr="00471CC9">
        <w:rPr>
          <w:noProof/>
        </w:rPr>
        <w:tab/>
        <w:t xml:space="preserve">2. </w:t>
      </w:r>
      <w:r w:rsidRPr="00471CC9">
        <w:rPr>
          <w:noProof/>
        </w:rPr>
        <w:tab/>
        <w:t>UNESCAP</w:t>
      </w:r>
      <w:r w:rsidR="004E797B" w:rsidRPr="00471CC9">
        <w:rPr>
          <w:noProof/>
        </w:rPr>
        <w:t xml:space="preserve"> (2009) What is Good Governance? United Nations Economic and Social Commission for Asia and the Pacific, 3 pp. </w:t>
      </w:r>
      <w:hyperlink r:id="rId11" w:history="1">
        <w:r w:rsidR="004E797B" w:rsidRPr="00471CC9">
          <w:rPr>
            <w:rStyle w:val="Hyperlink"/>
            <w:noProof/>
          </w:rPr>
          <w:t>https://www.unescap.org/resources/what-good-governance</w:t>
        </w:r>
      </w:hyperlink>
      <w:r w:rsidR="008B3381" w:rsidRPr="00471CC9">
        <w:rPr>
          <w:noProof/>
        </w:rPr>
        <w:t>. Accessed 15</w:t>
      </w:r>
      <w:r w:rsidR="004E797B" w:rsidRPr="00471CC9">
        <w:rPr>
          <w:noProof/>
        </w:rPr>
        <w:t xml:space="preserve"> Aug 2020</w:t>
      </w:r>
    </w:p>
    <w:p w:rsidR="006E3983" w:rsidRPr="00471CC9" w:rsidRDefault="006E3983" w:rsidP="004E797B">
      <w:pPr>
        <w:tabs>
          <w:tab w:val="right" w:pos="360"/>
          <w:tab w:val="left" w:pos="540"/>
        </w:tabs>
        <w:spacing w:after="240"/>
        <w:ind w:left="540" w:hanging="540"/>
        <w:rPr>
          <w:noProof/>
        </w:rPr>
      </w:pPr>
      <w:r w:rsidRPr="00471CC9">
        <w:rPr>
          <w:noProof/>
        </w:rPr>
        <w:tab/>
        <w:t xml:space="preserve">3. </w:t>
      </w:r>
      <w:r w:rsidRPr="00471CC9">
        <w:rPr>
          <w:noProof/>
        </w:rPr>
        <w:tab/>
        <w:t>Council of Europe</w:t>
      </w:r>
      <w:r w:rsidR="004E797B" w:rsidRPr="00471CC9">
        <w:rPr>
          <w:noProof/>
        </w:rPr>
        <w:t xml:space="preserve"> (2008) </w:t>
      </w:r>
      <w:r w:rsidRPr="00471CC9">
        <w:rPr>
          <w:rFonts w:ascii="MyriadPro-SemiboldCond" w:hAnsi="MyriadPro-SemiboldCond"/>
          <w:noProof/>
        </w:rPr>
        <w:t>12 Principles of Good Democratic Governance. European Label o</w:t>
      </w:r>
      <w:r w:rsidR="004E797B" w:rsidRPr="00471CC9">
        <w:rPr>
          <w:rFonts w:ascii="MyriadPro-SemiboldCond" w:hAnsi="MyriadPro-SemiboldCond"/>
          <w:noProof/>
        </w:rPr>
        <w:t xml:space="preserve">f Governance Excellence (ELoGE), </w:t>
      </w:r>
      <w:r w:rsidRPr="00471CC9">
        <w:rPr>
          <w:noProof/>
        </w:rPr>
        <w:t>Council of Europe. E</w:t>
      </w:r>
      <w:r w:rsidRPr="00471CC9">
        <w:rPr>
          <w:rFonts w:ascii="MyriadPro-Cond" w:hAnsi="MyriadPro-Cond"/>
          <w:noProof/>
        </w:rPr>
        <w:t>nshrined in the Strategy on Innovation and Good Governance at local level, endorsed by a decision of the Committee of Ministers o</w:t>
      </w:r>
      <w:r w:rsidR="004E797B" w:rsidRPr="00471CC9">
        <w:rPr>
          <w:rFonts w:ascii="MyriadPro-Cond" w:hAnsi="MyriadPro-Cond"/>
          <w:noProof/>
        </w:rPr>
        <w:t>f the Council of Europe in 2008,</w:t>
      </w:r>
      <w:r w:rsidR="004E797B" w:rsidRPr="00471CC9">
        <w:rPr>
          <w:rFonts w:ascii="MyriadPro-SemiboldCond" w:hAnsi="MyriadPro-SemiboldCond"/>
          <w:noProof/>
        </w:rPr>
        <w:t xml:space="preserve"> 8 pp</w:t>
      </w:r>
      <w:r w:rsidR="004E797B" w:rsidRPr="00471CC9">
        <w:rPr>
          <w:noProof/>
        </w:rPr>
        <w:t xml:space="preserve">. </w:t>
      </w:r>
      <w:hyperlink r:id="rId12" w:history="1">
        <w:r w:rsidR="004E797B" w:rsidRPr="00471CC9">
          <w:rPr>
            <w:rStyle w:val="Hyperlink"/>
            <w:noProof/>
          </w:rPr>
          <w:t>https://www.coe.int/en/web/good-governance/12-principles</w:t>
        </w:r>
      </w:hyperlink>
      <w:r w:rsidR="008B3381" w:rsidRPr="00471CC9">
        <w:rPr>
          <w:noProof/>
        </w:rPr>
        <w:t>. Accessed 15</w:t>
      </w:r>
      <w:r w:rsidR="004E797B" w:rsidRPr="00471CC9">
        <w:rPr>
          <w:noProof/>
        </w:rPr>
        <w:t xml:space="preserve"> Aug 2020</w:t>
      </w:r>
      <w:r w:rsidRPr="00471CC9">
        <w:rPr>
          <w:noProof/>
        </w:rPr>
        <w:t xml:space="preserve"> </w:t>
      </w:r>
    </w:p>
    <w:p w:rsidR="006E3983" w:rsidRPr="00471CC9" w:rsidRDefault="006E3983" w:rsidP="004E797B">
      <w:pPr>
        <w:tabs>
          <w:tab w:val="right" w:pos="360"/>
          <w:tab w:val="left" w:pos="540"/>
        </w:tabs>
        <w:spacing w:after="240"/>
        <w:ind w:left="540" w:hanging="540"/>
        <w:rPr>
          <w:noProof/>
        </w:rPr>
      </w:pPr>
      <w:r w:rsidRPr="00471CC9">
        <w:rPr>
          <w:noProof/>
        </w:rPr>
        <w:tab/>
        <w:t xml:space="preserve">4. </w:t>
      </w:r>
      <w:r w:rsidRPr="00471CC9">
        <w:rPr>
          <w:noProof/>
        </w:rPr>
        <w:tab/>
        <w:t>ISEAL</w:t>
      </w:r>
      <w:r w:rsidR="004E797B" w:rsidRPr="00471CC9">
        <w:rPr>
          <w:noProof/>
        </w:rPr>
        <w:t xml:space="preserve"> (2013)</w:t>
      </w:r>
      <w:r w:rsidRPr="00471CC9">
        <w:rPr>
          <w:noProof/>
        </w:rPr>
        <w:t xml:space="preserve"> Principles for Credible and Effective Sustainability Standards Systems. ISEAL Credibi</w:t>
      </w:r>
      <w:r w:rsidR="004E797B" w:rsidRPr="00471CC9">
        <w:rPr>
          <w:noProof/>
        </w:rPr>
        <w:t xml:space="preserve">lity Principles. ISEAL Alliance, 18 pp.  </w:t>
      </w:r>
      <w:hyperlink r:id="rId13" w:history="1">
        <w:r w:rsidR="004E797B" w:rsidRPr="00471CC9">
          <w:rPr>
            <w:rStyle w:val="Hyperlink"/>
            <w:noProof/>
          </w:rPr>
          <w:t>https://www.isealalliance.org/credible-sustainability-standards/iseal-credibility-principles</w:t>
        </w:r>
      </w:hyperlink>
      <w:r w:rsidR="008B3381" w:rsidRPr="00471CC9">
        <w:rPr>
          <w:noProof/>
        </w:rPr>
        <w:t>. Accessed 15</w:t>
      </w:r>
      <w:r w:rsidR="004E797B" w:rsidRPr="00471CC9">
        <w:rPr>
          <w:noProof/>
        </w:rPr>
        <w:t xml:space="preserve"> Aug 2020</w:t>
      </w:r>
      <w:r w:rsidRPr="00471CC9">
        <w:rPr>
          <w:noProof/>
        </w:rPr>
        <w:t xml:space="preserve"> </w:t>
      </w:r>
    </w:p>
    <w:p w:rsidR="006E3983" w:rsidRPr="00471CC9" w:rsidRDefault="006E3983" w:rsidP="004E797B">
      <w:pPr>
        <w:tabs>
          <w:tab w:val="right" w:pos="360"/>
          <w:tab w:val="left" w:pos="540"/>
        </w:tabs>
        <w:spacing w:after="240"/>
        <w:ind w:left="540" w:hanging="540"/>
        <w:rPr>
          <w:noProof/>
        </w:rPr>
      </w:pPr>
      <w:r w:rsidRPr="00471CC9">
        <w:rPr>
          <w:noProof/>
        </w:rPr>
        <w:tab/>
        <w:t xml:space="preserve">5. </w:t>
      </w:r>
      <w:r w:rsidRPr="00471CC9">
        <w:rPr>
          <w:noProof/>
        </w:rPr>
        <w:tab/>
        <w:t>Ro</w:t>
      </w:r>
      <w:r w:rsidR="004E797B" w:rsidRPr="00471CC9">
        <w:rPr>
          <w:noProof/>
        </w:rPr>
        <w:t>thstein</w:t>
      </w:r>
      <w:r w:rsidRPr="00471CC9">
        <w:rPr>
          <w:noProof/>
        </w:rPr>
        <w:t xml:space="preserve"> B (1992) The Quality of Government. Corruption, Social Trust, and in Inequality in International Perspective</w:t>
      </w:r>
      <w:r w:rsidR="004E797B" w:rsidRPr="00471CC9">
        <w:rPr>
          <w:noProof/>
        </w:rPr>
        <w:t>.</w:t>
      </w:r>
      <w:r w:rsidRPr="00471CC9">
        <w:rPr>
          <w:noProof/>
        </w:rPr>
        <w:t xml:space="preserve"> </w:t>
      </w:r>
      <w:r w:rsidR="004E797B" w:rsidRPr="00471CC9">
        <w:rPr>
          <w:noProof/>
        </w:rPr>
        <w:t>The University of Chicago Press, Chicago and London, 285 pp.</w:t>
      </w:r>
    </w:p>
    <w:p w:rsidR="006E3983" w:rsidRPr="00471CC9" w:rsidRDefault="004E797B" w:rsidP="004E797B">
      <w:pPr>
        <w:tabs>
          <w:tab w:val="right" w:pos="360"/>
          <w:tab w:val="left" w:pos="540"/>
        </w:tabs>
        <w:spacing w:after="240"/>
        <w:ind w:left="540" w:hanging="540"/>
        <w:rPr>
          <w:noProof/>
        </w:rPr>
      </w:pPr>
      <w:r w:rsidRPr="00471CC9">
        <w:rPr>
          <w:noProof/>
        </w:rPr>
        <w:tab/>
        <w:t xml:space="preserve">6. </w:t>
      </w:r>
      <w:r w:rsidRPr="00471CC9">
        <w:rPr>
          <w:noProof/>
        </w:rPr>
        <w:tab/>
        <w:t xml:space="preserve">Davidovic D, </w:t>
      </w:r>
      <w:r w:rsidR="006E3983" w:rsidRPr="00471CC9">
        <w:rPr>
          <w:noProof/>
        </w:rPr>
        <w:t>and Harring</w:t>
      </w:r>
      <w:r w:rsidRPr="00471CC9">
        <w:rPr>
          <w:noProof/>
        </w:rPr>
        <w:t xml:space="preserve"> N (2019)</w:t>
      </w:r>
      <w:r w:rsidR="006E3983" w:rsidRPr="00471CC9">
        <w:rPr>
          <w:noProof/>
        </w:rPr>
        <w:t xml:space="preserve"> Does Quality of Government and Trust explain the Cross-national Variation in Public Support for Climate Policy</w:t>
      </w:r>
      <w:r w:rsidRPr="00471CC9">
        <w:rPr>
          <w:noProof/>
        </w:rPr>
        <w:t>? The Quality of Government Institute, Department of Political Science, University of Gothenburg, Gothenburg, Sweden. QoG Working Paper Series 2019(</w:t>
      </w:r>
      <w:r w:rsidR="006E3983" w:rsidRPr="00471CC9">
        <w:rPr>
          <w:noProof/>
        </w:rPr>
        <w:t>2</w:t>
      </w:r>
      <w:r w:rsidRPr="00471CC9">
        <w:rPr>
          <w:noProof/>
        </w:rPr>
        <w:t>), 42 pp.</w:t>
      </w:r>
      <w:r w:rsidR="008B3381" w:rsidRPr="00471CC9">
        <w:rPr>
          <w:noProof/>
        </w:rPr>
        <w:t xml:space="preserve"> </w:t>
      </w:r>
      <w:hyperlink r:id="rId14" w:history="1">
        <w:r w:rsidR="008B3381" w:rsidRPr="00471CC9">
          <w:rPr>
            <w:rStyle w:val="Hyperlink"/>
            <w:noProof/>
          </w:rPr>
          <w:t>https://qog.pol.gu.se/digitalAssets/1719/1719925_2019_2_davidovic_harring.pdf</w:t>
        </w:r>
      </w:hyperlink>
      <w:r w:rsidR="008B3381" w:rsidRPr="00471CC9">
        <w:rPr>
          <w:noProof/>
        </w:rPr>
        <w:t xml:space="preserve">. Accessed 15 Aug 2020  </w:t>
      </w:r>
    </w:p>
    <w:p w:rsidR="006E3983" w:rsidRPr="00471CC9" w:rsidRDefault="0047362C" w:rsidP="004E797B">
      <w:pPr>
        <w:tabs>
          <w:tab w:val="right" w:pos="360"/>
          <w:tab w:val="left" w:pos="540"/>
        </w:tabs>
        <w:spacing w:after="240"/>
        <w:ind w:left="540" w:hanging="540"/>
        <w:rPr>
          <w:noProof/>
        </w:rPr>
      </w:pPr>
      <w:r w:rsidRPr="00471CC9">
        <w:rPr>
          <w:noProof/>
        </w:rPr>
        <w:tab/>
        <w:t xml:space="preserve">7. </w:t>
      </w:r>
      <w:r w:rsidRPr="00471CC9">
        <w:rPr>
          <w:noProof/>
        </w:rPr>
        <w:tab/>
        <w:t>Göhler D, Cashore</w:t>
      </w:r>
      <w:r w:rsidR="006E3983" w:rsidRPr="00471CC9">
        <w:rPr>
          <w:noProof/>
        </w:rPr>
        <w:t xml:space="preserve"> B</w:t>
      </w:r>
      <w:r w:rsidRPr="00471CC9">
        <w:rPr>
          <w:noProof/>
        </w:rPr>
        <w:t xml:space="preserve">, Blom B (2014) </w:t>
      </w:r>
      <w:r w:rsidR="006E3983" w:rsidRPr="00471CC9">
        <w:rPr>
          <w:noProof/>
        </w:rPr>
        <w:t>Forest Governance an</w:t>
      </w:r>
      <w:r w:rsidRPr="00471CC9">
        <w:rPr>
          <w:noProof/>
        </w:rPr>
        <w:t>d Sustainable Rural Development. In Pretzsch J, Darr D, Uibrig</w:t>
      </w:r>
      <w:r w:rsidR="006E3983" w:rsidRPr="00471CC9">
        <w:rPr>
          <w:noProof/>
        </w:rPr>
        <w:t xml:space="preserve"> H</w:t>
      </w:r>
      <w:r w:rsidRPr="00471CC9">
        <w:rPr>
          <w:noProof/>
        </w:rPr>
        <w:t xml:space="preserve">, </w:t>
      </w:r>
      <w:r w:rsidR="006E3983" w:rsidRPr="00471CC9">
        <w:rPr>
          <w:noProof/>
        </w:rPr>
        <w:t>Auch</w:t>
      </w:r>
      <w:r w:rsidRPr="00471CC9">
        <w:rPr>
          <w:noProof/>
        </w:rPr>
        <w:t xml:space="preserve"> </w:t>
      </w:r>
      <w:r w:rsidR="006E3983" w:rsidRPr="00471CC9">
        <w:rPr>
          <w:noProof/>
        </w:rPr>
        <w:t xml:space="preserve">E (eds) </w:t>
      </w:r>
      <w:r w:rsidR="00FC40A1" w:rsidRPr="00471CC9">
        <w:rPr>
          <w:noProof/>
        </w:rPr>
        <w:t>For Rural Dev</w:t>
      </w:r>
      <w:r w:rsidRPr="00471CC9">
        <w:rPr>
          <w:noProof/>
        </w:rPr>
        <w:t>.</w:t>
      </w:r>
      <w:r w:rsidR="006E3983" w:rsidRPr="00471CC9">
        <w:rPr>
          <w:noProof/>
        </w:rPr>
        <w:t xml:space="preserve"> </w:t>
      </w:r>
      <w:r w:rsidRPr="00471CC9">
        <w:rPr>
          <w:noProof/>
        </w:rPr>
        <w:t xml:space="preserve">Springer, </w:t>
      </w:r>
      <w:r w:rsidR="006E3983" w:rsidRPr="00471CC9">
        <w:rPr>
          <w:noProof/>
        </w:rPr>
        <w:t>Berlin,</w:t>
      </w:r>
      <w:r w:rsidRPr="00471CC9">
        <w:rPr>
          <w:noProof/>
        </w:rPr>
        <w:t xml:space="preserve"> Heidelberg, pp. 333-373.</w:t>
      </w:r>
      <w:r w:rsidR="008B3381" w:rsidRPr="00471CC9">
        <w:rPr>
          <w:noProof/>
        </w:rPr>
        <w:t xml:space="preserve"> </w:t>
      </w:r>
      <w:hyperlink r:id="rId15" w:history="1">
        <w:r w:rsidR="008B3381" w:rsidRPr="00471CC9">
          <w:rPr>
            <w:rStyle w:val="Hyperlink"/>
            <w:noProof/>
          </w:rPr>
          <w:t>https://doi.org/10.1007/978-3-642-41404-6_12</w:t>
        </w:r>
      </w:hyperlink>
      <w:r w:rsidR="008B3381" w:rsidRPr="00471CC9">
        <w:rPr>
          <w:noProof/>
        </w:rPr>
        <w:t xml:space="preserve"> </w:t>
      </w:r>
    </w:p>
    <w:p w:rsidR="006E3983" w:rsidRPr="00471CC9" w:rsidRDefault="0047362C" w:rsidP="004E797B">
      <w:pPr>
        <w:tabs>
          <w:tab w:val="right" w:pos="360"/>
          <w:tab w:val="left" w:pos="540"/>
        </w:tabs>
        <w:spacing w:after="240"/>
        <w:ind w:left="540" w:hanging="540"/>
        <w:rPr>
          <w:noProof/>
        </w:rPr>
      </w:pPr>
      <w:r w:rsidRPr="00471CC9">
        <w:rPr>
          <w:noProof/>
        </w:rPr>
        <w:tab/>
        <w:t xml:space="preserve">8. </w:t>
      </w:r>
      <w:r w:rsidRPr="00471CC9">
        <w:rPr>
          <w:noProof/>
        </w:rPr>
        <w:tab/>
        <w:t>Bennett N</w:t>
      </w:r>
      <w:r w:rsidR="006E3983" w:rsidRPr="00471CC9">
        <w:rPr>
          <w:noProof/>
        </w:rPr>
        <w:t>J</w:t>
      </w:r>
      <w:r w:rsidRPr="00471CC9">
        <w:rPr>
          <w:noProof/>
        </w:rPr>
        <w:t xml:space="preserve">, Satterfield T (2018) </w:t>
      </w:r>
      <w:r w:rsidR="006E3983" w:rsidRPr="00471CC9">
        <w:rPr>
          <w:noProof/>
        </w:rPr>
        <w:t>Environmental governance: A practical framework to guide de</w:t>
      </w:r>
      <w:r w:rsidRPr="00471CC9">
        <w:rPr>
          <w:noProof/>
        </w:rPr>
        <w:t xml:space="preserve">sign, evaluation, and analysis. </w:t>
      </w:r>
      <w:r w:rsidR="00FC40A1" w:rsidRPr="00471CC9">
        <w:rPr>
          <w:noProof/>
        </w:rPr>
        <w:t>Conserv Lett</w:t>
      </w:r>
      <w:r w:rsidR="006E3983" w:rsidRPr="00471CC9">
        <w:rPr>
          <w:noProof/>
        </w:rPr>
        <w:t xml:space="preserve"> 11(6)</w:t>
      </w:r>
      <w:r w:rsidRPr="00471CC9">
        <w:rPr>
          <w:noProof/>
        </w:rPr>
        <w:t>:</w:t>
      </w:r>
      <w:r w:rsidR="006E3983" w:rsidRPr="00471CC9">
        <w:rPr>
          <w:noProof/>
        </w:rPr>
        <w:t>e12600</w:t>
      </w:r>
      <w:r w:rsidRPr="00471CC9">
        <w:rPr>
          <w:noProof/>
        </w:rPr>
        <w:t xml:space="preserve">. </w:t>
      </w:r>
      <w:hyperlink r:id="rId16" w:history="1">
        <w:r w:rsidRPr="00471CC9">
          <w:rPr>
            <w:rStyle w:val="Hyperlink"/>
            <w:noProof/>
          </w:rPr>
          <w:t>https://doi.org/10.1111/conl.12600</w:t>
        </w:r>
      </w:hyperlink>
    </w:p>
    <w:p w:rsidR="006E3983" w:rsidRPr="00471CC9" w:rsidRDefault="0047362C" w:rsidP="004E797B">
      <w:pPr>
        <w:tabs>
          <w:tab w:val="right" w:pos="360"/>
          <w:tab w:val="left" w:pos="540"/>
        </w:tabs>
        <w:spacing w:after="240"/>
        <w:ind w:left="540" w:hanging="540"/>
        <w:rPr>
          <w:noProof/>
        </w:rPr>
      </w:pPr>
      <w:r w:rsidRPr="00471CC9">
        <w:rPr>
          <w:noProof/>
        </w:rPr>
        <w:tab/>
        <w:t xml:space="preserve">9. </w:t>
      </w:r>
      <w:r w:rsidRPr="00471CC9">
        <w:rPr>
          <w:noProof/>
        </w:rPr>
        <w:tab/>
        <w:t>Schmidt</w:t>
      </w:r>
      <w:r w:rsidR="006E3983" w:rsidRPr="00471CC9">
        <w:rPr>
          <w:noProof/>
        </w:rPr>
        <w:t xml:space="preserve"> V</w:t>
      </w:r>
      <w:r w:rsidRPr="00471CC9">
        <w:rPr>
          <w:noProof/>
        </w:rPr>
        <w:t xml:space="preserve">, </w:t>
      </w:r>
      <w:r w:rsidR="006E3983" w:rsidRPr="00471CC9">
        <w:rPr>
          <w:noProof/>
        </w:rPr>
        <w:t>Wood M (2019)</w:t>
      </w:r>
      <w:r w:rsidRPr="00471CC9">
        <w:rPr>
          <w:noProof/>
        </w:rPr>
        <w:t xml:space="preserve"> </w:t>
      </w:r>
      <w:r w:rsidR="006E3983" w:rsidRPr="00471CC9">
        <w:rPr>
          <w:noProof/>
        </w:rPr>
        <w:t>Conceptualizing throughput legitimacy: Procedural mechanisms of accountability, transparency, inclusivenes</w:t>
      </w:r>
      <w:r w:rsidRPr="00471CC9">
        <w:rPr>
          <w:noProof/>
        </w:rPr>
        <w:t>s and openness in EU governance.</w:t>
      </w:r>
      <w:r w:rsidR="006E3983" w:rsidRPr="00471CC9">
        <w:rPr>
          <w:noProof/>
        </w:rPr>
        <w:t xml:space="preserve"> </w:t>
      </w:r>
      <w:r w:rsidR="00FC40A1" w:rsidRPr="00471CC9">
        <w:rPr>
          <w:noProof/>
        </w:rPr>
        <w:t>Public Adm</w:t>
      </w:r>
      <w:r w:rsidR="006E3983" w:rsidRPr="00471CC9">
        <w:rPr>
          <w:noProof/>
        </w:rPr>
        <w:t xml:space="preserve"> 97(4)</w:t>
      </w:r>
      <w:r w:rsidRPr="00471CC9">
        <w:rPr>
          <w:noProof/>
        </w:rPr>
        <w:t>:</w:t>
      </w:r>
      <w:r w:rsidR="006E3983" w:rsidRPr="00471CC9">
        <w:rPr>
          <w:noProof/>
        </w:rPr>
        <w:t>727-740</w:t>
      </w:r>
      <w:r w:rsidRPr="00471CC9">
        <w:rPr>
          <w:noProof/>
        </w:rPr>
        <w:t xml:space="preserve">. </w:t>
      </w:r>
      <w:hyperlink r:id="rId17" w:history="1">
        <w:r w:rsidRPr="00471CC9">
          <w:rPr>
            <w:rStyle w:val="Hyperlink"/>
            <w:noProof/>
          </w:rPr>
          <w:t>https://doi.org/10.1111/padm.12615</w:t>
        </w:r>
      </w:hyperlink>
      <w:r w:rsidRPr="00471CC9">
        <w:rPr>
          <w:noProof/>
        </w:rPr>
        <w:t xml:space="preserve"> </w:t>
      </w:r>
    </w:p>
    <w:p w:rsidR="006E3983" w:rsidRPr="00471CC9" w:rsidRDefault="004C6DE1" w:rsidP="004E797B">
      <w:pPr>
        <w:tabs>
          <w:tab w:val="right" w:pos="360"/>
          <w:tab w:val="left" w:pos="540"/>
        </w:tabs>
        <w:spacing w:after="240"/>
        <w:ind w:left="540" w:hanging="540"/>
        <w:rPr>
          <w:noProof/>
        </w:rPr>
      </w:pPr>
      <w:r w:rsidRPr="00471CC9">
        <w:rPr>
          <w:noProof/>
        </w:rPr>
        <w:tab/>
        <w:t xml:space="preserve">10. </w:t>
      </w:r>
      <w:r w:rsidRPr="00471CC9">
        <w:rPr>
          <w:noProof/>
        </w:rPr>
        <w:tab/>
        <w:t>Stupak</w:t>
      </w:r>
      <w:r w:rsidR="006E3983" w:rsidRPr="00471CC9">
        <w:rPr>
          <w:noProof/>
        </w:rPr>
        <w:t xml:space="preserve"> I</w:t>
      </w:r>
      <w:r w:rsidRPr="00471CC9">
        <w:rPr>
          <w:noProof/>
        </w:rPr>
        <w:t>, Smith CT (2019)</w:t>
      </w:r>
      <w:r w:rsidR="006E3983" w:rsidRPr="00471CC9">
        <w:rPr>
          <w:noProof/>
        </w:rPr>
        <w:t xml:space="preserve"> Acceptance and feasibility of FMU-level and risk-based certification for ensuring sustainability of wood pellet supply chains - conceptual overview. P</w:t>
      </w:r>
      <w:r w:rsidRPr="00471CC9">
        <w:rPr>
          <w:noProof/>
        </w:rPr>
        <w:t>resentation given in</w:t>
      </w:r>
      <w:r w:rsidR="006E3983" w:rsidRPr="00471CC9">
        <w:rPr>
          <w:noProof/>
        </w:rPr>
        <w:t xml:space="preserve"> the workshop "Adequacy of spatial databases for conducting risk assessments of sustainable wood sourcing practices of the U.S. industrial wood pellet industry supplying European energy demand", Athens, G</w:t>
      </w:r>
      <w:r w:rsidRPr="00471CC9">
        <w:rPr>
          <w:noProof/>
        </w:rPr>
        <w:t>eorgia, U.S.A, 1-3 May 2019.</w:t>
      </w:r>
    </w:p>
    <w:p w:rsidR="006E3983" w:rsidRPr="00471CC9" w:rsidRDefault="004C6DE1" w:rsidP="004E797B">
      <w:pPr>
        <w:tabs>
          <w:tab w:val="right" w:pos="360"/>
          <w:tab w:val="left" w:pos="540"/>
        </w:tabs>
        <w:spacing w:after="240"/>
        <w:ind w:left="540" w:hanging="540"/>
        <w:rPr>
          <w:noProof/>
        </w:rPr>
      </w:pPr>
      <w:r w:rsidRPr="00471CC9">
        <w:rPr>
          <w:noProof/>
        </w:rPr>
        <w:lastRenderedPageBreak/>
        <w:tab/>
        <w:t xml:space="preserve">11. </w:t>
      </w:r>
      <w:r w:rsidRPr="00471CC9">
        <w:rPr>
          <w:noProof/>
        </w:rPr>
        <w:tab/>
        <w:t>Abbott K</w:t>
      </w:r>
      <w:r w:rsidR="006E3983" w:rsidRPr="00471CC9">
        <w:rPr>
          <w:noProof/>
        </w:rPr>
        <w:t>W</w:t>
      </w:r>
      <w:r w:rsidRPr="00471CC9">
        <w:rPr>
          <w:noProof/>
        </w:rPr>
        <w:t xml:space="preserve">, Snidal D (2009) </w:t>
      </w:r>
      <w:r w:rsidR="006E3983" w:rsidRPr="00471CC9">
        <w:rPr>
          <w:noProof/>
        </w:rPr>
        <w:t>The Governance Triangle: Regulatory Standards Institutio</w:t>
      </w:r>
      <w:r w:rsidRPr="00471CC9">
        <w:rPr>
          <w:noProof/>
        </w:rPr>
        <w:t xml:space="preserve">ns and the Shadow of the State. In: Mattli </w:t>
      </w:r>
      <w:r w:rsidR="006E3983" w:rsidRPr="00471CC9">
        <w:rPr>
          <w:noProof/>
        </w:rPr>
        <w:t>W</w:t>
      </w:r>
      <w:r w:rsidRPr="00471CC9">
        <w:rPr>
          <w:noProof/>
        </w:rPr>
        <w:t>, Woods</w:t>
      </w:r>
      <w:r w:rsidR="006E3983" w:rsidRPr="00471CC9">
        <w:rPr>
          <w:noProof/>
        </w:rPr>
        <w:t xml:space="preserve"> N (eds) The Politics of Global Regulation</w:t>
      </w:r>
      <w:r w:rsidRPr="00471CC9">
        <w:rPr>
          <w:noProof/>
        </w:rPr>
        <w:t>.</w:t>
      </w:r>
      <w:r w:rsidR="006E3983" w:rsidRPr="00471CC9">
        <w:rPr>
          <w:noProof/>
        </w:rPr>
        <w:t xml:space="preserve"> Princeton University Press</w:t>
      </w:r>
      <w:r w:rsidRPr="00471CC9">
        <w:rPr>
          <w:noProof/>
        </w:rPr>
        <w:t>, pp. 44-88.</w:t>
      </w:r>
    </w:p>
    <w:p w:rsidR="004C6DE1" w:rsidRPr="00471CC9" w:rsidRDefault="004C6DE1" w:rsidP="004E797B">
      <w:pPr>
        <w:tabs>
          <w:tab w:val="right" w:pos="360"/>
          <w:tab w:val="left" w:pos="540"/>
        </w:tabs>
        <w:spacing w:after="240"/>
        <w:ind w:left="540" w:hanging="540"/>
        <w:rPr>
          <w:rFonts w:ascii="TradeGothic" w:hAnsi="TradeGothic"/>
          <w:noProof/>
        </w:rPr>
      </w:pPr>
      <w:r w:rsidRPr="00471CC9">
        <w:rPr>
          <w:noProof/>
        </w:rPr>
        <w:tab/>
        <w:t xml:space="preserve">12. </w:t>
      </w:r>
      <w:r w:rsidRPr="00471CC9">
        <w:rPr>
          <w:noProof/>
        </w:rPr>
        <w:tab/>
        <w:t>Al-Seadi</w:t>
      </w:r>
      <w:r w:rsidR="006E3983" w:rsidRPr="00471CC9">
        <w:rPr>
          <w:noProof/>
        </w:rPr>
        <w:t xml:space="preserve"> T</w:t>
      </w:r>
      <w:r w:rsidRPr="00471CC9">
        <w:rPr>
          <w:noProof/>
        </w:rPr>
        <w:t>, Stupak I</w:t>
      </w:r>
      <w:r w:rsidR="006E3983" w:rsidRPr="00471CC9">
        <w:rPr>
          <w:noProof/>
        </w:rPr>
        <w:t>, Smith</w:t>
      </w:r>
      <w:r w:rsidRPr="00471CC9">
        <w:rPr>
          <w:noProof/>
        </w:rPr>
        <w:t xml:space="preserve"> </w:t>
      </w:r>
      <w:r w:rsidR="00A6684B" w:rsidRPr="00471CC9">
        <w:rPr>
          <w:noProof/>
        </w:rPr>
        <w:t>CT</w:t>
      </w:r>
      <w:r w:rsidR="006E3983" w:rsidRPr="00471CC9">
        <w:rPr>
          <w:noProof/>
        </w:rPr>
        <w:t xml:space="preserve"> </w:t>
      </w:r>
      <w:r w:rsidRPr="00471CC9">
        <w:rPr>
          <w:noProof/>
        </w:rPr>
        <w:t xml:space="preserve">(2018) </w:t>
      </w:r>
      <w:r w:rsidR="006E3983" w:rsidRPr="00471CC9">
        <w:rPr>
          <w:rFonts w:ascii="TradeGothic-BoldCondTwenty" w:hAnsi="TradeGothic-BoldCondTwenty"/>
          <w:noProof/>
        </w:rPr>
        <w:t>Governance of environmental sustainability of manure-based centralised biogas production in Denmark</w:t>
      </w:r>
      <w:r w:rsidR="006E3983" w:rsidRPr="00471CC9">
        <w:rPr>
          <w:noProof/>
        </w:rPr>
        <w:t xml:space="preserve">. </w:t>
      </w:r>
      <w:r w:rsidRPr="00471CC9">
        <w:rPr>
          <w:rFonts w:ascii="Univers-CondensedBold" w:hAnsi="Univers-CondensedBold"/>
          <w:noProof/>
        </w:rPr>
        <w:t>Murphy</w:t>
      </w:r>
      <w:r w:rsidR="00A6684B" w:rsidRPr="00471CC9">
        <w:rPr>
          <w:rFonts w:ascii="Univers-CondensedBold" w:hAnsi="Univers-CondensedBold"/>
          <w:noProof/>
        </w:rPr>
        <w:t xml:space="preserve"> JD (ed)</w:t>
      </w:r>
      <w:r w:rsidRPr="00471CC9">
        <w:rPr>
          <w:rFonts w:ascii="Times-Bold" w:hAnsi="Times-Bold"/>
          <w:noProof/>
        </w:rPr>
        <w:t xml:space="preserve"> IEA Bioenergy Task 37, </w:t>
      </w:r>
      <w:r w:rsidR="006E3983" w:rsidRPr="00471CC9">
        <w:rPr>
          <w:rFonts w:ascii="TradeGothic" w:hAnsi="TradeGothic"/>
          <w:noProof/>
        </w:rPr>
        <w:t>Report 2018:7</w:t>
      </w:r>
      <w:r w:rsidRPr="00471CC9">
        <w:rPr>
          <w:rFonts w:ascii="TradeGothic" w:hAnsi="TradeGothic"/>
          <w:noProof/>
        </w:rPr>
        <w:t xml:space="preserve">, 32 pp. </w:t>
      </w:r>
      <w:hyperlink r:id="rId18" w:history="1">
        <w:r w:rsidR="00C75362" w:rsidRPr="00471CC9">
          <w:rPr>
            <w:rStyle w:val="Hyperlink"/>
            <w:rFonts w:ascii="TradeGothic" w:hAnsi="TradeGothic"/>
            <w:noProof/>
          </w:rPr>
          <w:t>https://www.ieabioenergy.com/publications/governance-of-environmental-sustainability-of-manure-based-centralised-biogas-production-in-denmark/</w:t>
        </w:r>
      </w:hyperlink>
      <w:r w:rsidR="00C75362" w:rsidRPr="00471CC9">
        <w:rPr>
          <w:rFonts w:ascii="TradeGothic" w:hAnsi="TradeGothic"/>
          <w:noProof/>
        </w:rPr>
        <w:t xml:space="preserve">. </w:t>
      </w:r>
      <w:r w:rsidR="008B3381" w:rsidRPr="00471CC9">
        <w:rPr>
          <w:noProof/>
        </w:rPr>
        <w:t>Accessed 15</w:t>
      </w:r>
      <w:r w:rsidR="00C75362" w:rsidRPr="00471CC9">
        <w:rPr>
          <w:noProof/>
        </w:rPr>
        <w:t xml:space="preserve"> Aug 2020.</w:t>
      </w:r>
      <w:r w:rsidR="00C75362" w:rsidRPr="00471CC9">
        <w:rPr>
          <w:rFonts w:ascii="TradeGothic" w:hAnsi="TradeGothic"/>
          <w:noProof/>
        </w:rPr>
        <w:t xml:space="preserve"> </w:t>
      </w:r>
    </w:p>
    <w:p w:rsidR="004C6DE1" w:rsidRPr="00471CC9" w:rsidRDefault="006E3983" w:rsidP="004C6DE1">
      <w:pPr>
        <w:tabs>
          <w:tab w:val="right" w:pos="360"/>
          <w:tab w:val="left" w:pos="540"/>
        </w:tabs>
        <w:spacing w:after="240"/>
        <w:ind w:left="540" w:hanging="540"/>
        <w:rPr>
          <w:noProof/>
        </w:rPr>
      </w:pPr>
      <w:r w:rsidRPr="00471CC9">
        <w:rPr>
          <w:noProof/>
        </w:rPr>
        <w:tab/>
        <w:t xml:space="preserve">13. </w:t>
      </w:r>
      <w:r w:rsidRPr="00471CC9">
        <w:rPr>
          <w:noProof/>
        </w:rPr>
        <w:tab/>
        <w:t>B</w:t>
      </w:r>
      <w:r w:rsidR="004C6DE1" w:rsidRPr="00471CC9">
        <w:rPr>
          <w:noProof/>
        </w:rPr>
        <w:t>ennett NJ, Di Franco A, Caló A, Nethery E, Niccolini F, Milazzo</w:t>
      </w:r>
      <w:r w:rsidRPr="00471CC9">
        <w:rPr>
          <w:noProof/>
        </w:rPr>
        <w:t xml:space="preserve"> M</w:t>
      </w:r>
      <w:r w:rsidR="004C6DE1" w:rsidRPr="00471CC9">
        <w:rPr>
          <w:noProof/>
        </w:rPr>
        <w:t xml:space="preserve">, Guidetti P (2019) </w:t>
      </w:r>
      <w:r w:rsidRPr="00471CC9">
        <w:rPr>
          <w:noProof/>
        </w:rPr>
        <w:t>Local support for conservation is associated with perceptions of good governance, social impact</w:t>
      </w:r>
      <w:r w:rsidR="004C6DE1" w:rsidRPr="00471CC9">
        <w:rPr>
          <w:noProof/>
        </w:rPr>
        <w:t xml:space="preserve">s, and ecological effectiveness. </w:t>
      </w:r>
      <w:r w:rsidR="00FC40A1" w:rsidRPr="00471CC9">
        <w:rPr>
          <w:noProof/>
        </w:rPr>
        <w:t>Conserv Lett</w:t>
      </w:r>
      <w:r w:rsidRPr="00471CC9">
        <w:rPr>
          <w:noProof/>
        </w:rPr>
        <w:t xml:space="preserve"> </w:t>
      </w:r>
      <w:r w:rsidR="004C6DE1" w:rsidRPr="00471CC9">
        <w:rPr>
          <w:noProof/>
        </w:rPr>
        <w:t>12</w:t>
      </w:r>
      <w:r w:rsidRPr="00471CC9">
        <w:rPr>
          <w:noProof/>
        </w:rPr>
        <w:t>(</w:t>
      </w:r>
      <w:r w:rsidR="004C6DE1" w:rsidRPr="00471CC9">
        <w:rPr>
          <w:noProof/>
        </w:rPr>
        <w:t>4</w:t>
      </w:r>
      <w:r w:rsidRPr="00471CC9">
        <w:rPr>
          <w:noProof/>
        </w:rPr>
        <w:t>)</w:t>
      </w:r>
      <w:r w:rsidR="004C6DE1" w:rsidRPr="00471CC9">
        <w:rPr>
          <w:noProof/>
        </w:rPr>
        <w:t>:</w:t>
      </w:r>
      <w:r w:rsidRPr="00471CC9">
        <w:rPr>
          <w:noProof/>
        </w:rPr>
        <w:t>e12640</w:t>
      </w:r>
      <w:r w:rsidR="004C6DE1" w:rsidRPr="00471CC9">
        <w:rPr>
          <w:noProof/>
        </w:rPr>
        <w:t xml:space="preserve">. </w:t>
      </w:r>
      <w:hyperlink r:id="rId19" w:history="1">
        <w:r w:rsidR="004C6DE1" w:rsidRPr="00471CC9">
          <w:rPr>
            <w:rStyle w:val="Hyperlink"/>
            <w:noProof/>
          </w:rPr>
          <w:t>https://doi.org/10.1111/conl.12640</w:t>
        </w:r>
      </w:hyperlink>
    </w:p>
    <w:p w:rsidR="006E3983" w:rsidRPr="00471CC9" w:rsidRDefault="00C75362" w:rsidP="004E797B">
      <w:pPr>
        <w:tabs>
          <w:tab w:val="right" w:pos="360"/>
          <w:tab w:val="left" w:pos="540"/>
        </w:tabs>
        <w:spacing w:after="240"/>
        <w:ind w:left="540" w:hanging="540"/>
        <w:rPr>
          <w:noProof/>
        </w:rPr>
      </w:pPr>
      <w:r w:rsidRPr="00471CC9">
        <w:rPr>
          <w:noProof/>
        </w:rPr>
        <w:tab/>
        <w:t xml:space="preserve">14. </w:t>
      </w:r>
      <w:r w:rsidRPr="00471CC9">
        <w:rPr>
          <w:noProof/>
        </w:rPr>
        <w:tab/>
        <w:t xml:space="preserve">Buliga B, Nichiforel L (2019) </w:t>
      </w:r>
      <w:r w:rsidR="006E3983" w:rsidRPr="00471CC9">
        <w:rPr>
          <w:noProof/>
        </w:rPr>
        <w:t>Voluntary forest certification vs. stringent legal fram</w:t>
      </w:r>
      <w:r w:rsidRPr="00471CC9">
        <w:rPr>
          <w:noProof/>
        </w:rPr>
        <w:t xml:space="preserve">eworks: Romania as a case study. </w:t>
      </w:r>
      <w:r w:rsidR="00FC40A1" w:rsidRPr="00471CC9">
        <w:rPr>
          <w:noProof/>
        </w:rPr>
        <w:t>J Cleaner Prod</w:t>
      </w:r>
      <w:r w:rsidR="006E3983" w:rsidRPr="00471CC9">
        <w:rPr>
          <w:noProof/>
        </w:rPr>
        <w:t xml:space="preserve"> 207</w:t>
      </w:r>
      <w:r w:rsidRPr="00471CC9">
        <w:rPr>
          <w:noProof/>
        </w:rPr>
        <w:t>:</w:t>
      </w:r>
      <w:r w:rsidR="006E3983" w:rsidRPr="00471CC9">
        <w:rPr>
          <w:noProof/>
        </w:rPr>
        <w:t>329-342</w:t>
      </w:r>
      <w:r w:rsidRPr="00471CC9">
        <w:rPr>
          <w:noProof/>
        </w:rPr>
        <w:t xml:space="preserve">. </w:t>
      </w:r>
      <w:hyperlink r:id="rId20" w:history="1">
        <w:r w:rsidRPr="00471CC9">
          <w:rPr>
            <w:rStyle w:val="Hyperlink"/>
            <w:noProof/>
          </w:rPr>
          <w:t>https://doi.org/10.1016/j.jclepro.2018.10.021</w:t>
        </w:r>
      </w:hyperlink>
      <w:r w:rsidRPr="00471CC9">
        <w:rPr>
          <w:noProof/>
        </w:rPr>
        <w:t xml:space="preserve"> </w:t>
      </w:r>
    </w:p>
    <w:p w:rsidR="006E3983" w:rsidRPr="00471CC9" w:rsidRDefault="00C75362" w:rsidP="004E797B">
      <w:pPr>
        <w:tabs>
          <w:tab w:val="right" w:pos="360"/>
          <w:tab w:val="left" w:pos="540"/>
        </w:tabs>
        <w:spacing w:after="240"/>
        <w:ind w:left="540" w:hanging="540"/>
        <w:rPr>
          <w:noProof/>
        </w:rPr>
      </w:pPr>
      <w:r w:rsidRPr="00471CC9">
        <w:rPr>
          <w:noProof/>
        </w:rPr>
        <w:tab/>
        <w:t xml:space="preserve">15. </w:t>
      </w:r>
      <w:r w:rsidRPr="00471CC9">
        <w:rPr>
          <w:noProof/>
        </w:rPr>
        <w:tab/>
        <w:t>Cheung</w:t>
      </w:r>
      <w:r w:rsidR="006E3983" w:rsidRPr="00471CC9">
        <w:rPr>
          <w:noProof/>
        </w:rPr>
        <w:t xml:space="preserve"> Q</w:t>
      </w:r>
      <w:r w:rsidRPr="00471CC9">
        <w:rPr>
          <w:noProof/>
        </w:rPr>
        <w:t xml:space="preserve">, </w:t>
      </w:r>
      <w:r w:rsidR="006E3983" w:rsidRPr="00471CC9">
        <w:rPr>
          <w:noProof/>
        </w:rPr>
        <w:t xml:space="preserve">Smith </w:t>
      </w:r>
      <w:r w:rsidRPr="00471CC9">
        <w:rPr>
          <w:noProof/>
        </w:rPr>
        <w:t>C</w:t>
      </w:r>
      <w:r w:rsidR="006E3983" w:rsidRPr="00471CC9">
        <w:rPr>
          <w:noProof/>
        </w:rPr>
        <w:t>T</w:t>
      </w:r>
      <w:r w:rsidRPr="00471CC9">
        <w:rPr>
          <w:noProof/>
        </w:rPr>
        <w:t>, Stupak</w:t>
      </w:r>
      <w:r w:rsidR="00544173" w:rsidRPr="00471CC9">
        <w:rPr>
          <w:noProof/>
        </w:rPr>
        <w:t xml:space="preserve"> I</w:t>
      </w:r>
      <w:r w:rsidR="006E3983" w:rsidRPr="00471CC9">
        <w:rPr>
          <w:noProof/>
        </w:rPr>
        <w:t xml:space="preserve"> </w:t>
      </w:r>
      <w:r w:rsidRPr="00471CC9">
        <w:rPr>
          <w:noProof/>
        </w:rPr>
        <w:t xml:space="preserve">(2019) </w:t>
      </w:r>
      <w:r w:rsidR="006E3983" w:rsidRPr="00471CC9">
        <w:rPr>
          <w:noProof/>
        </w:rPr>
        <w:t>Governance of sustainable forest management and bioenergy feedstock harvesting in</w:t>
      </w:r>
      <w:r w:rsidRPr="00471CC9">
        <w:rPr>
          <w:noProof/>
        </w:rPr>
        <w:t xml:space="preserve"> Ontario, Canada. IEA Bioenergy</w:t>
      </w:r>
      <w:r w:rsidR="006E3983" w:rsidRPr="00471CC9">
        <w:rPr>
          <w:noProof/>
        </w:rPr>
        <w:t xml:space="preserve"> Task 43: TR2019:04, </w:t>
      </w:r>
      <w:r w:rsidRPr="00471CC9">
        <w:rPr>
          <w:noProof/>
        </w:rPr>
        <w:t xml:space="preserve">62 pp. </w:t>
      </w:r>
      <w:hyperlink r:id="rId21" w:history="1">
        <w:r w:rsidRPr="00471CC9">
          <w:rPr>
            <w:rStyle w:val="Hyperlink"/>
            <w:noProof/>
          </w:rPr>
          <w:t>http://task43.ieabioenergy.com/publications/governance-of-sustainable-forest-management-and-bioenergy-feedstock-harvesting-in-ontario-canada/</w:t>
        </w:r>
      </w:hyperlink>
      <w:r w:rsidRPr="00471CC9">
        <w:rPr>
          <w:noProof/>
        </w:rPr>
        <w:t>. Accessed 1</w:t>
      </w:r>
      <w:r w:rsidR="008B3381" w:rsidRPr="00471CC9">
        <w:rPr>
          <w:noProof/>
        </w:rPr>
        <w:t>5</w:t>
      </w:r>
      <w:r w:rsidRPr="00471CC9">
        <w:rPr>
          <w:noProof/>
        </w:rPr>
        <w:t xml:space="preserve"> </w:t>
      </w:r>
      <w:r w:rsidR="008B3381" w:rsidRPr="00471CC9">
        <w:rPr>
          <w:noProof/>
        </w:rPr>
        <w:t>Aug 2020</w:t>
      </w:r>
    </w:p>
    <w:p w:rsidR="006E3983" w:rsidRPr="00471CC9" w:rsidRDefault="00C75362" w:rsidP="004E797B">
      <w:pPr>
        <w:tabs>
          <w:tab w:val="right" w:pos="360"/>
          <w:tab w:val="left" w:pos="540"/>
        </w:tabs>
        <w:spacing w:after="240"/>
        <w:ind w:left="540" w:hanging="540"/>
        <w:rPr>
          <w:noProof/>
        </w:rPr>
      </w:pPr>
      <w:r w:rsidRPr="00471CC9">
        <w:rPr>
          <w:noProof/>
        </w:rPr>
        <w:tab/>
        <w:t xml:space="preserve">16. </w:t>
      </w:r>
      <w:r w:rsidRPr="00471CC9">
        <w:rPr>
          <w:noProof/>
        </w:rPr>
        <w:tab/>
        <w:t>Dale V</w:t>
      </w:r>
      <w:r w:rsidR="006E3983" w:rsidRPr="00471CC9">
        <w:rPr>
          <w:noProof/>
        </w:rPr>
        <w:t>H</w:t>
      </w:r>
      <w:r w:rsidRPr="00471CC9">
        <w:rPr>
          <w:noProof/>
        </w:rPr>
        <w:t xml:space="preserve">, Kline KL (2017) </w:t>
      </w:r>
      <w:r w:rsidR="006E3983" w:rsidRPr="00471CC9">
        <w:rPr>
          <w:noProof/>
        </w:rPr>
        <w:t>Interactive posters: A valuable means of enhancing communication and learning about productive paths toward sustainable bioenergy</w:t>
      </w:r>
      <w:r w:rsidRPr="00471CC9">
        <w:rPr>
          <w:noProof/>
        </w:rPr>
        <w:t>. B</w:t>
      </w:r>
      <w:r w:rsidR="006E3983" w:rsidRPr="00471CC9">
        <w:rPr>
          <w:noProof/>
        </w:rPr>
        <w:t xml:space="preserve">iofuels </w:t>
      </w:r>
      <w:r w:rsidR="00FC40A1" w:rsidRPr="00471CC9">
        <w:rPr>
          <w:noProof/>
        </w:rPr>
        <w:t>Bioprod</w:t>
      </w:r>
      <w:r w:rsidRPr="00471CC9">
        <w:rPr>
          <w:noProof/>
        </w:rPr>
        <w:t xml:space="preserve"> </w:t>
      </w:r>
      <w:r w:rsidR="00FC40A1" w:rsidRPr="00471CC9">
        <w:rPr>
          <w:noProof/>
        </w:rPr>
        <w:t>Biorefin</w:t>
      </w:r>
      <w:r w:rsidR="006E3983" w:rsidRPr="00471CC9">
        <w:rPr>
          <w:noProof/>
        </w:rPr>
        <w:t xml:space="preserve"> 11(2)</w:t>
      </w:r>
      <w:r w:rsidRPr="00471CC9">
        <w:rPr>
          <w:noProof/>
        </w:rPr>
        <w:t>:</w:t>
      </w:r>
      <w:r w:rsidR="006E3983" w:rsidRPr="00471CC9">
        <w:rPr>
          <w:noProof/>
        </w:rPr>
        <w:t>243-246</w:t>
      </w:r>
      <w:r w:rsidRPr="00471CC9">
        <w:rPr>
          <w:noProof/>
        </w:rPr>
        <w:t xml:space="preserve">. </w:t>
      </w:r>
      <w:hyperlink r:id="rId22" w:history="1">
        <w:r w:rsidRPr="00471CC9">
          <w:rPr>
            <w:rStyle w:val="Hyperlink"/>
            <w:noProof/>
          </w:rPr>
          <w:t>https://doi.org/10.1002/bbb.1753</w:t>
        </w:r>
      </w:hyperlink>
      <w:r w:rsidRPr="00471CC9">
        <w:rPr>
          <w:noProof/>
        </w:rPr>
        <w:t xml:space="preserve"> </w:t>
      </w:r>
    </w:p>
    <w:p w:rsidR="006E3983" w:rsidRPr="00471CC9" w:rsidRDefault="003E478A" w:rsidP="004E797B">
      <w:pPr>
        <w:tabs>
          <w:tab w:val="right" w:pos="360"/>
          <w:tab w:val="left" w:pos="540"/>
        </w:tabs>
        <w:spacing w:after="240"/>
        <w:ind w:left="540" w:hanging="540"/>
        <w:rPr>
          <w:noProof/>
        </w:rPr>
      </w:pPr>
      <w:r w:rsidRPr="00471CC9">
        <w:rPr>
          <w:noProof/>
        </w:rPr>
        <w:tab/>
        <w:t xml:space="preserve">17. </w:t>
      </w:r>
      <w:r w:rsidRPr="00471CC9">
        <w:rPr>
          <w:noProof/>
        </w:rPr>
        <w:tab/>
        <w:t>Di Lucia</w:t>
      </w:r>
      <w:r w:rsidR="006E3983" w:rsidRPr="00471CC9">
        <w:rPr>
          <w:noProof/>
        </w:rPr>
        <w:t xml:space="preserve"> L</w:t>
      </w:r>
      <w:r w:rsidRPr="00471CC9">
        <w:rPr>
          <w:noProof/>
        </w:rPr>
        <w:t>, Kronsell</w:t>
      </w:r>
      <w:r w:rsidR="006E3983" w:rsidRPr="00471CC9">
        <w:rPr>
          <w:noProof/>
        </w:rPr>
        <w:t xml:space="preserve"> A (2010)</w:t>
      </w:r>
      <w:r w:rsidRPr="00471CC9">
        <w:rPr>
          <w:noProof/>
        </w:rPr>
        <w:t xml:space="preserve"> </w:t>
      </w:r>
      <w:r w:rsidR="006E3983" w:rsidRPr="00471CC9">
        <w:rPr>
          <w:noProof/>
        </w:rPr>
        <w:t xml:space="preserve">The willing, the unwilling and the unable </w:t>
      </w:r>
      <w:r w:rsidR="006E3983" w:rsidRPr="00471CC9">
        <w:rPr>
          <w:rFonts w:ascii="Symbol" w:hAnsi="Symbol"/>
          <w:noProof/>
        </w:rPr>
        <w:t></w:t>
      </w:r>
      <w:r w:rsidR="006E3983" w:rsidRPr="00471CC9">
        <w:rPr>
          <w:noProof/>
        </w:rPr>
        <w:t xml:space="preserve"> explaining implementation of the EU Biofuels Directive</w:t>
      </w:r>
      <w:r w:rsidRPr="00471CC9">
        <w:rPr>
          <w:noProof/>
        </w:rPr>
        <w:t xml:space="preserve">. </w:t>
      </w:r>
      <w:r w:rsidR="00FC40A1" w:rsidRPr="00471CC9">
        <w:rPr>
          <w:noProof/>
        </w:rPr>
        <w:t xml:space="preserve">J </w:t>
      </w:r>
      <w:r w:rsidR="006E3983" w:rsidRPr="00471CC9">
        <w:rPr>
          <w:noProof/>
        </w:rPr>
        <w:t>Eur Public Policy 17(4)</w:t>
      </w:r>
      <w:r w:rsidRPr="00471CC9">
        <w:rPr>
          <w:noProof/>
        </w:rPr>
        <w:t>:</w:t>
      </w:r>
      <w:r w:rsidR="006E3983" w:rsidRPr="00471CC9">
        <w:rPr>
          <w:noProof/>
        </w:rPr>
        <w:t>545-563</w:t>
      </w:r>
      <w:r w:rsidRPr="00471CC9">
        <w:rPr>
          <w:noProof/>
        </w:rPr>
        <w:t xml:space="preserve">. </w:t>
      </w:r>
      <w:hyperlink r:id="rId23" w:history="1">
        <w:r w:rsidRPr="00471CC9">
          <w:rPr>
            <w:rStyle w:val="Hyperlink"/>
            <w:noProof/>
          </w:rPr>
          <w:t>https://doi.org/10.1080/13501761003673559</w:t>
        </w:r>
      </w:hyperlink>
      <w:r w:rsidRPr="00471CC9">
        <w:rPr>
          <w:noProof/>
        </w:rPr>
        <w:t xml:space="preserve"> </w:t>
      </w:r>
    </w:p>
    <w:p w:rsidR="003E478A" w:rsidRPr="00471CC9" w:rsidRDefault="006E3983" w:rsidP="003E478A">
      <w:pPr>
        <w:tabs>
          <w:tab w:val="right" w:pos="360"/>
          <w:tab w:val="left" w:pos="540"/>
        </w:tabs>
        <w:spacing w:after="240"/>
        <w:ind w:left="540" w:hanging="540"/>
        <w:rPr>
          <w:noProof/>
        </w:rPr>
      </w:pPr>
      <w:r w:rsidRPr="00471CC9">
        <w:rPr>
          <w:noProof/>
        </w:rPr>
        <w:tab/>
        <w:t xml:space="preserve">18. </w:t>
      </w:r>
      <w:r w:rsidRPr="00471CC9">
        <w:rPr>
          <w:noProof/>
        </w:rPr>
        <w:tab/>
        <w:t>Forest Europe</w:t>
      </w:r>
      <w:r w:rsidR="003E478A" w:rsidRPr="00471CC9">
        <w:rPr>
          <w:noProof/>
        </w:rPr>
        <w:t xml:space="preserve"> (2015)</w:t>
      </w:r>
      <w:r w:rsidRPr="00471CC9">
        <w:rPr>
          <w:noProof/>
        </w:rPr>
        <w:t xml:space="preserve"> </w:t>
      </w:r>
      <w:r w:rsidRPr="00471CC9">
        <w:rPr>
          <w:rFonts w:ascii="StagSans-Light" w:hAnsi="StagSans-Light"/>
          <w:noProof/>
        </w:rPr>
        <w:t>State of Europe's Forests 2015</w:t>
      </w:r>
      <w:r w:rsidRPr="00471CC9">
        <w:rPr>
          <w:noProof/>
        </w:rPr>
        <w:t xml:space="preserve">. </w:t>
      </w:r>
      <w:r w:rsidR="003E478A" w:rsidRPr="00471CC9">
        <w:rPr>
          <w:rFonts w:ascii="StagSans-Light" w:hAnsi="StagSans-Light"/>
          <w:noProof/>
        </w:rPr>
        <w:t>Forest Europe Liaison Unit, Madrid</w:t>
      </w:r>
      <w:r w:rsidR="003E478A" w:rsidRPr="00471CC9">
        <w:rPr>
          <w:noProof/>
        </w:rPr>
        <w:t xml:space="preserve">, 134 pp. </w:t>
      </w:r>
      <w:hyperlink r:id="rId24" w:history="1">
        <w:r w:rsidR="003E478A" w:rsidRPr="00471CC9">
          <w:rPr>
            <w:rStyle w:val="Hyperlink"/>
            <w:noProof/>
          </w:rPr>
          <w:t>https://www.foresteurope.org/docs/fullsoef2015.pdf</w:t>
        </w:r>
      </w:hyperlink>
      <w:r w:rsidR="008B3381" w:rsidRPr="00471CC9">
        <w:rPr>
          <w:noProof/>
        </w:rPr>
        <w:t>. Accessed 15</w:t>
      </w:r>
      <w:r w:rsidR="003E478A" w:rsidRPr="00471CC9">
        <w:rPr>
          <w:noProof/>
        </w:rPr>
        <w:t xml:space="preserve"> Aug 2020. </w:t>
      </w:r>
    </w:p>
    <w:p w:rsidR="006E3983" w:rsidRPr="00471CC9" w:rsidRDefault="003E478A" w:rsidP="004E797B">
      <w:pPr>
        <w:tabs>
          <w:tab w:val="right" w:pos="360"/>
          <w:tab w:val="left" w:pos="540"/>
        </w:tabs>
        <w:spacing w:after="240"/>
        <w:ind w:left="540" w:hanging="540"/>
        <w:rPr>
          <w:noProof/>
        </w:rPr>
      </w:pPr>
      <w:r w:rsidRPr="00471CC9">
        <w:rPr>
          <w:noProof/>
        </w:rPr>
        <w:tab/>
        <w:t xml:space="preserve">19. </w:t>
      </w:r>
      <w:r w:rsidRPr="00471CC9">
        <w:rPr>
          <w:noProof/>
        </w:rPr>
        <w:tab/>
        <w:t xml:space="preserve">Gunningham N (2009) </w:t>
      </w:r>
      <w:r w:rsidR="006E3983" w:rsidRPr="00471CC9">
        <w:rPr>
          <w:noProof/>
        </w:rPr>
        <w:t>Environment Law, Regulation and Gov</w:t>
      </w:r>
      <w:r w:rsidRPr="00471CC9">
        <w:rPr>
          <w:noProof/>
        </w:rPr>
        <w:t>ernance: Shifting Architectures.</w:t>
      </w:r>
      <w:r w:rsidR="006E3983" w:rsidRPr="00471CC9">
        <w:rPr>
          <w:noProof/>
        </w:rPr>
        <w:t xml:space="preserve"> </w:t>
      </w:r>
      <w:r w:rsidR="00FC40A1" w:rsidRPr="00471CC9">
        <w:rPr>
          <w:noProof/>
        </w:rPr>
        <w:t xml:space="preserve">J </w:t>
      </w:r>
      <w:r w:rsidR="006E3983" w:rsidRPr="00471CC9">
        <w:rPr>
          <w:noProof/>
        </w:rPr>
        <w:t>Environ Law 21(2)</w:t>
      </w:r>
      <w:r w:rsidRPr="00471CC9">
        <w:rPr>
          <w:noProof/>
        </w:rPr>
        <w:t>:</w:t>
      </w:r>
      <w:r w:rsidR="006E3983" w:rsidRPr="00471CC9">
        <w:rPr>
          <w:noProof/>
        </w:rPr>
        <w:t>179-212</w:t>
      </w:r>
      <w:r w:rsidRPr="00471CC9">
        <w:rPr>
          <w:noProof/>
        </w:rPr>
        <w:t xml:space="preserve">. </w:t>
      </w:r>
      <w:hyperlink r:id="rId25" w:history="1">
        <w:r w:rsidRPr="00471CC9">
          <w:rPr>
            <w:rStyle w:val="Hyperlink"/>
            <w:noProof/>
          </w:rPr>
          <w:t>https://doi.org/10.1093/jel/eqp011</w:t>
        </w:r>
      </w:hyperlink>
      <w:r w:rsidRPr="00471CC9">
        <w:rPr>
          <w:noProof/>
        </w:rPr>
        <w:t xml:space="preserve"> </w:t>
      </w:r>
    </w:p>
    <w:p w:rsidR="006E3983" w:rsidRPr="00471CC9" w:rsidRDefault="003E478A" w:rsidP="004E797B">
      <w:pPr>
        <w:tabs>
          <w:tab w:val="right" w:pos="360"/>
          <w:tab w:val="left" w:pos="540"/>
        </w:tabs>
        <w:spacing w:after="240"/>
        <w:ind w:left="540" w:hanging="540"/>
        <w:rPr>
          <w:noProof/>
        </w:rPr>
      </w:pPr>
      <w:r w:rsidRPr="00471CC9">
        <w:rPr>
          <w:noProof/>
        </w:rPr>
        <w:tab/>
        <w:t xml:space="preserve">20. </w:t>
      </w:r>
      <w:r w:rsidRPr="00471CC9">
        <w:rPr>
          <w:noProof/>
        </w:rPr>
        <w:tab/>
        <w:t>Kittler B, Stupak</w:t>
      </w:r>
      <w:r w:rsidR="006E3983" w:rsidRPr="00471CC9">
        <w:rPr>
          <w:noProof/>
        </w:rPr>
        <w:t xml:space="preserve"> I</w:t>
      </w:r>
      <w:r w:rsidR="00544173" w:rsidRPr="00471CC9">
        <w:rPr>
          <w:noProof/>
        </w:rPr>
        <w:t xml:space="preserve">, </w:t>
      </w:r>
      <w:r w:rsidR="006E3983" w:rsidRPr="00471CC9">
        <w:rPr>
          <w:noProof/>
        </w:rPr>
        <w:t>Smith</w:t>
      </w:r>
      <w:r w:rsidRPr="00471CC9">
        <w:rPr>
          <w:noProof/>
        </w:rPr>
        <w:t xml:space="preserve"> </w:t>
      </w:r>
      <w:r w:rsidR="006E3983" w:rsidRPr="00471CC9">
        <w:rPr>
          <w:noProof/>
        </w:rPr>
        <w:t>CT (2020) Assessing the wood sourcing practices of the U.S. industrial wood pellet industry supplying European energy demand</w:t>
      </w:r>
      <w:r w:rsidRPr="00471CC9">
        <w:rPr>
          <w:noProof/>
        </w:rPr>
        <w:t xml:space="preserve">. </w:t>
      </w:r>
      <w:r w:rsidR="00ED447E" w:rsidRPr="00471CC9">
        <w:rPr>
          <w:noProof/>
        </w:rPr>
        <w:t>Energy Sustain</w:t>
      </w:r>
      <w:r w:rsidR="006E3983" w:rsidRPr="00471CC9">
        <w:rPr>
          <w:noProof/>
        </w:rPr>
        <w:t xml:space="preserve"> Soc 10(1)</w:t>
      </w:r>
      <w:r w:rsidRPr="00471CC9">
        <w:rPr>
          <w:noProof/>
        </w:rPr>
        <w:t>:</w:t>
      </w:r>
      <w:r w:rsidR="006E3983" w:rsidRPr="00471CC9">
        <w:rPr>
          <w:noProof/>
        </w:rPr>
        <w:t>23</w:t>
      </w:r>
      <w:r w:rsidRPr="00471CC9">
        <w:rPr>
          <w:noProof/>
        </w:rPr>
        <w:t xml:space="preserve">. </w:t>
      </w:r>
      <w:hyperlink r:id="rId26" w:history="1">
        <w:r w:rsidRPr="00471CC9">
          <w:rPr>
            <w:rStyle w:val="Hyperlink"/>
            <w:noProof/>
          </w:rPr>
          <w:t>https://doi.org/10.1186/s13705-020-00255-4</w:t>
        </w:r>
      </w:hyperlink>
      <w:r w:rsidRPr="00471CC9">
        <w:rPr>
          <w:noProof/>
        </w:rPr>
        <w:t xml:space="preserve"> </w:t>
      </w:r>
    </w:p>
    <w:p w:rsidR="006E3983" w:rsidRPr="00471CC9" w:rsidRDefault="003E478A" w:rsidP="004E797B">
      <w:pPr>
        <w:tabs>
          <w:tab w:val="right" w:pos="360"/>
          <w:tab w:val="left" w:pos="540"/>
        </w:tabs>
        <w:spacing w:after="240"/>
        <w:ind w:left="540" w:hanging="540"/>
        <w:rPr>
          <w:noProof/>
        </w:rPr>
      </w:pPr>
      <w:r w:rsidRPr="00471CC9">
        <w:rPr>
          <w:noProof/>
        </w:rPr>
        <w:tab/>
        <w:t xml:space="preserve">21. </w:t>
      </w:r>
      <w:r w:rsidRPr="00471CC9">
        <w:rPr>
          <w:noProof/>
        </w:rPr>
        <w:tab/>
        <w:t>Koven</w:t>
      </w:r>
      <w:r w:rsidR="006E3983" w:rsidRPr="00471CC9">
        <w:rPr>
          <w:noProof/>
        </w:rPr>
        <w:t xml:space="preserve"> A</w:t>
      </w:r>
      <w:r w:rsidRPr="00471CC9">
        <w:rPr>
          <w:noProof/>
        </w:rPr>
        <w:t xml:space="preserve"> (2015) </w:t>
      </w:r>
      <w:r w:rsidR="006E3983" w:rsidRPr="00471CC9">
        <w:rPr>
          <w:noProof/>
        </w:rPr>
        <w:t>Policy Networks and Paradigm Change in Ontario Forest</w:t>
      </w:r>
      <w:r w:rsidRPr="00471CC9">
        <w:rPr>
          <w:noProof/>
        </w:rPr>
        <w:t xml:space="preserve"> Policy 1988-2014. Ph.D thesis, Faculty of Forestry, University of Toronto, Toronto, 281 pp.</w:t>
      </w:r>
      <w:r w:rsidR="008B3381" w:rsidRPr="00471CC9">
        <w:rPr>
          <w:noProof/>
        </w:rPr>
        <w:t xml:space="preserve"> </w:t>
      </w:r>
      <w:hyperlink r:id="rId27" w:history="1">
        <w:r w:rsidR="008B3381" w:rsidRPr="00471CC9">
          <w:rPr>
            <w:rStyle w:val="Hyperlink"/>
            <w:noProof/>
          </w:rPr>
          <w:t>https://tspace.library.utoronto.ca/handle/1807/71038</w:t>
        </w:r>
      </w:hyperlink>
      <w:r w:rsidR="008B3381" w:rsidRPr="00471CC9">
        <w:rPr>
          <w:noProof/>
        </w:rPr>
        <w:t xml:space="preserve">. Accessed 15 Aug 2020 </w:t>
      </w:r>
    </w:p>
    <w:p w:rsidR="006E3983" w:rsidRPr="00471CC9" w:rsidRDefault="003E478A" w:rsidP="004E797B">
      <w:pPr>
        <w:tabs>
          <w:tab w:val="right" w:pos="360"/>
          <w:tab w:val="left" w:pos="540"/>
        </w:tabs>
        <w:spacing w:after="240"/>
        <w:ind w:left="540" w:hanging="540"/>
        <w:rPr>
          <w:noProof/>
        </w:rPr>
      </w:pPr>
      <w:r w:rsidRPr="00471CC9">
        <w:rPr>
          <w:noProof/>
        </w:rPr>
        <w:lastRenderedPageBreak/>
        <w:tab/>
        <w:t xml:space="preserve">22. </w:t>
      </w:r>
      <w:r w:rsidRPr="00471CC9">
        <w:rPr>
          <w:noProof/>
        </w:rPr>
        <w:tab/>
        <w:t xml:space="preserve">Lehtonen M (2007) </w:t>
      </w:r>
      <w:r w:rsidR="006E3983" w:rsidRPr="00471CC9">
        <w:rPr>
          <w:noProof/>
        </w:rPr>
        <w:t>Environmental policy integration through OECD peer reviews: Integrating the economy with the environment or the</w:t>
      </w:r>
      <w:r w:rsidRPr="00471CC9">
        <w:rPr>
          <w:noProof/>
        </w:rPr>
        <w:t xml:space="preserve"> environment with the economy? </w:t>
      </w:r>
      <w:r w:rsidR="00ED447E" w:rsidRPr="00471CC9">
        <w:rPr>
          <w:noProof/>
        </w:rPr>
        <w:t>Environ Polit</w:t>
      </w:r>
      <w:r w:rsidR="006E3983" w:rsidRPr="00471CC9">
        <w:rPr>
          <w:noProof/>
        </w:rPr>
        <w:t xml:space="preserve"> 16(1)</w:t>
      </w:r>
      <w:r w:rsidRPr="00471CC9">
        <w:rPr>
          <w:noProof/>
        </w:rPr>
        <w:t>:</w:t>
      </w:r>
      <w:r w:rsidR="006E3983" w:rsidRPr="00471CC9">
        <w:rPr>
          <w:noProof/>
        </w:rPr>
        <w:t>15-35</w:t>
      </w:r>
      <w:r w:rsidRPr="00471CC9">
        <w:rPr>
          <w:noProof/>
        </w:rPr>
        <w:t xml:space="preserve">. </w:t>
      </w:r>
      <w:hyperlink r:id="rId28" w:history="1">
        <w:r w:rsidRPr="00471CC9">
          <w:rPr>
            <w:rStyle w:val="Hyperlink"/>
            <w:noProof/>
          </w:rPr>
          <w:t>https://doi.org/10.1080/09644010601073432</w:t>
        </w:r>
      </w:hyperlink>
      <w:r w:rsidRPr="00471CC9">
        <w:rPr>
          <w:noProof/>
        </w:rPr>
        <w:t xml:space="preserve"> </w:t>
      </w:r>
    </w:p>
    <w:p w:rsidR="006E3983" w:rsidRPr="00471CC9" w:rsidRDefault="003E478A" w:rsidP="004E797B">
      <w:pPr>
        <w:tabs>
          <w:tab w:val="right" w:pos="360"/>
          <w:tab w:val="left" w:pos="540"/>
        </w:tabs>
        <w:spacing w:after="240"/>
        <w:ind w:left="540" w:hanging="540"/>
        <w:rPr>
          <w:noProof/>
        </w:rPr>
      </w:pPr>
      <w:r w:rsidRPr="00471CC9">
        <w:rPr>
          <w:noProof/>
        </w:rPr>
        <w:tab/>
        <w:t xml:space="preserve">23. </w:t>
      </w:r>
      <w:r w:rsidRPr="00471CC9">
        <w:rPr>
          <w:noProof/>
        </w:rPr>
        <w:tab/>
        <w:t>Lindahl KB, Sténs</w:t>
      </w:r>
      <w:r w:rsidR="006E3983" w:rsidRPr="00471CC9">
        <w:rPr>
          <w:noProof/>
        </w:rPr>
        <w:t xml:space="preserve"> A, Sandstrøm C, J</w:t>
      </w:r>
      <w:r w:rsidRPr="00471CC9">
        <w:rPr>
          <w:noProof/>
        </w:rPr>
        <w:t>ohansson J, Lidskog R, Ranius</w:t>
      </w:r>
      <w:r w:rsidR="006E3983" w:rsidRPr="00471CC9">
        <w:rPr>
          <w:noProof/>
        </w:rPr>
        <w:t xml:space="preserve"> T</w:t>
      </w:r>
      <w:r w:rsidRPr="00471CC9">
        <w:rPr>
          <w:noProof/>
        </w:rPr>
        <w:t xml:space="preserve">, Roberge JM (2017) </w:t>
      </w:r>
      <w:r w:rsidR="006E3983" w:rsidRPr="00471CC9">
        <w:rPr>
          <w:noProof/>
        </w:rPr>
        <w:t>The Swedish fore</w:t>
      </w:r>
      <w:r w:rsidRPr="00471CC9">
        <w:rPr>
          <w:noProof/>
        </w:rPr>
        <w:t>stry model: More of everything?</w:t>
      </w:r>
      <w:r w:rsidR="006E3983" w:rsidRPr="00471CC9">
        <w:rPr>
          <w:noProof/>
        </w:rPr>
        <w:t xml:space="preserve"> </w:t>
      </w:r>
      <w:r w:rsidR="00ED447E" w:rsidRPr="00471CC9">
        <w:rPr>
          <w:noProof/>
        </w:rPr>
        <w:t>For Policy</w:t>
      </w:r>
      <w:r w:rsidR="006E3983" w:rsidRPr="00471CC9">
        <w:rPr>
          <w:noProof/>
        </w:rPr>
        <w:t xml:space="preserve"> Econ</w:t>
      </w:r>
      <w:r w:rsidRPr="00471CC9">
        <w:rPr>
          <w:noProof/>
        </w:rPr>
        <w:t xml:space="preserve"> </w:t>
      </w:r>
      <w:r w:rsidR="006E3983" w:rsidRPr="00471CC9">
        <w:rPr>
          <w:noProof/>
        </w:rPr>
        <w:t>77</w:t>
      </w:r>
      <w:r w:rsidRPr="00471CC9">
        <w:rPr>
          <w:noProof/>
        </w:rPr>
        <w:t>:</w:t>
      </w:r>
      <w:r w:rsidR="006E3983" w:rsidRPr="00471CC9">
        <w:rPr>
          <w:noProof/>
        </w:rPr>
        <w:t>44-55</w:t>
      </w:r>
      <w:r w:rsidRPr="00471CC9">
        <w:rPr>
          <w:noProof/>
        </w:rPr>
        <w:t xml:space="preserve">. </w:t>
      </w:r>
      <w:hyperlink r:id="rId29" w:history="1">
        <w:r w:rsidRPr="00471CC9">
          <w:rPr>
            <w:rStyle w:val="Hyperlink"/>
            <w:noProof/>
          </w:rPr>
          <w:t>https://doi.org/10.1016/j.forpol.2015.10.012</w:t>
        </w:r>
      </w:hyperlink>
      <w:r w:rsidRPr="00471CC9">
        <w:rPr>
          <w:noProof/>
        </w:rPr>
        <w:t xml:space="preserve"> </w:t>
      </w:r>
    </w:p>
    <w:p w:rsidR="006E3983" w:rsidRPr="00471CC9" w:rsidRDefault="003E478A" w:rsidP="004E797B">
      <w:pPr>
        <w:tabs>
          <w:tab w:val="right" w:pos="360"/>
          <w:tab w:val="left" w:pos="540"/>
        </w:tabs>
        <w:spacing w:after="240"/>
        <w:ind w:left="540" w:hanging="540"/>
        <w:rPr>
          <w:noProof/>
        </w:rPr>
      </w:pPr>
      <w:r w:rsidRPr="00471CC9">
        <w:rPr>
          <w:noProof/>
        </w:rPr>
        <w:tab/>
        <w:t xml:space="preserve">24. </w:t>
      </w:r>
      <w:r w:rsidRPr="00471CC9">
        <w:rPr>
          <w:noProof/>
        </w:rPr>
        <w:tab/>
        <w:t>Mai-Moulin</w:t>
      </w:r>
      <w:r w:rsidR="006E3983" w:rsidRPr="00471CC9">
        <w:rPr>
          <w:noProof/>
        </w:rPr>
        <w:t xml:space="preserve"> T, F</w:t>
      </w:r>
      <w:r w:rsidRPr="00471CC9">
        <w:rPr>
          <w:noProof/>
        </w:rPr>
        <w:t xml:space="preserve">ritsche </w:t>
      </w:r>
      <w:r w:rsidR="006E3983" w:rsidRPr="00471CC9">
        <w:rPr>
          <w:noProof/>
        </w:rPr>
        <w:t>UR</w:t>
      </w:r>
      <w:r w:rsidRPr="00471CC9">
        <w:rPr>
          <w:noProof/>
        </w:rPr>
        <w:t xml:space="preserve">, Junginger M (2019) </w:t>
      </w:r>
      <w:r w:rsidR="006E3983" w:rsidRPr="00471CC9">
        <w:rPr>
          <w:noProof/>
        </w:rPr>
        <w:t>Charting global position and vision of stakeholders towards sustainable bioenergy</w:t>
      </w:r>
      <w:r w:rsidRPr="00471CC9">
        <w:rPr>
          <w:noProof/>
        </w:rPr>
        <w:t>.</w:t>
      </w:r>
      <w:r w:rsidR="006E3983" w:rsidRPr="00471CC9">
        <w:rPr>
          <w:noProof/>
        </w:rPr>
        <w:t xml:space="preserve"> </w:t>
      </w:r>
      <w:r w:rsidR="00ED447E" w:rsidRPr="00471CC9">
        <w:rPr>
          <w:noProof/>
        </w:rPr>
        <w:t>Energy</w:t>
      </w:r>
      <w:r w:rsidR="00E340D4" w:rsidRPr="00471CC9">
        <w:rPr>
          <w:noProof/>
        </w:rPr>
        <w:t xml:space="preserve"> Sustain</w:t>
      </w:r>
      <w:r w:rsidR="006E3983" w:rsidRPr="00471CC9">
        <w:rPr>
          <w:noProof/>
        </w:rPr>
        <w:t xml:space="preserve"> Soc 9(1)</w:t>
      </w:r>
      <w:r w:rsidRPr="00471CC9">
        <w:rPr>
          <w:noProof/>
        </w:rPr>
        <w:t>:</w:t>
      </w:r>
      <w:r w:rsidR="006E3983" w:rsidRPr="00471CC9">
        <w:rPr>
          <w:noProof/>
        </w:rPr>
        <w:t>48</w:t>
      </w:r>
      <w:r w:rsidR="00E340D4" w:rsidRPr="00471CC9">
        <w:rPr>
          <w:noProof/>
        </w:rPr>
        <w:t xml:space="preserve">. </w:t>
      </w:r>
      <w:hyperlink r:id="rId30" w:history="1">
        <w:r w:rsidR="00E340D4" w:rsidRPr="00471CC9">
          <w:rPr>
            <w:rStyle w:val="Hyperlink"/>
            <w:noProof/>
          </w:rPr>
          <w:t>https://doi.org/10.1186/s13705-019-0225-0</w:t>
        </w:r>
      </w:hyperlink>
      <w:r w:rsidR="00E340D4" w:rsidRPr="00471CC9">
        <w:rPr>
          <w:noProof/>
        </w:rPr>
        <w:t xml:space="preserve"> </w:t>
      </w:r>
    </w:p>
    <w:p w:rsidR="006E3983" w:rsidRPr="00471CC9" w:rsidRDefault="00E340D4" w:rsidP="004E797B">
      <w:pPr>
        <w:tabs>
          <w:tab w:val="right" w:pos="360"/>
          <w:tab w:val="left" w:pos="540"/>
        </w:tabs>
        <w:spacing w:after="240"/>
        <w:ind w:left="540" w:hanging="540"/>
        <w:rPr>
          <w:noProof/>
        </w:rPr>
      </w:pPr>
      <w:r w:rsidRPr="00471CC9">
        <w:rPr>
          <w:noProof/>
        </w:rPr>
        <w:tab/>
        <w:t xml:space="preserve">25. </w:t>
      </w:r>
      <w:r w:rsidRPr="00471CC9">
        <w:rPr>
          <w:noProof/>
        </w:rPr>
        <w:tab/>
        <w:t>McDermott</w:t>
      </w:r>
      <w:r w:rsidR="006E3983" w:rsidRPr="00471CC9">
        <w:rPr>
          <w:noProof/>
        </w:rPr>
        <w:t xml:space="preserve"> C</w:t>
      </w:r>
      <w:r w:rsidRPr="00471CC9">
        <w:rPr>
          <w:noProof/>
        </w:rPr>
        <w:t>L</w:t>
      </w:r>
      <w:r w:rsidR="006E3983" w:rsidRPr="00471CC9">
        <w:rPr>
          <w:noProof/>
        </w:rPr>
        <w:t>, Cashore B</w:t>
      </w:r>
      <w:r w:rsidRPr="00471CC9">
        <w:rPr>
          <w:noProof/>
        </w:rPr>
        <w:t>, Kanowski</w:t>
      </w:r>
      <w:r w:rsidR="006E3983" w:rsidRPr="00471CC9">
        <w:rPr>
          <w:noProof/>
        </w:rPr>
        <w:t xml:space="preserve"> P (2010) Global Environmental Forest Policies - An international comparison</w:t>
      </w:r>
      <w:r w:rsidRPr="00471CC9">
        <w:rPr>
          <w:noProof/>
        </w:rPr>
        <w:t>.</w:t>
      </w:r>
      <w:r w:rsidR="006E3983" w:rsidRPr="00471CC9">
        <w:rPr>
          <w:noProof/>
        </w:rPr>
        <w:t xml:space="preserve"> </w:t>
      </w:r>
      <w:r w:rsidRPr="00471CC9">
        <w:rPr>
          <w:noProof/>
        </w:rPr>
        <w:t>Earthscan Forest Library, London, Washington DC, 372 pp.</w:t>
      </w:r>
    </w:p>
    <w:p w:rsidR="006E3983" w:rsidRPr="00471CC9" w:rsidRDefault="006E3983" w:rsidP="004E797B">
      <w:pPr>
        <w:tabs>
          <w:tab w:val="right" w:pos="360"/>
          <w:tab w:val="left" w:pos="540"/>
        </w:tabs>
        <w:spacing w:after="240"/>
        <w:ind w:left="540" w:hanging="540"/>
        <w:rPr>
          <w:noProof/>
        </w:rPr>
      </w:pPr>
      <w:r w:rsidRPr="00471CC9">
        <w:rPr>
          <w:noProof/>
        </w:rPr>
        <w:tab/>
        <w:t xml:space="preserve">26. </w:t>
      </w:r>
      <w:r w:rsidRPr="00471CC9">
        <w:rPr>
          <w:noProof/>
        </w:rPr>
        <w:tab/>
        <w:t>McDe</w:t>
      </w:r>
      <w:r w:rsidR="00544173" w:rsidRPr="00471CC9">
        <w:rPr>
          <w:noProof/>
        </w:rPr>
        <w:t xml:space="preserve">rmott CL, Cashore B, </w:t>
      </w:r>
      <w:r w:rsidR="00E340D4" w:rsidRPr="00471CC9">
        <w:rPr>
          <w:noProof/>
        </w:rPr>
        <w:t xml:space="preserve">Kanowski P (2009) </w:t>
      </w:r>
      <w:r w:rsidRPr="00471CC9">
        <w:rPr>
          <w:noProof/>
        </w:rPr>
        <w:t>Setting the bar: an international comparison of public and private forest policy specifications and implication</w:t>
      </w:r>
      <w:r w:rsidR="00E340D4" w:rsidRPr="00471CC9">
        <w:rPr>
          <w:noProof/>
        </w:rPr>
        <w:t xml:space="preserve">s for explaining policy trends. </w:t>
      </w:r>
      <w:r w:rsidRPr="00471CC9">
        <w:rPr>
          <w:noProof/>
        </w:rPr>
        <w:t>Jour</w:t>
      </w:r>
      <w:r w:rsidR="00ED447E" w:rsidRPr="00471CC9">
        <w:rPr>
          <w:noProof/>
        </w:rPr>
        <w:t>nal of Integrative Environ</w:t>
      </w:r>
      <w:r w:rsidRPr="00471CC9">
        <w:rPr>
          <w:noProof/>
        </w:rPr>
        <w:t xml:space="preserve"> Sci 6(3)</w:t>
      </w:r>
      <w:r w:rsidR="00E340D4" w:rsidRPr="00471CC9">
        <w:rPr>
          <w:noProof/>
        </w:rPr>
        <w:t>:</w:t>
      </w:r>
      <w:r w:rsidRPr="00471CC9">
        <w:rPr>
          <w:noProof/>
        </w:rPr>
        <w:t>217-237</w:t>
      </w:r>
      <w:r w:rsidR="00E340D4" w:rsidRPr="00471CC9">
        <w:rPr>
          <w:noProof/>
        </w:rPr>
        <w:t xml:space="preserve">. </w:t>
      </w:r>
      <w:hyperlink r:id="rId31" w:history="1">
        <w:r w:rsidR="00E340D4" w:rsidRPr="00471CC9">
          <w:rPr>
            <w:rStyle w:val="Hyperlink"/>
            <w:noProof/>
          </w:rPr>
          <w:t>https://doi.org/10.1080/19438150903090533</w:t>
        </w:r>
      </w:hyperlink>
      <w:r w:rsidR="00E340D4" w:rsidRPr="00471CC9">
        <w:rPr>
          <w:noProof/>
        </w:rPr>
        <w:t xml:space="preserve"> </w:t>
      </w:r>
    </w:p>
    <w:p w:rsidR="006E3983" w:rsidRPr="00471CC9" w:rsidRDefault="006E3983" w:rsidP="004E797B">
      <w:pPr>
        <w:tabs>
          <w:tab w:val="right" w:pos="360"/>
          <w:tab w:val="left" w:pos="540"/>
        </w:tabs>
        <w:spacing w:after="240"/>
        <w:ind w:left="540" w:hanging="540"/>
        <w:rPr>
          <w:noProof/>
        </w:rPr>
      </w:pPr>
      <w:r w:rsidRPr="00471CC9">
        <w:rPr>
          <w:noProof/>
        </w:rPr>
        <w:tab/>
        <w:t xml:space="preserve">27. </w:t>
      </w:r>
      <w:r w:rsidRPr="00471CC9">
        <w:rPr>
          <w:noProof/>
        </w:rPr>
        <w:tab/>
      </w:r>
      <w:r w:rsidR="00E340D4" w:rsidRPr="00471CC9">
        <w:rPr>
          <w:noProof/>
        </w:rPr>
        <w:t>Mrosek</w:t>
      </w:r>
      <w:r w:rsidRPr="00471CC9">
        <w:rPr>
          <w:noProof/>
        </w:rPr>
        <w:t xml:space="preserve"> T, Balsillie D</w:t>
      </w:r>
      <w:r w:rsidR="00E340D4" w:rsidRPr="00471CC9">
        <w:rPr>
          <w:noProof/>
        </w:rPr>
        <w:t xml:space="preserve">, Schleifenbaum P (2006) </w:t>
      </w:r>
      <w:r w:rsidRPr="00471CC9">
        <w:rPr>
          <w:noProof/>
        </w:rPr>
        <w:t>Field testing of a criteria and indicators system for sustainable forest management at the local level. Case study results concerning the sustainability of the private forest Haliburton Forest and Wild L</w:t>
      </w:r>
      <w:r w:rsidR="00E340D4" w:rsidRPr="00471CC9">
        <w:rPr>
          <w:noProof/>
        </w:rPr>
        <w:t xml:space="preserve">ife Reserve in Ontario, Canada. </w:t>
      </w:r>
      <w:r w:rsidR="00ED447E" w:rsidRPr="00471CC9">
        <w:rPr>
          <w:noProof/>
        </w:rPr>
        <w:t>For Policy Econ</w:t>
      </w:r>
      <w:r w:rsidRPr="00471CC9">
        <w:rPr>
          <w:noProof/>
        </w:rPr>
        <w:t xml:space="preserve"> 8</w:t>
      </w:r>
      <w:r w:rsidR="00E340D4" w:rsidRPr="00471CC9">
        <w:rPr>
          <w:noProof/>
        </w:rPr>
        <w:t>(6):</w:t>
      </w:r>
      <w:r w:rsidRPr="00471CC9">
        <w:rPr>
          <w:noProof/>
        </w:rPr>
        <w:t>593-609</w:t>
      </w:r>
      <w:r w:rsidR="00E340D4" w:rsidRPr="00471CC9">
        <w:rPr>
          <w:noProof/>
        </w:rPr>
        <w:t xml:space="preserve">. </w:t>
      </w:r>
      <w:hyperlink r:id="rId32" w:history="1">
        <w:r w:rsidR="00E340D4" w:rsidRPr="00471CC9">
          <w:rPr>
            <w:rStyle w:val="Hyperlink"/>
            <w:noProof/>
          </w:rPr>
          <w:t>https://doi.org/10.1016/j.forpol.2004.11.002</w:t>
        </w:r>
      </w:hyperlink>
      <w:r w:rsidR="00E340D4" w:rsidRPr="00471CC9">
        <w:rPr>
          <w:noProof/>
        </w:rPr>
        <w:t xml:space="preserve"> </w:t>
      </w:r>
    </w:p>
    <w:p w:rsidR="006E3983" w:rsidRPr="00471CC9" w:rsidRDefault="00E340D4" w:rsidP="004E797B">
      <w:pPr>
        <w:tabs>
          <w:tab w:val="right" w:pos="360"/>
          <w:tab w:val="left" w:pos="540"/>
        </w:tabs>
        <w:spacing w:after="240"/>
        <w:ind w:left="540" w:hanging="540"/>
        <w:rPr>
          <w:noProof/>
        </w:rPr>
      </w:pPr>
      <w:r w:rsidRPr="00471CC9">
        <w:rPr>
          <w:noProof/>
        </w:rPr>
        <w:tab/>
        <w:t xml:space="preserve">28. </w:t>
      </w:r>
      <w:r w:rsidRPr="00471CC9">
        <w:rPr>
          <w:noProof/>
        </w:rPr>
        <w:tab/>
        <w:t>Nichiforel</w:t>
      </w:r>
      <w:r w:rsidR="006E3983" w:rsidRPr="00471CC9">
        <w:rPr>
          <w:noProof/>
        </w:rPr>
        <w:t xml:space="preserve"> L, Keary</w:t>
      </w:r>
      <w:r w:rsidRPr="00471CC9">
        <w:rPr>
          <w:noProof/>
        </w:rPr>
        <w:t xml:space="preserve"> K, Deuffic P, Weiss</w:t>
      </w:r>
      <w:r w:rsidR="006E3983" w:rsidRPr="00471CC9">
        <w:rPr>
          <w:noProof/>
        </w:rPr>
        <w:t xml:space="preserve"> G, Thorsen</w:t>
      </w:r>
      <w:r w:rsidRPr="00471CC9">
        <w:rPr>
          <w:noProof/>
        </w:rPr>
        <w:t xml:space="preserve"> BJ, Winkel G, Avdibegovic M, Dobsinska Z, Feliciano D, Gatto P, Mifsud EG, Hoogstra-Klein M, Hrib M, Hujala </w:t>
      </w:r>
      <w:r w:rsidR="006E3983" w:rsidRPr="00471CC9">
        <w:rPr>
          <w:noProof/>
        </w:rPr>
        <w:t>T</w:t>
      </w:r>
      <w:r w:rsidRPr="00471CC9">
        <w:rPr>
          <w:noProof/>
        </w:rPr>
        <w:t>, Jager L, Jarsky V, Jodlowski K, Lawrence A, Lukmine D, Malovrh SP, Nedeljkovic</w:t>
      </w:r>
      <w:r w:rsidR="006E3983" w:rsidRPr="00471CC9">
        <w:rPr>
          <w:noProof/>
        </w:rPr>
        <w:t xml:space="preserve"> J, Nonic</w:t>
      </w:r>
      <w:r w:rsidRPr="00471CC9">
        <w:rPr>
          <w:noProof/>
        </w:rPr>
        <w:t xml:space="preserve"> D, Ostoic SK, Pukall K, Rondeux J, Samara T, Sarvasova Z, Scriban RE, Silingiene R, Sinko M, Stojanovska M, Stojanovski V, Stoyanov N, Teder</w:t>
      </w:r>
      <w:r w:rsidR="006E3983" w:rsidRPr="00471CC9">
        <w:rPr>
          <w:noProof/>
        </w:rPr>
        <w:t xml:space="preserve"> M, Vennesland</w:t>
      </w:r>
      <w:r w:rsidRPr="00471CC9">
        <w:rPr>
          <w:noProof/>
        </w:rPr>
        <w:t xml:space="preserve"> B, Vilkriste L, Wilhelmsson E, Wilkes-Allemann J, Bouriaud L (2018) </w:t>
      </w:r>
      <w:r w:rsidR="006E3983" w:rsidRPr="00471CC9">
        <w:rPr>
          <w:noProof/>
        </w:rPr>
        <w:t>How private are Europe's private forests? A compa</w:t>
      </w:r>
      <w:r w:rsidRPr="00471CC9">
        <w:rPr>
          <w:noProof/>
        </w:rPr>
        <w:t>rative property rights analysis.</w:t>
      </w:r>
      <w:r w:rsidR="006E3983" w:rsidRPr="00471CC9">
        <w:rPr>
          <w:noProof/>
        </w:rPr>
        <w:t xml:space="preserve"> Land Use Policy 76</w:t>
      </w:r>
      <w:r w:rsidRPr="00471CC9">
        <w:rPr>
          <w:noProof/>
        </w:rPr>
        <w:t>:</w:t>
      </w:r>
      <w:r w:rsidR="006E3983" w:rsidRPr="00471CC9">
        <w:rPr>
          <w:noProof/>
        </w:rPr>
        <w:t>535-552</w:t>
      </w:r>
      <w:r w:rsidRPr="00471CC9">
        <w:rPr>
          <w:noProof/>
        </w:rPr>
        <w:t xml:space="preserve">. </w:t>
      </w:r>
      <w:hyperlink r:id="rId33" w:history="1">
        <w:r w:rsidRPr="00471CC9">
          <w:rPr>
            <w:rStyle w:val="Hyperlink"/>
            <w:noProof/>
          </w:rPr>
          <w:t>https://doi.org/10.1016/j.landusepol.2018.02.034</w:t>
        </w:r>
      </w:hyperlink>
      <w:r w:rsidRPr="00471CC9">
        <w:rPr>
          <w:noProof/>
        </w:rPr>
        <w:t xml:space="preserve"> </w:t>
      </w:r>
    </w:p>
    <w:p w:rsidR="006E3983" w:rsidRPr="00471CC9" w:rsidRDefault="00E340D4" w:rsidP="004E797B">
      <w:pPr>
        <w:tabs>
          <w:tab w:val="right" w:pos="360"/>
          <w:tab w:val="left" w:pos="540"/>
        </w:tabs>
        <w:spacing w:after="240"/>
        <w:ind w:left="540" w:hanging="540"/>
        <w:rPr>
          <w:noProof/>
        </w:rPr>
      </w:pPr>
      <w:r w:rsidRPr="00471CC9">
        <w:rPr>
          <w:noProof/>
        </w:rPr>
        <w:tab/>
        <w:t xml:space="preserve">29. </w:t>
      </w:r>
      <w:r w:rsidRPr="00471CC9">
        <w:rPr>
          <w:noProof/>
        </w:rPr>
        <w:tab/>
        <w:t>Purkus</w:t>
      </w:r>
      <w:r w:rsidR="006E3983" w:rsidRPr="00471CC9">
        <w:rPr>
          <w:noProof/>
        </w:rPr>
        <w:t xml:space="preserve"> A (2016) Concepts and Instruments for a Rational Bioenergy Policy - </w:t>
      </w:r>
      <w:r w:rsidR="006E3983" w:rsidRPr="00471CC9">
        <w:rPr>
          <w:rFonts w:ascii="DkwvgfMyriadPro-Cond" w:hAnsi="DkwvgfMyriadPro-Cond"/>
          <w:noProof/>
        </w:rPr>
        <w:t>A New Institutional Economics Approach</w:t>
      </w:r>
      <w:r w:rsidRPr="00471CC9">
        <w:rPr>
          <w:rFonts w:ascii="DkwvgfMyriadPro-Cond" w:hAnsi="DkwvgfMyriadPro-Cond"/>
          <w:noProof/>
        </w:rPr>
        <w:t>.</w:t>
      </w:r>
      <w:r w:rsidR="006E3983" w:rsidRPr="00471CC9">
        <w:rPr>
          <w:noProof/>
        </w:rPr>
        <w:t xml:space="preserve"> Springer</w:t>
      </w:r>
      <w:r w:rsidRPr="00471CC9">
        <w:rPr>
          <w:noProof/>
        </w:rPr>
        <w:t xml:space="preserve">, Lecture Notes in Energy 55, 418 pp. </w:t>
      </w:r>
      <w:hyperlink r:id="rId34" w:history="1">
        <w:r w:rsidRPr="00471CC9">
          <w:rPr>
            <w:rStyle w:val="Hyperlink"/>
            <w:noProof/>
          </w:rPr>
          <w:t>https://doi.org/10.1007/978-3-319-31135-7</w:t>
        </w:r>
      </w:hyperlink>
      <w:r w:rsidRPr="00471CC9">
        <w:rPr>
          <w:noProof/>
        </w:rPr>
        <w:t xml:space="preserve"> </w:t>
      </w:r>
    </w:p>
    <w:p w:rsidR="00294F5B" w:rsidRPr="00471CC9" w:rsidRDefault="00294F5B" w:rsidP="00294F5B">
      <w:pPr>
        <w:tabs>
          <w:tab w:val="right" w:pos="360"/>
          <w:tab w:val="left" w:pos="540"/>
        </w:tabs>
        <w:spacing w:after="240"/>
        <w:ind w:left="540" w:hanging="540"/>
        <w:rPr>
          <w:noProof/>
        </w:rPr>
      </w:pPr>
      <w:r w:rsidRPr="00471CC9">
        <w:rPr>
          <w:noProof/>
        </w:rPr>
        <w:tab/>
        <w:t xml:space="preserve">30. </w:t>
      </w:r>
      <w:r w:rsidRPr="00471CC9">
        <w:rPr>
          <w:noProof/>
        </w:rPr>
        <w:tab/>
        <w:t xml:space="preserve">Thrän D, Schaubach K, Majer </w:t>
      </w:r>
      <w:r w:rsidR="006E3983" w:rsidRPr="00471CC9">
        <w:rPr>
          <w:noProof/>
        </w:rPr>
        <w:t>S</w:t>
      </w:r>
      <w:r w:rsidRPr="00471CC9">
        <w:rPr>
          <w:noProof/>
        </w:rPr>
        <w:t xml:space="preserve">, Horschig T (2020) </w:t>
      </w:r>
      <w:r w:rsidR="006E3983" w:rsidRPr="00471CC9">
        <w:rPr>
          <w:noProof/>
        </w:rPr>
        <w:t>Governance of sustainability in the German biogas sector</w:t>
      </w:r>
      <w:r w:rsidR="006E3983" w:rsidRPr="00471CC9">
        <w:rPr>
          <w:rFonts w:ascii="Symbol" w:hAnsi="Symbol"/>
          <w:noProof/>
        </w:rPr>
        <w:t></w:t>
      </w:r>
      <w:r w:rsidR="006E3983" w:rsidRPr="00471CC9">
        <w:rPr>
          <w:rFonts w:ascii="Symbol" w:hAnsi="Symbol"/>
          <w:noProof/>
        </w:rPr>
        <w:t></w:t>
      </w:r>
      <w:r w:rsidR="006E3983" w:rsidRPr="00471CC9">
        <w:rPr>
          <w:rFonts w:ascii="Symbol" w:hAnsi="Symbol"/>
          <w:noProof/>
        </w:rPr>
        <w:t></w:t>
      </w:r>
      <w:r w:rsidR="006E3983" w:rsidRPr="00471CC9">
        <w:rPr>
          <w:noProof/>
        </w:rPr>
        <w:t>adaptive management of the Renewable Energy Act between agricu</w:t>
      </w:r>
      <w:r w:rsidRPr="00471CC9">
        <w:rPr>
          <w:noProof/>
        </w:rPr>
        <w:t xml:space="preserve">lture and the energy sector. </w:t>
      </w:r>
      <w:r w:rsidR="00ED447E" w:rsidRPr="00471CC9">
        <w:rPr>
          <w:noProof/>
        </w:rPr>
        <w:t>Energy Sustain Soc</w:t>
      </w:r>
      <w:r w:rsidR="006E3983" w:rsidRPr="00471CC9">
        <w:rPr>
          <w:noProof/>
        </w:rPr>
        <w:t xml:space="preserve"> 10</w:t>
      </w:r>
      <w:r w:rsidRPr="00471CC9">
        <w:rPr>
          <w:noProof/>
        </w:rPr>
        <w:t>(1):</w:t>
      </w:r>
      <w:r w:rsidR="006E3983" w:rsidRPr="00471CC9">
        <w:rPr>
          <w:noProof/>
        </w:rPr>
        <w:t>3</w:t>
      </w:r>
      <w:r w:rsidRPr="00471CC9">
        <w:rPr>
          <w:noProof/>
        </w:rPr>
        <w:t xml:space="preserve">. </w:t>
      </w:r>
      <w:hyperlink r:id="rId35" w:history="1">
        <w:r w:rsidRPr="00471CC9">
          <w:rPr>
            <w:rStyle w:val="Hyperlink"/>
            <w:noProof/>
          </w:rPr>
          <w:t>https://doi.org/10.1186/s13705-019-0227-y</w:t>
        </w:r>
      </w:hyperlink>
    </w:p>
    <w:p w:rsidR="006E3983" w:rsidRPr="00471CC9" w:rsidRDefault="006E3983" w:rsidP="004E797B">
      <w:pPr>
        <w:tabs>
          <w:tab w:val="right" w:pos="360"/>
          <w:tab w:val="left" w:pos="540"/>
        </w:tabs>
        <w:ind w:left="540" w:hanging="540"/>
        <w:rPr>
          <w:noProof/>
        </w:rPr>
      </w:pPr>
      <w:r w:rsidRPr="00471CC9">
        <w:rPr>
          <w:noProof/>
        </w:rPr>
        <w:tab/>
        <w:t xml:space="preserve">31. </w:t>
      </w:r>
      <w:r w:rsidRPr="00471CC9">
        <w:rPr>
          <w:noProof/>
        </w:rPr>
        <w:tab/>
        <w:t>Visseren-Hamakers</w:t>
      </w:r>
      <w:r w:rsidR="00294F5B" w:rsidRPr="00471CC9">
        <w:rPr>
          <w:noProof/>
        </w:rPr>
        <w:t xml:space="preserve"> I</w:t>
      </w:r>
      <w:r w:rsidRPr="00471CC9">
        <w:rPr>
          <w:noProof/>
        </w:rPr>
        <w:t>J</w:t>
      </w:r>
      <w:r w:rsidR="00294F5B" w:rsidRPr="00471CC9">
        <w:rPr>
          <w:noProof/>
        </w:rPr>
        <w:t xml:space="preserve">, </w:t>
      </w:r>
      <w:r w:rsidRPr="00471CC9">
        <w:rPr>
          <w:noProof/>
        </w:rPr>
        <w:t>Pattberg</w:t>
      </w:r>
      <w:r w:rsidR="00294F5B" w:rsidRPr="00471CC9">
        <w:rPr>
          <w:noProof/>
        </w:rPr>
        <w:t xml:space="preserve"> P (2013) </w:t>
      </w:r>
      <w:r w:rsidRPr="00471CC9">
        <w:rPr>
          <w:noProof/>
        </w:rPr>
        <w:t>We Can't See the Forest for the Trees The Environmental Impact of Global Forest Certification Is Unknown</w:t>
      </w:r>
      <w:r w:rsidR="00294F5B" w:rsidRPr="00471CC9">
        <w:rPr>
          <w:noProof/>
        </w:rPr>
        <w:t xml:space="preserve">. </w:t>
      </w:r>
      <w:r w:rsidRPr="00471CC9">
        <w:rPr>
          <w:noProof/>
        </w:rPr>
        <w:t>Gaia</w:t>
      </w:r>
      <w:r w:rsidR="00294F5B" w:rsidRPr="00471CC9">
        <w:rPr>
          <w:noProof/>
        </w:rPr>
        <w:t xml:space="preserve"> </w:t>
      </w:r>
      <w:r w:rsidRPr="00471CC9">
        <w:rPr>
          <w:noProof/>
        </w:rPr>
        <w:t>-</w:t>
      </w:r>
      <w:r w:rsidR="00294F5B" w:rsidRPr="00471CC9">
        <w:rPr>
          <w:noProof/>
        </w:rPr>
        <w:t xml:space="preserve"> </w:t>
      </w:r>
      <w:r w:rsidR="00ED447E" w:rsidRPr="00471CC9">
        <w:rPr>
          <w:noProof/>
        </w:rPr>
        <w:t>Ecol Perspect Sci</w:t>
      </w:r>
      <w:r w:rsidRPr="00471CC9">
        <w:rPr>
          <w:noProof/>
        </w:rPr>
        <w:t xml:space="preserve"> Soc 22</w:t>
      </w:r>
      <w:r w:rsidR="00294F5B" w:rsidRPr="00471CC9">
        <w:rPr>
          <w:noProof/>
        </w:rPr>
        <w:t>(1):</w:t>
      </w:r>
      <w:r w:rsidRPr="00471CC9">
        <w:rPr>
          <w:noProof/>
        </w:rPr>
        <w:t>25-28</w:t>
      </w:r>
      <w:r w:rsidR="00294F5B" w:rsidRPr="00471CC9">
        <w:rPr>
          <w:noProof/>
        </w:rPr>
        <w:t xml:space="preserve">. </w:t>
      </w:r>
      <w:hyperlink r:id="rId36" w:history="1">
        <w:r w:rsidR="00294F5B" w:rsidRPr="00471CC9">
          <w:rPr>
            <w:rStyle w:val="Hyperlink"/>
            <w:noProof/>
          </w:rPr>
          <w:t>https://doi.org/10.14512/gaia.22.1.8</w:t>
        </w:r>
      </w:hyperlink>
      <w:r w:rsidR="00294F5B" w:rsidRPr="00471CC9">
        <w:rPr>
          <w:noProof/>
        </w:rPr>
        <w:t xml:space="preserve"> </w:t>
      </w:r>
    </w:p>
    <w:p w:rsidR="00E340D4" w:rsidRPr="00471CC9" w:rsidRDefault="00E340D4"/>
    <w:sectPr w:rsidR="00E340D4" w:rsidRPr="00471CC9" w:rsidSect="004E797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2E4" w:rsidRDefault="003252E4">
      <w:r>
        <w:separator/>
      </w:r>
    </w:p>
  </w:endnote>
  <w:endnote w:type="continuationSeparator" w:id="0">
    <w:p w:rsidR="003252E4" w:rsidRDefault="0032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MyriadPro-SemiboldCond">
    <w:altName w:val="Times New Roman"/>
    <w:panose1 w:val="00000000000000000000"/>
    <w:charset w:val="00"/>
    <w:family w:val="roman"/>
    <w:notTrueType/>
    <w:pitch w:val="default"/>
  </w:font>
  <w:font w:name="MyriadPro-Cond">
    <w:altName w:val="Times New Roman"/>
    <w:panose1 w:val="00000000000000000000"/>
    <w:charset w:val="00"/>
    <w:family w:val="roman"/>
    <w:notTrueType/>
    <w:pitch w:val="default"/>
  </w:font>
  <w:font w:name="TradeGothic">
    <w:altName w:val="Times New Roman"/>
    <w:panose1 w:val="00000000000000000000"/>
    <w:charset w:val="00"/>
    <w:family w:val="roman"/>
    <w:notTrueType/>
    <w:pitch w:val="default"/>
  </w:font>
  <w:font w:name="TradeGothic-BoldCondTwenty">
    <w:altName w:val="Times New Roman"/>
    <w:panose1 w:val="00000000000000000000"/>
    <w:charset w:val="00"/>
    <w:family w:val="roman"/>
    <w:notTrueType/>
    <w:pitch w:val="default"/>
  </w:font>
  <w:font w:name="Univers-CondensedBold">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StagSans-Light">
    <w:altName w:val="Times New Roman"/>
    <w:panose1 w:val="00000000000000000000"/>
    <w:charset w:val="00"/>
    <w:family w:val="roman"/>
    <w:notTrueType/>
    <w:pitch w:val="default"/>
  </w:font>
  <w:font w:name="DkwvgfMyriadPro-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873621402"/>
      <w:docPartObj>
        <w:docPartGallery w:val="Page Numbers (Bottom of Page)"/>
        <w:docPartUnique/>
      </w:docPartObj>
    </w:sdtPr>
    <w:sdtContent>
      <w:p w:rsidR="005F2FE8" w:rsidRDefault="005F2FE8">
        <w:pPr>
          <w:pStyle w:val="Footer"/>
          <w:jc w:val="right"/>
        </w:pPr>
        <w:r>
          <w:fldChar w:fldCharType="begin"/>
        </w:r>
        <w:r>
          <w:instrText>PAGE   \* MERGEFORMAT</w:instrText>
        </w:r>
        <w:r>
          <w:fldChar w:fldCharType="separate"/>
        </w:r>
        <w:r w:rsidR="00C92696">
          <w:rPr>
            <w:noProof/>
          </w:rPr>
          <w:t>2</w:t>
        </w:r>
        <w:r>
          <w:fldChar w:fldCharType="end"/>
        </w:r>
      </w:p>
    </w:sdtContent>
  </w:sdt>
  <w:p w:rsidR="005F2FE8" w:rsidRDefault="005F2FE8" w:rsidP="004E79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66328855"/>
      <w:docPartObj>
        <w:docPartGallery w:val="Page Numbers (Bottom of Page)"/>
        <w:docPartUnique/>
      </w:docPartObj>
    </w:sdtPr>
    <w:sdtContent>
      <w:p w:rsidR="005F2FE8" w:rsidRDefault="005F2FE8">
        <w:pPr>
          <w:pStyle w:val="Footer"/>
          <w:jc w:val="right"/>
        </w:pPr>
        <w:r>
          <w:fldChar w:fldCharType="begin"/>
        </w:r>
        <w:r>
          <w:instrText>PAGE   \* MERGEFORMAT</w:instrText>
        </w:r>
        <w:r>
          <w:fldChar w:fldCharType="separate"/>
        </w:r>
        <w:r w:rsidR="00C92696" w:rsidRPr="00C92696">
          <w:rPr>
            <w:noProof/>
            <w:lang w:val="da-DK"/>
          </w:rPr>
          <w:t>3</w:t>
        </w:r>
        <w:r>
          <w:fldChar w:fldCharType="end"/>
        </w:r>
      </w:p>
    </w:sdtContent>
  </w:sdt>
  <w:p w:rsidR="005F2FE8" w:rsidRDefault="005F2FE8" w:rsidP="004E7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2E4" w:rsidRDefault="003252E4">
      <w:r>
        <w:separator/>
      </w:r>
    </w:p>
  </w:footnote>
  <w:footnote w:type="continuationSeparator" w:id="0">
    <w:p w:rsidR="003252E4" w:rsidRDefault="00325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C323F96"/>
    <w:lvl w:ilvl="0">
      <w:start w:val="1"/>
      <w:numFmt w:val="decimal"/>
      <w:pStyle w:val="ListNumber"/>
      <w:lvlText w:val="%1."/>
      <w:lvlJc w:val="left"/>
      <w:pPr>
        <w:tabs>
          <w:tab w:val="num" w:pos="360"/>
        </w:tabs>
        <w:ind w:left="360" w:hanging="360"/>
      </w:pPr>
    </w:lvl>
  </w:abstractNum>
  <w:abstractNum w:abstractNumId="1">
    <w:nsid w:val="FFFFFF89"/>
    <w:multiLevelType w:val="singleLevel"/>
    <w:tmpl w:val="FA948E9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0F48C6"/>
    <w:multiLevelType w:val="hybridMultilevel"/>
    <w:tmpl w:val="1054B010"/>
    <w:lvl w:ilvl="0" w:tplc="D6F651C0">
      <w:start w:val="1"/>
      <w:numFmt w:val="bullet"/>
      <w:lvlText w:val="•"/>
      <w:lvlJc w:val="left"/>
      <w:pPr>
        <w:tabs>
          <w:tab w:val="num" w:pos="720"/>
        </w:tabs>
        <w:ind w:left="720" w:hanging="360"/>
      </w:pPr>
      <w:rPr>
        <w:rFonts w:ascii="Arial" w:hAnsi="Arial" w:hint="default"/>
      </w:rPr>
    </w:lvl>
    <w:lvl w:ilvl="1" w:tplc="C4382BA0" w:tentative="1">
      <w:start w:val="1"/>
      <w:numFmt w:val="bullet"/>
      <w:lvlText w:val="•"/>
      <w:lvlJc w:val="left"/>
      <w:pPr>
        <w:tabs>
          <w:tab w:val="num" w:pos="1440"/>
        </w:tabs>
        <w:ind w:left="1440" w:hanging="360"/>
      </w:pPr>
      <w:rPr>
        <w:rFonts w:ascii="Arial" w:hAnsi="Arial" w:hint="default"/>
      </w:rPr>
    </w:lvl>
    <w:lvl w:ilvl="2" w:tplc="1C0EA668" w:tentative="1">
      <w:start w:val="1"/>
      <w:numFmt w:val="bullet"/>
      <w:lvlText w:val="•"/>
      <w:lvlJc w:val="left"/>
      <w:pPr>
        <w:tabs>
          <w:tab w:val="num" w:pos="2160"/>
        </w:tabs>
        <w:ind w:left="2160" w:hanging="360"/>
      </w:pPr>
      <w:rPr>
        <w:rFonts w:ascii="Arial" w:hAnsi="Arial" w:hint="default"/>
      </w:rPr>
    </w:lvl>
    <w:lvl w:ilvl="3" w:tplc="62F604C2" w:tentative="1">
      <w:start w:val="1"/>
      <w:numFmt w:val="bullet"/>
      <w:lvlText w:val="•"/>
      <w:lvlJc w:val="left"/>
      <w:pPr>
        <w:tabs>
          <w:tab w:val="num" w:pos="2880"/>
        </w:tabs>
        <w:ind w:left="2880" w:hanging="360"/>
      </w:pPr>
      <w:rPr>
        <w:rFonts w:ascii="Arial" w:hAnsi="Arial" w:hint="default"/>
      </w:rPr>
    </w:lvl>
    <w:lvl w:ilvl="4" w:tplc="CB1436CC" w:tentative="1">
      <w:start w:val="1"/>
      <w:numFmt w:val="bullet"/>
      <w:lvlText w:val="•"/>
      <w:lvlJc w:val="left"/>
      <w:pPr>
        <w:tabs>
          <w:tab w:val="num" w:pos="3600"/>
        </w:tabs>
        <w:ind w:left="3600" w:hanging="360"/>
      </w:pPr>
      <w:rPr>
        <w:rFonts w:ascii="Arial" w:hAnsi="Arial" w:hint="default"/>
      </w:rPr>
    </w:lvl>
    <w:lvl w:ilvl="5" w:tplc="ACE084AC" w:tentative="1">
      <w:start w:val="1"/>
      <w:numFmt w:val="bullet"/>
      <w:lvlText w:val="•"/>
      <w:lvlJc w:val="left"/>
      <w:pPr>
        <w:tabs>
          <w:tab w:val="num" w:pos="4320"/>
        </w:tabs>
        <w:ind w:left="4320" w:hanging="360"/>
      </w:pPr>
      <w:rPr>
        <w:rFonts w:ascii="Arial" w:hAnsi="Arial" w:hint="default"/>
      </w:rPr>
    </w:lvl>
    <w:lvl w:ilvl="6" w:tplc="4850A4B0" w:tentative="1">
      <w:start w:val="1"/>
      <w:numFmt w:val="bullet"/>
      <w:lvlText w:val="•"/>
      <w:lvlJc w:val="left"/>
      <w:pPr>
        <w:tabs>
          <w:tab w:val="num" w:pos="5040"/>
        </w:tabs>
        <w:ind w:left="5040" w:hanging="360"/>
      </w:pPr>
      <w:rPr>
        <w:rFonts w:ascii="Arial" w:hAnsi="Arial" w:hint="default"/>
      </w:rPr>
    </w:lvl>
    <w:lvl w:ilvl="7" w:tplc="80EA05C2" w:tentative="1">
      <w:start w:val="1"/>
      <w:numFmt w:val="bullet"/>
      <w:lvlText w:val="•"/>
      <w:lvlJc w:val="left"/>
      <w:pPr>
        <w:tabs>
          <w:tab w:val="num" w:pos="5760"/>
        </w:tabs>
        <w:ind w:left="5760" w:hanging="360"/>
      </w:pPr>
      <w:rPr>
        <w:rFonts w:ascii="Arial" w:hAnsi="Arial" w:hint="default"/>
      </w:rPr>
    </w:lvl>
    <w:lvl w:ilvl="8" w:tplc="2D92A282" w:tentative="1">
      <w:start w:val="1"/>
      <w:numFmt w:val="bullet"/>
      <w:lvlText w:val="•"/>
      <w:lvlJc w:val="left"/>
      <w:pPr>
        <w:tabs>
          <w:tab w:val="num" w:pos="6480"/>
        </w:tabs>
        <w:ind w:left="6480" w:hanging="360"/>
      </w:pPr>
      <w:rPr>
        <w:rFonts w:ascii="Arial" w:hAnsi="Arial" w:hint="default"/>
      </w:rPr>
    </w:lvl>
  </w:abstractNum>
  <w:abstractNum w:abstractNumId="3">
    <w:nsid w:val="0BEA4E0E"/>
    <w:multiLevelType w:val="multilevel"/>
    <w:tmpl w:val="FC0CF478"/>
    <w:lvl w:ilvl="0">
      <w:start w:val="1"/>
      <w:numFmt w:val="decimal"/>
      <w:pStyle w:val="Heading1"/>
      <w:lvlText w:val="%1."/>
      <w:lvlJc w:val="left"/>
      <w:pPr>
        <w:ind w:left="5464" w:hanging="360"/>
      </w:pPr>
      <w:rPr>
        <w:rFonts w:hint="default"/>
      </w:rPr>
    </w:lvl>
    <w:lvl w:ilvl="1">
      <w:start w:val="1"/>
      <w:numFmt w:val="decimal"/>
      <w:pStyle w:val="Heading2"/>
      <w:isLgl/>
      <w:lvlText w:val="%1.%2."/>
      <w:lvlJc w:val="left"/>
      <w:pPr>
        <w:ind w:left="2204" w:hanging="360"/>
      </w:pPr>
      <w:rPr>
        <w:rFonts w:hint="default"/>
      </w:rPr>
    </w:lvl>
    <w:lvl w:ilvl="2">
      <w:start w:val="1"/>
      <w:numFmt w:val="decimal"/>
      <w:pStyle w:val="Heading3"/>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A78163C"/>
    <w:multiLevelType w:val="hybridMultilevel"/>
    <w:tmpl w:val="72FEEEFC"/>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1BBA6DA6"/>
    <w:multiLevelType w:val="hybridMultilevel"/>
    <w:tmpl w:val="1A28D6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1C3849B0"/>
    <w:multiLevelType w:val="hybridMultilevel"/>
    <w:tmpl w:val="44FABE46"/>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nsid w:val="39DD0D4B"/>
    <w:multiLevelType w:val="hybridMultilevel"/>
    <w:tmpl w:val="A516B678"/>
    <w:lvl w:ilvl="0" w:tplc="637C10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D23487"/>
    <w:multiLevelType w:val="hybridMultilevel"/>
    <w:tmpl w:val="E05CD99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nsid w:val="5F4F320C"/>
    <w:multiLevelType w:val="hybridMultilevel"/>
    <w:tmpl w:val="76F62D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5F632F9A"/>
    <w:multiLevelType w:val="hybridMultilevel"/>
    <w:tmpl w:val="06CC4270"/>
    <w:lvl w:ilvl="0" w:tplc="F3F6E0B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A201961"/>
    <w:multiLevelType w:val="hybridMultilevel"/>
    <w:tmpl w:val="86CCA232"/>
    <w:lvl w:ilvl="0" w:tplc="04060015">
      <w:start w:val="1"/>
      <w:numFmt w:val="upp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nsid w:val="77890BFE"/>
    <w:multiLevelType w:val="multilevel"/>
    <w:tmpl w:val="9DB49E8C"/>
    <w:lvl w:ilvl="0">
      <w:start w:val="1"/>
      <w:numFmt w:val="decimal"/>
      <w:pStyle w:val="PolicyConsidera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2"/>
  </w:num>
  <w:num w:numId="2">
    <w:abstractNumId w:val="0"/>
  </w:num>
  <w:num w:numId="3">
    <w:abstractNumId w:val="3"/>
  </w:num>
  <w:num w:numId="4">
    <w:abstractNumId w:val="1"/>
  </w:num>
  <w:num w:numId="5">
    <w:abstractNumId w:val="2"/>
  </w:num>
  <w:num w:numId="6">
    <w:abstractNumId w:val="4"/>
  </w:num>
  <w:num w:numId="7">
    <w:abstractNumId w:val="7"/>
  </w:num>
  <w:num w:numId="8">
    <w:abstractNumId w:val="5"/>
  </w:num>
  <w:num w:numId="9">
    <w:abstractNumId w:val="8"/>
  </w:num>
  <w:num w:numId="10">
    <w:abstractNumId w:val="11"/>
  </w:num>
  <w:num w:numId="11">
    <w:abstractNumId w:val="9"/>
  </w:num>
  <w:num w:numId="12">
    <w:abstractNumId w:val="6"/>
  </w:num>
  <w:num w:numId="13">
    <w:abstractNumId w:val="0"/>
    <w:lvlOverride w:ilvl="0">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s>
  <w:rsids>
    <w:rsidRoot w:val="006E3983"/>
    <w:rsid w:val="00002F56"/>
    <w:rsid w:val="000241AB"/>
    <w:rsid w:val="00075E3C"/>
    <w:rsid w:val="001B06AB"/>
    <w:rsid w:val="00263E0A"/>
    <w:rsid w:val="00282377"/>
    <w:rsid w:val="002932A3"/>
    <w:rsid w:val="00294F5B"/>
    <w:rsid w:val="002B3DB0"/>
    <w:rsid w:val="00303FEB"/>
    <w:rsid w:val="003252E4"/>
    <w:rsid w:val="003A6353"/>
    <w:rsid w:val="003E478A"/>
    <w:rsid w:val="00403686"/>
    <w:rsid w:val="00466125"/>
    <w:rsid w:val="00471CC9"/>
    <w:rsid w:val="0047362C"/>
    <w:rsid w:val="00477FF7"/>
    <w:rsid w:val="004B7FEE"/>
    <w:rsid w:val="004C6DE1"/>
    <w:rsid w:val="004E797B"/>
    <w:rsid w:val="00504A10"/>
    <w:rsid w:val="00524E5F"/>
    <w:rsid w:val="00544173"/>
    <w:rsid w:val="005A02AC"/>
    <w:rsid w:val="005B5383"/>
    <w:rsid w:val="005F2FE8"/>
    <w:rsid w:val="006020B6"/>
    <w:rsid w:val="00660832"/>
    <w:rsid w:val="00692DD1"/>
    <w:rsid w:val="006E3983"/>
    <w:rsid w:val="00736391"/>
    <w:rsid w:val="007A770E"/>
    <w:rsid w:val="00817F6E"/>
    <w:rsid w:val="0087427E"/>
    <w:rsid w:val="008B3381"/>
    <w:rsid w:val="008D1EA4"/>
    <w:rsid w:val="00972F9A"/>
    <w:rsid w:val="00974B25"/>
    <w:rsid w:val="009B760C"/>
    <w:rsid w:val="009C73E8"/>
    <w:rsid w:val="00A00389"/>
    <w:rsid w:val="00A041DB"/>
    <w:rsid w:val="00A6684B"/>
    <w:rsid w:val="00A87EF4"/>
    <w:rsid w:val="00A96DCB"/>
    <w:rsid w:val="00AF412D"/>
    <w:rsid w:val="00B73414"/>
    <w:rsid w:val="00C75362"/>
    <w:rsid w:val="00C850C5"/>
    <w:rsid w:val="00C92696"/>
    <w:rsid w:val="00D749C6"/>
    <w:rsid w:val="00D86677"/>
    <w:rsid w:val="00DA39BD"/>
    <w:rsid w:val="00DA4715"/>
    <w:rsid w:val="00E340D4"/>
    <w:rsid w:val="00ED447E"/>
    <w:rsid w:val="00F12B1C"/>
    <w:rsid w:val="00F93151"/>
    <w:rsid w:val="00FA6A1B"/>
    <w:rsid w:val="00FC40A1"/>
    <w:rsid w:val="00FC4AAF"/>
    <w:rsid w:val="00FE6D6F"/>
    <w:rsid w:val="00FF74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983"/>
    <w:pPr>
      <w:spacing w:after="0" w:line="240" w:lineRule="auto"/>
    </w:pPr>
    <w:rPr>
      <w:rFonts w:ascii="Times New Roman" w:hAnsi="Times New Roman" w:cs="Times New Roman"/>
      <w:sz w:val="24"/>
      <w:szCs w:val="24"/>
      <w:lang w:val="en-CA"/>
    </w:rPr>
  </w:style>
  <w:style w:type="paragraph" w:styleId="Heading1">
    <w:name w:val="heading 1"/>
    <w:basedOn w:val="Normal"/>
    <w:next w:val="Normal"/>
    <w:link w:val="Heading1Char"/>
    <w:autoRedefine/>
    <w:uiPriority w:val="9"/>
    <w:qFormat/>
    <w:rsid w:val="006E3983"/>
    <w:pPr>
      <w:numPr>
        <w:numId w:val="3"/>
      </w:numPr>
      <w:spacing w:before="400"/>
      <w:ind w:left="567" w:hanging="567"/>
      <w:outlineLvl w:val="0"/>
    </w:pPr>
    <w:rPr>
      <w:b/>
      <w:bCs/>
      <w:sz w:val="32"/>
      <w:szCs w:val="32"/>
    </w:rPr>
  </w:style>
  <w:style w:type="paragraph" w:styleId="Heading2">
    <w:name w:val="heading 2"/>
    <w:basedOn w:val="Normal"/>
    <w:next w:val="Normal"/>
    <w:link w:val="Heading2Char"/>
    <w:autoRedefine/>
    <w:uiPriority w:val="9"/>
    <w:unhideWhenUsed/>
    <w:qFormat/>
    <w:rsid w:val="006E3983"/>
    <w:pPr>
      <w:numPr>
        <w:ilvl w:val="1"/>
        <w:numId w:val="3"/>
      </w:numPr>
      <w:spacing w:before="240"/>
      <w:ind w:left="567" w:hanging="567"/>
      <w:outlineLvl w:val="1"/>
    </w:pPr>
    <w:rPr>
      <w:b/>
      <w:bCs/>
    </w:rPr>
  </w:style>
  <w:style w:type="paragraph" w:styleId="Heading3">
    <w:name w:val="heading 3"/>
    <w:basedOn w:val="Normal"/>
    <w:next w:val="Normal"/>
    <w:link w:val="Heading3Char"/>
    <w:autoRedefine/>
    <w:uiPriority w:val="9"/>
    <w:unhideWhenUsed/>
    <w:qFormat/>
    <w:rsid w:val="006E3983"/>
    <w:pPr>
      <w:numPr>
        <w:ilvl w:val="2"/>
        <w:numId w:val="3"/>
      </w:numPr>
      <w:ind w:left="709" w:hanging="709"/>
      <w:outlineLvl w:val="2"/>
    </w:pPr>
    <w:rPr>
      <w:bCs/>
      <w:i/>
      <w:iCs/>
    </w:rPr>
  </w:style>
  <w:style w:type="paragraph" w:styleId="Heading4">
    <w:name w:val="heading 4"/>
    <w:basedOn w:val="Normal"/>
    <w:next w:val="Normal"/>
    <w:link w:val="Heading4Char"/>
    <w:uiPriority w:val="9"/>
    <w:unhideWhenUsed/>
    <w:qFormat/>
    <w:rsid w:val="006E3983"/>
    <w:pPr>
      <w:jc w:val="center"/>
      <w:outlineLvl w:val="3"/>
    </w:pPr>
    <w:rPr>
      <w:rFonts w:ascii="Cambria" w:hAnsi="Cambria"/>
      <w:b/>
      <w:caps/>
    </w:rPr>
  </w:style>
  <w:style w:type="paragraph" w:styleId="Heading5">
    <w:name w:val="heading 5"/>
    <w:basedOn w:val="Normal"/>
    <w:next w:val="Normal"/>
    <w:link w:val="Heading5Char"/>
    <w:uiPriority w:val="9"/>
    <w:unhideWhenUsed/>
    <w:qFormat/>
    <w:rsid w:val="006E398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983"/>
    <w:rPr>
      <w:rFonts w:ascii="Times New Roman" w:hAnsi="Times New Roman" w:cs="Times New Roman"/>
      <w:b/>
      <w:bCs/>
      <w:sz w:val="32"/>
      <w:szCs w:val="32"/>
      <w:lang w:val="en-CA"/>
    </w:rPr>
  </w:style>
  <w:style w:type="character" w:customStyle="1" w:styleId="Heading2Char">
    <w:name w:val="Heading 2 Char"/>
    <w:basedOn w:val="DefaultParagraphFont"/>
    <w:link w:val="Heading2"/>
    <w:uiPriority w:val="9"/>
    <w:rsid w:val="006E3983"/>
    <w:rPr>
      <w:rFonts w:ascii="Times New Roman" w:hAnsi="Times New Roman" w:cs="Times New Roman"/>
      <w:b/>
      <w:bCs/>
      <w:sz w:val="24"/>
      <w:szCs w:val="24"/>
      <w:lang w:val="en-CA"/>
    </w:rPr>
  </w:style>
  <w:style w:type="character" w:customStyle="1" w:styleId="Heading3Char">
    <w:name w:val="Heading 3 Char"/>
    <w:basedOn w:val="DefaultParagraphFont"/>
    <w:link w:val="Heading3"/>
    <w:uiPriority w:val="9"/>
    <w:rsid w:val="006E3983"/>
    <w:rPr>
      <w:rFonts w:ascii="Times New Roman" w:hAnsi="Times New Roman" w:cs="Times New Roman"/>
      <w:bCs/>
      <w:i/>
      <w:iCs/>
      <w:sz w:val="24"/>
      <w:szCs w:val="24"/>
      <w:lang w:val="en-CA"/>
    </w:rPr>
  </w:style>
  <w:style w:type="character" w:customStyle="1" w:styleId="Heading4Char">
    <w:name w:val="Heading 4 Char"/>
    <w:basedOn w:val="DefaultParagraphFont"/>
    <w:link w:val="Heading4"/>
    <w:uiPriority w:val="9"/>
    <w:rsid w:val="006E3983"/>
    <w:rPr>
      <w:rFonts w:ascii="Cambria" w:hAnsi="Cambria" w:cs="Times New Roman"/>
      <w:b/>
      <w:caps/>
      <w:sz w:val="24"/>
      <w:szCs w:val="24"/>
      <w:lang w:val="en-CA"/>
    </w:rPr>
  </w:style>
  <w:style w:type="character" w:customStyle="1" w:styleId="Heading5Char">
    <w:name w:val="Heading 5 Char"/>
    <w:basedOn w:val="DefaultParagraphFont"/>
    <w:link w:val="Heading5"/>
    <w:uiPriority w:val="9"/>
    <w:rsid w:val="006E3983"/>
    <w:rPr>
      <w:rFonts w:asciiTheme="majorHAnsi" w:eastAsiaTheme="majorEastAsia" w:hAnsiTheme="majorHAnsi" w:cstheme="majorBidi"/>
      <w:color w:val="365F91" w:themeColor="accent1" w:themeShade="BF"/>
      <w:sz w:val="24"/>
      <w:szCs w:val="24"/>
      <w:lang w:val="en-CA"/>
    </w:rPr>
  </w:style>
  <w:style w:type="paragraph" w:styleId="NoSpacing">
    <w:name w:val="No Spacing"/>
    <w:aliases w:val="Case"/>
    <w:autoRedefine/>
    <w:uiPriority w:val="1"/>
    <w:qFormat/>
    <w:rsid w:val="006E3983"/>
    <w:pPr>
      <w:spacing w:after="0" w:line="240" w:lineRule="auto"/>
      <w:jc w:val="center"/>
    </w:pPr>
    <w:rPr>
      <w:b/>
      <w:caps/>
      <w:lang w:val="en-CA"/>
    </w:rPr>
  </w:style>
  <w:style w:type="paragraph" w:styleId="Title">
    <w:name w:val="Title"/>
    <w:basedOn w:val="Normal"/>
    <w:next w:val="Normal"/>
    <w:link w:val="TitleChar"/>
    <w:autoRedefine/>
    <w:uiPriority w:val="10"/>
    <w:qFormat/>
    <w:rsid w:val="006E3983"/>
    <w:pPr>
      <w:contextualSpacing/>
      <w:jc w:val="center"/>
    </w:pPr>
    <w:rPr>
      <w:rFonts w:ascii="Cambria" w:eastAsiaTheme="majorEastAsia" w:hAnsi="Cambria" w:cstheme="majorBidi"/>
      <w:spacing w:val="-10"/>
      <w:kern w:val="28"/>
      <w:sz w:val="48"/>
      <w:szCs w:val="56"/>
    </w:rPr>
  </w:style>
  <w:style w:type="character" w:customStyle="1" w:styleId="TitleChar">
    <w:name w:val="Title Char"/>
    <w:basedOn w:val="DefaultParagraphFont"/>
    <w:link w:val="Title"/>
    <w:uiPriority w:val="10"/>
    <w:rsid w:val="006E3983"/>
    <w:rPr>
      <w:rFonts w:ascii="Cambria" w:eastAsiaTheme="majorEastAsia" w:hAnsi="Cambria" w:cstheme="majorBidi"/>
      <w:spacing w:val="-10"/>
      <w:kern w:val="28"/>
      <w:sz w:val="48"/>
      <w:szCs w:val="56"/>
      <w:lang w:val="en-CA"/>
    </w:rPr>
  </w:style>
  <w:style w:type="paragraph" w:customStyle="1" w:styleId="PolicyConsideration">
    <w:name w:val="Policy Consideration"/>
    <w:basedOn w:val="Normal"/>
    <w:link w:val="PolicyConsiderationChar"/>
    <w:autoRedefine/>
    <w:qFormat/>
    <w:rsid w:val="006E3983"/>
    <w:pPr>
      <w:numPr>
        <w:numId w:val="1"/>
      </w:numPr>
      <w:ind w:left="360" w:hanging="360"/>
      <w:contextualSpacing/>
    </w:pPr>
    <w:rPr>
      <w:rFonts w:ascii="Cambria" w:eastAsiaTheme="minorEastAsia" w:hAnsi="Cambria"/>
      <w:color w:val="C00000"/>
      <w:sz w:val="20"/>
      <w:szCs w:val="20"/>
      <w:lang w:val="en-US"/>
    </w:rPr>
  </w:style>
  <w:style w:type="character" w:customStyle="1" w:styleId="PolicyConsiderationChar">
    <w:name w:val="Policy Consideration Char"/>
    <w:basedOn w:val="DefaultParagraphFont"/>
    <w:link w:val="PolicyConsideration"/>
    <w:rsid w:val="006E3983"/>
    <w:rPr>
      <w:rFonts w:ascii="Cambria" w:eastAsiaTheme="minorEastAsia" w:hAnsi="Cambria" w:cs="Times New Roman"/>
      <w:color w:val="C00000"/>
      <w:sz w:val="20"/>
      <w:szCs w:val="20"/>
      <w:lang w:val="en-US"/>
    </w:rPr>
  </w:style>
  <w:style w:type="paragraph" w:styleId="ListParagraph">
    <w:name w:val="List Paragraph"/>
    <w:basedOn w:val="Normal"/>
    <w:uiPriority w:val="34"/>
    <w:qFormat/>
    <w:rsid w:val="006E3983"/>
    <w:pPr>
      <w:ind w:left="720"/>
      <w:contextualSpacing/>
    </w:pPr>
  </w:style>
  <w:style w:type="paragraph" w:styleId="FootnoteText">
    <w:name w:val="footnote text"/>
    <w:basedOn w:val="Normal"/>
    <w:link w:val="FootnoteTextChar"/>
    <w:uiPriority w:val="99"/>
    <w:unhideWhenUsed/>
    <w:rsid w:val="006E3983"/>
    <w:rPr>
      <w:sz w:val="20"/>
      <w:szCs w:val="20"/>
    </w:rPr>
  </w:style>
  <w:style w:type="character" w:customStyle="1" w:styleId="FootnoteTextChar">
    <w:name w:val="Footnote Text Char"/>
    <w:basedOn w:val="DefaultParagraphFont"/>
    <w:link w:val="FootnoteText"/>
    <w:uiPriority w:val="99"/>
    <w:rsid w:val="006E3983"/>
    <w:rPr>
      <w:rFonts w:ascii="Times New Roman" w:hAnsi="Times New Roman" w:cs="Times New Roman"/>
      <w:sz w:val="20"/>
      <w:szCs w:val="20"/>
      <w:lang w:val="en-CA"/>
    </w:rPr>
  </w:style>
  <w:style w:type="character" w:styleId="FootnoteReference">
    <w:name w:val="footnote reference"/>
    <w:basedOn w:val="DefaultParagraphFont"/>
    <w:uiPriority w:val="99"/>
    <w:unhideWhenUsed/>
    <w:rsid w:val="006E3983"/>
    <w:rPr>
      <w:vertAlign w:val="superscript"/>
    </w:rPr>
  </w:style>
  <w:style w:type="character" w:styleId="CommentReference">
    <w:name w:val="annotation reference"/>
    <w:basedOn w:val="DefaultParagraphFont"/>
    <w:uiPriority w:val="99"/>
    <w:semiHidden/>
    <w:unhideWhenUsed/>
    <w:rsid w:val="006E3983"/>
    <w:rPr>
      <w:sz w:val="16"/>
      <w:szCs w:val="16"/>
    </w:rPr>
  </w:style>
  <w:style w:type="paragraph" w:styleId="CommentText">
    <w:name w:val="annotation text"/>
    <w:basedOn w:val="Normal"/>
    <w:link w:val="CommentTextChar"/>
    <w:uiPriority w:val="99"/>
    <w:unhideWhenUsed/>
    <w:rsid w:val="006E3983"/>
    <w:rPr>
      <w:sz w:val="20"/>
      <w:szCs w:val="20"/>
    </w:rPr>
  </w:style>
  <w:style w:type="character" w:customStyle="1" w:styleId="CommentTextChar">
    <w:name w:val="Comment Text Char"/>
    <w:basedOn w:val="DefaultParagraphFont"/>
    <w:link w:val="CommentText"/>
    <w:uiPriority w:val="99"/>
    <w:rsid w:val="006E3983"/>
    <w:rPr>
      <w:rFonts w:ascii="Times New Roman" w:hAnsi="Times New Roman" w:cs="Times New Roman"/>
      <w:sz w:val="20"/>
      <w:szCs w:val="20"/>
      <w:lang w:val="en-CA"/>
    </w:rPr>
  </w:style>
  <w:style w:type="paragraph" w:styleId="BalloonText">
    <w:name w:val="Balloon Text"/>
    <w:basedOn w:val="Normal"/>
    <w:link w:val="BalloonTextChar"/>
    <w:uiPriority w:val="99"/>
    <w:semiHidden/>
    <w:unhideWhenUsed/>
    <w:rsid w:val="006E39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983"/>
    <w:rPr>
      <w:rFonts w:ascii="Segoe UI" w:hAnsi="Segoe UI" w:cs="Segoe UI"/>
      <w:sz w:val="18"/>
      <w:szCs w:val="18"/>
      <w:lang w:val="en-CA"/>
    </w:rPr>
  </w:style>
  <w:style w:type="paragraph" w:styleId="CommentSubject">
    <w:name w:val="annotation subject"/>
    <w:basedOn w:val="CommentText"/>
    <w:next w:val="CommentText"/>
    <w:link w:val="CommentSubjectChar"/>
    <w:uiPriority w:val="99"/>
    <w:semiHidden/>
    <w:unhideWhenUsed/>
    <w:rsid w:val="006E3983"/>
    <w:rPr>
      <w:b/>
      <w:bCs/>
    </w:rPr>
  </w:style>
  <w:style w:type="character" w:customStyle="1" w:styleId="CommentSubjectChar">
    <w:name w:val="Comment Subject Char"/>
    <w:basedOn w:val="CommentTextChar"/>
    <w:link w:val="CommentSubject"/>
    <w:uiPriority w:val="99"/>
    <w:semiHidden/>
    <w:rsid w:val="006E3983"/>
    <w:rPr>
      <w:rFonts w:ascii="Times New Roman" w:hAnsi="Times New Roman" w:cs="Times New Roman"/>
      <w:b/>
      <w:bCs/>
      <w:sz w:val="20"/>
      <w:szCs w:val="20"/>
      <w:lang w:val="en-CA"/>
    </w:rPr>
  </w:style>
  <w:style w:type="character" w:styleId="Hyperlink">
    <w:name w:val="Hyperlink"/>
    <w:basedOn w:val="DefaultParagraphFont"/>
    <w:uiPriority w:val="99"/>
    <w:unhideWhenUsed/>
    <w:rsid w:val="006E3983"/>
    <w:rPr>
      <w:color w:val="0000FF" w:themeColor="hyperlink"/>
      <w:u w:val="single"/>
    </w:rPr>
  </w:style>
  <w:style w:type="paragraph" w:styleId="Header">
    <w:name w:val="header"/>
    <w:basedOn w:val="Normal"/>
    <w:link w:val="HeaderChar"/>
    <w:uiPriority w:val="99"/>
    <w:unhideWhenUsed/>
    <w:rsid w:val="006E3983"/>
    <w:pPr>
      <w:tabs>
        <w:tab w:val="center" w:pos="4680"/>
        <w:tab w:val="right" w:pos="9360"/>
      </w:tabs>
    </w:pPr>
  </w:style>
  <w:style w:type="character" w:customStyle="1" w:styleId="HeaderChar">
    <w:name w:val="Header Char"/>
    <w:basedOn w:val="DefaultParagraphFont"/>
    <w:link w:val="Header"/>
    <w:uiPriority w:val="99"/>
    <w:rsid w:val="006E3983"/>
    <w:rPr>
      <w:rFonts w:ascii="Times New Roman" w:hAnsi="Times New Roman" w:cs="Times New Roman"/>
      <w:sz w:val="24"/>
      <w:szCs w:val="24"/>
      <w:lang w:val="en-CA"/>
    </w:rPr>
  </w:style>
  <w:style w:type="paragraph" w:styleId="Footer">
    <w:name w:val="footer"/>
    <w:basedOn w:val="Normal"/>
    <w:link w:val="FooterChar"/>
    <w:uiPriority w:val="99"/>
    <w:unhideWhenUsed/>
    <w:rsid w:val="006E3983"/>
    <w:pPr>
      <w:tabs>
        <w:tab w:val="center" w:pos="4680"/>
        <w:tab w:val="right" w:pos="9360"/>
      </w:tabs>
    </w:pPr>
  </w:style>
  <w:style w:type="character" w:customStyle="1" w:styleId="FooterChar">
    <w:name w:val="Footer Char"/>
    <w:basedOn w:val="DefaultParagraphFont"/>
    <w:link w:val="Footer"/>
    <w:uiPriority w:val="99"/>
    <w:rsid w:val="006E3983"/>
    <w:rPr>
      <w:rFonts w:ascii="Times New Roman" w:hAnsi="Times New Roman" w:cs="Times New Roman"/>
      <w:sz w:val="24"/>
      <w:szCs w:val="24"/>
      <w:lang w:val="en-CA"/>
    </w:rPr>
  </w:style>
  <w:style w:type="paragraph" w:styleId="NormalWeb">
    <w:name w:val="Normal (Web)"/>
    <w:basedOn w:val="Normal"/>
    <w:uiPriority w:val="99"/>
    <w:semiHidden/>
    <w:unhideWhenUsed/>
    <w:rsid w:val="006E3983"/>
    <w:pPr>
      <w:spacing w:before="100" w:beforeAutospacing="1" w:after="100" w:afterAutospacing="1"/>
    </w:pPr>
    <w:rPr>
      <w:rFonts w:eastAsia="Times New Roman"/>
      <w:lang w:eastAsia="en-CA"/>
    </w:rPr>
  </w:style>
  <w:style w:type="paragraph" w:styleId="TOCHeading">
    <w:name w:val="TOC Heading"/>
    <w:basedOn w:val="Heading1"/>
    <w:next w:val="Normal"/>
    <w:uiPriority w:val="39"/>
    <w:unhideWhenUsed/>
    <w:qFormat/>
    <w:rsid w:val="006E3983"/>
    <w:pPr>
      <w:keepNext/>
      <w:keepLines/>
      <w:spacing w:before="240"/>
      <w:outlineLvl w:val="9"/>
    </w:pPr>
    <w:rPr>
      <w:rFonts w:asciiTheme="majorHAnsi" w:eastAsiaTheme="majorEastAsia" w:hAnsiTheme="majorHAnsi" w:cstheme="majorBidi"/>
      <w:b w:val="0"/>
      <w:caps/>
      <w:color w:val="365F91" w:themeColor="accent1" w:themeShade="BF"/>
      <w:lang w:val="en-US"/>
    </w:rPr>
  </w:style>
  <w:style w:type="paragraph" w:styleId="TOC2">
    <w:name w:val="toc 2"/>
    <w:basedOn w:val="Normal"/>
    <w:next w:val="Normal"/>
    <w:autoRedefine/>
    <w:uiPriority w:val="39"/>
    <w:unhideWhenUsed/>
    <w:rsid w:val="006E3983"/>
    <w:pPr>
      <w:tabs>
        <w:tab w:val="left" w:pos="880"/>
        <w:tab w:val="right" w:leader="dot" w:pos="9350"/>
      </w:tabs>
      <w:ind w:left="220"/>
    </w:pPr>
    <w:rPr>
      <w:smallCaps/>
      <w:sz w:val="20"/>
      <w:szCs w:val="20"/>
    </w:rPr>
  </w:style>
  <w:style w:type="paragraph" w:styleId="TOC3">
    <w:name w:val="toc 3"/>
    <w:basedOn w:val="Normal"/>
    <w:next w:val="Normal"/>
    <w:autoRedefine/>
    <w:uiPriority w:val="39"/>
    <w:unhideWhenUsed/>
    <w:rsid w:val="006E3983"/>
    <w:pPr>
      <w:ind w:left="440"/>
    </w:pPr>
    <w:rPr>
      <w:i/>
      <w:iCs/>
      <w:sz w:val="20"/>
      <w:szCs w:val="20"/>
    </w:rPr>
  </w:style>
  <w:style w:type="paragraph" w:styleId="TOC4">
    <w:name w:val="toc 4"/>
    <w:basedOn w:val="Normal"/>
    <w:next w:val="Normal"/>
    <w:autoRedefine/>
    <w:uiPriority w:val="39"/>
    <w:unhideWhenUsed/>
    <w:rsid w:val="006E3983"/>
    <w:pPr>
      <w:ind w:left="660"/>
    </w:pPr>
    <w:rPr>
      <w:sz w:val="18"/>
      <w:szCs w:val="18"/>
    </w:rPr>
  </w:style>
  <w:style w:type="paragraph" w:styleId="TOC1">
    <w:name w:val="toc 1"/>
    <w:basedOn w:val="Normal"/>
    <w:next w:val="Normal"/>
    <w:autoRedefine/>
    <w:uiPriority w:val="39"/>
    <w:unhideWhenUsed/>
    <w:rsid w:val="006E3983"/>
    <w:pPr>
      <w:tabs>
        <w:tab w:val="left" w:pos="440"/>
        <w:tab w:val="right" w:leader="dot" w:pos="9350"/>
      </w:tabs>
      <w:spacing w:before="120" w:after="120"/>
    </w:pPr>
    <w:rPr>
      <w:b/>
      <w:bCs/>
      <w:caps/>
      <w:sz w:val="20"/>
      <w:szCs w:val="20"/>
    </w:rPr>
  </w:style>
  <w:style w:type="paragraph" w:customStyle="1" w:styleId="doc-ti">
    <w:name w:val="doc-ti"/>
    <w:basedOn w:val="Normal"/>
    <w:rsid w:val="006E3983"/>
    <w:pPr>
      <w:spacing w:before="100" w:beforeAutospacing="1" w:after="100" w:afterAutospacing="1"/>
    </w:pPr>
    <w:rPr>
      <w:rFonts w:eastAsia="Times New Roman"/>
      <w:lang w:eastAsia="en-CA" w:bidi="lo-LA"/>
    </w:rPr>
  </w:style>
  <w:style w:type="paragraph" w:styleId="Caption">
    <w:name w:val="caption"/>
    <w:basedOn w:val="Normal"/>
    <w:next w:val="Normal"/>
    <w:uiPriority w:val="35"/>
    <w:unhideWhenUsed/>
    <w:qFormat/>
    <w:rsid w:val="006E3983"/>
    <w:pPr>
      <w:spacing w:after="200"/>
    </w:pPr>
    <w:rPr>
      <w:i/>
      <w:iCs/>
      <w:color w:val="1F497D" w:themeColor="text2"/>
      <w:sz w:val="18"/>
      <w:szCs w:val="18"/>
    </w:rPr>
  </w:style>
  <w:style w:type="table" w:styleId="TableGrid">
    <w:name w:val="Table Grid"/>
    <w:basedOn w:val="TableNormal"/>
    <w:uiPriority w:val="59"/>
    <w:rsid w:val="006E398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E3983"/>
    <w:pPr>
      <w:spacing w:after="0" w:line="240" w:lineRule="auto"/>
    </w:pPr>
    <w:rPr>
      <w:lang w:val="en-CA"/>
    </w:rPr>
  </w:style>
  <w:style w:type="paragraph" w:styleId="ListNumber">
    <w:name w:val="List Number"/>
    <w:basedOn w:val="Normal"/>
    <w:uiPriority w:val="99"/>
    <w:unhideWhenUsed/>
    <w:rsid w:val="006E3983"/>
    <w:pPr>
      <w:numPr>
        <w:numId w:val="2"/>
      </w:numPr>
      <w:contextualSpacing/>
    </w:pPr>
  </w:style>
  <w:style w:type="paragraph" w:styleId="TOC5">
    <w:name w:val="toc 5"/>
    <w:basedOn w:val="Normal"/>
    <w:next w:val="Normal"/>
    <w:autoRedefine/>
    <w:uiPriority w:val="39"/>
    <w:unhideWhenUsed/>
    <w:rsid w:val="006E3983"/>
    <w:pPr>
      <w:ind w:left="880"/>
    </w:pPr>
    <w:rPr>
      <w:sz w:val="18"/>
      <w:szCs w:val="18"/>
    </w:rPr>
  </w:style>
  <w:style w:type="paragraph" w:styleId="TOC6">
    <w:name w:val="toc 6"/>
    <w:basedOn w:val="Normal"/>
    <w:next w:val="Normal"/>
    <w:autoRedefine/>
    <w:uiPriority w:val="39"/>
    <w:unhideWhenUsed/>
    <w:rsid w:val="006E3983"/>
    <w:pPr>
      <w:ind w:left="1100"/>
    </w:pPr>
    <w:rPr>
      <w:sz w:val="18"/>
      <w:szCs w:val="18"/>
    </w:rPr>
  </w:style>
  <w:style w:type="paragraph" w:styleId="TOC7">
    <w:name w:val="toc 7"/>
    <w:basedOn w:val="Normal"/>
    <w:next w:val="Normal"/>
    <w:autoRedefine/>
    <w:uiPriority w:val="39"/>
    <w:unhideWhenUsed/>
    <w:rsid w:val="006E3983"/>
    <w:pPr>
      <w:ind w:left="1320"/>
    </w:pPr>
    <w:rPr>
      <w:sz w:val="18"/>
      <w:szCs w:val="18"/>
    </w:rPr>
  </w:style>
  <w:style w:type="paragraph" w:styleId="TOC8">
    <w:name w:val="toc 8"/>
    <w:basedOn w:val="Normal"/>
    <w:next w:val="Normal"/>
    <w:autoRedefine/>
    <w:uiPriority w:val="39"/>
    <w:unhideWhenUsed/>
    <w:rsid w:val="006E3983"/>
    <w:pPr>
      <w:ind w:left="1540"/>
    </w:pPr>
    <w:rPr>
      <w:sz w:val="18"/>
      <w:szCs w:val="18"/>
    </w:rPr>
  </w:style>
  <w:style w:type="paragraph" w:styleId="TOC9">
    <w:name w:val="toc 9"/>
    <w:basedOn w:val="Normal"/>
    <w:next w:val="Normal"/>
    <w:autoRedefine/>
    <w:uiPriority w:val="39"/>
    <w:unhideWhenUsed/>
    <w:rsid w:val="006E3983"/>
    <w:pPr>
      <w:ind w:left="1760"/>
    </w:pPr>
    <w:rPr>
      <w:sz w:val="18"/>
      <w:szCs w:val="18"/>
    </w:rPr>
  </w:style>
  <w:style w:type="character" w:customStyle="1" w:styleId="Mention1">
    <w:name w:val="Mention1"/>
    <w:basedOn w:val="DefaultParagraphFont"/>
    <w:uiPriority w:val="99"/>
    <w:semiHidden/>
    <w:unhideWhenUsed/>
    <w:rsid w:val="006E3983"/>
    <w:rPr>
      <w:color w:val="2B579A"/>
      <w:shd w:val="clear" w:color="auto" w:fill="E6E6E6"/>
    </w:rPr>
  </w:style>
  <w:style w:type="paragraph" w:styleId="ListBullet">
    <w:name w:val="List Bullet"/>
    <w:basedOn w:val="Normal"/>
    <w:uiPriority w:val="99"/>
    <w:unhideWhenUsed/>
    <w:rsid w:val="006E3983"/>
    <w:pPr>
      <w:numPr>
        <w:numId w:val="4"/>
      </w:numPr>
      <w:contextualSpacing/>
    </w:pPr>
  </w:style>
  <w:style w:type="character" w:customStyle="1" w:styleId="A4">
    <w:name w:val="A4"/>
    <w:uiPriority w:val="99"/>
    <w:rsid w:val="006E3983"/>
    <w:rPr>
      <w:rFonts w:cs="Calibri"/>
      <w:color w:val="000000"/>
      <w:sz w:val="20"/>
      <w:szCs w:val="20"/>
    </w:rPr>
  </w:style>
  <w:style w:type="character" w:customStyle="1" w:styleId="A11">
    <w:name w:val="A11"/>
    <w:uiPriority w:val="99"/>
    <w:rsid w:val="006E3983"/>
    <w:rPr>
      <w:rFonts w:cs="Calibri"/>
      <w:color w:val="000000"/>
      <w:sz w:val="11"/>
      <w:szCs w:val="11"/>
    </w:rPr>
  </w:style>
  <w:style w:type="table" w:customStyle="1" w:styleId="PlainTable21">
    <w:name w:val="Plain Table 21"/>
    <w:basedOn w:val="TableNormal"/>
    <w:uiPriority w:val="42"/>
    <w:rsid w:val="006E3983"/>
    <w:pPr>
      <w:spacing w:after="0" w:line="240" w:lineRule="auto"/>
    </w:pPr>
    <w:rPr>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tion2">
    <w:name w:val="Mention2"/>
    <w:basedOn w:val="DefaultParagraphFont"/>
    <w:uiPriority w:val="99"/>
    <w:semiHidden/>
    <w:unhideWhenUsed/>
    <w:rsid w:val="006E3983"/>
    <w:rPr>
      <w:color w:val="2B579A"/>
      <w:shd w:val="clear" w:color="auto" w:fill="E6E6E6"/>
    </w:rPr>
  </w:style>
  <w:style w:type="table" w:customStyle="1" w:styleId="PlainTable31">
    <w:name w:val="Plain Table 31"/>
    <w:basedOn w:val="TableNormal"/>
    <w:uiPriority w:val="43"/>
    <w:rsid w:val="006E3983"/>
    <w:pPr>
      <w:spacing w:after="0" w:line="240" w:lineRule="auto"/>
    </w:pPr>
    <w:rPr>
      <w:lang w:val="en-C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6E3983"/>
    <w:pPr>
      <w:spacing w:after="0" w:line="240" w:lineRule="auto"/>
    </w:pPr>
    <w:rPr>
      <w:lang w:val="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6E3983"/>
    <w:pPr>
      <w:spacing w:after="0" w:line="240" w:lineRule="auto"/>
    </w:pPr>
    <w:rPr>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DefaultParagraphFont"/>
    <w:rsid w:val="006E3983"/>
  </w:style>
  <w:style w:type="character" w:styleId="Emphasis">
    <w:name w:val="Emphasis"/>
    <w:basedOn w:val="DefaultParagraphFont"/>
    <w:uiPriority w:val="20"/>
    <w:qFormat/>
    <w:rsid w:val="006E3983"/>
    <w:rPr>
      <w:i/>
      <w:iCs/>
    </w:rPr>
  </w:style>
  <w:style w:type="character" w:customStyle="1" w:styleId="highlight">
    <w:name w:val="highlight"/>
    <w:basedOn w:val="DefaultParagraphFont"/>
    <w:rsid w:val="006E3983"/>
  </w:style>
  <w:style w:type="character" w:styleId="Strong">
    <w:name w:val="Strong"/>
    <w:basedOn w:val="DefaultParagraphFont"/>
    <w:uiPriority w:val="22"/>
    <w:qFormat/>
    <w:rsid w:val="006E3983"/>
    <w:rPr>
      <w:b/>
      <w:bCs/>
    </w:rPr>
  </w:style>
  <w:style w:type="paragraph" w:customStyle="1" w:styleId="Default">
    <w:name w:val="Default"/>
    <w:rsid w:val="006E3983"/>
    <w:pPr>
      <w:autoSpaceDE w:val="0"/>
      <w:autoSpaceDN w:val="0"/>
      <w:adjustRightInd w:val="0"/>
      <w:spacing w:after="0" w:line="240" w:lineRule="auto"/>
    </w:pPr>
    <w:rPr>
      <w:rFonts w:ascii="Corbel" w:hAnsi="Corbel" w:cs="Corbel"/>
      <w:color w:val="000000"/>
      <w:sz w:val="24"/>
      <w:szCs w:val="24"/>
      <w:lang w:val="en-CA" w:bidi="lo-LA"/>
    </w:rPr>
  </w:style>
  <w:style w:type="character" w:customStyle="1" w:styleId="hgkelc">
    <w:name w:val="hgkelc"/>
    <w:basedOn w:val="DefaultParagraphFont"/>
    <w:rsid w:val="006E3983"/>
  </w:style>
  <w:style w:type="character" w:customStyle="1" w:styleId="st">
    <w:name w:val="st"/>
    <w:basedOn w:val="DefaultParagraphFont"/>
    <w:rsid w:val="006E39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983"/>
    <w:pPr>
      <w:spacing w:after="0" w:line="240" w:lineRule="auto"/>
    </w:pPr>
    <w:rPr>
      <w:rFonts w:ascii="Times New Roman" w:hAnsi="Times New Roman" w:cs="Times New Roman"/>
      <w:sz w:val="24"/>
      <w:szCs w:val="24"/>
      <w:lang w:val="en-CA"/>
    </w:rPr>
  </w:style>
  <w:style w:type="paragraph" w:styleId="Heading1">
    <w:name w:val="heading 1"/>
    <w:basedOn w:val="Normal"/>
    <w:next w:val="Normal"/>
    <w:link w:val="Heading1Char"/>
    <w:autoRedefine/>
    <w:uiPriority w:val="9"/>
    <w:qFormat/>
    <w:rsid w:val="006E3983"/>
    <w:pPr>
      <w:numPr>
        <w:numId w:val="3"/>
      </w:numPr>
      <w:spacing w:before="400"/>
      <w:ind w:left="567" w:hanging="567"/>
      <w:outlineLvl w:val="0"/>
    </w:pPr>
    <w:rPr>
      <w:b/>
      <w:bCs/>
      <w:sz w:val="32"/>
      <w:szCs w:val="32"/>
    </w:rPr>
  </w:style>
  <w:style w:type="paragraph" w:styleId="Heading2">
    <w:name w:val="heading 2"/>
    <w:basedOn w:val="Normal"/>
    <w:next w:val="Normal"/>
    <w:link w:val="Heading2Char"/>
    <w:autoRedefine/>
    <w:uiPriority w:val="9"/>
    <w:unhideWhenUsed/>
    <w:qFormat/>
    <w:rsid w:val="006E3983"/>
    <w:pPr>
      <w:numPr>
        <w:ilvl w:val="1"/>
        <w:numId w:val="3"/>
      </w:numPr>
      <w:spacing w:before="240"/>
      <w:ind w:left="567" w:hanging="567"/>
      <w:outlineLvl w:val="1"/>
    </w:pPr>
    <w:rPr>
      <w:b/>
      <w:bCs/>
    </w:rPr>
  </w:style>
  <w:style w:type="paragraph" w:styleId="Heading3">
    <w:name w:val="heading 3"/>
    <w:basedOn w:val="Normal"/>
    <w:next w:val="Normal"/>
    <w:link w:val="Heading3Char"/>
    <w:autoRedefine/>
    <w:uiPriority w:val="9"/>
    <w:unhideWhenUsed/>
    <w:qFormat/>
    <w:rsid w:val="006E3983"/>
    <w:pPr>
      <w:numPr>
        <w:ilvl w:val="2"/>
        <w:numId w:val="3"/>
      </w:numPr>
      <w:ind w:left="709" w:hanging="709"/>
      <w:outlineLvl w:val="2"/>
    </w:pPr>
    <w:rPr>
      <w:bCs/>
      <w:i/>
      <w:iCs/>
    </w:rPr>
  </w:style>
  <w:style w:type="paragraph" w:styleId="Heading4">
    <w:name w:val="heading 4"/>
    <w:basedOn w:val="Normal"/>
    <w:next w:val="Normal"/>
    <w:link w:val="Heading4Char"/>
    <w:uiPriority w:val="9"/>
    <w:unhideWhenUsed/>
    <w:qFormat/>
    <w:rsid w:val="006E3983"/>
    <w:pPr>
      <w:jc w:val="center"/>
      <w:outlineLvl w:val="3"/>
    </w:pPr>
    <w:rPr>
      <w:rFonts w:ascii="Cambria" w:hAnsi="Cambria"/>
      <w:b/>
      <w:caps/>
    </w:rPr>
  </w:style>
  <w:style w:type="paragraph" w:styleId="Heading5">
    <w:name w:val="heading 5"/>
    <w:basedOn w:val="Normal"/>
    <w:next w:val="Normal"/>
    <w:link w:val="Heading5Char"/>
    <w:uiPriority w:val="9"/>
    <w:unhideWhenUsed/>
    <w:qFormat/>
    <w:rsid w:val="006E398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983"/>
    <w:rPr>
      <w:rFonts w:ascii="Times New Roman" w:hAnsi="Times New Roman" w:cs="Times New Roman"/>
      <w:b/>
      <w:bCs/>
      <w:sz w:val="32"/>
      <w:szCs w:val="32"/>
      <w:lang w:val="en-CA"/>
    </w:rPr>
  </w:style>
  <w:style w:type="character" w:customStyle="1" w:styleId="Heading2Char">
    <w:name w:val="Heading 2 Char"/>
    <w:basedOn w:val="DefaultParagraphFont"/>
    <w:link w:val="Heading2"/>
    <w:uiPriority w:val="9"/>
    <w:rsid w:val="006E3983"/>
    <w:rPr>
      <w:rFonts w:ascii="Times New Roman" w:hAnsi="Times New Roman" w:cs="Times New Roman"/>
      <w:b/>
      <w:bCs/>
      <w:sz w:val="24"/>
      <w:szCs w:val="24"/>
      <w:lang w:val="en-CA"/>
    </w:rPr>
  </w:style>
  <w:style w:type="character" w:customStyle="1" w:styleId="Heading3Char">
    <w:name w:val="Heading 3 Char"/>
    <w:basedOn w:val="DefaultParagraphFont"/>
    <w:link w:val="Heading3"/>
    <w:uiPriority w:val="9"/>
    <w:rsid w:val="006E3983"/>
    <w:rPr>
      <w:rFonts w:ascii="Times New Roman" w:hAnsi="Times New Roman" w:cs="Times New Roman"/>
      <w:bCs/>
      <w:i/>
      <w:iCs/>
      <w:sz w:val="24"/>
      <w:szCs w:val="24"/>
      <w:lang w:val="en-CA"/>
    </w:rPr>
  </w:style>
  <w:style w:type="character" w:customStyle="1" w:styleId="Heading4Char">
    <w:name w:val="Heading 4 Char"/>
    <w:basedOn w:val="DefaultParagraphFont"/>
    <w:link w:val="Heading4"/>
    <w:uiPriority w:val="9"/>
    <w:rsid w:val="006E3983"/>
    <w:rPr>
      <w:rFonts w:ascii="Cambria" w:hAnsi="Cambria" w:cs="Times New Roman"/>
      <w:b/>
      <w:caps/>
      <w:sz w:val="24"/>
      <w:szCs w:val="24"/>
      <w:lang w:val="en-CA"/>
    </w:rPr>
  </w:style>
  <w:style w:type="character" w:customStyle="1" w:styleId="Heading5Char">
    <w:name w:val="Heading 5 Char"/>
    <w:basedOn w:val="DefaultParagraphFont"/>
    <w:link w:val="Heading5"/>
    <w:uiPriority w:val="9"/>
    <w:rsid w:val="006E3983"/>
    <w:rPr>
      <w:rFonts w:asciiTheme="majorHAnsi" w:eastAsiaTheme="majorEastAsia" w:hAnsiTheme="majorHAnsi" w:cstheme="majorBidi"/>
      <w:color w:val="365F91" w:themeColor="accent1" w:themeShade="BF"/>
      <w:sz w:val="24"/>
      <w:szCs w:val="24"/>
      <w:lang w:val="en-CA"/>
    </w:rPr>
  </w:style>
  <w:style w:type="paragraph" w:styleId="NoSpacing">
    <w:name w:val="No Spacing"/>
    <w:aliases w:val="Case"/>
    <w:autoRedefine/>
    <w:uiPriority w:val="1"/>
    <w:qFormat/>
    <w:rsid w:val="006E3983"/>
    <w:pPr>
      <w:spacing w:after="0" w:line="240" w:lineRule="auto"/>
      <w:jc w:val="center"/>
    </w:pPr>
    <w:rPr>
      <w:b/>
      <w:caps/>
      <w:lang w:val="en-CA"/>
    </w:rPr>
  </w:style>
  <w:style w:type="paragraph" w:styleId="Title">
    <w:name w:val="Title"/>
    <w:basedOn w:val="Normal"/>
    <w:next w:val="Normal"/>
    <w:link w:val="TitleChar"/>
    <w:autoRedefine/>
    <w:uiPriority w:val="10"/>
    <w:qFormat/>
    <w:rsid w:val="006E3983"/>
    <w:pPr>
      <w:contextualSpacing/>
      <w:jc w:val="center"/>
    </w:pPr>
    <w:rPr>
      <w:rFonts w:ascii="Cambria" w:eastAsiaTheme="majorEastAsia" w:hAnsi="Cambria" w:cstheme="majorBidi"/>
      <w:spacing w:val="-10"/>
      <w:kern w:val="28"/>
      <w:sz w:val="48"/>
      <w:szCs w:val="56"/>
    </w:rPr>
  </w:style>
  <w:style w:type="character" w:customStyle="1" w:styleId="TitleChar">
    <w:name w:val="Title Char"/>
    <w:basedOn w:val="DefaultParagraphFont"/>
    <w:link w:val="Title"/>
    <w:uiPriority w:val="10"/>
    <w:rsid w:val="006E3983"/>
    <w:rPr>
      <w:rFonts w:ascii="Cambria" w:eastAsiaTheme="majorEastAsia" w:hAnsi="Cambria" w:cstheme="majorBidi"/>
      <w:spacing w:val="-10"/>
      <w:kern w:val="28"/>
      <w:sz w:val="48"/>
      <w:szCs w:val="56"/>
      <w:lang w:val="en-CA"/>
    </w:rPr>
  </w:style>
  <w:style w:type="paragraph" w:customStyle="1" w:styleId="PolicyConsideration">
    <w:name w:val="Policy Consideration"/>
    <w:basedOn w:val="Normal"/>
    <w:link w:val="PolicyConsiderationChar"/>
    <w:autoRedefine/>
    <w:qFormat/>
    <w:rsid w:val="006E3983"/>
    <w:pPr>
      <w:numPr>
        <w:numId w:val="1"/>
      </w:numPr>
      <w:ind w:left="360" w:hanging="360"/>
      <w:contextualSpacing/>
    </w:pPr>
    <w:rPr>
      <w:rFonts w:ascii="Cambria" w:eastAsiaTheme="minorEastAsia" w:hAnsi="Cambria"/>
      <w:color w:val="C00000"/>
      <w:sz w:val="20"/>
      <w:szCs w:val="20"/>
      <w:lang w:val="en-US"/>
    </w:rPr>
  </w:style>
  <w:style w:type="character" w:customStyle="1" w:styleId="PolicyConsiderationChar">
    <w:name w:val="Policy Consideration Char"/>
    <w:basedOn w:val="DefaultParagraphFont"/>
    <w:link w:val="PolicyConsideration"/>
    <w:rsid w:val="006E3983"/>
    <w:rPr>
      <w:rFonts w:ascii="Cambria" w:eastAsiaTheme="minorEastAsia" w:hAnsi="Cambria" w:cs="Times New Roman"/>
      <w:color w:val="C00000"/>
      <w:sz w:val="20"/>
      <w:szCs w:val="20"/>
      <w:lang w:val="en-US"/>
    </w:rPr>
  </w:style>
  <w:style w:type="paragraph" w:styleId="ListParagraph">
    <w:name w:val="List Paragraph"/>
    <w:basedOn w:val="Normal"/>
    <w:uiPriority w:val="34"/>
    <w:qFormat/>
    <w:rsid w:val="006E3983"/>
    <w:pPr>
      <w:ind w:left="720"/>
      <w:contextualSpacing/>
    </w:pPr>
  </w:style>
  <w:style w:type="paragraph" w:styleId="FootnoteText">
    <w:name w:val="footnote text"/>
    <w:basedOn w:val="Normal"/>
    <w:link w:val="FootnoteTextChar"/>
    <w:uiPriority w:val="99"/>
    <w:unhideWhenUsed/>
    <w:rsid w:val="006E3983"/>
    <w:rPr>
      <w:sz w:val="20"/>
      <w:szCs w:val="20"/>
    </w:rPr>
  </w:style>
  <w:style w:type="character" w:customStyle="1" w:styleId="FootnoteTextChar">
    <w:name w:val="Footnote Text Char"/>
    <w:basedOn w:val="DefaultParagraphFont"/>
    <w:link w:val="FootnoteText"/>
    <w:uiPriority w:val="99"/>
    <w:rsid w:val="006E3983"/>
    <w:rPr>
      <w:rFonts w:ascii="Times New Roman" w:hAnsi="Times New Roman" w:cs="Times New Roman"/>
      <w:sz w:val="20"/>
      <w:szCs w:val="20"/>
      <w:lang w:val="en-CA"/>
    </w:rPr>
  </w:style>
  <w:style w:type="character" w:styleId="FootnoteReference">
    <w:name w:val="footnote reference"/>
    <w:basedOn w:val="DefaultParagraphFont"/>
    <w:uiPriority w:val="99"/>
    <w:unhideWhenUsed/>
    <w:rsid w:val="006E3983"/>
    <w:rPr>
      <w:vertAlign w:val="superscript"/>
    </w:rPr>
  </w:style>
  <w:style w:type="character" w:styleId="CommentReference">
    <w:name w:val="annotation reference"/>
    <w:basedOn w:val="DefaultParagraphFont"/>
    <w:uiPriority w:val="99"/>
    <w:semiHidden/>
    <w:unhideWhenUsed/>
    <w:rsid w:val="006E3983"/>
    <w:rPr>
      <w:sz w:val="16"/>
      <w:szCs w:val="16"/>
    </w:rPr>
  </w:style>
  <w:style w:type="paragraph" w:styleId="CommentText">
    <w:name w:val="annotation text"/>
    <w:basedOn w:val="Normal"/>
    <w:link w:val="CommentTextChar"/>
    <w:uiPriority w:val="99"/>
    <w:unhideWhenUsed/>
    <w:rsid w:val="006E3983"/>
    <w:rPr>
      <w:sz w:val="20"/>
      <w:szCs w:val="20"/>
    </w:rPr>
  </w:style>
  <w:style w:type="character" w:customStyle="1" w:styleId="CommentTextChar">
    <w:name w:val="Comment Text Char"/>
    <w:basedOn w:val="DefaultParagraphFont"/>
    <w:link w:val="CommentText"/>
    <w:uiPriority w:val="99"/>
    <w:rsid w:val="006E3983"/>
    <w:rPr>
      <w:rFonts w:ascii="Times New Roman" w:hAnsi="Times New Roman" w:cs="Times New Roman"/>
      <w:sz w:val="20"/>
      <w:szCs w:val="20"/>
      <w:lang w:val="en-CA"/>
    </w:rPr>
  </w:style>
  <w:style w:type="paragraph" w:styleId="BalloonText">
    <w:name w:val="Balloon Text"/>
    <w:basedOn w:val="Normal"/>
    <w:link w:val="BalloonTextChar"/>
    <w:uiPriority w:val="99"/>
    <w:semiHidden/>
    <w:unhideWhenUsed/>
    <w:rsid w:val="006E39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983"/>
    <w:rPr>
      <w:rFonts w:ascii="Segoe UI" w:hAnsi="Segoe UI" w:cs="Segoe UI"/>
      <w:sz w:val="18"/>
      <w:szCs w:val="18"/>
      <w:lang w:val="en-CA"/>
    </w:rPr>
  </w:style>
  <w:style w:type="paragraph" w:styleId="CommentSubject">
    <w:name w:val="annotation subject"/>
    <w:basedOn w:val="CommentText"/>
    <w:next w:val="CommentText"/>
    <w:link w:val="CommentSubjectChar"/>
    <w:uiPriority w:val="99"/>
    <w:semiHidden/>
    <w:unhideWhenUsed/>
    <w:rsid w:val="006E3983"/>
    <w:rPr>
      <w:b/>
      <w:bCs/>
    </w:rPr>
  </w:style>
  <w:style w:type="character" w:customStyle="1" w:styleId="CommentSubjectChar">
    <w:name w:val="Comment Subject Char"/>
    <w:basedOn w:val="CommentTextChar"/>
    <w:link w:val="CommentSubject"/>
    <w:uiPriority w:val="99"/>
    <w:semiHidden/>
    <w:rsid w:val="006E3983"/>
    <w:rPr>
      <w:rFonts w:ascii="Times New Roman" w:hAnsi="Times New Roman" w:cs="Times New Roman"/>
      <w:b/>
      <w:bCs/>
      <w:sz w:val="20"/>
      <w:szCs w:val="20"/>
      <w:lang w:val="en-CA"/>
    </w:rPr>
  </w:style>
  <w:style w:type="character" w:styleId="Hyperlink">
    <w:name w:val="Hyperlink"/>
    <w:basedOn w:val="DefaultParagraphFont"/>
    <w:uiPriority w:val="99"/>
    <w:unhideWhenUsed/>
    <w:rsid w:val="006E3983"/>
    <w:rPr>
      <w:color w:val="0000FF" w:themeColor="hyperlink"/>
      <w:u w:val="single"/>
    </w:rPr>
  </w:style>
  <w:style w:type="paragraph" w:styleId="Header">
    <w:name w:val="header"/>
    <w:basedOn w:val="Normal"/>
    <w:link w:val="HeaderChar"/>
    <w:uiPriority w:val="99"/>
    <w:unhideWhenUsed/>
    <w:rsid w:val="006E3983"/>
    <w:pPr>
      <w:tabs>
        <w:tab w:val="center" w:pos="4680"/>
        <w:tab w:val="right" w:pos="9360"/>
      </w:tabs>
    </w:pPr>
  </w:style>
  <w:style w:type="character" w:customStyle="1" w:styleId="HeaderChar">
    <w:name w:val="Header Char"/>
    <w:basedOn w:val="DefaultParagraphFont"/>
    <w:link w:val="Header"/>
    <w:uiPriority w:val="99"/>
    <w:rsid w:val="006E3983"/>
    <w:rPr>
      <w:rFonts w:ascii="Times New Roman" w:hAnsi="Times New Roman" w:cs="Times New Roman"/>
      <w:sz w:val="24"/>
      <w:szCs w:val="24"/>
      <w:lang w:val="en-CA"/>
    </w:rPr>
  </w:style>
  <w:style w:type="paragraph" w:styleId="Footer">
    <w:name w:val="footer"/>
    <w:basedOn w:val="Normal"/>
    <w:link w:val="FooterChar"/>
    <w:uiPriority w:val="99"/>
    <w:unhideWhenUsed/>
    <w:rsid w:val="006E3983"/>
    <w:pPr>
      <w:tabs>
        <w:tab w:val="center" w:pos="4680"/>
        <w:tab w:val="right" w:pos="9360"/>
      </w:tabs>
    </w:pPr>
  </w:style>
  <w:style w:type="character" w:customStyle="1" w:styleId="FooterChar">
    <w:name w:val="Footer Char"/>
    <w:basedOn w:val="DefaultParagraphFont"/>
    <w:link w:val="Footer"/>
    <w:uiPriority w:val="99"/>
    <w:rsid w:val="006E3983"/>
    <w:rPr>
      <w:rFonts w:ascii="Times New Roman" w:hAnsi="Times New Roman" w:cs="Times New Roman"/>
      <w:sz w:val="24"/>
      <w:szCs w:val="24"/>
      <w:lang w:val="en-CA"/>
    </w:rPr>
  </w:style>
  <w:style w:type="paragraph" w:styleId="NormalWeb">
    <w:name w:val="Normal (Web)"/>
    <w:basedOn w:val="Normal"/>
    <w:uiPriority w:val="99"/>
    <w:semiHidden/>
    <w:unhideWhenUsed/>
    <w:rsid w:val="006E3983"/>
    <w:pPr>
      <w:spacing w:before="100" w:beforeAutospacing="1" w:after="100" w:afterAutospacing="1"/>
    </w:pPr>
    <w:rPr>
      <w:rFonts w:eastAsia="Times New Roman"/>
      <w:lang w:eastAsia="en-CA"/>
    </w:rPr>
  </w:style>
  <w:style w:type="paragraph" w:styleId="TOCHeading">
    <w:name w:val="TOC Heading"/>
    <w:basedOn w:val="Heading1"/>
    <w:next w:val="Normal"/>
    <w:uiPriority w:val="39"/>
    <w:unhideWhenUsed/>
    <w:qFormat/>
    <w:rsid w:val="006E3983"/>
    <w:pPr>
      <w:keepNext/>
      <w:keepLines/>
      <w:spacing w:before="240"/>
      <w:outlineLvl w:val="9"/>
    </w:pPr>
    <w:rPr>
      <w:rFonts w:asciiTheme="majorHAnsi" w:eastAsiaTheme="majorEastAsia" w:hAnsiTheme="majorHAnsi" w:cstheme="majorBidi"/>
      <w:b w:val="0"/>
      <w:caps/>
      <w:color w:val="365F91" w:themeColor="accent1" w:themeShade="BF"/>
      <w:lang w:val="en-US"/>
    </w:rPr>
  </w:style>
  <w:style w:type="paragraph" w:styleId="TOC2">
    <w:name w:val="toc 2"/>
    <w:basedOn w:val="Normal"/>
    <w:next w:val="Normal"/>
    <w:autoRedefine/>
    <w:uiPriority w:val="39"/>
    <w:unhideWhenUsed/>
    <w:rsid w:val="006E3983"/>
    <w:pPr>
      <w:tabs>
        <w:tab w:val="left" w:pos="880"/>
        <w:tab w:val="right" w:leader="dot" w:pos="9350"/>
      </w:tabs>
      <w:ind w:left="220"/>
    </w:pPr>
    <w:rPr>
      <w:smallCaps/>
      <w:sz w:val="20"/>
      <w:szCs w:val="20"/>
    </w:rPr>
  </w:style>
  <w:style w:type="paragraph" w:styleId="TOC3">
    <w:name w:val="toc 3"/>
    <w:basedOn w:val="Normal"/>
    <w:next w:val="Normal"/>
    <w:autoRedefine/>
    <w:uiPriority w:val="39"/>
    <w:unhideWhenUsed/>
    <w:rsid w:val="006E3983"/>
    <w:pPr>
      <w:ind w:left="440"/>
    </w:pPr>
    <w:rPr>
      <w:i/>
      <w:iCs/>
      <w:sz w:val="20"/>
      <w:szCs w:val="20"/>
    </w:rPr>
  </w:style>
  <w:style w:type="paragraph" w:styleId="TOC4">
    <w:name w:val="toc 4"/>
    <w:basedOn w:val="Normal"/>
    <w:next w:val="Normal"/>
    <w:autoRedefine/>
    <w:uiPriority w:val="39"/>
    <w:unhideWhenUsed/>
    <w:rsid w:val="006E3983"/>
    <w:pPr>
      <w:ind w:left="660"/>
    </w:pPr>
    <w:rPr>
      <w:sz w:val="18"/>
      <w:szCs w:val="18"/>
    </w:rPr>
  </w:style>
  <w:style w:type="paragraph" w:styleId="TOC1">
    <w:name w:val="toc 1"/>
    <w:basedOn w:val="Normal"/>
    <w:next w:val="Normal"/>
    <w:autoRedefine/>
    <w:uiPriority w:val="39"/>
    <w:unhideWhenUsed/>
    <w:rsid w:val="006E3983"/>
    <w:pPr>
      <w:tabs>
        <w:tab w:val="left" w:pos="440"/>
        <w:tab w:val="right" w:leader="dot" w:pos="9350"/>
      </w:tabs>
      <w:spacing w:before="120" w:after="120"/>
    </w:pPr>
    <w:rPr>
      <w:b/>
      <w:bCs/>
      <w:caps/>
      <w:sz w:val="20"/>
      <w:szCs w:val="20"/>
    </w:rPr>
  </w:style>
  <w:style w:type="paragraph" w:customStyle="1" w:styleId="doc-ti">
    <w:name w:val="doc-ti"/>
    <w:basedOn w:val="Normal"/>
    <w:rsid w:val="006E3983"/>
    <w:pPr>
      <w:spacing w:before="100" w:beforeAutospacing="1" w:after="100" w:afterAutospacing="1"/>
    </w:pPr>
    <w:rPr>
      <w:rFonts w:eastAsia="Times New Roman"/>
      <w:lang w:eastAsia="en-CA" w:bidi="lo-LA"/>
    </w:rPr>
  </w:style>
  <w:style w:type="paragraph" w:styleId="Caption">
    <w:name w:val="caption"/>
    <w:basedOn w:val="Normal"/>
    <w:next w:val="Normal"/>
    <w:uiPriority w:val="35"/>
    <w:unhideWhenUsed/>
    <w:qFormat/>
    <w:rsid w:val="006E3983"/>
    <w:pPr>
      <w:spacing w:after="200"/>
    </w:pPr>
    <w:rPr>
      <w:i/>
      <w:iCs/>
      <w:color w:val="1F497D" w:themeColor="text2"/>
      <w:sz w:val="18"/>
      <w:szCs w:val="18"/>
    </w:rPr>
  </w:style>
  <w:style w:type="table" w:styleId="TableGrid">
    <w:name w:val="Table Grid"/>
    <w:basedOn w:val="TableNormal"/>
    <w:uiPriority w:val="59"/>
    <w:rsid w:val="006E398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E3983"/>
    <w:pPr>
      <w:spacing w:after="0" w:line="240" w:lineRule="auto"/>
    </w:pPr>
    <w:rPr>
      <w:lang w:val="en-CA"/>
    </w:rPr>
  </w:style>
  <w:style w:type="paragraph" w:styleId="ListNumber">
    <w:name w:val="List Number"/>
    <w:basedOn w:val="Normal"/>
    <w:uiPriority w:val="99"/>
    <w:unhideWhenUsed/>
    <w:rsid w:val="006E3983"/>
    <w:pPr>
      <w:numPr>
        <w:numId w:val="2"/>
      </w:numPr>
      <w:contextualSpacing/>
    </w:pPr>
  </w:style>
  <w:style w:type="paragraph" w:styleId="TOC5">
    <w:name w:val="toc 5"/>
    <w:basedOn w:val="Normal"/>
    <w:next w:val="Normal"/>
    <w:autoRedefine/>
    <w:uiPriority w:val="39"/>
    <w:unhideWhenUsed/>
    <w:rsid w:val="006E3983"/>
    <w:pPr>
      <w:ind w:left="880"/>
    </w:pPr>
    <w:rPr>
      <w:sz w:val="18"/>
      <w:szCs w:val="18"/>
    </w:rPr>
  </w:style>
  <w:style w:type="paragraph" w:styleId="TOC6">
    <w:name w:val="toc 6"/>
    <w:basedOn w:val="Normal"/>
    <w:next w:val="Normal"/>
    <w:autoRedefine/>
    <w:uiPriority w:val="39"/>
    <w:unhideWhenUsed/>
    <w:rsid w:val="006E3983"/>
    <w:pPr>
      <w:ind w:left="1100"/>
    </w:pPr>
    <w:rPr>
      <w:sz w:val="18"/>
      <w:szCs w:val="18"/>
    </w:rPr>
  </w:style>
  <w:style w:type="paragraph" w:styleId="TOC7">
    <w:name w:val="toc 7"/>
    <w:basedOn w:val="Normal"/>
    <w:next w:val="Normal"/>
    <w:autoRedefine/>
    <w:uiPriority w:val="39"/>
    <w:unhideWhenUsed/>
    <w:rsid w:val="006E3983"/>
    <w:pPr>
      <w:ind w:left="1320"/>
    </w:pPr>
    <w:rPr>
      <w:sz w:val="18"/>
      <w:szCs w:val="18"/>
    </w:rPr>
  </w:style>
  <w:style w:type="paragraph" w:styleId="TOC8">
    <w:name w:val="toc 8"/>
    <w:basedOn w:val="Normal"/>
    <w:next w:val="Normal"/>
    <w:autoRedefine/>
    <w:uiPriority w:val="39"/>
    <w:unhideWhenUsed/>
    <w:rsid w:val="006E3983"/>
    <w:pPr>
      <w:ind w:left="1540"/>
    </w:pPr>
    <w:rPr>
      <w:sz w:val="18"/>
      <w:szCs w:val="18"/>
    </w:rPr>
  </w:style>
  <w:style w:type="paragraph" w:styleId="TOC9">
    <w:name w:val="toc 9"/>
    <w:basedOn w:val="Normal"/>
    <w:next w:val="Normal"/>
    <w:autoRedefine/>
    <w:uiPriority w:val="39"/>
    <w:unhideWhenUsed/>
    <w:rsid w:val="006E3983"/>
    <w:pPr>
      <w:ind w:left="1760"/>
    </w:pPr>
    <w:rPr>
      <w:sz w:val="18"/>
      <w:szCs w:val="18"/>
    </w:rPr>
  </w:style>
  <w:style w:type="character" w:customStyle="1" w:styleId="Mention1">
    <w:name w:val="Mention1"/>
    <w:basedOn w:val="DefaultParagraphFont"/>
    <w:uiPriority w:val="99"/>
    <w:semiHidden/>
    <w:unhideWhenUsed/>
    <w:rsid w:val="006E3983"/>
    <w:rPr>
      <w:color w:val="2B579A"/>
      <w:shd w:val="clear" w:color="auto" w:fill="E6E6E6"/>
    </w:rPr>
  </w:style>
  <w:style w:type="paragraph" w:styleId="ListBullet">
    <w:name w:val="List Bullet"/>
    <w:basedOn w:val="Normal"/>
    <w:uiPriority w:val="99"/>
    <w:unhideWhenUsed/>
    <w:rsid w:val="006E3983"/>
    <w:pPr>
      <w:numPr>
        <w:numId w:val="4"/>
      </w:numPr>
      <w:contextualSpacing/>
    </w:pPr>
  </w:style>
  <w:style w:type="character" w:customStyle="1" w:styleId="A4">
    <w:name w:val="A4"/>
    <w:uiPriority w:val="99"/>
    <w:rsid w:val="006E3983"/>
    <w:rPr>
      <w:rFonts w:cs="Calibri"/>
      <w:color w:val="000000"/>
      <w:sz w:val="20"/>
      <w:szCs w:val="20"/>
    </w:rPr>
  </w:style>
  <w:style w:type="character" w:customStyle="1" w:styleId="A11">
    <w:name w:val="A11"/>
    <w:uiPriority w:val="99"/>
    <w:rsid w:val="006E3983"/>
    <w:rPr>
      <w:rFonts w:cs="Calibri"/>
      <w:color w:val="000000"/>
      <w:sz w:val="11"/>
      <w:szCs w:val="11"/>
    </w:rPr>
  </w:style>
  <w:style w:type="table" w:customStyle="1" w:styleId="PlainTable21">
    <w:name w:val="Plain Table 21"/>
    <w:basedOn w:val="TableNormal"/>
    <w:uiPriority w:val="42"/>
    <w:rsid w:val="006E3983"/>
    <w:pPr>
      <w:spacing w:after="0" w:line="240" w:lineRule="auto"/>
    </w:pPr>
    <w:rPr>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tion2">
    <w:name w:val="Mention2"/>
    <w:basedOn w:val="DefaultParagraphFont"/>
    <w:uiPriority w:val="99"/>
    <w:semiHidden/>
    <w:unhideWhenUsed/>
    <w:rsid w:val="006E3983"/>
    <w:rPr>
      <w:color w:val="2B579A"/>
      <w:shd w:val="clear" w:color="auto" w:fill="E6E6E6"/>
    </w:rPr>
  </w:style>
  <w:style w:type="table" w:customStyle="1" w:styleId="PlainTable31">
    <w:name w:val="Plain Table 31"/>
    <w:basedOn w:val="TableNormal"/>
    <w:uiPriority w:val="43"/>
    <w:rsid w:val="006E3983"/>
    <w:pPr>
      <w:spacing w:after="0" w:line="240" w:lineRule="auto"/>
    </w:pPr>
    <w:rPr>
      <w:lang w:val="en-C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6E3983"/>
    <w:pPr>
      <w:spacing w:after="0" w:line="240" w:lineRule="auto"/>
    </w:pPr>
    <w:rPr>
      <w:lang w:val="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6E3983"/>
    <w:pPr>
      <w:spacing w:after="0" w:line="240" w:lineRule="auto"/>
    </w:pPr>
    <w:rPr>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DefaultParagraphFont"/>
    <w:rsid w:val="006E3983"/>
  </w:style>
  <w:style w:type="character" w:styleId="Emphasis">
    <w:name w:val="Emphasis"/>
    <w:basedOn w:val="DefaultParagraphFont"/>
    <w:uiPriority w:val="20"/>
    <w:qFormat/>
    <w:rsid w:val="006E3983"/>
    <w:rPr>
      <w:i/>
      <w:iCs/>
    </w:rPr>
  </w:style>
  <w:style w:type="character" w:customStyle="1" w:styleId="highlight">
    <w:name w:val="highlight"/>
    <w:basedOn w:val="DefaultParagraphFont"/>
    <w:rsid w:val="006E3983"/>
  </w:style>
  <w:style w:type="character" w:styleId="Strong">
    <w:name w:val="Strong"/>
    <w:basedOn w:val="DefaultParagraphFont"/>
    <w:uiPriority w:val="22"/>
    <w:qFormat/>
    <w:rsid w:val="006E3983"/>
    <w:rPr>
      <w:b/>
      <w:bCs/>
    </w:rPr>
  </w:style>
  <w:style w:type="paragraph" w:customStyle="1" w:styleId="Default">
    <w:name w:val="Default"/>
    <w:rsid w:val="006E3983"/>
    <w:pPr>
      <w:autoSpaceDE w:val="0"/>
      <w:autoSpaceDN w:val="0"/>
      <w:adjustRightInd w:val="0"/>
      <w:spacing w:after="0" w:line="240" w:lineRule="auto"/>
    </w:pPr>
    <w:rPr>
      <w:rFonts w:ascii="Corbel" w:hAnsi="Corbel" w:cs="Corbel"/>
      <w:color w:val="000000"/>
      <w:sz w:val="24"/>
      <w:szCs w:val="24"/>
      <w:lang w:val="en-CA" w:bidi="lo-LA"/>
    </w:rPr>
  </w:style>
  <w:style w:type="character" w:customStyle="1" w:styleId="hgkelc">
    <w:name w:val="hgkelc"/>
    <w:basedOn w:val="DefaultParagraphFont"/>
    <w:rsid w:val="006E3983"/>
  </w:style>
  <w:style w:type="character" w:customStyle="1" w:styleId="st">
    <w:name w:val="st"/>
    <w:basedOn w:val="DefaultParagraphFont"/>
    <w:rsid w:val="006E3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sealalliance.org/credible-sustainability-standards/iseal-credibility-principles" TargetMode="External"/><Relationship Id="rId18" Type="http://schemas.openxmlformats.org/officeDocument/2006/relationships/hyperlink" Target="https://www.ieabioenergy.com/publications/governance-of-environmental-sustainability-of-manure-based-centralised-biogas-production-in-denmark/" TargetMode="External"/><Relationship Id="rId26" Type="http://schemas.openxmlformats.org/officeDocument/2006/relationships/hyperlink" Target="https://doi.org/10.1186/s13705-020-00255-4" TargetMode="External"/><Relationship Id="rId3" Type="http://schemas.microsoft.com/office/2007/relationships/stylesWithEffects" Target="stylesWithEffects.xml"/><Relationship Id="rId21" Type="http://schemas.openxmlformats.org/officeDocument/2006/relationships/hyperlink" Target="http://task43.ieabioenergy.com/publications/governance-of-sustainable-forest-management-and-bioenergy-feedstock-harvesting-in-ontario-canada/" TargetMode="External"/><Relationship Id="rId34" Type="http://schemas.openxmlformats.org/officeDocument/2006/relationships/hyperlink" Target="https://doi.org/10.1007/978-3-319-31135-7" TargetMode="External"/><Relationship Id="rId7" Type="http://schemas.openxmlformats.org/officeDocument/2006/relationships/endnotes" Target="endnotes.xml"/><Relationship Id="rId12" Type="http://schemas.openxmlformats.org/officeDocument/2006/relationships/hyperlink" Target="https://www.coe.int/en/web/good-governance/12-principles" TargetMode="External"/><Relationship Id="rId17" Type="http://schemas.openxmlformats.org/officeDocument/2006/relationships/hyperlink" Target="https://doi.org/10.1111/padm.12615" TargetMode="External"/><Relationship Id="rId25" Type="http://schemas.openxmlformats.org/officeDocument/2006/relationships/hyperlink" Target="https://doi.org/10.1093/jel/eqp011" TargetMode="External"/><Relationship Id="rId33" Type="http://schemas.openxmlformats.org/officeDocument/2006/relationships/hyperlink" Target="https://doi.org/10.1016/j.landusepol.2018.02.03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conl.12600" TargetMode="External"/><Relationship Id="rId20" Type="http://schemas.openxmlformats.org/officeDocument/2006/relationships/hyperlink" Target="https://doi.org/10.1016/j.jclepro.2018.10.021" TargetMode="External"/><Relationship Id="rId29" Type="http://schemas.openxmlformats.org/officeDocument/2006/relationships/hyperlink" Target="https://doi.org/10.1016/j.forpol.2015.10.0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nescap.org/resources/what-good-governance" TargetMode="External"/><Relationship Id="rId24" Type="http://schemas.openxmlformats.org/officeDocument/2006/relationships/hyperlink" Target="https://www.foresteurope.org/docs/fullsoef2015.pdf" TargetMode="External"/><Relationship Id="rId32" Type="http://schemas.openxmlformats.org/officeDocument/2006/relationships/hyperlink" Target="https://doi.org/10.1016/j.forpol.2004.11.00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978-3-642-41404-6_12" TargetMode="External"/><Relationship Id="rId23" Type="http://schemas.openxmlformats.org/officeDocument/2006/relationships/hyperlink" Target="https://doi.org/10.1080/13501761003673559" TargetMode="External"/><Relationship Id="rId28" Type="http://schemas.openxmlformats.org/officeDocument/2006/relationships/hyperlink" Target="https://doi.org/10.1080/09644010601073432" TargetMode="External"/><Relationship Id="rId36" Type="http://schemas.openxmlformats.org/officeDocument/2006/relationships/hyperlink" Target="https://doi.org/10.14512/gaia.22.1.8" TargetMode="External"/><Relationship Id="rId10" Type="http://schemas.openxmlformats.org/officeDocument/2006/relationships/hyperlink" Target="http://info.worldbank.org/governance/wgi/" TargetMode="External"/><Relationship Id="rId19" Type="http://schemas.openxmlformats.org/officeDocument/2006/relationships/hyperlink" Target="https://doi.org/10.1111/conl.12640" TargetMode="External"/><Relationship Id="rId31" Type="http://schemas.openxmlformats.org/officeDocument/2006/relationships/hyperlink" Target="https://doi.org/10.1080/1943815090309053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qog.pol.gu.se/digitalAssets/1719/1719925_2019_2_davidovic_harring.pdf" TargetMode="External"/><Relationship Id="rId22" Type="http://schemas.openxmlformats.org/officeDocument/2006/relationships/hyperlink" Target="https://doi.org/10.1002/bbb.1753" TargetMode="External"/><Relationship Id="rId27" Type="http://schemas.openxmlformats.org/officeDocument/2006/relationships/hyperlink" Target="https://tspace.library.utoronto.ca/handle/1807/71038" TargetMode="External"/><Relationship Id="rId30" Type="http://schemas.openxmlformats.org/officeDocument/2006/relationships/hyperlink" Target="https://doi.org/10.1186/s13705-019-0225-0" TargetMode="External"/><Relationship Id="rId35" Type="http://schemas.openxmlformats.org/officeDocument/2006/relationships/hyperlink" Target="https://doi.org/10.1186/s13705-019-0227-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5762</Words>
  <Characters>37108</Characters>
  <Application>Microsoft Office Word</Application>
  <DocSecurity>0</DocSecurity>
  <Lines>1855</Lines>
  <Paragraphs>571</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42299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Stupak</dc:creator>
  <cp:lastModifiedBy>Inge Stupak</cp:lastModifiedBy>
  <cp:revision>3</cp:revision>
  <dcterms:created xsi:type="dcterms:W3CDTF">2021-02-15T10:41:00Z</dcterms:created>
  <dcterms:modified xsi:type="dcterms:W3CDTF">2021-02-15T11:00:00Z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