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FBE8B" w14:textId="551C9990" w:rsidR="00062574" w:rsidRDefault="00062574" w:rsidP="00062574">
      <w:pPr>
        <w:pStyle w:val="Caption"/>
        <w:keepNext/>
      </w:pPr>
      <w:bookmarkStart w:id="0" w:name="_Ref66027857"/>
      <w:r>
        <w:t xml:space="preserve">Table </w:t>
      </w:r>
      <w:bookmarkEnd w:id="0"/>
      <w:r>
        <w:t>1</w:t>
      </w:r>
      <w:r>
        <w:t xml:space="preserve"> </w:t>
      </w:r>
      <w:r w:rsidRPr="00BC0968">
        <w:t xml:space="preserve">Data quality assessment criteria based on the SIA </w:t>
      </w:r>
      <w:r w:rsidRPr="00027F35">
        <w:t xml:space="preserve">Handbook </w:t>
      </w:r>
      <w:r w:rsidRPr="00016A83">
        <w:fldChar w:fldCharType="begin" w:fldLock="1"/>
      </w:r>
      <w:r w:rsidRPr="00016A83">
        <w:instrText>ADDIN CSL_CITATION {"citationItems":[{"id":"ITEM-1","itemData":{"DOI":"10.1007/s11367-016-1125-6","ISBN":"0948-3349, 1614-7502","ISSN":"16147502","abstract":"Purpose Whereas the business evolution of environmental sustainability metrics has advanced significantly over the past decade, social sustainability at product level is still relatively immature. Research continues to support the front runners on organisational sustainability, while workable solutions at product level have not yet been addressed sufficiently. Triggered by this imbalance, a group of experts from large companies decided to join forces, initiating the Roundtable for Product Social Metrics. Methods Starting in early 2013, this group of companies aimed to (i) consolidate principles for product social sustain-ability assessment and harmonise approaches, (ii) align with other global initiatives and share with other companies and (iii) develop solutions for cross-cutting implementation issues. In order to be able to produce a comprehensive method for social impact assessment that provides enough flexibility for individual requirements, the Roundtable developed a method based on the approaches of the participant companies and external references such as the UNEP/SETAC Guidelines for Social Life-Cycle Assessment of Products and corporate level standards. Guiding principles were defined for the develop-ment of the method. Results and discussion The results of the first two phases of the Roundtable for Product Social Metrics are documented in a handbook, which proposes a practical method for organisations to assess the social impacts of a product or a service along its life cycle. The handbook outlines an aligned method for social impact assessment at a product level offering two approaches: quantitative and scale based. The method was developed to allow reasoned assessment of overall perfor-mance by including social topics and performance indicators that reflect positive and negative impacts of the product on three stakeholder groups: workers, consumers and local com-munities. Nineteen social topics are proposed, together with their individual performance indicators, including detailed def-initions. Application examples and recommendations for the communication of results are also included in the handbook. Conclusions The method can be applied in numerous scenar-ios, from understanding improvement opportunities and steering product development in different stages, to providing support for decision making and external communications. However, the method still has further potential for improve-ment, inter alia that the proposed indicators are not f…","author":[{"dropping-particle":"","family":"Fontes","given":"João","non-dropping-particle":"","parse-names":false,"suffix":""},{"dropping-particle":"","family":"Tarne","given":"Peter","non-dropping-particle":"","parse-names":false,"suffix":""},{"dropping-particle":"","family":"Traverso","given":"Marzia","non-dropping-particle":"","parse-names":false,"suffix":""},{"dropping-particle":"","family":"Bernstein","given":"Paula","non-dropping-particle":"","parse-names":false,"suffix":""}],"container-title":"International Journal of Life Cycle Assessment","id":"ITEM-1","issue":"3","issued":{"date-parts":[["2018"]]},"page":"547-555","publisher":"The International Journal of Life Cycle Assessment","title":"Product social impact assessment","type":"article-journal","volume":"23"},"uris":["http://www.mendeley.com/documents/?uuid=c941a750-7f64-4cd0-a9ee-c2803c0b2fad"]}],"mendeley":{"formattedCitation":"(Fontes et al., 2018)","plainTextFormattedCitation":"(Fontes et al., 2018)","previouslyFormattedCitation":"(Fontes et al., 2018)"},"properties":{"noteIndex":0},"schema":"https://github.com/citation-style-language/schema/raw/master/csl-citation.json"}</w:instrText>
      </w:r>
      <w:r w:rsidRPr="00016A83">
        <w:fldChar w:fldCharType="separate"/>
      </w:r>
      <w:r w:rsidRPr="00016A83">
        <w:rPr>
          <w:noProof/>
        </w:rPr>
        <w:t>(Fontes et al., 2018)</w:t>
      </w:r>
      <w:r w:rsidRPr="00016A83">
        <w:fldChar w:fldCharType="end"/>
      </w:r>
      <w:r w:rsidRPr="00016A83">
        <w:t xml:space="preserve"> and the</w:t>
      </w:r>
      <w:r w:rsidRPr="00BC0968">
        <w:t xml:space="preserve"> Pedigree matrix method</w:t>
      </w:r>
      <w:r>
        <w:t xml:space="preserve"> </w:t>
      </w:r>
      <w:r w:rsidRPr="00016A83">
        <w:fldChar w:fldCharType="begin" w:fldLock="1"/>
      </w:r>
      <w:r w:rsidRPr="00016A83">
        <w:instrText>ADDIN CSL_CITATION {"citationItems":[{"id":"ITEM-1","itemData":{"DOI":"10.1016/S0959-6526(96)00043-1","ISSN":"09596526","abstract":"A formal procedure for data quality management in life cycle inventory is described. The procedure is applied to the example of an energy inventory for 1 kg rye bread. Five independent data quality indicators are suggested as necessary and sufficient to describe those aspects of data quality which influence the reliability of the result. Listing these data quality indicators for all data gives an improved understanding of the typical data quality problems of a particular study. This may subsequently be used for improving the data collection strategy during a life cycle study. To give an assessment of the reliability of the overall result of a life cycle inventory, the data quality indicators are transformed into estimates of the additional uncertainty due to the insufficient data quality. It is shown how a low data quality can both increase the uncertainty and change the mean value. After assigning additional uncertainties to all data in the study, a calculation of the uncertainty of the overall result is made by the use of simulations. The use of default estimates of additional uncertainties is suggested as a way to both simplify and improve the procedure. © 1997.","author":[{"dropping-particle":"","family":"Weidema","given":"Bo Pedersen","non-dropping-particle":"","parse-names":false,"suffix":""},{"dropping-particle":"","family":"Wesnæs","given":"Marianne Suhr","non-dropping-particle":"","parse-names":false,"suffix":""}],"container-title":"Journal of Cleaner Production","id":"ITEM-1","issue":"3-4","issued":{"date-parts":[["1996","1"]]},"page":"167-174","title":"Data quality management for life cycle inventories—an example of using data quality indicators","type":"article-journal","volume":"4"},"uris":["http://www.mendeley.com/documents/?uuid=89920501-a7f5-4493-a791-88349a5777d6"]}],"mendeley":{"formattedCitation":"(Weidema &amp; Wesnæs, 1996)","plainTextFormattedCitation":"(Weidema &amp; Wesnæs, 1996)","previouslyFormattedCitation":"(Weidema &amp; Wesnæs, 1996)"},"properties":{"noteIndex":0},"schema":"https://github.com/citation-style-language/schema/raw/master/csl-citation.json"}</w:instrText>
      </w:r>
      <w:r w:rsidRPr="00016A83">
        <w:fldChar w:fldCharType="separate"/>
      </w:r>
      <w:r w:rsidRPr="00016A83">
        <w:rPr>
          <w:noProof/>
        </w:rPr>
        <w:t>(Weidema &amp; Wesnæs, 1996)</w:t>
      </w:r>
      <w:r w:rsidRPr="00016A83">
        <w:fldChar w:fldCharType="end"/>
      </w:r>
      <w:r w:rsidRPr="00016A83">
        <w:t>.</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6" w:type="dxa"/>
          <w:right w:w="86" w:type="dxa"/>
        </w:tblCellMar>
        <w:tblLook w:val="0600" w:firstRow="0" w:lastRow="0" w:firstColumn="0" w:lastColumn="0" w:noHBand="1" w:noVBand="1"/>
      </w:tblPr>
      <w:tblGrid>
        <w:gridCol w:w="260"/>
        <w:gridCol w:w="1080"/>
        <w:gridCol w:w="1350"/>
        <w:gridCol w:w="1530"/>
        <w:gridCol w:w="1080"/>
        <w:gridCol w:w="1350"/>
        <w:gridCol w:w="1350"/>
        <w:gridCol w:w="1350"/>
      </w:tblGrid>
      <w:tr w:rsidR="00062574" w:rsidRPr="002E69F7" w14:paraId="11614DB1" w14:textId="77777777" w:rsidTr="00C82065">
        <w:trPr>
          <w:trHeight w:val="228"/>
        </w:trPr>
        <w:tc>
          <w:tcPr>
            <w:tcW w:w="1340" w:type="dxa"/>
            <w:gridSpan w:val="2"/>
            <w:tcBorders>
              <w:top w:val="single" w:sz="12" w:space="0" w:color="auto"/>
            </w:tcBorders>
            <w:shd w:val="clear" w:color="auto" w:fill="auto"/>
            <w:tcMar>
              <w:top w:w="58" w:type="dxa"/>
              <w:left w:w="58" w:type="dxa"/>
              <w:bottom w:w="58" w:type="dxa"/>
              <w:right w:w="58" w:type="dxa"/>
            </w:tcMar>
            <w:vAlign w:val="center"/>
          </w:tcPr>
          <w:p w14:paraId="151D855C" w14:textId="77777777" w:rsidR="00062574" w:rsidRPr="009023A4" w:rsidRDefault="00062574" w:rsidP="00C82065">
            <w:pPr>
              <w:pStyle w:val="MDPI42tablebody"/>
              <w:rPr>
                <w:rFonts w:ascii="Times New Roman" w:hAnsi="Times New Roman"/>
                <w:b/>
                <w:bCs/>
              </w:rPr>
            </w:pPr>
            <w:bookmarkStart w:id="1" w:name="_Hlk65658163"/>
            <w:r w:rsidRPr="009023A4">
              <w:rPr>
                <w:rFonts w:ascii="Times New Roman" w:hAnsi="Times New Roman"/>
                <w:b/>
                <w:bCs/>
              </w:rPr>
              <w:t>Criteria</w:t>
            </w:r>
          </w:p>
        </w:tc>
        <w:tc>
          <w:tcPr>
            <w:tcW w:w="2880" w:type="dxa"/>
            <w:gridSpan w:val="2"/>
            <w:tcBorders>
              <w:top w:val="single" w:sz="12" w:space="0" w:color="auto"/>
            </w:tcBorders>
            <w:shd w:val="clear" w:color="auto" w:fill="auto"/>
            <w:tcMar>
              <w:top w:w="58" w:type="dxa"/>
              <w:left w:w="58" w:type="dxa"/>
              <w:bottom w:w="58" w:type="dxa"/>
              <w:right w:w="58" w:type="dxa"/>
            </w:tcMar>
            <w:vAlign w:val="center"/>
          </w:tcPr>
          <w:p w14:paraId="2891CA01"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 xml:space="preserve">Accuracy, </w:t>
            </w:r>
            <w:r w:rsidRPr="002E69F7">
              <w:rPr>
                <w:rFonts w:ascii="Times New Roman" w:hAnsi="Times New Roman"/>
                <w:b/>
                <w:bCs/>
              </w:rPr>
              <w:t>integrity,</w:t>
            </w:r>
            <w:r w:rsidRPr="009023A4">
              <w:rPr>
                <w:rFonts w:ascii="Times New Roman" w:hAnsi="Times New Roman"/>
                <w:b/>
                <w:bCs/>
              </w:rPr>
              <w:t xml:space="preserve"> and validity</w:t>
            </w:r>
          </w:p>
        </w:tc>
        <w:tc>
          <w:tcPr>
            <w:tcW w:w="1080" w:type="dxa"/>
            <w:vMerge w:val="restart"/>
            <w:tcBorders>
              <w:top w:val="single" w:sz="12" w:space="0" w:color="auto"/>
            </w:tcBorders>
            <w:shd w:val="clear" w:color="auto" w:fill="auto"/>
            <w:tcMar>
              <w:top w:w="58" w:type="dxa"/>
              <w:left w:w="58" w:type="dxa"/>
              <w:bottom w:w="58" w:type="dxa"/>
              <w:right w:w="58" w:type="dxa"/>
            </w:tcMar>
            <w:vAlign w:val="center"/>
          </w:tcPr>
          <w:p w14:paraId="7BFF48F3"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Timelines</w:t>
            </w:r>
          </w:p>
        </w:tc>
        <w:tc>
          <w:tcPr>
            <w:tcW w:w="1350" w:type="dxa"/>
            <w:vMerge w:val="restart"/>
            <w:tcBorders>
              <w:top w:val="single" w:sz="12" w:space="0" w:color="auto"/>
            </w:tcBorders>
            <w:shd w:val="clear" w:color="auto" w:fill="auto"/>
            <w:tcMar>
              <w:top w:w="58" w:type="dxa"/>
              <w:left w:w="58" w:type="dxa"/>
              <w:bottom w:w="58" w:type="dxa"/>
              <w:right w:w="58" w:type="dxa"/>
            </w:tcMar>
            <w:vAlign w:val="center"/>
          </w:tcPr>
          <w:p w14:paraId="0B9E8226"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Geographical correlation (non-company)</w:t>
            </w:r>
          </w:p>
        </w:tc>
        <w:tc>
          <w:tcPr>
            <w:tcW w:w="1350" w:type="dxa"/>
            <w:vMerge w:val="restart"/>
            <w:tcBorders>
              <w:top w:val="single" w:sz="12" w:space="0" w:color="auto"/>
            </w:tcBorders>
            <w:shd w:val="clear" w:color="auto" w:fill="auto"/>
            <w:tcMar>
              <w:top w:w="58" w:type="dxa"/>
              <w:left w:w="58" w:type="dxa"/>
              <w:bottom w:w="58" w:type="dxa"/>
              <w:right w:w="58" w:type="dxa"/>
            </w:tcMar>
            <w:vAlign w:val="center"/>
          </w:tcPr>
          <w:p w14:paraId="5AF3A69F"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Geographical correlation (company)</w:t>
            </w:r>
          </w:p>
        </w:tc>
        <w:tc>
          <w:tcPr>
            <w:tcW w:w="1350" w:type="dxa"/>
            <w:vMerge w:val="restart"/>
            <w:tcBorders>
              <w:top w:val="single" w:sz="12" w:space="0" w:color="auto"/>
            </w:tcBorders>
            <w:shd w:val="clear" w:color="auto" w:fill="auto"/>
            <w:tcMar>
              <w:top w:w="58" w:type="dxa"/>
              <w:left w:w="58" w:type="dxa"/>
              <w:bottom w:w="58" w:type="dxa"/>
              <w:right w:w="58" w:type="dxa"/>
            </w:tcMar>
            <w:vAlign w:val="center"/>
          </w:tcPr>
          <w:p w14:paraId="504C1227"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Technological correlation</w:t>
            </w:r>
          </w:p>
        </w:tc>
      </w:tr>
      <w:tr w:rsidR="00062574" w:rsidRPr="002E69F7" w14:paraId="772909F7" w14:textId="77777777" w:rsidTr="00C82065">
        <w:trPr>
          <w:trHeight w:val="309"/>
        </w:trPr>
        <w:tc>
          <w:tcPr>
            <w:tcW w:w="1340" w:type="dxa"/>
            <w:gridSpan w:val="2"/>
            <w:shd w:val="clear" w:color="auto" w:fill="auto"/>
            <w:tcMar>
              <w:top w:w="58" w:type="dxa"/>
              <w:left w:w="58" w:type="dxa"/>
              <w:bottom w:w="58" w:type="dxa"/>
              <w:right w:w="58" w:type="dxa"/>
            </w:tcMar>
            <w:vAlign w:val="center"/>
          </w:tcPr>
          <w:p w14:paraId="5CEE4BE0"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Score</w:t>
            </w:r>
          </w:p>
        </w:tc>
        <w:tc>
          <w:tcPr>
            <w:tcW w:w="1350" w:type="dxa"/>
            <w:shd w:val="clear" w:color="auto" w:fill="auto"/>
            <w:tcMar>
              <w:top w:w="58" w:type="dxa"/>
              <w:left w:w="58" w:type="dxa"/>
              <w:bottom w:w="58" w:type="dxa"/>
              <w:right w:w="58" w:type="dxa"/>
            </w:tcMar>
            <w:vAlign w:val="center"/>
          </w:tcPr>
          <w:p w14:paraId="3CE1C2A4"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Primary data</w:t>
            </w:r>
          </w:p>
        </w:tc>
        <w:tc>
          <w:tcPr>
            <w:tcW w:w="1530" w:type="dxa"/>
            <w:shd w:val="clear" w:color="auto" w:fill="auto"/>
            <w:tcMar>
              <w:top w:w="58" w:type="dxa"/>
              <w:left w:w="58" w:type="dxa"/>
              <w:bottom w:w="58" w:type="dxa"/>
              <w:right w:w="58" w:type="dxa"/>
            </w:tcMar>
            <w:vAlign w:val="center"/>
          </w:tcPr>
          <w:p w14:paraId="3BF4E77E" w14:textId="77777777" w:rsidR="00062574" w:rsidRPr="009023A4" w:rsidRDefault="00062574" w:rsidP="00C82065">
            <w:pPr>
              <w:pStyle w:val="MDPI42tablebody"/>
              <w:rPr>
                <w:rFonts w:ascii="Times New Roman" w:hAnsi="Times New Roman"/>
                <w:b/>
                <w:bCs/>
              </w:rPr>
            </w:pPr>
            <w:r w:rsidRPr="009023A4">
              <w:rPr>
                <w:rFonts w:ascii="Times New Roman" w:hAnsi="Times New Roman"/>
                <w:b/>
                <w:bCs/>
              </w:rPr>
              <w:t>Secondary data</w:t>
            </w:r>
          </w:p>
        </w:tc>
        <w:tc>
          <w:tcPr>
            <w:tcW w:w="1080" w:type="dxa"/>
            <w:vMerge/>
            <w:shd w:val="clear" w:color="auto" w:fill="auto"/>
            <w:tcMar>
              <w:top w:w="58" w:type="dxa"/>
              <w:left w:w="58" w:type="dxa"/>
              <w:bottom w:w="58" w:type="dxa"/>
              <w:right w:w="58" w:type="dxa"/>
            </w:tcMar>
            <w:vAlign w:val="center"/>
          </w:tcPr>
          <w:p w14:paraId="3D61A56A" w14:textId="77777777" w:rsidR="00062574" w:rsidRPr="009023A4" w:rsidRDefault="00062574" w:rsidP="00C82065">
            <w:pPr>
              <w:pStyle w:val="MDPI42tablebody"/>
              <w:rPr>
                <w:rFonts w:ascii="Times New Roman" w:hAnsi="Times New Roman"/>
                <w:b/>
                <w:bCs/>
              </w:rPr>
            </w:pPr>
          </w:p>
        </w:tc>
        <w:tc>
          <w:tcPr>
            <w:tcW w:w="1350" w:type="dxa"/>
            <w:vMerge/>
            <w:shd w:val="clear" w:color="auto" w:fill="auto"/>
            <w:tcMar>
              <w:top w:w="58" w:type="dxa"/>
              <w:left w:w="58" w:type="dxa"/>
              <w:bottom w:w="58" w:type="dxa"/>
              <w:right w:w="58" w:type="dxa"/>
            </w:tcMar>
            <w:vAlign w:val="center"/>
          </w:tcPr>
          <w:p w14:paraId="6613A8C6" w14:textId="77777777" w:rsidR="00062574" w:rsidRPr="009023A4" w:rsidRDefault="00062574" w:rsidP="00C82065">
            <w:pPr>
              <w:pStyle w:val="MDPI42tablebody"/>
              <w:rPr>
                <w:rFonts w:ascii="Times New Roman" w:hAnsi="Times New Roman"/>
                <w:b/>
                <w:bCs/>
              </w:rPr>
            </w:pPr>
          </w:p>
        </w:tc>
        <w:tc>
          <w:tcPr>
            <w:tcW w:w="1350" w:type="dxa"/>
            <w:vMerge/>
            <w:shd w:val="clear" w:color="auto" w:fill="auto"/>
            <w:tcMar>
              <w:top w:w="58" w:type="dxa"/>
              <w:left w:w="58" w:type="dxa"/>
              <w:bottom w:w="58" w:type="dxa"/>
              <w:right w:w="58" w:type="dxa"/>
            </w:tcMar>
            <w:vAlign w:val="center"/>
          </w:tcPr>
          <w:p w14:paraId="1B3EA8E5" w14:textId="77777777" w:rsidR="00062574" w:rsidRPr="009023A4" w:rsidRDefault="00062574" w:rsidP="00C82065">
            <w:pPr>
              <w:pStyle w:val="MDPI42tablebody"/>
              <w:rPr>
                <w:rFonts w:ascii="Times New Roman" w:hAnsi="Times New Roman"/>
                <w:b/>
                <w:bCs/>
              </w:rPr>
            </w:pPr>
          </w:p>
        </w:tc>
        <w:tc>
          <w:tcPr>
            <w:tcW w:w="1350" w:type="dxa"/>
            <w:vMerge/>
            <w:shd w:val="clear" w:color="auto" w:fill="auto"/>
            <w:tcMar>
              <w:top w:w="58" w:type="dxa"/>
              <w:left w:w="58" w:type="dxa"/>
              <w:bottom w:w="58" w:type="dxa"/>
              <w:right w:w="58" w:type="dxa"/>
            </w:tcMar>
            <w:vAlign w:val="center"/>
          </w:tcPr>
          <w:p w14:paraId="4DE2216C" w14:textId="77777777" w:rsidR="00062574" w:rsidRPr="009023A4" w:rsidRDefault="00062574" w:rsidP="00C82065">
            <w:pPr>
              <w:pStyle w:val="MDPI42tablebody"/>
              <w:rPr>
                <w:rFonts w:ascii="Times New Roman" w:hAnsi="Times New Roman"/>
                <w:b/>
                <w:bCs/>
              </w:rPr>
            </w:pPr>
          </w:p>
        </w:tc>
      </w:tr>
      <w:tr w:rsidR="00062574" w:rsidRPr="002E69F7" w14:paraId="555BC358" w14:textId="77777777" w:rsidTr="00C82065">
        <w:trPr>
          <w:trHeight w:val="20"/>
        </w:trPr>
        <w:tc>
          <w:tcPr>
            <w:tcW w:w="260" w:type="dxa"/>
            <w:shd w:val="clear" w:color="auto" w:fill="auto"/>
            <w:tcMar>
              <w:top w:w="58" w:type="dxa"/>
              <w:left w:w="58" w:type="dxa"/>
              <w:bottom w:w="58" w:type="dxa"/>
              <w:right w:w="58" w:type="dxa"/>
            </w:tcMar>
            <w:vAlign w:val="center"/>
          </w:tcPr>
          <w:p w14:paraId="7C7051D9" w14:textId="77777777" w:rsidR="00062574" w:rsidRPr="009023A4" w:rsidRDefault="00062574" w:rsidP="00C82065">
            <w:pPr>
              <w:pStyle w:val="MDPI42tablebody"/>
              <w:rPr>
                <w:rFonts w:ascii="Times New Roman" w:hAnsi="Times New Roman"/>
              </w:rPr>
            </w:pPr>
            <w:r w:rsidRPr="009023A4">
              <w:rPr>
                <w:rFonts w:ascii="Times New Roman" w:hAnsi="Times New Roman"/>
              </w:rPr>
              <w:t>1</w:t>
            </w:r>
          </w:p>
        </w:tc>
        <w:tc>
          <w:tcPr>
            <w:tcW w:w="1080" w:type="dxa"/>
            <w:vMerge w:val="restart"/>
            <w:shd w:val="clear" w:color="auto" w:fill="auto"/>
            <w:tcMar>
              <w:top w:w="58" w:type="dxa"/>
              <w:left w:w="58" w:type="dxa"/>
              <w:bottom w:w="58" w:type="dxa"/>
              <w:right w:w="58" w:type="dxa"/>
            </w:tcMar>
            <w:vAlign w:val="center"/>
          </w:tcPr>
          <w:p w14:paraId="7C00DB41" w14:textId="77777777" w:rsidR="00062574" w:rsidRPr="009023A4" w:rsidRDefault="00062574" w:rsidP="00C82065">
            <w:pPr>
              <w:pStyle w:val="MDPI42tablebody"/>
              <w:rPr>
                <w:rFonts w:ascii="Times New Roman" w:hAnsi="Times New Roman"/>
              </w:rPr>
            </w:pPr>
            <w:r w:rsidRPr="009023A4">
              <w:rPr>
                <w:rFonts w:ascii="Times New Roman" w:hAnsi="Times New Roman"/>
              </w:rPr>
              <w:t xml:space="preserve">Data used for screening analysis should be </w:t>
            </w:r>
            <w:r w:rsidRPr="009023A4">
              <w:rPr>
                <w:rFonts w:ascii="Times New Roman" w:hAnsi="Times New Roman"/>
              </w:rPr>
              <w:sym w:font="Symbol" w:char="F0B3"/>
            </w:r>
            <w:r w:rsidRPr="009023A4">
              <w:rPr>
                <w:rFonts w:ascii="Times New Roman" w:hAnsi="Times New Roman"/>
              </w:rPr>
              <w:t xml:space="preserve"> 3</w:t>
            </w:r>
          </w:p>
        </w:tc>
        <w:tc>
          <w:tcPr>
            <w:tcW w:w="1350" w:type="dxa"/>
            <w:shd w:val="clear" w:color="auto" w:fill="auto"/>
            <w:tcMar>
              <w:top w:w="58" w:type="dxa"/>
              <w:left w:w="58" w:type="dxa"/>
              <w:bottom w:w="58" w:type="dxa"/>
              <w:right w:w="58" w:type="dxa"/>
            </w:tcMar>
            <w:vAlign w:val="center"/>
          </w:tcPr>
          <w:p w14:paraId="47E83C55" w14:textId="77777777" w:rsidR="00062574" w:rsidRPr="009023A4" w:rsidRDefault="00062574" w:rsidP="00C82065">
            <w:pPr>
              <w:pStyle w:val="MDPI42tablebody"/>
              <w:rPr>
                <w:rFonts w:ascii="Times New Roman" w:hAnsi="Times New Roman"/>
              </w:rPr>
            </w:pPr>
            <w:r w:rsidRPr="009023A4">
              <w:rPr>
                <w:rFonts w:ascii="Times New Roman" w:hAnsi="Times New Roman"/>
              </w:rPr>
              <w:t>Verified data based on measurements</w:t>
            </w:r>
          </w:p>
        </w:tc>
        <w:tc>
          <w:tcPr>
            <w:tcW w:w="1530" w:type="dxa"/>
            <w:shd w:val="clear" w:color="auto" w:fill="auto"/>
            <w:tcMar>
              <w:top w:w="58" w:type="dxa"/>
              <w:left w:w="58" w:type="dxa"/>
              <w:bottom w:w="58" w:type="dxa"/>
              <w:right w:w="58" w:type="dxa"/>
            </w:tcMar>
            <w:vAlign w:val="center"/>
          </w:tcPr>
          <w:p w14:paraId="335F5C20" w14:textId="77777777" w:rsidR="00062574" w:rsidRPr="009023A4" w:rsidRDefault="00062574" w:rsidP="00C82065">
            <w:pPr>
              <w:pStyle w:val="MDPI42tablebody"/>
              <w:rPr>
                <w:rFonts w:ascii="Times New Roman" w:hAnsi="Times New Roman"/>
              </w:rPr>
            </w:pPr>
            <w:r w:rsidRPr="009023A4">
              <w:rPr>
                <w:rFonts w:ascii="Times New Roman" w:hAnsi="Times New Roman"/>
              </w:rPr>
              <w:t>Reports from more than one well-established independent organization</w:t>
            </w:r>
          </w:p>
        </w:tc>
        <w:tc>
          <w:tcPr>
            <w:tcW w:w="1080" w:type="dxa"/>
            <w:shd w:val="clear" w:color="auto" w:fill="auto"/>
            <w:tcMar>
              <w:top w:w="58" w:type="dxa"/>
              <w:left w:w="58" w:type="dxa"/>
              <w:bottom w:w="58" w:type="dxa"/>
              <w:right w:w="58" w:type="dxa"/>
            </w:tcMar>
            <w:vAlign w:val="center"/>
          </w:tcPr>
          <w:p w14:paraId="6C5E09E5"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current reporting period (or &lt;1 year old)</w:t>
            </w:r>
          </w:p>
        </w:tc>
        <w:tc>
          <w:tcPr>
            <w:tcW w:w="1350" w:type="dxa"/>
            <w:shd w:val="clear" w:color="auto" w:fill="auto"/>
            <w:tcMar>
              <w:top w:w="58" w:type="dxa"/>
              <w:left w:w="58" w:type="dxa"/>
              <w:bottom w:w="58" w:type="dxa"/>
              <w:right w:w="58" w:type="dxa"/>
            </w:tcMar>
            <w:vAlign w:val="center"/>
          </w:tcPr>
          <w:p w14:paraId="6EAE80F6"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area under study</w:t>
            </w:r>
          </w:p>
        </w:tc>
        <w:tc>
          <w:tcPr>
            <w:tcW w:w="1350" w:type="dxa"/>
            <w:shd w:val="clear" w:color="auto" w:fill="auto"/>
            <w:tcMar>
              <w:top w:w="58" w:type="dxa"/>
              <w:left w:w="58" w:type="dxa"/>
              <w:bottom w:w="58" w:type="dxa"/>
              <w:right w:w="58" w:type="dxa"/>
            </w:tcMar>
            <w:vAlign w:val="center"/>
          </w:tcPr>
          <w:p w14:paraId="3796576D"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specific site under study</w:t>
            </w:r>
          </w:p>
        </w:tc>
        <w:tc>
          <w:tcPr>
            <w:tcW w:w="1350" w:type="dxa"/>
            <w:shd w:val="clear" w:color="auto" w:fill="auto"/>
            <w:tcMar>
              <w:top w:w="58" w:type="dxa"/>
              <w:left w:w="58" w:type="dxa"/>
              <w:bottom w:w="58" w:type="dxa"/>
              <w:right w:w="58" w:type="dxa"/>
            </w:tcMar>
            <w:vAlign w:val="center"/>
          </w:tcPr>
          <w:p w14:paraId="1DA4C665"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enterprises and processes under study</w:t>
            </w:r>
          </w:p>
        </w:tc>
      </w:tr>
      <w:tr w:rsidR="00062574" w:rsidRPr="002E69F7" w14:paraId="4B9D902B" w14:textId="77777777" w:rsidTr="00C82065">
        <w:trPr>
          <w:trHeight w:val="1011"/>
        </w:trPr>
        <w:tc>
          <w:tcPr>
            <w:tcW w:w="260" w:type="dxa"/>
            <w:shd w:val="clear" w:color="auto" w:fill="auto"/>
            <w:tcMar>
              <w:top w:w="58" w:type="dxa"/>
              <w:left w:w="58" w:type="dxa"/>
              <w:bottom w:w="58" w:type="dxa"/>
              <w:right w:w="58" w:type="dxa"/>
            </w:tcMar>
            <w:vAlign w:val="center"/>
          </w:tcPr>
          <w:p w14:paraId="3C61D8B7" w14:textId="77777777" w:rsidR="00062574" w:rsidRPr="009023A4" w:rsidRDefault="00062574" w:rsidP="00C82065">
            <w:pPr>
              <w:pStyle w:val="MDPI42tablebody"/>
              <w:rPr>
                <w:rFonts w:ascii="Times New Roman" w:hAnsi="Times New Roman"/>
              </w:rPr>
            </w:pPr>
            <w:r w:rsidRPr="009023A4">
              <w:rPr>
                <w:rFonts w:ascii="Times New Roman" w:hAnsi="Times New Roman"/>
              </w:rPr>
              <w:t>2</w:t>
            </w:r>
          </w:p>
        </w:tc>
        <w:tc>
          <w:tcPr>
            <w:tcW w:w="1080" w:type="dxa"/>
            <w:vMerge/>
            <w:shd w:val="clear" w:color="auto" w:fill="auto"/>
            <w:tcMar>
              <w:top w:w="58" w:type="dxa"/>
              <w:left w:w="58" w:type="dxa"/>
              <w:bottom w:w="58" w:type="dxa"/>
              <w:right w:w="58" w:type="dxa"/>
            </w:tcMar>
            <w:vAlign w:val="center"/>
          </w:tcPr>
          <w:p w14:paraId="10C3C4D7" w14:textId="77777777" w:rsidR="00062574" w:rsidRPr="009023A4" w:rsidRDefault="00062574" w:rsidP="00C82065">
            <w:pPr>
              <w:pStyle w:val="MDPI42tablebody"/>
              <w:rPr>
                <w:rFonts w:ascii="Times New Roman" w:hAnsi="Times New Roman"/>
              </w:rPr>
            </w:pPr>
          </w:p>
        </w:tc>
        <w:tc>
          <w:tcPr>
            <w:tcW w:w="1350" w:type="dxa"/>
            <w:shd w:val="clear" w:color="auto" w:fill="auto"/>
            <w:tcMar>
              <w:top w:w="58" w:type="dxa"/>
              <w:left w:w="58" w:type="dxa"/>
              <w:bottom w:w="58" w:type="dxa"/>
              <w:right w:w="58" w:type="dxa"/>
            </w:tcMar>
            <w:vAlign w:val="center"/>
          </w:tcPr>
          <w:p w14:paraId="41633636" w14:textId="77777777" w:rsidR="00062574" w:rsidRPr="009023A4" w:rsidRDefault="00062574" w:rsidP="00C82065">
            <w:pPr>
              <w:pStyle w:val="MDPI42tablebody"/>
              <w:rPr>
                <w:rFonts w:ascii="Times New Roman" w:hAnsi="Times New Roman"/>
              </w:rPr>
            </w:pPr>
            <w:r w:rsidRPr="009023A4">
              <w:rPr>
                <w:rFonts w:ascii="Times New Roman" w:hAnsi="Times New Roman"/>
              </w:rPr>
              <w:t>Non-verified data with documentation or verified data partially based in assumptions</w:t>
            </w:r>
          </w:p>
        </w:tc>
        <w:tc>
          <w:tcPr>
            <w:tcW w:w="1530" w:type="dxa"/>
            <w:shd w:val="clear" w:color="auto" w:fill="auto"/>
            <w:tcMar>
              <w:top w:w="58" w:type="dxa"/>
              <w:left w:w="58" w:type="dxa"/>
              <w:bottom w:w="58" w:type="dxa"/>
              <w:right w:w="58" w:type="dxa"/>
            </w:tcMar>
            <w:vAlign w:val="center"/>
          </w:tcPr>
          <w:p w14:paraId="162381BF" w14:textId="77777777" w:rsidR="00062574" w:rsidRPr="009023A4" w:rsidRDefault="00062574" w:rsidP="00C82065">
            <w:pPr>
              <w:pStyle w:val="MDPI42tablebody"/>
              <w:rPr>
                <w:rFonts w:ascii="Times New Roman" w:hAnsi="Times New Roman"/>
              </w:rPr>
            </w:pPr>
            <w:r w:rsidRPr="009023A4">
              <w:rPr>
                <w:rFonts w:ascii="Times New Roman" w:hAnsi="Times New Roman"/>
              </w:rPr>
              <w:t>Report from a well-established report organization</w:t>
            </w:r>
          </w:p>
        </w:tc>
        <w:tc>
          <w:tcPr>
            <w:tcW w:w="1080" w:type="dxa"/>
            <w:shd w:val="clear" w:color="auto" w:fill="auto"/>
            <w:tcMar>
              <w:top w:w="58" w:type="dxa"/>
              <w:left w:w="58" w:type="dxa"/>
              <w:bottom w:w="58" w:type="dxa"/>
              <w:right w:w="58" w:type="dxa"/>
            </w:tcMar>
            <w:vAlign w:val="center"/>
          </w:tcPr>
          <w:p w14:paraId="6B3544D7"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previous reporting period (between 1 and &lt; 2 years old)</w:t>
            </w:r>
          </w:p>
        </w:tc>
        <w:tc>
          <w:tcPr>
            <w:tcW w:w="1350" w:type="dxa"/>
            <w:shd w:val="clear" w:color="auto" w:fill="auto"/>
            <w:tcMar>
              <w:top w:w="58" w:type="dxa"/>
              <w:left w:w="58" w:type="dxa"/>
              <w:bottom w:w="58" w:type="dxa"/>
              <w:right w:w="58" w:type="dxa"/>
            </w:tcMar>
            <w:vAlign w:val="center"/>
          </w:tcPr>
          <w:p w14:paraId="759EDEBE" w14:textId="77777777" w:rsidR="00062574" w:rsidRPr="009023A4" w:rsidRDefault="00062574" w:rsidP="00C82065">
            <w:pPr>
              <w:pStyle w:val="MDPI42tablebody"/>
              <w:rPr>
                <w:rFonts w:ascii="Times New Roman" w:hAnsi="Times New Roman"/>
              </w:rPr>
            </w:pPr>
            <w:r w:rsidRPr="009023A4">
              <w:rPr>
                <w:rFonts w:ascii="Times New Roman" w:hAnsi="Times New Roman"/>
              </w:rPr>
              <w:t>Average data from larger area where area under study is included</w:t>
            </w:r>
          </w:p>
        </w:tc>
        <w:tc>
          <w:tcPr>
            <w:tcW w:w="1350" w:type="dxa"/>
            <w:shd w:val="clear" w:color="auto" w:fill="auto"/>
            <w:tcMar>
              <w:top w:w="58" w:type="dxa"/>
              <w:left w:w="58" w:type="dxa"/>
              <w:bottom w:w="58" w:type="dxa"/>
              <w:right w:w="58" w:type="dxa"/>
            </w:tcMar>
            <w:vAlign w:val="center"/>
          </w:tcPr>
          <w:p w14:paraId="6AD41BED"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other sites of the company in the same region</w:t>
            </w:r>
          </w:p>
        </w:tc>
        <w:tc>
          <w:tcPr>
            <w:tcW w:w="1350" w:type="dxa"/>
            <w:shd w:val="clear" w:color="auto" w:fill="auto"/>
            <w:tcMar>
              <w:top w:w="58" w:type="dxa"/>
              <w:left w:w="58" w:type="dxa"/>
              <w:bottom w:w="58" w:type="dxa"/>
              <w:right w:w="58" w:type="dxa"/>
            </w:tcMar>
            <w:vAlign w:val="center"/>
          </w:tcPr>
          <w:p w14:paraId="66404B81"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processes under study but from different enterprises</w:t>
            </w:r>
          </w:p>
        </w:tc>
      </w:tr>
      <w:tr w:rsidR="00062574" w:rsidRPr="002E69F7" w14:paraId="574A3EC7" w14:textId="77777777" w:rsidTr="00C82065">
        <w:trPr>
          <w:trHeight w:val="714"/>
        </w:trPr>
        <w:tc>
          <w:tcPr>
            <w:tcW w:w="260" w:type="dxa"/>
            <w:shd w:val="clear" w:color="auto" w:fill="auto"/>
            <w:tcMar>
              <w:top w:w="58" w:type="dxa"/>
              <w:left w:w="58" w:type="dxa"/>
              <w:bottom w:w="58" w:type="dxa"/>
              <w:right w:w="58" w:type="dxa"/>
            </w:tcMar>
            <w:vAlign w:val="center"/>
          </w:tcPr>
          <w:p w14:paraId="76B0A892" w14:textId="77777777" w:rsidR="00062574" w:rsidRPr="009023A4" w:rsidRDefault="00062574" w:rsidP="00C82065">
            <w:pPr>
              <w:pStyle w:val="MDPI42tablebody"/>
              <w:rPr>
                <w:rFonts w:ascii="Times New Roman" w:hAnsi="Times New Roman"/>
              </w:rPr>
            </w:pPr>
            <w:r w:rsidRPr="009023A4">
              <w:rPr>
                <w:rFonts w:ascii="Times New Roman" w:hAnsi="Times New Roman"/>
              </w:rPr>
              <w:t>3</w:t>
            </w:r>
          </w:p>
        </w:tc>
        <w:tc>
          <w:tcPr>
            <w:tcW w:w="1080" w:type="dxa"/>
            <w:vMerge/>
            <w:shd w:val="clear" w:color="auto" w:fill="auto"/>
            <w:tcMar>
              <w:top w:w="58" w:type="dxa"/>
              <w:left w:w="58" w:type="dxa"/>
              <w:bottom w:w="58" w:type="dxa"/>
              <w:right w:w="58" w:type="dxa"/>
            </w:tcMar>
            <w:vAlign w:val="center"/>
          </w:tcPr>
          <w:p w14:paraId="723FD8E7" w14:textId="77777777" w:rsidR="00062574" w:rsidRPr="009023A4" w:rsidRDefault="00062574" w:rsidP="00C82065">
            <w:pPr>
              <w:pStyle w:val="MDPI42tablebody"/>
              <w:rPr>
                <w:rFonts w:ascii="Times New Roman" w:hAnsi="Times New Roman"/>
              </w:rPr>
            </w:pPr>
          </w:p>
        </w:tc>
        <w:tc>
          <w:tcPr>
            <w:tcW w:w="1350" w:type="dxa"/>
            <w:shd w:val="clear" w:color="auto" w:fill="auto"/>
            <w:tcMar>
              <w:top w:w="58" w:type="dxa"/>
              <w:left w:w="58" w:type="dxa"/>
              <w:bottom w:w="58" w:type="dxa"/>
              <w:right w:w="58" w:type="dxa"/>
            </w:tcMar>
            <w:vAlign w:val="center"/>
          </w:tcPr>
          <w:p w14:paraId="16711D77" w14:textId="77777777" w:rsidR="00062574" w:rsidRPr="009023A4" w:rsidRDefault="00062574" w:rsidP="00C82065">
            <w:pPr>
              <w:pStyle w:val="MDPI42tablebody"/>
              <w:rPr>
                <w:rFonts w:ascii="Times New Roman" w:hAnsi="Times New Roman"/>
              </w:rPr>
            </w:pPr>
            <w:r w:rsidRPr="009023A4">
              <w:rPr>
                <w:rFonts w:ascii="Times New Roman" w:hAnsi="Times New Roman"/>
              </w:rPr>
              <w:t>Non-verified data based on assumptions or grey data</w:t>
            </w:r>
          </w:p>
        </w:tc>
        <w:tc>
          <w:tcPr>
            <w:tcW w:w="1530" w:type="dxa"/>
            <w:shd w:val="clear" w:color="auto" w:fill="auto"/>
            <w:tcMar>
              <w:top w:w="58" w:type="dxa"/>
              <w:left w:w="58" w:type="dxa"/>
              <w:bottom w:w="58" w:type="dxa"/>
              <w:right w:w="58" w:type="dxa"/>
            </w:tcMar>
            <w:vAlign w:val="center"/>
          </w:tcPr>
          <w:p w14:paraId="0C842857" w14:textId="77777777" w:rsidR="00062574" w:rsidRPr="009023A4" w:rsidRDefault="00062574" w:rsidP="00C82065">
            <w:pPr>
              <w:pStyle w:val="MDPI42tablebody"/>
              <w:rPr>
                <w:rFonts w:ascii="Times New Roman" w:hAnsi="Times New Roman"/>
              </w:rPr>
            </w:pPr>
            <w:r w:rsidRPr="009023A4">
              <w:rPr>
                <w:rFonts w:ascii="Times New Roman" w:hAnsi="Times New Roman"/>
              </w:rPr>
              <w:t>Independent but similar claims made by various sources</w:t>
            </w:r>
          </w:p>
        </w:tc>
        <w:tc>
          <w:tcPr>
            <w:tcW w:w="1080" w:type="dxa"/>
            <w:shd w:val="clear" w:color="auto" w:fill="auto"/>
            <w:tcMar>
              <w:top w:w="58" w:type="dxa"/>
              <w:left w:w="58" w:type="dxa"/>
              <w:bottom w:w="58" w:type="dxa"/>
              <w:right w:w="58" w:type="dxa"/>
            </w:tcMar>
            <w:vAlign w:val="center"/>
          </w:tcPr>
          <w:p w14:paraId="450C375F" w14:textId="77777777" w:rsidR="00062574" w:rsidRPr="009023A4" w:rsidRDefault="00062574" w:rsidP="00C82065">
            <w:pPr>
              <w:pStyle w:val="MDPI42tablebody"/>
              <w:rPr>
                <w:rFonts w:ascii="Times New Roman" w:hAnsi="Times New Roman"/>
              </w:rPr>
            </w:pPr>
            <w:r w:rsidRPr="009023A4">
              <w:rPr>
                <w:rFonts w:ascii="Times New Roman" w:hAnsi="Times New Roman"/>
              </w:rPr>
              <w:t>Data is 2 years old</w:t>
            </w:r>
          </w:p>
        </w:tc>
        <w:tc>
          <w:tcPr>
            <w:tcW w:w="1350" w:type="dxa"/>
            <w:shd w:val="clear" w:color="auto" w:fill="auto"/>
            <w:tcMar>
              <w:top w:w="58" w:type="dxa"/>
              <w:left w:w="58" w:type="dxa"/>
              <w:bottom w:w="58" w:type="dxa"/>
              <w:right w:w="58" w:type="dxa"/>
            </w:tcMar>
            <w:vAlign w:val="center"/>
          </w:tcPr>
          <w:p w14:paraId="00B4FFF9" w14:textId="77777777" w:rsidR="00062574" w:rsidRPr="009023A4" w:rsidRDefault="00062574" w:rsidP="00C82065">
            <w:pPr>
              <w:pStyle w:val="MDPI42tablebody"/>
              <w:rPr>
                <w:rFonts w:ascii="Times New Roman" w:hAnsi="Times New Roman"/>
              </w:rPr>
            </w:pPr>
            <w:r w:rsidRPr="009023A4">
              <w:rPr>
                <w:rFonts w:ascii="Times New Roman" w:hAnsi="Times New Roman"/>
              </w:rPr>
              <w:t xml:space="preserve">Data from area with </w:t>
            </w:r>
            <w:r w:rsidRPr="00221215">
              <w:rPr>
                <w:rFonts w:ascii="Times New Roman" w:hAnsi="Times New Roman"/>
              </w:rPr>
              <w:t>similar conditions</w:t>
            </w:r>
          </w:p>
        </w:tc>
        <w:tc>
          <w:tcPr>
            <w:tcW w:w="1350" w:type="dxa"/>
            <w:shd w:val="clear" w:color="auto" w:fill="auto"/>
            <w:tcMar>
              <w:top w:w="58" w:type="dxa"/>
              <w:left w:w="58" w:type="dxa"/>
              <w:bottom w:w="58" w:type="dxa"/>
              <w:right w:w="58" w:type="dxa"/>
            </w:tcMar>
            <w:vAlign w:val="center"/>
          </w:tcPr>
          <w:p w14:paraId="3ACC995F"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relevant sites of the company in other regions</w:t>
            </w:r>
          </w:p>
        </w:tc>
        <w:tc>
          <w:tcPr>
            <w:tcW w:w="1350" w:type="dxa"/>
            <w:shd w:val="clear" w:color="auto" w:fill="auto"/>
            <w:tcMar>
              <w:top w:w="58" w:type="dxa"/>
              <w:left w:w="58" w:type="dxa"/>
              <w:bottom w:w="58" w:type="dxa"/>
              <w:right w:w="58" w:type="dxa"/>
            </w:tcMar>
            <w:vAlign w:val="center"/>
          </w:tcPr>
          <w:p w14:paraId="5624A7E7"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processes under study but from different technology</w:t>
            </w:r>
          </w:p>
        </w:tc>
      </w:tr>
      <w:tr w:rsidR="00062574" w:rsidRPr="002E69F7" w14:paraId="07B3BD06" w14:textId="77777777" w:rsidTr="00C82065">
        <w:trPr>
          <w:trHeight w:val="804"/>
        </w:trPr>
        <w:tc>
          <w:tcPr>
            <w:tcW w:w="260" w:type="dxa"/>
            <w:tcBorders>
              <w:bottom w:val="single" w:sz="8" w:space="0" w:color="000000"/>
            </w:tcBorders>
            <w:shd w:val="clear" w:color="auto" w:fill="auto"/>
            <w:tcMar>
              <w:top w:w="58" w:type="dxa"/>
              <w:left w:w="58" w:type="dxa"/>
              <w:bottom w:w="58" w:type="dxa"/>
              <w:right w:w="58" w:type="dxa"/>
            </w:tcMar>
            <w:vAlign w:val="center"/>
          </w:tcPr>
          <w:p w14:paraId="56574DC8" w14:textId="77777777" w:rsidR="00062574" w:rsidRPr="009023A4" w:rsidRDefault="00062574" w:rsidP="00C82065">
            <w:pPr>
              <w:pStyle w:val="MDPI42tablebody"/>
              <w:rPr>
                <w:rFonts w:ascii="Times New Roman" w:hAnsi="Times New Roman"/>
              </w:rPr>
            </w:pPr>
            <w:r w:rsidRPr="009023A4">
              <w:rPr>
                <w:rFonts w:ascii="Times New Roman" w:hAnsi="Times New Roman"/>
              </w:rPr>
              <w:t>4</w:t>
            </w:r>
          </w:p>
        </w:tc>
        <w:tc>
          <w:tcPr>
            <w:tcW w:w="1080" w:type="dxa"/>
            <w:vMerge w:val="restart"/>
            <w:tcBorders>
              <w:bottom w:val="single" w:sz="8" w:space="0" w:color="000000"/>
            </w:tcBorders>
            <w:shd w:val="clear" w:color="auto" w:fill="auto"/>
            <w:tcMar>
              <w:top w:w="58" w:type="dxa"/>
              <w:left w:w="58" w:type="dxa"/>
              <w:bottom w:w="58" w:type="dxa"/>
              <w:right w:w="58" w:type="dxa"/>
            </w:tcMar>
            <w:vAlign w:val="center"/>
          </w:tcPr>
          <w:p w14:paraId="6E4FC44D" w14:textId="77777777" w:rsidR="00062574" w:rsidRPr="009023A4" w:rsidRDefault="00062574" w:rsidP="00C82065">
            <w:pPr>
              <w:pStyle w:val="MDPI42tablebody"/>
              <w:rPr>
                <w:rFonts w:ascii="Times New Roman" w:hAnsi="Times New Roman"/>
              </w:rPr>
            </w:pPr>
            <w:r>
              <w:rPr>
                <w:rFonts w:ascii="Times New Roman" w:hAnsi="Times New Roman"/>
              </w:rPr>
              <w:t>Values &gt;3 are only a</w:t>
            </w:r>
            <w:r w:rsidRPr="009023A4">
              <w:rPr>
                <w:rFonts w:ascii="Times New Roman" w:hAnsi="Times New Roman"/>
              </w:rPr>
              <w:t>cceptable for internal use only</w:t>
            </w:r>
          </w:p>
        </w:tc>
        <w:tc>
          <w:tcPr>
            <w:tcW w:w="1350" w:type="dxa"/>
            <w:tcBorders>
              <w:bottom w:val="single" w:sz="8" w:space="0" w:color="000000"/>
            </w:tcBorders>
            <w:shd w:val="clear" w:color="auto" w:fill="auto"/>
            <w:tcMar>
              <w:top w:w="58" w:type="dxa"/>
              <w:left w:w="58" w:type="dxa"/>
              <w:bottom w:w="58" w:type="dxa"/>
              <w:right w:w="58" w:type="dxa"/>
            </w:tcMar>
            <w:vAlign w:val="center"/>
          </w:tcPr>
          <w:p w14:paraId="052AA53A" w14:textId="77777777" w:rsidR="00062574" w:rsidRPr="009023A4" w:rsidRDefault="00062574" w:rsidP="00C82065">
            <w:pPr>
              <w:pStyle w:val="MDPI42tablebody"/>
              <w:rPr>
                <w:rFonts w:ascii="Times New Roman" w:hAnsi="Times New Roman"/>
              </w:rPr>
            </w:pPr>
            <w:r w:rsidRPr="009023A4">
              <w:rPr>
                <w:rFonts w:ascii="Times New Roman" w:hAnsi="Times New Roman"/>
              </w:rPr>
              <w:t>Qualified estimate (</w:t>
            </w:r>
            <w:r w:rsidRPr="00221215">
              <w:rPr>
                <w:rFonts w:ascii="Times New Roman" w:hAnsi="Times New Roman"/>
              </w:rPr>
              <w:t>i.e.,</w:t>
            </w:r>
            <w:r w:rsidRPr="009023A4">
              <w:rPr>
                <w:rFonts w:ascii="Times New Roman" w:hAnsi="Times New Roman"/>
              </w:rPr>
              <w:t xml:space="preserve"> by expert) or non-scientific report</w:t>
            </w:r>
          </w:p>
        </w:tc>
        <w:tc>
          <w:tcPr>
            <w:tcW w:w="1530" w:type="dxa"/>
            <w:tcBorders>
              <w:bottom w:val="single" w:sz="8" w:space="0" w:color="000000"/>
            </w:tcBorders>
            <w:shd w:val="clear" w:color="auto" w:fill="auto"/>
            <w:tcMar>
              <w:top w:w="58" w:type="dxa"/>
              <w:left w:w="58" w:type="dxa"/>
              <w:bottom w:w="58" w:type="dxa"/>
              <w:right w:w="58" w:type="dxa"/>
            </w:tcMar>
            <w:vAlign w:val="center"/>
          </w:tcPr>
          <w:p w14:paraId="5011613C" w14:textId="77777777" w:rsidR="00062574" w:rsidRPr="009023A4" w:rsidRDefault="00062574" w:rsidP="00C82065">
            <w:pPr>
              <w:pStyle w:val="MDPI42tablebody"/>
              <w:rPr>
                <w:rFonts w:ascii="Times New Roman" w:hAnsi="Times New Roman"/>
              </w:rPr>
            </w:pPr>
            <w:r w:rsidRPr="009023A4">
              <w:rPr>
                <w:rFonts w:ascii="Times New Roman" w:hAnsi="Times New Roman"/>
              </w:rPr>
              <w:t>Unverifiable claims found on internet and social media</w:t>
            </w:r>
          </w:p>
        </w:tc>
        <w:tc>
          <w:tcPr>
            <w:tcW w:w="1080" w:type="dxa"/>
            <w:tcBorders>
              <w:bottom w:val="single" w:sz="8" w:space="0" w:color="000000"/>
            </w:tcBorders>
            <w:shd w:val="clear" w:color="auto" w:fill="auto"/>
            <w:tcMar>
              <w:top w:w="58" w:type="dxa"/>
              <w:left w:w="58" w:type="dxa"/>
              <w:bottom w:w="58" w:type="dxa"/>
              <w:right w:w="58" w:type="dxa"/>
            </w:tcMar>
            <w:vAlign w:val="center"/>
          </w:tcPr>
          <w:p w14:paraId="45CC195B" w14:textId="77777777" w:rsidR="00062574" w:rsidRPr="009023A4" w:rsidRDefault="00062574" w:rsidP="00C82065">
            <w:pPr>
              <w:pStyle w:val="MDPI42tablebody"/>
              <w:rPr>
                <w:rFonts w:ascii="Times New Roman" w:hAnsi="Times New Roman"/>
              </w:rPr>
            </w:pPr>
            <w:r w:rsidRPr="009023A4">
              <w:rPr>
                <w:rFonts w:ascii="Times New Roman" w:hAnsi="Times New Roman"/>
              </w:rPr>
              <w:t>Data is 3 years old</w:t>
            </w:r>
          </w:p>
        </w:tc>
        <w:tc>
          <w:tcPr>
            <w:tcW w:w="1350" w:type="dxa"/>
            <w:tcBorders>
              <w:bottom w:val="single" w:sz="8" w:space="0" w:color="000000"/>
            </w:tcBorders>
            <w:shd w:val="clear" w:color="auto" w:fill="auto"/>
            <w:tcMar>
              <w:top w:w="58" w:type="dxa"/>
              <w:left w:w="58" w:type="dxa"/>
              <w:bottom w:w="58" w:type="dxa"/>
              <w:right w:w="58" w:type="dxa"/>
            </w:tcMar>
            <w:vAlign w:val="center"/>
          </w:tcPr>
          <w:p w14:paraId="41F59ABD"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area with slightly similar conditions</w:t>
            </w:r>
          </w:p>
        </w:tc>
        <w:tc>
          <w:tcPr>
            <w:tcW w:w="1350" w:type="dxa"/>
            <w:tcBorders>
              <w:bottom w:val="single" w:sz="8" w:space="0" w:color="000000"/>
            </w:tcBorders>
            <w:shd w:val="clear" w:color="auto" w:fill="auto"/>
            <w:tcMar>
              <w:top w:w="58" w:type="dxa"/>
              <w:left w:w="58" w:type="dxa"/>
              <w:bottom w:w="58" w:type="dxa"/>
              <w:right w:w="58" w:type="dxa"/>
            </w:tcMar>
            <w:vAlign w:val="center"/>
          </w:tcPr>
          <w:p w14:paraId="063E26F8"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other companies in the same region with similar production conditions</w:t>
            </w:r>
          </w:p>
        </w:tc>
        <w:tc>
          <w:tcPr>
            <w:tcW w:w="1350" w:type="dxa"/>
            <w:tcBorders>
              <w:bottom w:val="single" w:sz="8" w:space="0" w:color="000000"/>
            </w:tcBorders>
            <w:shd w:val="clear" w:color="auto" w:fill="auto"/>
            <w:tcMar>
              <w:top w:w="58" w:type="dxa"/>
              <w:left w:w="58" w:type="dxa"/>
              <w:bottom w:w="58" w:type="dxa"/>
              <w:right w:w="58" w:type="dxa"/>
            </w:tcMar>
            <w:vAlign w:val="center"/>
          </w:tcPr>
          <w:p w14:paraId="1969B790" w14:textId="77777777" w:rsidR="00062574" w:rsidRPr="009023A4" w:rsidRDefault="00062574" w:rsidP="00C82065">
            <w:pPr>
              <w:pStyle w:val="MDPI42tablebody"/>
              <w:rPr>
                <w:rFonts w:ascii="Times New Roman" w:hAnsi="Times New Roman"/>
              </w:rPr>
            </w:pPr>
            <w:r w:rsidRPr="009023A4">
              <w:rPr>
                <w:rFonts w:ascii="Times New Roman" w:hAnsi="Times New Roman"/>
              </w:rPr>
              <w:t>Data on related processes but from same technology</w:t>
            </w:r>
          </w:p>
        </w:tc>
      </w:tr>
      <w:tr w:rsidR="00062574" w:rsidRPr="002E69F7" w14:paraId="642BDFB7" w14:textId="77777777" w:rsidTr="00C82065">
        <w:trPr>
          <w:trHeight w:val="597"/>
        </w:trPr>
        <w:tc>
          <w:tcPr>
            <w:tcW w:w="260" w:type="dxa"/>
            <w:tcBorders>
              <w:bottom w:val="single" w:sz="12" w:space="0" w:color="auto"/>
            </w:tcBorders>
            <w:shd w:val="clear" w:color="auto" w:fill="auto"/>
            <w:tcMar>
              <w:top w:w="58" w:type="dxa"/>
              <w:left w:w="58" w:type="dxa"/>
              <w:bottom w:w="58" w:type="dxa"/>
              <w:right w:w="58" w:type="dxa"/>
            </w:tcMar>
            <w:vAlign w:val="center"/>
          </w:tcPr>
          <w:p w14:paraId="15673B04" w14:textId="77777777" w:rsidR="00062574" w:rsidRPr="009023A4" w:rsidRDefault="00062574" w:rsidP="00C82065">
            <w:pPr>
              <w:pStyle w:val="MDPI42tablebody"/>
              <w:rPr>
                <w:rFonts w:ascii="Times New Roman" w:hAnsi="Times New Roman"/>
              </w:rPr>
            </w:pPr>
            <w:r w:rsidRPr="009023A4">
              <w:rPr>
                <w:rFonts w:ascii="Times New Roman" w:hAnsi="Times New Roman"/>
              </w:rPr>
              <w:t>5</w:t>
            </w:r>
          </w:p>
        </w:tc>
        <w:tc>
          <w:tcPr>
            <w:tcW w:w="1080" w:type="dxa"/>
            <w:vMerge/>
            <w:tcBorders>
              <w:bottom w:val="single" w:sz="12" w:space="0" w:color="auto"/>
            </w:tcBorders>
            <w:shd w:val="clear" w:color="auto" w:fill="auto"/>
            <w:tcMar>
              <w:top w:w="58" w:type="dxa"/>
              <w:left w:w="58" w:type="dxa"/>
              <w:bottom w:w="58" w:type="dxa"/>
              <w:right w:w="58" w:type="dxa"/>
            </w:tcMar>
            <w:vAlign w:val="center"/>
          </w:tcPr>
          <w:p w14:paraId="344FC5E5" w14:textId="77777777" w:rsidR="00062574" w:rsidRPr="009023A4" w:rsidRDefault="00062574" w:rsidP="00C82065">
            <w:pPr>
              <w:pStyle w:val="MDPI42tablebody"/>
              <w:rPr>
                <w:rFonts w:ascii="Times New Roman" w:hAnsi="Times New Roman"/>
              </w:rPr>
            </w:pPr>
          </w:p>
        </w:tc>
        <w:tc>
          <w:tcPr>
            <w:tcW w:w="1350" w:type="dxa"/>
            <w:tcBorders>
              <w:bottom w:val="single" w:sz="12" w:space="0" w:color="auto"/>
            </w:tcBorders>
            <w:shd w:val="clear" w:color="auto" w:fill="auto"/>
            <w:tcMar>
              <w:top w:w="58" w:type="dxa"/>
              <w:left w:w="58" w:type="dxa"/>
              <w:bottom w:w="58" w:type="dxa"/>
              <w:right w:w="58" w:type="dxa"/>
            </w:tcMar>
            <w:vAlign w:val="center"/>
          </w:tcPr>
          <w:p w14:paraId="7367B9EE" w14:textId="77777777" w:rsidR="00062574" w:rsidRPr="009023A4" w:rsidRDefault="00062574" w:rsidP="00C82065">
            <w:pPr>
              <w:pStyle w:val="MDPI42tablebody"/>
              <w:rPr>
                <w:rFonts w:ascii="Times New Roman" w:hAnsi="Times New Roman"/>
              </w:rPr>
            </w:pPr>
            <w:r w:rsidRPr="009023A4">
              <w:rPr>
                <w:rFonts w:ascii="Times New Roman" w:hAnsi="Times New Roman"/>
              </w:rPr>
              <w:t>Non-qualified estimate or unknown source</w:t>
            </w:r>
          </w:p>
        </w:tc>
        <w:tc>
          <w:tcPr>
            <w:tcW w:w="1530" w:type="dxa"/>
            <w:tcBorders>
              <w:bottom w:val="single" w:sz="12" w:space="0" w:color="auto"/>
            </w:tcBorders>
            <w:shd w:val="clear" w:color="auto" w:fill="auto"/>
            <w:tcMar>
              <w:top w:w="58" w:type="dxa"/>
              <w:left w:w="58" w:type="dxa"/>
              <w:bottom w:w="58" w:type="dxa"/>
              <w:right w:w="58" w:type="dxa"/>
            </w:tcMar>
            <w:vAlign w:val="center"/>
          </w:tcPr>
          <w:p w14:paraId="6D54D432" w14:textId="77777777" w:rsidR="00062574" w:rsidRPr="009023A4" w:rsidRDefault="00062574" w:rsidP="00C82065">
            <w:pPr>
              <w:pStyle w:val="MDPI42tablebody"/>
              <w:rPr>
                <w:rFonts w:ascii="Times New Roman" w:hAnsi="Times New Roman"/>
              </w:rPr>
            </w:pPr>
            <w:r w:rsidRPr="009023A4">
              <w:rPr>
                <w:rFonts w:ascii="Times New Roman" w:hAnsi="Times New Roman"/>
              </w:rPr>
              <w:t>Non-qualified estimate or unknown source</w:t>
            </w:r>
          </w:p>
        </w:tc>
        <w:tc>
          <w:tcPr>
            <w:tcW w:w="1080" w:type="dxa"/>
            <w:tcBorders>
              <w:bottom w:val="single" w:sz="12" w:space="0" w:color="auto"/>
            </w:tcBorders>
            <w:shd w:val="clear" w:color="auto" w:fill="auto"/>
            <w:tcMar>
              <w:top w:w="58" w:type="dxa"/>
              <w:left w:w="58" w:type="dxa"/>
              <w:bottom w:w="58" w:type="dxa"/>
              <w:right w:w="58" w:type="dxa"/>
            </w:tcMar>
            <w:vAlign w:val="center"/>
          </w:tcPr>
          <w:p w14:paraId="6A5D825D" w14:textId="77777777" w:rsidR="00062574" w:rsidRPr="009023A4" w:rsidRDefault="00062574" w:rsidP="00C82065">
            <w:pPr>
              <w:pStyle w:val="MDPI42tablebody"/>
              <w:rPr>
                <w:rFonts w:ascii="Times New Roman" w:hAnsi="Times New Roman"/>
              </w:rPr>
            </w:pPr>
            <w:r w:rsidRPr="009023A4">
              <w:rPr>
                <w:rFonts w:ascii="Times New Roman" w:hAnsi="Times New Roman"/>
              </w:rPr>
              <w:t>Data is more than 3 years old</w:t>
            </w:r>
            <w:r>
              <w:rPr>
                <w:rFonts w:ascii="Times New Roman" w:hAnsi="Times New Roman"/>
              </w:rPr>
              <w:t xml:space="preserve">. Data should be </w:t>
            </w:r>
            <w:r w:rsidRPr="009023A4">
              <w:rPr>
                <w:rFonts w:ascii="Times New Roman" w:hAnsi="Times New Roman"/>
                <w:u w:val="single"/>
              </w:rPr>
              <w:t>&lt;</w:t>
            </w:r>
            <w:r>
              <w:rPr>
                <w:rFonts w:ascii="Times New Roman" w:hAnsi="Times New Roman"/>
              </w:rPr>
              <w:t xml:space="preserve"> 15 years old. </w:t>
            </w:r>
          </w:p>
        </w:tc>
        <w:tc>
          <w:tcPr>
            <w:tcW w:w="1350" w:type="dxa"/>
            <w:tcBorders>
              <w:bottom w:val="single" w:sz="12" w:space="0" w:color="auto"/>
            </w:tcBorders>
            <w:shd w:val="clear" w:color="auto" w:fill="auto"/>
            <w:tcMar>
              <w:top w:w="58" w:type="dxa"/>
              <w:left w:w="58" w:type="dxa"/>
              <w:bottom w:w="58" w:type="dxa"/>
              <w:right w:w="58" w:type="dxa"/>
            </w:tcMar>
            <w:vAlign w:val="center"/>
          </w:tcPr>
          <w:p w14:paraId="205F21E6" w14:textId="77777777" w:rsidR="00062574" w:rsidRPr="009023A4" w:rsidRDefault="00062574" w:rsidP="00C82065">
            <w:pPr>
              <w:pStyle w:val="MDPI42tablebody"/>
              <w:rPr>
                <w:rFonts w:ascii="Times New Roman" w:hAnsi="Times New Roman"/>
              </w:rPr>
            </w:pPr>
            <w:r w:rsidRPr="009023A4">
              <w:rPr>
                <w:rFonts w:ascii="Times New Roman" w:hAnsi="Times New Roman"/>
              </w:rPr>
              <w:t>Data from unknown area or area with very different conditions</w:t>
            </w:r>
          </w:p>
        </w:tc>
        <w:tc>
          <w:tcPr>
            <w:tcW w:w="1350" w:type="dxa"/>
            <w:tcBorders>
              <w:bottom w:val="single" w:sz="12" w:space="0" w:color="auto"/>
            </w:tcBorders>
            <w:shd w:val="clear" w:color="auto" w:fill="auto"/>
            <w:tcMar>
              <w:top w:w="58" w:type="dxa"/>
              <w:left w:w="58" w:type="dxa"/>
              <w:bottom w:w="58" w:type="dxa"/>
              <w:right w:w="58" w:type="dxa"/>
            </w:tcMar>
            <w:vAlign w:val="center"/>
          </w:tcPr>
          <w:p w14:paraId="7CA42E8C" w14:textId="77777777" w:rsidR="00062574" w:rsidRPr="009023A4" w:rsidRDefault="00062574" w:rsidP="00C82065">
            <w:pPr>
              <w:pStyle w:val="MDPI42tablebody"/>
              <w:rPr>
                <w:rFonts w:ascii="Times New Roman" w:hAnsi="Times New Roman"/>
              </w:rPr>
            </w:pPr>
            <w:r w:rsidRPr="009023A4">
              <w:rPr>
                <w:rFonts w:ascii="Times New Roman" w:hAnsi="Times New Roman"/>
              </w:rPr>
              <w:t>Average sector or country data from public or third-party database provider</w:t>
            </w:r>
          </w:p>
        </w:tc>
        <w:tc>
          <w:tcPr>
            <w:tcW w:w="1350" w:type="dxa"/>
            <w:tcBorders>
              <w:bottom w:val="single" w:sz="12" w:space="0" w:color="auto"/>
            </w:tcBorders>
            <w:shd w:val="clear" w:color="auto" w:fill="auto"/>
            <w:tcMar>
              <w:top w:w="58" w:type="dxa"/>
              <w:left w:w="58" w:type="dxa"/>
              <w:bottom w:w="58" w:type="dxa"/>
              <w:right w:w="58" w:type="dxa"/>
            </w:tcMar>
            <w:vAlign w:val="center"/>
          </w:tcPr>
          <w:p w14:paraId="419AA154" w14:textId="77777777" w:rsidR="00062574" w:rsidRPr="009023A4" w:rsidRDefault="00062574" w:rsidP="00C82065">
            <w:pPr>
              <w:pStyle w:val="MDPI42tablebody"/>
              <w:rPr>
                <w:rFonts w:ascii="Times New Roman" w:hAnsi="Times New Roman"/>
              </w:rPr>
            </w:pPr>
            <w:r w:rsidRPr="009023A4">
              <w:rPr>
                <w:rFonts w:ascii="Times New Roman" w:hAnsi="Times New Roman"/>
              </w:rPr>
              <w:t>Data on related processes but from different technology</w:t>
            </w:r>
          </w:p>
        </w:tc>
      </w:tr>
      <w:bookmarkEnd w:id="1"/>
    </w:tbl>
    <w:p w14:paraId="2CADFD22" w14:textId="77777777" w:rsidR="00E00EFC" w:rsidRDefault="00062574"/>
    <w:sectPr w:rsidR="00E00E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574"/>
    <w:rsid w:val="00062574"/>
    <w:rsid w:val="00821212"/>
    <w:rsid w:val="00843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5C2A"/>
  <w15:chartTrackingRefBased/>
  <w15:docId w15:val="{158BB5F6-8EE6-473A-B0FA-00739F9E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574"/>
    <w:pPr>
      <w:spacing w:after="0" w:line="480" w:lineRule="auto"/>
      <w:ind w:firstLine="360"/>
      <w:jc w:val="both"/>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2tablebody">
    <w:name w:val="MDPI_4.2_table_body"/>
    <w:qFormat/>
    <w:rsid w:val="00062574"/>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Caption">
    <w:name w:val="caption"/>
    <w:basedOn w:val="Normal"/>
    <w:next w:val="Normal"/>
    <w:uiPriority w:val="35"/>
    <w:unhideWhenUsed/>
    <w:qFormat/>
    <w:rsid w:val="00062574"/>
    <w:pPr>
      <w:spacing w:after="200"/>
      <w:jc w:val="center"/>
    </w:pPr>
    <w:rPr>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Bonilla</dc:creator>
  <cp:keywords/>
  <dc:description/>
  <cp:lastModifiedBy>Ricardo Bonilla</cp:lastModifiedBy>
  <cp:revision>1</cp:revision>
  <dcterms:created xsi:type="dcterms:W3CDTF">2021-07-12T12:32:00Z</dcterms:created>
  <dcterms:modified xsi:type="dcterms:W3CDTF">2021-07-12T12:32:00Z</dcterms:modified>
</cp:coreProperties>
</file>