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2F61E" w14:textId="1727AC19" w:rsidR="00CF0E00" w:rsidRPr="008B4A5D" w:rsidRDefault="00CF0E00" w:rsidP="00CF0E00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</w:pPr>
      <w:r w:rsidRPr="008B4A5D">
        <w:rPr>
          <w:rFonts w:ascii="Times New Roman" w:hAnsi="Times New Roman" w:cs="Times New Roman"/>
          <w:b/>
          <w:bCs/>
          <w:sz w:val="28"/>
          <w:szCs w:val="28"/>
          <w:lang w:val="en-US"/>
        </w:rPr>
        <w:t>Additional file 2: Annex S2</w:t>
      </w:r>
    </w:p>
    <w:p w14:paraId="640F8EB5" w14:textId="5D0A355B" w:rsidR="00CF0E00" w:rsidRPr="0004230E" w:rsidRDefault="00CF0E00" w:rsidP="00CF0E00">
      <w:pPr>
        <w:pBdr>
          <w:bottom w:val="single" w:sz="4" w:space="1" w:color="auto"/>
        </w:pBdr>
        <w:rPr>
          <w:rFonts w:ascii="Times New Roman" w:hAnsi="Times New Roman" w:cs="Times New Roman"/>
          <w:lang w:val="en-US"/>
        </w:rPr>
      </w:pPr>
      <w:r w:rsidRPr="0004230E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FF6C26" w:rsidRPr="0004230E">
        <w:rPr>
          <w:rFonts w:ascii="Times New Roman" w:hAnsi="Times New Roman" w:cs="Times New Roman"/>
          <w:b/>
          <w:bCs/>
          <w:lang w:val="en-US"/>
        </w:rPr>
        <w:t>S</w:t>
      </w:r>
      <w:r w:rsidRPr="0004230E">
        <w:rPr>
          <w:rFonts w:ascii="Times New Roman" w:hAnsi="Times New Roman" w:cs="Times New Roman"/>
          <w:b/>
          <w:bCs/>
          <w:lang w:val="en-US"/>
        </w:rPr>
        <w:t>1</w:t>
      </w:r>
      <w:r w:rsidRPr="0004230E">
        <w:rPr>
          <w:rFonts w:ascii="Times New Roman" w:hAnsi="Times New Roman" w:cs="Times New Roman"/>
          <w:lang w:val="en-US"/>
        </w:rPr>
        <w:t xml:space="preserve"> Distribution of purpose code</w:t>
      </w:r>
      <w:r w:rsidR="009551A7" w:rsidRPr="0004230E">
        <w:rPr>
          <w:rFonts w:ascii="Times New Roman" w:hAnsi="Times New Roman" w:cs="Times New Roman"/>
          <w:lang w:val="en-US"/>
        </w:rPr>
        <w:t>s</w:t>
      </w:r>
      <w:r w:rsidRPr="0004230E">
        <w:rPr>
          <w:rFonts w:ascii="Times New Roman" w:hAnsi="Times New Roman" w:cs="Times New Roman"/>
          <w:lang w:val="en-US"/>
        </w:rPr>
        <w:t xml:space="preserve"> </w:t>
      </w:r>
      <w:r w:rsidR="00A055D5" w:rsidRPr="0004230E">
        <w:rPr>
          <w:rFonts w:ascii="Times New Roman" w:hAnsi="Times New Roman" w:cs="Times New Roman"/>
          <w:lang w:val="en-US"/>
        </w:rPr>
        <w:t>per</w:t>
      </w:r>
      <w:r w:rsidRPr="0004230E">
        <w:rPr>
          <w:rFonts w:ascii="Times New Roman" w:hAnsi="Times New Roman" w:cs="Times New Roman"/>
          <w:lang w:val="en-US"/>
        </w:rPr>
        <w:t xml:space="preserve"> the </w:t>
      </w:r>
      <w:r w:rsidR="00B4552E" w:rsidRPr="0004230E">
        <w:rPr>
          <w:rFonts w:ascii="Times New Roman" w:hAnsi="Times New Roman" w:cs="Times New Roman"/>
          <w:lang w:val="en-US"/>
        </w:rPr>
        <w:t>sub-</w:t>
      </w:r>
      <w:r w:rsidRPr="0004230E">
        <w:rPr>
          <w:rFonts w:ascii="Times New Roman" w:hAnsi="Times New Roman" w:cs="Times New Roman"/>
          <w:lang w:val="en-US"/>
        </w:rPr>
        <w:t>sector in examined countries</w:t>
      </w:r>
    </w:p>
    <w:tbl>
      <w:tblPr>
        <w:tblStyle w:val="TableGrid"/>
        <w:tblW w:w="1049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126"/>
        <w:gridCol w:w="2126"/>
        <w:gridCol w:w="1985"/>
        <w:gridCol w:w="1520"/>
        <w:gridCol w:w="322"/>
        <w:gridCol w:w="1413"/>
      </w:tblGrid>
      <w:tr w:rsidR="00CF0E00" w:rsidRPr="00974B4B" w14:paraId="78795139" w14:textId="77777777" w:rsidTr="008B4A5D">
        <w:trPr>
          <w:trHeight w:val="516"/>
        </w:trPr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</w:tcPr>
          <w:p w14:paraId="41DEC197" w14:textId="77777777" w:rsidR="00CF0E00" w:rsidRPr="00974B4B" w:rsidRDefault="00CF0E00" w:rsidP="00CF0E00">
            <w:pPr>
              <w:rPr>
                <w:rFonts w:ascii="Arial Narrow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9B595C0" w14:textId="77777777" w:rsidR="00CF0E00" w:rsidRPr="00974B4B" w:rsidRDefault="00CF0E00" w:rsidP="00CF0E00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Energy policy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663E9CB2" w14:textId="707C3E38" w:rsidR="00CF0E00" w:rsidRPr="00974B4B" w:rsidRDefault="00974B4B" w:rsidP="00CF0E00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 xml:space="preserve">Energy generation, renewable sources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0B0E507A" w14:textId="696BECA4" w:rsidR="00CF0E00" w:rsidRPr="00974B4B" w:rsidRDefault="00974B4B" w:rsidP="00CF0E00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Energy generation, non-renewable sources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321CCE" w14:textId="4FCD7B16" w:rsidR="00CF0E00" w:rsidRPr="00974B4B" w:rsidRDefault="00974B4B" w:rsidP="00CF0E00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bookmarkStart w:id="0" w:name="_Hlk135666888"/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Nuclear energy plants</w:t>
            </w:r>
            <w:bookmarkEnd w:id="0"/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</w:tcPr>
          <w:p w14:paraId="0087E56E" w14:textId="18F7E4B8" w:rsidR="00CF0E00" w:rsidRPr="00974B4B" w:rsidRDefault="00974B4B" w:rsidP="00CF0E00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Energy distribution</w:t>
            </w:r>
          </w:p>
        </w:tc>
      </w:tr>
      <w:tr w:rsidR="00CF0E00" w:rsidRPr="00C86B19" w14:paraId="0D094807" w14:textId="77777777" w:rsidTr="008B4A5D">
        <w:trPr>
          <w:trHeight w:val="2540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DF49D" w14:textId="77777777" w:rsidR="00CF0E00" w:rsidRPr="00974B4B" w:rsidRDefault="00CF0E00" w:rsidP="00CF0E00">
            <w:pPr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Bosnia and Herzegovina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0E089F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conservation and demand-side efficiency </w:t>
            </w:r>
          </w:p>
          <w:p w14:paraId="246D9095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education/training </w:t>
            </w:r>
          </w:p>
          <w:p w14:paraId="1A506F49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policy and administrative management  </w:t>
            </w:r>
          </w:p>
          <w:p w14:paraId="1AC9FE1E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research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2267F22" w14:textId="0064F845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Biofuel-fired power plants </w:t>
            </w:r>
          </w:p>
          <w:p w14:paraId="09E8090E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fr-FR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fr-FR"/>
              </w:rPr>
              <w:t xml:space="preserve">Energy generation, renewable sources - multiple technologies </w:t>
            </w:r>
          </w:p>
          <w:p w14:paraId="25B01F6D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Geothermal energy </w:t>
            </w:r>
          </w:p>
          <w:p w14:paraId="70B25B0E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Hydro-electric power plants </w:t>
            </w:r>
          </w:p>
          <w:p w14:paraId="055C2CB7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Solar energy for centralized grids</w:t>
            </w:r>
          </w:p>
          <w:p w14:paraId="7EA779EF" w14:textId="3C2C0913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Wind energy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6ACC27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Coal-fired electric power plants </w:t>
            </w:r>
          </w:p>
          <w:p w14:paraId="2C26E516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generation, non-renewable sources, unspecified </w:t>
            </w:r>
          </w:p>
          <w:p w14:paraId="6B2F4C90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Natural gas-fired electric power plants </w:t>
            </w:r>
          </w:p>
          <w:p w14:paraId="79FDB730" w14:textId="6C4F1D5E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Oil-fired electric power plants </w:t>
            </w:r>
          </w:p>
          <w:p w14:paraId="1550D596" w14:textId="50186A04" w:rsidR="00CF0E00" w:rsidRPr="00974B4B" w:rsidRDefault="00CF0E00" w:rsidP="00974B4B">
            <w:pPr>
              <w:spacing w:before="100" w:beforeAutospacing="1" w:after="100" w:afterAutospacing="1"/>
              <w:ind w:left="360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5CC13210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Nuclear energy electric power plants and nuclear safety</w:t>
            </w:r>
          </w:p>
          <w:p w14:paraId="6573E7EF" w14:textId="77777777" w:rsidR="00CF0E00" w:rsidRPr="00974B4B" w:rsidRDefault="00CF0E00" w:rsidP="00974B4B">
            <w:pPr>
              <w:spacing w:before="100" w:beforeAutospacing="1" w:after="100" w:afterAutospacing="1"/>
              <w:ind w:left="720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52619D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District heating and cooling</w:t>
            </w:r>
          </w:p>
          <w:p w14:paraId="70778B24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Electric power transmission and distribution (centralized grids) </w:t>
            </w:r>
          </w:p>
          <w:p w14:paraId="485C03C4" w14:textId="77777777" w:rsidR="00CF0E00" w:rsidRPr="00974B4B" w:rsidRDefault="00CF0E00" w:rsidP="00974B4B">
            <w:pPr>
              <w:spacing w:before="100" w:beforeAutospacing="1" w:after="100" w:afterAutospacing="1"/>
              <w:ind w:left="720"/>
              <w:rPr>
                <w:rFonts w:ascii="Arial Narrow" w:hAnsi="Arial Narrow" w:cs="Times New Roman"/>
                <w:sz w:val="16"/>
                <w:szCs w:val="16"/>
                <w:lang w:val="en-US"/>
              </w:rPr>
            </w:pPr>
          </w:p>
        </w:tc>
      </w:tr>
      <w:tr w:rsidR="00CF0E00" w:rsidRPr="00C86B19" w14:paraId="515D6BB6" w14:textId="77777777" w:rsidTr="008B4A5D">
        <w:trPr>
          <w:trHeight w:val="2331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CF582" w14:textId="77777777" w:rsidR="00CF0E00" w:rsidRPr="00974B4B" w:rsidRDefault="00CF0E00" w:rsidP="00CF0E00">
            <w:pPr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Kosovo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034236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conservation and demand-side efficiency </w:t>
            </w:r>
          </w:p>
          <w:p w14:paraId="7A0FDE1E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policy and administrative management </w:t>
            </w:r>
          </w:p>
          <w:p w14:paraId="4DC91032" w14:textId="77777777" w:rsidR="00CF0E00" w:rsidRPr="00974B4B" w:rsidRDefault="00CF0E00" w:rsidP="00974B4B">
            <w:pPr>
              <w:spacing w:before="100" w:beforeAutospacing="1" w:after="100" w:afterAutospacing="1"/>
              <w:ind w:left="360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BCF4D1" w14:textId="4B8557B1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Biofuel-fired power plants</w:t>
            </w:r>
          </w:p>
          <w:p w14:paraId="4808B34B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  <w:t>Energy generation, renewable sources - multiple technologies</w:t>
            </w:r>
          </w:p>
          <w:p w14:paraId="10D31506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Geothermal energy </w:t>
            </w:r>
          </w:p>
          <w:p w14:paraId="0CDA3351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Hydro-electric power plants </w:t>
            </w:r>
          </w:p>
          <w:p w14:paraId="6ACF78CA" w14:textId="29EF5D61" w:rsidR="00CF0E00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Solar energy for centralized grids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8248081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  <w:lang w:val="en-US"/>
              </w:rPr>
              <w:t xml:space="preserve">Coal-fired electric power plants </w:t>
            </w:r>
          </w:p>
          <w:p w14:paraId="3459DC8A" w14:textId="5F279646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 w:themeColor="text1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6"/>
                <w:lang w:val="en-US"/>
              </w:rPr>
              <w:t xml:space="preserve">Energy generation, non-renewable sources, unspecified </w:t>
            </w:r>
          </w:p>
          <w:p w14:paraId="3A1A1933" w14:textId="7019D24E" w:rsidR="00974B4B" w:rsidRPr="00974B4B" w:rsidRDefault="00974B4B" w:rsidP="00974B4B">
            <w:pPr>
              <w:ind w:left="720"/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76671978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Nuclear energy electric power plants and nuclear safety</w:t>
            </w:r>
          </w:p>
          <w:p w14:paraId="044AA4CF" w14:textId="342FCCFF" w:rsidR="00CF0E00" w:rsidRPr="00974B4B" w:rsidRDefault="00CF0E00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D81BEB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District heating and cooling </w:t>
            </w:r>
          </w:p>
          <w:p w14:paraId="4E7749F7" w14:textId="05B3D294" w:rsidR="00CF0E00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Electric power transmission and distribution (centralized grids)</w:t>
            </w:r>
          </w:p>
        </w:tc>
      </w:tr>
      <w:tr w:rsidR="00CF0E00" w:rsidRPr="00C86B19" w14:paraId="775A0045" w14:textId="77777777" w:rsidTr="008B4A5D">
        <w:trPr>
          <w:trHeight w:val="2257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9FCF0" w14:textId="77777777" w:rsidR="00CF0E00" w:rsidRPr="00974B4B" w:rsidRDefault="00CF0E00" w:rsidP="00CF0E00">
            <w:pPr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Montenegro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69322C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conservation and demand-side efficiency </w:t>
            </w:r>
          </w:p>
          <w:p w14:paraId="0AB67131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education/training </w:t>
            </w:r>
          </w:p>
          <w:p w14:paraId="142128EA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policy and administrative management </w:t>
            </w:r>
          </w:p>
          <w:p w14:paraId="572B50C1" w14:textId="77777777" w:rsidR="00CF0E00" w:rsidRPr="00974B4B" w:rsidRDefault="00CF0E00" w:rsidP="00974B4B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3C827E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Biofuel-fired power plants </w:t>
            </w:r>
          </w:p>
          <w:p w14:paraId="7B66EF51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  <w:t xml:space="preserve">Energy generation, renewable sources - multiple technologies </w:t>
            </w:r>
          </w:p>
          <w:p w14:paraId="36F7E492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Hydro-electric power plants</w:t>
            </w:r>
          </w:p>
          <w:p w14:paraId="306187C9" w14:textId="77777777" w:rsidR="008B4A5D" w:rsidRDefault="00974B4B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Solar energy for centralized grids</w:t>
            </w:r>
            <w:bookmarkStart w:id="1" w:name="_Hlk135666196"/>
            <w:r w:rsidR="008B4A5D"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487CBA00" w14:textId="06A6DD8D" w:rsidR="00CF0E00" w:rsidRPr="008B4A5D" w:rsidRDefault="008B4A5D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Wind energy</w:t>
            </w:r>
            <w:bookmarkEnd w:id="1"/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592C94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generation, non-renewable sources, unspecified </w:t>
            </w:r>
          </w:p>
          <w:p w14:paraId="2D953859" w14:textId="21141A2A" w:rsidR="00CF0E00" w:rsidRPr="00974B4B" w:rsidRDefault="00CF0E00" w:rsidP="00974B4B">
            <w:pPr>
              <w:ind w:left="720"/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3AC2A769" w14:textId="77777777" w:rsidR="00974B4B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Nuclear energy electric power plants and nuclear safety</w:t>
            </w:r>
          </w:p>
          <w:p w14:paraId="0E7DA81B" w14:textId="77777777" w:rsidR="00CF0E00" w:rsidRPr="00974B4B" w:rsidRDefault="00CF0E00" w:rsidP="00974B4B">
            <w:pPr>
              <w:rPr>
                <w:rFonts w:ascii="Arial Narrow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1C18E6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Electric power transmission and distribution (centralized grids) </w:t>
            </w:r>
          </w:p>
          <w:p w14:paraId="6B715F18" w14:textId="77777777" w:rsidR="00CF0E00" w:rsidRPr="00974B4B" w:rsidRDefault="00CF0E00" w:rsidP="008B4A5D">
            <w:pPr>
              <w:spacing w:before="100" w:beforeAutospacing="1" w:after="100" w:afterAutospacing="1"/>
              <w:ind w:left="720"/>
              <w:rPr>
                <w:rFonts w:ascii="Arial Narrow" w:hAnsi="Arial Narrow" w:cs="Times New Roman"/>
                <w:sz w:val="16"/>
                <w:szCs w:val="16"/>
                <w:lang w:val="en-US"/>
              </w:rPr>
            </w:pPr>
          </w:p>
        </w:tc>
      </w:tr>
      <w:tr w:rsidR="00CF0E00" w:rsidRPr="00C86B19" w14:paraId="4896DB21" w14:textId="77777777" w:rsidTr="008B4A5D">
        <w:trPr>
          <w:trHeight w:val="2131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94E47" w14:textId="77777777" w:rsidR="00CF0E00" w:rsidRPr="00974B4B" w:rsidRDefault="00CF0E00" w:rsidP="00CF0E00">
            <w:pPr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North Macedonia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FCCD356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Energy conservation and demand-side efficiency</w:t>
            </w:r>
          </w:p>
          <w:p w14:paraId="3FD4400B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bookmarkStart w:id="2" w:name="_Hlk135666177"/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education/training </w:t>
            </w:r>
          </w:p>
          <w:bookmarkEnd w:id="2"/>
          <w:p w14:paraId="4CA9A982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policy and administrative management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2A2C30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Biofuel-fired power plants </w:t>
            </w:r>
          </w:p>
          <w:p w14:paraId="28EE2925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  <w:t xml:space="preserve">Energy generation, renewable sources - multiple technologies </w:t>
            </w:r>
          </w:p>
          <w:p w14:paraId="53AD4615" w14:textId="77777777" w:rsidR="00974B4B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Hydro-electric power plants </w:t>
            </w:r>
          </w:p>
          <w:p w14:paraId="23D8ACF5" w14:textId="39668512" w:rsidR="00CF0E00" w:rsidRPr="00974B4B" w:rsidRDefault="00974B4B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Solar energy for centralized grids</w:t>
            </w:r>
          </w:p>
          <w:p w14:paraId="4A6FE67B" w14:textId="23F31660" w:rsidR="00CF0E00" w:rsidRPr="008B4A5D" w:rsidRDefault="008B4A5D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Wind energy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6D0A8F3" w14:textId="72B94D12" w:rsidR="00CF0E00" w:rsidRPr="00974B4B" w:rsidRDefault="00974B4B" w:rsidP="00974B4B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Energy generation, non-renewable sources, unspecified</w:t>
            </w:r>
            <w:r w:rsidR="00CF0E00" w:rsidRPr="00974B4B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2112C5F2" w14:textId="77777777" w:rsidR="00D66E7F" w:rsidRPr="00974B4B" w:rsidRDefault="00D66E7F" w:rsidP="00D66E7F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Nuclear energy electric power plants and nuclear safety</w:t>
            </w:r>
          </w:p>
          <w:p w14:paraId="3419B727" w14:textId="77777777" w:rsidR="00CF0E00" w:rsidRPr="00974B4B" w:rsidRDefault="00CF0E00" w:rsidP="00C67954">
            <w:pPr>
              <w:spacing w:before="100" w:beforeAutospacing="1" w:after="100" w:afterAutospacing="1"/>
              <w:ind w:left="720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1DE5AD" w14:textId="77777777" w:rsidR="00D66E7F" w:rsidRPr="00974B4B" w:rsidRDefault="00D66E7F" w:rsidP="00D66E7F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bookmarkStart w:id="3" w:name="_Hlk135666210"/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District heating and cooling</w:t>
            </w:r>
          </w:p>
          <w:bookmarkEnd w:id="3"/>
          <w:p w14:paraId="7E00C974" w14:textId="77777777" w:rsidR="00D66E7F" w:rsidRPr="00974B4B" w:rsidRDefault="00D66E7F" w:rsidP="00D66E7F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Electric power transmission and distribution (centralized grids) </w:t>
            </w:r>
          </w:p>
          <w:p w14:paraId="23F9FE20" w14:textId="77777777" w:rsidR="00CF0E00" w:rsidRPr="00974B4B" w:rsidRDefault="00CF0E00" w:rsidP="00C67954">
            <w:pPr>
              <w:spacing w:before="100" w:beforeAutospacing="1" w:after="100" w:afterAutospacing="1"/>
              <w:ind w:left="720"/>
              <w:rPr>
                <w:rFonts w:ascii="Arial Narrow" w:hAnsi="Arial Narrow" w:cs="Times New Roman"/>
                <w:sz w:val="16"/>
                <w:szCs w:val="16"/>
                <w:lang w:val="en-US"/>
              </w:rPr>
            </w:pPr>
          </w:p>
        </w:tc>
      </w:tr>
      <w:tr w:rsidR="00CF0E00" w:rsidRPr="009551A7" w14:paraId="6D696DB8" w14:textId="77777777" w:rsidTr="008B4A5D"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16218" w14:textId="77777777" w:rsidR="00CF0E00" w:rsidRPr="00974B4B" w:rsidRDefault="00CF0E00" w:rsidP="00CF0E00">
            <w:pPr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</w:pPr>
            <w:r w:rsidRPr="00974B4B">
              <w:rPr>
                <w:rFonts w:ascii="Arial Narrow" w:hAnsi="Arial Narrow" w:cs="Times New Roman"/>
                <w:b/>
                <w:bCs/>
                <w:sz w:val="16"/>
                <w:szCs w:val="16"/>
                <w:lang w:val="en-US"/>
              </w:rPr>
              <w:t>Serbia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FD1C24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conservation and demand-side efficiency </w:t>
            </w:r>
          </w:p>
          <w:p w14:paraId="012D80BA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education/training </w:t>
            </w:r>
          </w:p>
          <w:p w14:paraId="49B00569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policy and administrative management </w:t>
            </w:r>
          </w:p>
          <w:p w14:paraId="00CC5C93" w14:textId="77777777" w:rsidR="00CF0E00" w:rsidRPr="00974B4B" w:rsidRDefault="00CF0E00" w:rsidP="00974B4B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Energy research</w:t>
            </w:r>
          </w:p>
          <w:p w14:paraId="3B0820A9" w14:textId="77777777" w:rsidR="00CF0E00" w:rsidRPr="00974B4B" w:rsidRDefault="00CF0E00" w:rsidP="00974B4B">
            <w:pPr>
              <w:spacing w:before="100" w:beforeAutospacing="1" w:after="100" w:afterAutospacing="1"/>
              <w:ind w:left="360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651100C" w14:textId="4F50A9ED" w:rsidR="008B4A5D" w:rsidRPr="008B4A5D" w:rsidRDefault="008B4A5D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8B4A5D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Biofuel-fired power plants </w:t>
            </w:r>
          </w:p>
          <w:p w14:paraId="7EE176A5" w14:textId="77777777" w:rsidR="008B4A5D" w:rsidRPr="008B4A5D" w:rsidRDefault="008B4A5D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</w:pPr>
            <w:r w:rsidRPr="008B4A5D">
              <w:rPr>
                <w:rFonts w:ascii="Arial Narrow" w:hAnsi="Arial Narrow" w:cs="Times New Roman"/>
                <w:color w:val="000000"/>
                <w:sz w:val="16"/>
                <w:szCs w:val="16"/>
                <w:lang w:val="fr-FR"/>
              </w:rPr>
              <w:t xml:space="preserve">Energy generation, renewable sources - multiple technologies </w:t>
            </w:r>
          </w:p>
          <w:p w14:paraId="2A91936D" w14:textId="77777777" w:rsidR="008B4A5D" w:rsidRPr="008B4A5D" w:rsidRDefault="008B4A5D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8B4A5D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Geothermal energy </w:t>
            </w:r>
          </w:p>
          <w:p w14:paraId="2DD17D43" w14:textId="77777777" w:rsidR="008B4A5D" w:rsidRPr="008B4A5D" w:rsidRDefault="008B4A5D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8B4A5D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Hydro-electric power plants </w:t>
            </w:r>
          </w:p>
          <w:p w14:paraId="58BF43D0" w14:textId="77777777" w:rsidR="008B4A5D" w:rsidRPr="008B4A5D" w:rsidRDefault="008B4A5D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8B4A5D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 xml:space="preserve">Solar energy for centralized grids </w:t>
            </w:r>
          </w:p>
          <w:p w14:paraId="40300909" w14:textId="3C995F8D" w:rsidR="00CF0E00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8B4A5D"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  <w:t>Wind energy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93BFF0" w14:textId="77777777" w:rsidR="008B4A5D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Coal-fired electric power plants </w:t>
            </w:r>
          </w:p>
          <w:p w14:paraId="13374809" w14:textId="77777777" w:rsidR="008B4A5D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Energy generation, non-renewable sources, unspecified </w:t>
            </w:r>
          </w:p>
          <w:p w14:paraId="4AD33FAF" w14:textId="77777777" w:rsidR="008B4A5D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Natural gas-fired electric power plants </w:t>
            </w:r>
          </w:p>
          <w:p w14:paraId="165A4BAF" w14:textId="253F022E" w:rsidR="00CF0E00" w:rsidRPr="00974B4B" w:rsidRDefault="008B4A5D" w:rsidP="008B4A5D">
            <w:pPr>
              <w:numPr>
                <w:ilvl w:val="0"/>
                <w:numId w:val="27"/>
              </w:numPr>
              <w:contextualSpacing/>
              <w:rPr>
                <w:rFonts w:ascii="Arial Narrow" w:hAnsi="Arial Narrow" w:cs="Times New Roman"/>
                <w:color w:val="000000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Non-renewable waste-fired electric power plants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01132CE6" w14:textId="2E4DE584" w:rsidR="00CF0E00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Nuclear energy electric power plants and nuclear safety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D8404A" w14:textId="0BD966EA" w:rsidR="008B4A5D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District heating and cooling </w:t>
            </w:r>
          </w:p>
          <w:p w14:paraId="18270F75" w14:textId="77777777" w:rsidR="008B4A5D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 xml:space="preserve">Electric power transmission and distribution (centralized grids) </w:t>
            </w:r>
          </w:p>
          <w:p w14:paraId="2D88B44D" w14:textId="77777777" w:rsidR="008B4A5D" w:rsidRPr="00974B4B" w:rsidRDefault="008B4A5D" w:rsidP="008B4A5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  <w:r w:rsidRPr="00974B4B"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  <w:t>Retail gas distribution</w:t>
            </w:r>
          </w:p>
          <w:p w14:paraId="57AE34AB" w14:textId="7079BBAC" w:rsidR="00CF0E00" w:rsidRPr="00974B4B" w:rsidRDefault="00CF0E00" w:rsidP="008B4A5D">
            <w:pPr>
              <w:spacing w:before="100" w:beforeAutospacing="1" w:after="100" w:afterAutospacing="1"/>
              <w:ind w:left="720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  <w:p w14:paraId="5127580B" w14:textId="77777777" w:rsidR="00CF0E00" w:rsidRPr="00974B4B" w:rsidRDefault="00CF0E00" w:rsidP="00974B4B">
            <w:pPr>
              <w:spacing w:before="100" w:beforeAutospacing="1" w:after="100" w:afterAutospacing="1"/>
              <w:ind w:left="360"/>
              <w:rPr>
                <w:rFonts w:ascii="Arial Narrow" w:eastAsia="Times New Roman" w:hAnsi="Arial Narrow" w:cs="Times New Roman"/>
                <w:sz w:val="16"/>
                <w:szCs w:val="16"/>
                <w:lang w:val="en-US"/>
              </w:rPr>
            </w:pPr>
          </w:p>
        </w:tc>
      </w:tr>
    </w:tbl>
    <w:p w14:paraId="51F0AE9A" w14:textId="77777777" w:rsidR="008B4A5D" w:rsidRDefault="008B4A5D">
      <w:pPr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12328E2C" w14:textId="77777777" w:rsidR="00D66E7F" w:rsidRDefault="00D66E7F">
      <w:pPr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72BBBD1D" w14:textId="77777777" w:rsidR="0004230E" w:rsidRDefault="0004230E">
      <w:pPr>
        <w:rPr>
          <w:rFonts w:ascii="Times New Roman" w:hAnsi="Times New Roman" w:cs="Times New Roman"/>
          <w:b/>
          <w:bCs/>
          <w:lang w:val="en-US"/>
        </w:rPr>
      </w:pPr>
    </w:p>
    <w:p w14:paraId="2D51D457" w14:textId="475DC0D6" w:rsidR="00747F2A" w:rsidRPr="00D70E38" w:rsidRDefault="0004230E">
      <w:pPr>
        <w:rPr>
          <w:rFonts w:ascii="Times New Roman" w:hAnsi="Times New Roman" w:cs="Times New Roman"/>
          <w:b/>
          <w:bCs/>
          <w:lang w:val="en-US"/>
        </w:rPr>
      </w:pPr>
      <w:r w:rsidRPr="0004230E">
        <w:rPr>
          <w:rFonts w:ascii="Times New Roman" w:hAnsi="Times New Roman" w:cs="Times New Roman"/>
          <w:b/>
          <w:bCs/>
          <w:lang w:val="en-US"/>
        </w:rPr>
        <w:lastRenderedPageBreak/>
        <w:t>Fig. S1</w:t>
      </w:r>
      <w:r w:rsidRPr="0004230E">
        <w:rPr>
          <w:rFonts w:ascii="Times New Roman" w:hAnsi="Times New Roman" w:cs="Times New Roman"/>
          <w:lang w:val="en-US"/>
        </w:rPr>
        <w:t xml:space="preserve"> Total disbursed energy sector development finance flows per country and sub-sector</w:t>
      </w:r>
      <w:r w:rsidRPr="0004230E">
        <w:rPr>
          <w:rFonts w:ascii="Times New Roman" w:hAnsi="Times New Roman" w:cs="Times New Roman"/>
          <w:lang w:val="en-US"/>
        </w:rPr>
        <w:tab/>
      </w:r>
      <w:r w:rsidR="00747F2A" w:rsidRPr="00D70E38">
        <w:rPr>
          <w:rFonts w:ascii="Times New Roman" w:hAnsi="Times New Roman" w:cs="Times New Roman"/>
          <w:lang w:val="en-US"/>
        </w:rPr>
        <w:tab/>
      </w:r>
    </w:p>
    <w:p w14:paraId="14895C8C" w14:textId="591779DA" w:rsidR="00632A1F" w:rsidRPr="006C62C7" w:rsidRDefault="00747F2A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32314BC" wp14:editId="38970949">
            <wp:extent cx="6588000" cy="2988000"/>
            <wp:effectExtent l="0" t="0" r="3810" b="317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67EA8A-689A-4131-A3CC-C0DCB3DFB0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21CFB3D9" w14:textId="2C3F2050" w:rsidR="00632A1F" w:rsidRPr="006C62C7" w:rsidRDefault="00747F2A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31E53EE" wp14:editId="76A0DAFD">
            <wp:extent cx="6588000" cy="2988000"/>
            <wp:effectExtent l="0" t="0" r="3810" b="317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67EA8A-689A-4131-A3CC-C0DCB3DFB0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0F07C160" w14:textId="5DAC1573" w:rsidR="006D78BB" w:rsidRPr="006C62C7" w:rsidRDefault="006D78BB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B205877" wp14:editId="62FC93DB">
            <wp:extent cx="6588000" cy="2988000"/>
            <wp:effectExtent l="0" t="0" r="3810" b="317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67EA8A-689A-4131-A3CC-C0DCB3DFB0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25495ABF" w14:textId="1A97977D" w:rsidR="00632A1F" w:rsidRPr="006C62C7" w:rsidRDefault="006D78BB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463C1DA8" wp14:editId="0575D728">
            <wp:extent cx="6588000" cy="2988000"/>
            <wp:effectExtent l="0" t="0" r="3810" b="317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67EA8A-689A-4131-A3CC-C0DCB3DFB0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4F64CF27" w14:textId="77777777" w:rsidR="00B118A8" w:rsidRPr="006C62C7" w:rsidRDefault="0067638A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286CB20" wp14:editId="4BC653AF">
            <wp:extent cx="6588000" cy="2988000"/>
            <wp:effectExtent l="0" t="0" r="3810" b="317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67EA8A-689A-4131-A3CC-C0DCB3DFB0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6E2E6D83" w14:textId="77777777" w:rsidR="00B118A8" w:rsidRPr="006C62C7" w:rsidRDefault="00B118A8">
      <w:pPr>
        <w:rPr>
          <w:rFonts w:ascii="Times New Roman" w:hAnsi="Times New Roman" w:cs="Times New Roman"/>
          <w:lang w:val="en-US"/>
        </w:rPr>
      </w:pPr>
    </w:p>
    <w:p w14:paraId="32D5FC62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742FD9F6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5433BB0C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707DC2C3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26E97DB6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1B043E55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538BB8CF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04DA69DA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1C4992A7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367641FB" w14:textId="77777777" w:rsidR="00094973" w:rsidRDefault="00094973">
      <w:pPr>
        <w:rPr>
          <w:rFonts w:ascii="Times New Roman" w:hAnsi="Times New Roman" w:cs="Times New Roman"/>
          <w:lang w:val="en-US"/>
        </w:rPr>
      </w:pPr>
    </w:p>
    <w:p w14:paraId="2E4F22C3" w14:textId="77777777" w:rsidR="002469B1" w:rsidRDefault="002469B1">
      <w:pPr>
        <w:rPr>
          <w:rFonts w:ascii="Times New Roman" w:hAnsi="Times New Roman" w:cs="Times New Roman"/>
          <w:lang w:val="en-US"/>
        </w:rPr>
      </w:pPr>
    </w:p>
    <w:p w14:paraId="32631047" w14:textId="77777777" w:rsidR="0004230E" w:rsidRDefault="0004230E">
      <w:pPr>
        <w:rPr>
          <w:rFonts w:ascii="Times New Roman" w:hAnsi="Times New Roman" w:cs="Times New Roman"/>
          <w:lang w:val="en-US"/>
        </w:rPr>
      </w:pPr>
    </w:p>
    <w:p w14:paraId="359533C4" w14:textId="2752E68A" w:rsidR="00094973" w:rsidRPr="00D70E38" w:rsidRDefault="00B118A8">
      <w:pPr>
        <w:rPr>
          <w:rFonts w:ascii="Times New Roman" w:hAnsi="Times New Roman" w:cs="Times New Roman"/>
          <w:lang w:val="en-US"/>
        </w:rPr>
      </w:pPr>
      <w:r w:rsidRPr="00D70E38">
        <w:rPr>
          <w:rFonts w:ascii="Times New Roman" w:hAnsi="Times New Roman" w:cs="Times New Roman"/>
          <w:b/>
          <w:bCs/>
          <w:lang w:val="en-US"/>
        </w:rPr>
        <w:lastRenderedPageBreak/>
        <w:t xml:space="preserve">Fig. S2 </w:t>
      </w:r>
      <w:r w:rsidRPr="00D70E38">
        <w:rPr>
          <w:rFonts w:ascii="Times New Roman" w:hAnsi="Times New Roman" w:cs="Times New Roman"/>
          <w:lang w:val="en-US"/>
        </w:rPr>
        <w:t xml:space="preserve">Total disbursed energy sector development </w:t>
      </w:r>
      <w:r w:rsidR="00721527" w:rsidRPr="00D70E38">
        <w:rPr>
          <w:rFonts w:ascii="Times New Roman" w:hAnsi="Times New Roman" w:cs="Times New Roman"/>
          <w:lang w:val="en-US"/>
        </w:rPr>
        <w:t>finance</w:t>
      </w:r>
      <w:r w:rsidRPr="00D70E38">
        <w:rPr>
          <w:rFonts w:ascii="Times New Roman" w:hAnsi="Times New Roman" w:cs="Times New Roman"/>
          <w:lang w:val="en-US"/>
        </w:rPr>
        <w:t xml:space="preserve"> per </w:t>
      </w:r>
      <w:r w:rsidR="00AD2A6A" w:rsidRPr="00D70E38">
        <w:rPr>
          <w:rFonts w:ascii="Times New Roman" w:hAnsi="Times New Roman" w:cs="Times New Roman"/>
          <w:lang w:val="en-US"/>
        </w:rPr>
        <w:t xml:space="preserve">country and </w:t>
      </w:r>
      <w:r w:rsidRPr="00D70E38">
        <w:rPr>
          <w:rFonts w:ascii="Times New Roman" w:hAnsi="Times New Roman" w:cs="Times New Roman"/>
          <w:lang w:val="en-US"/>
        </w:rPr>
        <w:t xml:space="preserve">purpose code </w:t>
      </w:r>
    </w:p>
    <w:p w14:paraId="6AC83355" w14:textId="5EFF9765" w:rsidR="007A67FB" w:rsidRDefault="00B118A8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4878491" wp14:editId="0EFE4717">
            <wp:extent cx="6588000" cy="2880000"/>
            <wp:effectExtent l="0" t="0" r="3810" b="15875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84167CF-F9E8-5D00-0D7F-D61CC76E65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32019C1" w14:textId="67D08C6A" w:rsidR="00C022B9" w:rsidRPr="006C62C7" w:rsidRDefault="00C022B9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887853A" wp14:editId="0373BCE0">
            <wp:extent cx="6588000" cy="2880000"/>
            <wp:effectExtent l="0" t="0" r="3810" b="1587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84167CF-F9E8-5D00-0D7F-D61CC76E65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6368054B" w14:textId="1FF32F36" w:rsidR="00C07F01" w:rsidRPr="006C62C7" w:rsidRDefault="00C07F01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515710E" wp14:editId="1F9C1906">
            <wp:extent cx="6588000" cy="2988000"/>
            <wp:effectExtent l="0" t="0" r="3810" b="3175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84167CF-F9E8-5D00-0D7F-D61CC76E65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60601DF8" w14:textId="498AA165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5439A13A" w14:textId="70513354" w:rsidR="00632A1F" w:rsidRPr="006C62C7" w:rsidRDefault="00C07F01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1E42973F" wp14:editId="42BE1F41">
            <wp:extent cx="6588000" cy="2988000"/>
            <wp:effectExtent l="0" t="0" r="3810" b="3175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84167CF-F9E8-5D00-0D7F-D61CC76E65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5BF1928" w14:textId="25873CD4" w:rsidR="00C07F01" w:rsidRPr="006C62C7" w:rsidRDefault="00C07F01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E5E6BF4" wp14:editId="5347178C">
            <wp:extent cx="6587490" cy="3348000"/>
            <wp:effectExtent l="0" t="0" r="3810" b="5080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84167CF-F9E8-5D00-0D7F-D61CC76E65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7241BCD" w14:textId="77777777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2AEC5FB5" w14:textId="2F7ECB99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7E55C504" w14:textId="77777777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73221A5D" w14:textId="77777777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6AD8AAF7" w14:textId="77777777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158D54AE" w14:textId="77777777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2C760741" w14:textId="77777777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0CA5A697" w14:textId="77777777" w:rsidR="00C07F01" w:rsidRPr="006C62C7" w:rsidRDefault="00C07F01">
      <w:pPr>
        <w:rPr>
          <w:rFonts w:ascii="Times New Roman" w:hAnsi="Times New Roman" w:cs="Times New Roman"/>
          <w:lang w:val="en-US"/>
        </w:rPr>
      </w:pPr>
    </w:p>
    <w:p w14:paraId="7122613C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4A0024AE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51E5AC50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6B781A91" w14:textId="77777777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49DBFEDA" w14:textId="753853E3" w:rsidR="00C07F01" w:rsidRPr="00D70E38" w:rsidRDefault="00632A1F">
      <w:pPr>
        <w:rPr>
          <w:rFonts w:ascii="Times New Roman" w:hAnsi="Times New Roman" w:cs="Times New Roman"/>
          <w:b/>
          <w:bCs/>
          <w:lang w:val="en-US"/>
        </w:rPr>
      </w:pPr>
      <w:r w:rsidRPr="00D70E38">
        <w:rPr>
          <w:rFonts w:ascii="Times New Roman" w:hAnsi="Times New Roman" w:cs="Times New Roman"/>
          <w:b/>
          <w:bCs/>
          <w:lang w:val="en-US"/>
        </w:rPr>
        <w:lastRenderedPageBreak/>
        <w:t xml:space="preserve">Fig. S3 </w:t>
      </w:r>
      <w:r w:rsidR="00FE3B2D" w:rsidRPr="00D70E38">
        <w:rPr>
          <w:rFonts w:ascii="Times New Roman" w:hAnsi="Times New Roman" w:cs="Times New Roman"/>
          <w:lang w:val="en-US"/>
        </w:rPr>
        <w:t>Total</w:t>
      </w:r>
      <w:r w:rsidR="00FE3B2D" w:rsidRPr="00D70E3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E3B2D" w:rsidRPr="00D70E38">
        <w:rPr>
          <w:rFonts w:ascii="Times New Roman" w:hAnsi="Times New Roman" w:cs="Times New Roman"/>
          <w:lang w:val="en-US"/>
        </w:rPr>
        <w:t>d</w:t>
      </w:r>
      <w:r w:rsidRPr="00D70E38">
        <w:rPr>
          <w:rFonts w:ascii="Times New Roman" w:hAnsi="Times New Roman" w:cs="Times New Roman"/>
          <w:lang w:val="en-US"/>
        </w:rPr>
        <w:t xml:space="preserve">isbursed energy sector development </w:t>
      </w:r>
      <w:r w:rsidR="00721527" w:rsidRPr="00D70E38">
        <w:rPr>
          <w:rFonts w:ascii="Times New Roman" w:hAnsi="Times New Roman" w:cs="Times New Roman"/>
          <w:lang w:val="en-US"/>
        </w:rPr>
        <w:t>finance</w:t>
      </w:r>
      <w:r w:rsidRPr="00D70E38">
        <w:rPr>
          <w:rFonts w:ascii="Times New Roman" w:hAnsi="Times New Roman" w:cs="Times New Roman"/>
          <w:lang w:val="en-US"/>
        </w:rPr>
        <w:t xml:space="preserve"> </w:t>
      </w:r>
      <w:r w:rsidR="00FF0165" w:rsidRPr="00D70E38">
        <w:rPr>
          <w:rFonts w:ascii="Times New Roman" w:hAnsi="Times New Roman" w:cs="Times New Roman"/>
          <w:lang w:val="en-US"/>
        </w:rPr>
        <w:t>per</w:t>
      </w:r>
      <w:r w:rsidR="00AD2A6A" w:rsidRPr="00D70E38">
        <w:rPr>
          <w:rFonts w:ascii="Times New Roman" w:hAnsi="Times New Roman" w:cs="Times New Roman"/>
          <w:lang w:val="en-US"/>
        </w:rPr>
        <w:t xml:space="preserve"> country and</w:t>
      </w:r>
      <w:r w:rsidR="00FF0165" w:rsidRPr="00D70E38">
        <w:rPr>
          <w:rFonts w:ascii="Times New Roman" w:hAnsi="Times New Roman" w:cs="Times New Roman"/>
          <w:lang w:val="en-US"/>
        </w:rPr>
        <w:t xml:space="preserve"> financial instrument </w:t>
      </w:r>
    </w:p>
    <w:p w14:paraId="18BF5EC2" w14:textId="2DF321E7" w:rsidR="00632A1F" w:rsidRDefault="00632A1F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AEEEF6E" wp14:editId="5095AB47">
            <wp:extent cx="6588000" cy="2988000"/>
            <wp:effectExtent l="0" t="0" r="3810" b="3175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F5E787-B6A1-4941-6844-9E1939BB0E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BC3DB6D" w14:textId="2A4B0E60" w:rsidR="00FF15BB" w:rsidRDefault="00632A1F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E241135" wp14:editId="4B641416">
            <wp:extent cx="6588000" cy="2988000"/>
            <wp:effectExtent l="0" t="0" r="3810" b="3175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F5E787-B6A1-4941-6844-9E1939BB0E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9F6F1C7" w14:textId="67A9069D" w:rsidR="00632A1F" w:rsidRPr="006C62C7" w:rsidRDefault="00632A1F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EBC3704" wp14:editId="77AD17EA">
            <wp:extent cx="6588000" cy="2988000"/>
            <wp:effectExtent l="0" t="0" r="3810" b="3175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ACB13BF-AABA-497E-AC5B-F24C621298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="0056727F" w:rsidRPr="0056727F">
        <w:rPr>
          <w:rFonts w:ascii="Times New Roman" w:hAnsi="Times New Roman" w:cs="Times New Roman"/>
          <w:noProof/>
        </w:rPr>
        <w:t xml:space="preserve"> </w:t>
      </w:r>
    </w:p>
    <w:p w14:paraId="5EA55903" w14:textId="5BF74A05" w:rsidR="00632A1F" w:rsidRPr="006C62C7" w:rsidRDefault="00632A1F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72662546" wp14:editId="19CAE136">
            <wp:extent cx="6588000" cy="2988000"/>
            <wp:effectExtent l="0" t="0" r="3810" b="3175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ACB13BF-AABA-497E-AC5B-F24C621298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6C62C7">
        <w:rPr>
          <w:rFonts w:ascii="Times New Roman" w:hAnsi="Times New Roman" w:cs="Times New Roman"/>
          <w:lang w:val="en-US"/>
        </w:rPr>
        <w:t xml:space="preserve"> </w:t>
      </w:r>
    </w:p>
    <w:p w14:paraId="3E55EF7C" w14:textId="61922053" w:rsidR="00632A1F" w:rsidRPr="006C62C7" w:rsidRDefault="00632A1F">
      <w:pPr>
        <w:rPr>
          <w:rFonts w:ascii="Times New Roman" w:hAnsi="Times New Roman" w:cs="Times New Roman"/>
          <w:lang w:val="en-US"/>
        </w:rPr>
      </w:pPr>
      <w:r w:rsidRPr="006C62C7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F4AD114" wp14:editId="4E33088F">
            <wp:extent cx="6588000" cy="2988000"/>
            <wp:effectExtent l="0" t="0" r="3810" b="3175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ACB13BF-AABA-497E-AC5B-F24C621298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3EBA114" w14:textId="3EC5F206" w:rsidR="00632A1F" w:rsidRPr="006C62C7" w:rsidRDefault="00632A1F">
      <w:pPr>
        <w:rPr>
          <w:rFonts w:ascii="Times New Roman" w:hAnsi="Times New Roman" w:cs="Times New Roman"/>
          <w:lang w:val="en-US"/>
        </w:rPr>
      </w:pPr>
    </w:p>
    <w:p w14:paraId="1EE8459F" w14:textId="0F98A369" w:rsidR="006C62C7" w:rsidRPr="00D70E38" w:rsidRDefault="0041315D" w:rsidP="006C62C7">
      <w:pPr>
        <w:rPr>
          <w:rFonts w:ascii="Times New Roman" w:hAnsi="Times New Roman" w:cs="Times New Roman"/>
          <w:b/>
          <w:bCs/>
          <w:lang w:val="en-US"/>
        </w:rPr>
      </w:pPr>
      <w:r w:rsidRPr="006C62C7">
        <w:rPr>
          <w:rFonts w:ascii="Times New Roman" w:hAnsi="Times New Roman" w:cs="Times New Roman"/>
          <w:lang w:val="en-US"/>
        </w:rPr>
        <w:br w:type="page"/>
      </w:r>
      <w:r w:rsidR="006C62C7" w:rsidRPr="00D70E38">
        <w:rPr>
          <w:rFonts w:ascii="Times New Roman" w:hAnsi="Times New Roman" w:cs="Times New Roman"/>
          <w:b/>
          <w:bCs/>
          <w:lang w:val="en-US"/>
        </w:rPr>
        <w:lastRenderedPageBreak/>
        <w:t xml:space="preserve">Fig. S4 </w:t>
      </w:r>
      <w:r w:rsidR="006C62C7" w:rsidRPr="00D70E38">
        <w:rPr>
          <w:rFonts w:ascii="Times New Roman" w:hAnsi="Times New Roman" w:cs="Times New Roman"/>
          <w:lang w:val="en-US"/>
        </w:rPr>
        <w:t>Bilateral and multilateral</w:t>
      </w:r>
      <w:r w:rsidR="006C62C7" w:rsidRPr="00D70E3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C62C7" w:rsidRPr="00D70E38">
        <w:rPr>
          <w:rFonts w:ascii="Times New Roman" w:hAnsi="Times New Roman" w:cs="Times New Roman"/>
          <w:lang w:val="en-US"/>
        </w:rPr>
        <w:t xml:space="preserve">disbursed energy sector development </w:t>
      </w:r>
      <w:r w:rsidR="00721527" w:rsidRPr="00D70E38">
        <w:rPr>
          <w:rFonts w:ascii="Times New Roman" w:hAnsi="Times New Roman" w:cs="Times New Roman"/>
          <w:lang w:val="en-US"/>
        </w:rPr>
        <w:t>finance</w:t>
      </w:r>
      <w:r w:rsidR="006C62C7" w:rsidRPr="00D70E38">
        <w:rPr>
          <w:rFonts w:ascii="Times New Roman" w:hAnsi="Times New Roman" w:cs="Times New Roman"/>
          <w:lang w:val="en-US"/>
        </w:rPr>
        <w:t xml:space="preserve"> providers</w:t>
      </w:r>
      <w:r w:rsidR="007A0D65" w:rsidRPr="00D70E38">
        <w:rPr>
          <w:rFonts w:ascii="Times New Roman" w:hAnsi="Times New Roman" w:cs="Times New Roman"/>
          <w:lang w:val="en-US"/>
        </w:rPr>
        <w:t xml:space="preserve"> per country</w:t>
      </w:r>
      <w:r w:rsidR="006C62C7" w:rsidRPr="00D70E38">
        <w:rPr>
          <w:rFonts w:ascii="Times New Roman" w:hAnsi="Times New Roman" w:cs="Times New Roman"/>
          <w:lang w:val="en-US"/>
        </w:rPr>
        <w:t xml:space="preserve"> </w:t>
      </w:r>
    </w:p>
    <w:p w14:paraId="295E5EC4" w14:textId="3645935D" w:rsidR="0041315D" w:rsidRDefault="006C62C7">
      <w:pPr>
        <w:rPr>
          <w:rFonts w:ascii="Times New Roman" w:hAnsi="Times New Roman" w:cs="Times New Roman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4C33DD3C" wp14:editId="01D5A565">
            <wp:extent cx="6588000" cy="2988000"/>
            <wp:effectExtent l="0" t="0" r="3810" b="3175"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C91299-9934-4048-A906-151BAAD07E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0F22AAE" w14:textId="04B66225" w:rsidR="00B578AB" w:rsidRPr="006C62C7" w:rsidRDefault="00B578AB">
      <w:pPr>
        <w:rPr>
          <w:rFonts w:ascii="Times New Roman" w:hAnsi="Times New Roman" w:cs="Times New Roman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79B138C4" wp14:editId="359351E3">
            <wp:extent cx="6588000" cy="2988000"/>
            <wp:effectExtent l="0" t="0" r="3810" b="3175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BDD39A-3E24-41BA-8B20-1DF79F6E6E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844B66" w:rsidRPr="00844B66">
        <w:rPr>
          <w:rFonts w:ascii="Times New Roman" w:hAnsi="Times New Roman" w:cs="Times New Roman"/>
          <w:noProof/>
        </w:rPr>
        <w:t xml:space="preserve"> </w:t>
      </w:r>
    </w:p>
    <w:p w14:paraId="587B875F" w14:textId="4469236A" w:rsidR="0041315D" w:rsidRPr="006C62C7" w:rsidRDefault="00A57357">
      <w:pPr>
        <w:rPr>
          <w:rFonts w:ascii="Times New Roman" w:hAnsi="Times New Roman" w:cs="Times New Roman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5604F3A8" wp14:editId="4BB7605A">
            <wp:extent cx="6588000" cy="2988000"/>
            <wp:effectExtent l="0" t="0" r="3810" b="3175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BDA4F9-D71B-486C-A37F-B88E7E52E0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0DCC8D6" w14:textId="32A14091" w:rsidR="0041315D" w:rsidRDefault="0041315D">
      <w:pPr>
        <w:rPr>
          <w:rFonts w:ascii="Times New Roman" w:hAnsi="Times New Roman" w:cs="Times New Roman"/>
          <w:lang w:val="en-US"/>
        </w:rPr>
      </w:pPr>
    </w:p>
    <w:p w14:paraId="1285A0AF" w14:textId="551151A5" w:rsidR="00A57357" w:rsidRPr="006C62C7" w:rsidRDefault="00A57357">
      <w:pPr>
        <w:rPr>
          <w:rFonts w:ascii="Times New Roman" w:hAnsi="Times New Roman" w:cs="Times New Roman"/>
          <w:lang w:val="en-US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147614A4" wp14:editId="45ABC815">
            <wp:extent cx="6588000" cy="2988000"/>
            <wp:effectExtent l="0" t="0" r="3810" b="3175"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723A52E-8852-4614-BB4D-8E991F7D97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60F98F0" w14:textId="7E7FD198" w:rsidR="00A57357" w:rsidRPr="006C62C7" w:rsidRDefault="00A57357">
      <w:pPr>
        <w:rPr>
          <w:rFonts w:ascii="Times New Roman" w:hAnsi="Times New Roman" w:cs="Times New Roman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0898AD15" wp14:editId="0291A4AF">
            <wp:extent cx="6588000" cy="2988000"/>
            <wp:effectExtent l="0" t="0" r="3810" b="3175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B7128A-1321-4685-9D6E-A603281703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6FEE0B58" w14:textId="1A361759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282A65DC" w14:textId="77777777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047EB003" w14:textId="7D92690F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74D550DE" w14:textId="368C4E8F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3FAE8BCE" w14:textId="26363F18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0A1F4CB8" w14:textId="6DCEEFE1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36D57E0E" w14:textId="3751A78B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52954BC6" w14:textId="4488C152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4D6D5130" w14:textId="75D07593" w:rsidR="0041315D" w:rsidRPr="006C62C7" w:rsidRDefault="0041315D">
      <w:pPr>
        <w:rPr>
          <w:rFonts w:ascii="Times New Roman" w:hAnsi="Times New Roman" w:cs="Times New Roman"/>
          <w:lang w:val="en-US"/>
        </w:rPr>
      </w:pPr>
      <w:bookmarkStart w:id="4" w:name="_GoBack"/>
      <w:bookmarkEnd w:id="4"/>
    </w:p>
    <w:p w14:paraId="593B921F" w14:textId="5D6183B4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0106856F" w14:textId="72399C28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p w14:paraId="2728AA83" w14:textId="5E222BE5" w:rsidR="0041315D" w:rsidRPr="006C62C7" w:rsidRDefault="0041315D">
      <w:pPr>
        <w:rPr>
          <w:rFonts w:ascii="Times New Roman" w:hAnsi="Times New Roman" w:cs="Times New Roman"/>
          <w:lang w:val="en-US"/>
        </w:rPr>
      </w:pPr>
    </w:p>
    <w:sectPr w:rsidR="0041315D" w:rsidRPr="006C62C7" w:rsidSect="005F32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0712C" w14:textId="77777777" w:rsidR="0047249B" w:rsidRDefault="0047249B" w:rsidP="002E7A1A">
      <w:pPr>
        <w:spacing w:after="0" w:line="240" w:lineRule="auto"/>
      </w:pPr>
      <w:r>
        <w:separator/>
      </w:r>
    </w:p>
  </w:endnote>
  <w:endnote w:type="continuationSeparator" w:id="0">
    <w:p w14:paraId="50F2B2A5" w14:textId="77777777" w:rsidR="0047249B" w:rsidRDefault="0047249B" w:rsidP="002E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4A9C5" w14:textId="77777777" w:rsidR="0047249B" w:rsidRDefault="0047249B" w:rsidP="002E7A1A">
      <w:pPr>
        <w:spacing w:after="0" w:line="240" w:lineRule="auto"/>
      </w:pPr>
      <w:r>
        <w:separator/>
      </w:r>
    </w:p>
  </w:footnote>
  <w:footnote w:type="continuationSeparator" w:id="0">
    <w:p w14:paraId="6AA99A5C" w14:textId="77777777" w:rsidR="0047249B" w:rsidRDefault="0047249B" w:rsidP="002E7A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C4C5F"/>
    <w:multiLevelType w:val="hybridMultilevel"/>
    <w:tmpl w:val="37FC2AF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C15A71"/>
    <w:multiLevelType w:val="hybridMultilevel"/>
    <w:tmpl w:val="B57E40B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255883"/>
    <w:multiLevelType w:val="hybridMultilevel"/>
    <w:tmpl w:val="D96469F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182B1F"/>
    <w:multiLevelType w:val="hybridMultilevel"/>
    <w:tmpl w:val="0F9E859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44530F"/>
    <w:multiLevelType w:val="hybridMultilevel"/>
    <w:tmpl w:val="35AC592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94A8C"/>
    <w:multiLevelType w:val="hybridMultilevel"/>
    <w:tmpl w:val="6480067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D929EE"/>
    <w:multiLevelType w:val="hybridMultilevel"/>
    <w:tmpl w:val="4328C552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4B6368"/>
    <w:multiLevelType w:val="hybridMultilevel"/>
    <w:tmpl w:val="27AAFDA8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013A0A"/>
    <w:multiLevelType w:val="hybridMultilevel"/>
    <w:tmpl w:val="42AE8982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406D42"/>
    <w:multiLevelType w:val="hybridMultilevel"/>
    <w:tmpl w:val="7AB4CAE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E73030"/>
    <w:multiLevelType w:val="hybridMultilevel"/>
    <w:tmpl w:val="7E8C2A2E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5B6F39"/>
    <w:multiLevelType w:val="hybridMultilevel"/>
    <w:tmpl w:val="3C6C7C22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DA769F"/>
    <w:multiLevelType w:val="hybridMultilevel"/>
    <w:tmpl w:val="7CDEEDD2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14726D1"/>
    <w:multiLevelType w:val="hybridMultilevel"/>
    <w:tmpl w:val="5A0A94B8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5AB2D8B"/>
    <w:multiLevelType w:val="hybridMultilevel"/>
    <w:tmpl w:val="F828C4A8"/>
    <w:lvl w:ilvl="0" w:tplc="6AF00B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D1728B"/>
    <w:multiLevelType w:val="hybridMultilevel"/>
    <w:tmpl w:val="747292FE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5103889"/>
    <w:multiLevelType w:val="hybridMultilevel"/>
    <w:tmpl w:val="589CB7A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D2C64BD"/>
    <w:multiLevelType w:val="hybridMultilevel"/>
    <w:tmpl w:val="D83CFB0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FD7516"/>
    <w:multiLevelType w:val="hybridMultilevel"/>
    <w:tmpl w:val="49B297E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D412F2"/>
    <w:multiLevelType w:val="hybridMultilevel"/>
    <w:tmpl w:val="213E9CF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6820A41"/>
    <w:multiLevelType w:val="hybridMultilevel"/>
    <w:tmpl w:val="340C183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A7347BD"/>
    <w:multiLevelType w:val="hybridMultilevel"/>
    <w:tmpl w:val="DEA4F60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DA13F4"/>
    <w:multiLevelType w:val="hybridMultilevel"/>
    <w:tmpl w:val="3252D39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25406D"/>
    <w:multiLevelType w:val="hybridMultilevel"/>
    <w:tmpl w:val="B43C181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5EC56C3"/>
    <w:multiLevelType w:val="hybridMultilevel"/>
    <w:tmpl w:val="A224EAF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E6E4ACB"/>
    <w:multiLevelType w:val="hybridMultilevel"/>
    <w:tmpl w:val="F340962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0A54980"/>
    <w:multiLevelType w:val="hybridMultilevel"/>
    <w:tmpl w:val="FEEE9C1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9"/>
  </w:num>
  <w:num w:numId="3">
    <w:abstractNumId w:val="5"/>
  </w:num>
  <w:num w:numId="4">
    <w:abstractNumId w:val="18"/>
  </w:num>
  <w:num w:numId="5">
    <w:abstractNumId w:val="22"/>
  </w:num>
  <w:num w:numId="6">
    <w:abstractNumId w:val="1"/>
  </w:num>
  <w:num w:numId="7">
    <w:abstractNumId w:val="3"/>
  </w:num>
  <w:num w:numId="8">
    <w:abstractNumId w:val="21"/>
  </w:num>
  <w:num w:numId="9">
    <w:abstractNumId w:val="25"/>
  </w:num>
  <w:num w:numId="10">
    <w:abstractNumId w:val="15"/>
  </w:num>
  <w:num w:numId="11">
    <w:abstractNumId w:val="17"/>
  </w:num>
  <w:num w:numId="12">
    <w:abstractNumId w:val="12"/>
  </w:num>
  <w:num w:numId="13">
    <w:abstractNumId w:val="26"/>
  </w:num>
  <w:num w:numId="14">
    <w:abstractNumId w:val="11"/>
  </w:num>
  <w:num w:numId="15">
    <w:abstractNumId w:val="13"/>
  </w:num>
  <w:num w:numId="16">
    <w:abstractNumId w:val="16"/>
  </w:num>
  <w:num w:numId="17">
    <w:abstractNumId w:val="8"/>
  </w:num>
  <w:num w:numId="18">
    <w:abstractNumId w:val="9"/>
  </w:num>
  <w:num w:numId="19">
    <w:abstractNumId w:val="23"/>
  </w:num>
  <w:num w:numId="20">
    <w:abstractNumId w:val="10"/>
  </w:num>
  <w:num w:numId="21">
    <w:abstractNumId w:val="2"/>
  </w:num>
  <w:num w:numId="22">
    <w:abstractNumId w:val="24"/>
  </w:num>
  <w:num w:numId="23">
    <w:abstractNumId w:val="4"/>
  </w:num>
  <w:num w:numId="24">
    <w:abstractNumId w:val="20"/>
  </w:num>
  <w:num w:numId="25">
    <w:abstractNumId w:val="7"/>
  </w:num>
  <w:num w:numId="26">
    <w:abstractNumId w:val="6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0MTK3MLE0tTSyNDFQ0lEKTi0uzszPAykwNK4FAG1HjdUtAAAA"/>
  </w:docVars>
  <w:rsids>
    <w:rsidRoot w:val="001A2F4F"/>
    <w:rsid w:val="00001503"/>
    <w:rsid w:val="00004D9F"/>
    <w:rsid w:val="00032EC6"/>
    <w:rsid w:val="0004230E"/>
    <w:rsid w:val="000561F5"/>
    <w:rsid w:val="00063A26"/>
    <w:rsid w:val="00094973"/>
    <w:rsid w:val="000A7AA4"/>
    <w:rsid w:val="000D60B1"/>
    <w:rsid w:val="000F41E8"/>
    <w:rsid w:val="001129CB"/>
    <w:rsid w:val="00146741"/>
    <w:rsid w:val="00171281"/>
    <w:rsid w:val="00190C25"/>
    <w:rsid w:val="001A2F4F"/>
    <w:rsid w:val="001D07A5"/>
    <w:rsid w:val="001D5B37"/>
    <w:rsid w:val="001D62E5"/>
    <w:rsid w:val="001F07D9"/>
    <w:rsid w:val="002020D4"/>
    <w:rsid w:val="00202CD5"/>
    <w:rsid w:val="002330D0"/>
    <w:rsid w:val="002436D5"/>
    <w:rsid w:val="002469B1"/>
    <w:rsid w:val="00252540"/>
    <w:rsid w:val="0026331B"/>
    <w:rsid w:val="002E7A1A"/>
    <w:rsid w:val="003006B6"/>
    <w:rsid w:val="00311C7B"/>
    <w:rsid w:val="00364A9B"/>
    <w:rsid w:val="00386482"/>
    <w:rsid w:val="003A71F3"/>
    <w:rsid w:val="0041315D"/>
    <w:rsid w:val="004467D2"/>
    <w:rsid w:val="00465455"/>
    <w:rsid w:val="0047249B"/>
    <w:rsid w:val="0047656D"/>
    <w:rsid w:val="0048193D"/>
    <w:rsid w:val="004B0D4F"/>
    <w:rsid w:val="004F20B1"/>
    <w:rsid w:val="00510083"/>
    <w:rsid w:val="00561F9B"/>
    <w:rsid w:val="00563138"/>
    <w:rsid w:val="00563A16"/>
    <w:rsid w:val="0056727F"/>
    <w:rsid w:val="005F3282"/>
    <w:rsid w:val="006024AE"/>
    <w:rsid w:val="00632A1F"/>
    <w:rsid w:val="00632E08"/>
    <w:rsid w:val="00671F61"/>
    <w:rsid w:val="00672A5F"/>
    <w:rsid w:val="0067638A"/>
    <w:rsid w:val="006C1955"/>
    <w:rsid w:val="006C62C7"/>
    <w:rsid w:val="006D78BB"/>
    <w:rsid w:val="00721527"/>
    <w:rsid w:val="00721BA9"/>
    <w:rsid w:val="00733F7A"/>
    <w:rsid w:val="007442CC"/>
    <w:rsid w:val="00747F2A"/>
    <w:rsid w:val="007A0D65"/>
    <w:rsid w:val="007A67FB"/>
    <w:rsid w:val="007C1E8C"/>
    <w:rsid w:val="008139D6"/>
    <w:rsid w:val="00816328"/>
    <w:rsid w:val="008408A3"/>
    <w:rsid w:val="00844B66"/>
    <w:rsid w:val="00863ADB"/>
    <w:rsid w:val="0087245E"/>
    <w:rsid w:val="008773CE"/>
    <w:rsid w:val="008B4A5D"/>
    <w:rsid w:val="008B7E7B"/>
    <w:rsid w:val="008E526B"/>
    <w:rsid w:val="00902B86"/>
    <w:rsid w:val="00944FCF"/>
    <w:rsid w:val="009551A7"/>
    <w:rsid w:val="00974B4B"/>
    <w:rsid w:val="00980CF0"/>
    <w:rsid w:val="009A7463"/>
    <w:rsid w:val="009C6311"/>
    <w:rsid w:val="009D3E17"/>
    <w:rsid w:val="009E50D3"/>
    <w:rsid w:val="00A055D5"/>
    <w:rsid w:val="00A3033F"/>
    <w:rsid w:val="00A44CDD"/>
    <w:rsid w:val="00A57357"/>
    <w:rsid w:val="00AC1014"/>
    <w:rsid w:val="00AD2A6A"/>
    <w:rsid w:val="00AE0175"/>
    <w:rsid w:val="00AF7626"/>
    <w:rsid w:val="00B118A8"/>
    <w:rsid w:val="00B325C5"/>
    <w:rsid w:val="00B33B31"/>
    <w:rsid w:val="00B4552E"/>
    <w:rsid w:val="00B47BDD"/>
    <w:rsid w:val="00B578AB"/>
    <w:rsid w:val="00BA5A92"/>
    <w:rsid w:val="00BB189C"/>
    <w:rsid w:val="00BC7301"/>
    <w:rsid w:val="00BD5479"/>
    <w:rsid w:val="00C022B9"/>
    <w:rsid w:val="00C049C5"/>
    <w:rsid w:val="00C0542A"/>
    <w:rsid w:val="00C07F01"/>
    <w:rsid w:val="00C211E8"/>
    <w:rsid w:val="00C22A99"/>
    <w:rsid w:val="00C54E15"/>
    <w:rsid w:val="00C67954"/>
    <w:rsid w:val="00C80090"/>
    <w:rsid w:val="00C86B19"/>
    <w:rsid w:val="00C90ABD"/>
    <w:rsid w:val="00CB7771"/>
    <w:rsid w:val="00CC1952"/>
    <w:rsid w:val="00CF0E00"/>
    <w:rsid w:val="00D00544"/>
    <w:rsid w:val="00D047F2"/>
    <w:rsid w:val="00D27FA6"/>
    <w:rsid w:val="00D57F32"/>
    <w:rsid w:val="00D66E7F"/>
    <w:rsid w:val="00D70E38"/>
    <w:rsid w:val="00D75B89"/>
    <w:rsid w:val="00DA3C35"/>
    <w:rsid w:val="00E37784"/>
    <w:rsid w:val="00E863AD"/>
    <w:rsid w:val="00E9344F"/>
    <w:rsid w:val="00EB4194"/>
    <w:rsid w:val="00EF57D1"/>
    <w:rsid w:val="00F0216D"/>
    <w:rsid w:val="00F220E0"/>
    <w:rsid w:val="00F3145F"/>
    <w:rsid w:val="00F46975"/>
    <w:rsid w:val="00FB1C5F"/>
    <w:rsid w:val="00FE0D24"/>
    <w:rsid w:val="00FE3B2D"/>
    <w:rsid w:val="00FE7ADF"/>
    <w:rsid w:val="00FE7AF1"/>
    <w:rsid w:val="00FF0165"/>
    <w:rsid w:val="00FF15BB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49950D"/>
  <w15:chartTrackingRefBased/>
  <w15:docId w15:val="{5D072740-742D-4B4C-8C92-0987CF90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F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f0">
    <w:name w:val="pf0"/>
    <w:basedOn w:val="Normal"/>
    <w:rsid w:val="001A2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1A2F4F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80C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131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31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31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1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1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B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Kosovo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Montenegro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N.%20Macedoni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Serbia_new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BH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Kosovo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Montenegro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N.%20Macedonia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Serbia_new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BH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Kosovo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Montenegro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N.%20Macedonia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Serbia_new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BH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Kosovo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Montenegro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N.%20Macedonia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ausev\Downloads\WB\Data\Figures%20for%20Serbia_new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 i="0" u="none" strike="noStrike" baseline="0">
                <a:effectLst/>
              </a:rPr>
              <a:t>Bosnia and Herzegovina</a:t>
            </a:r>
            <a:endParaRPr lang="sv-SE" sz="1000" b="1"/>
          </a:p>
        </c:rich>
      </c:tx>
      <c:layout>
        <c:manualLayout>
          <c:xMode val="edge"/>
          <c:yMode val="edge"/>
          <c:x val="0.43711201079622131"/>
          <c:y val="4.250797024442082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4024582959518724E-2"/>
          <c:y val="7.6918339511493045E-2"/>
          <c:w val="0.87610910984305101"/>
          <c:h val="0.58691089224898951"/>
        </c:manualLayout>
      </c:layout>
      <c:scatterChart>
        <c:scatterStyle val="smoothMarker"/>
        <c:varyColors val="0"/>
        <c:ser>
          <c:idx val="3"/>
          <c:order val="0"/>
          <c:tx>
            <c:strRef>
              <c:f>'Fig. 1'!$P$1</c:f>
              <c:strCache>
                <c:ptCount val="1"/>
                <c:pt idx="0">
                  <c:v>Energy distribution</c:v>
                </c:pt>
              </c:strCache>
            </c:strRef>
          </c:tx>
          <c:spPr>
            <a:ln w="6350" cap="rnd">
              <a:solidFill>
                <a:srgbClr val="FF0000"/>
              </a:solidFill>
              <a:round/>
            </a:ln>
            <a:effectLst/>
          </c:spPr>
          <c:marker>
            <c:symbol val="triangle"/>
            <c:size val="6"/>
            <c:spPr>
              <a:noFill/>
              <a:ln w="6350">
                <a:solidFill>
                  <a:srgbClr val="FF0000"/>
                </a:solidFill>
              </a:ln>
              <a:effectLst/>
            </c:spPr>
          </c:marker>
          <c:xVal>
            <c:numRef>
              <c:f>'Fig. 1'!$R$3:$R$15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1'!$T$3:$T$15</c:f>
              <c:numCache>
                <c:formatCode>0.0</c:formatCode>
                <c:ptCount val="13"/>
                <c:pt idx="0">
                  <c:v>1.862314</c:v>
                </c:pt>
                <c:pt idx="1">
                  <c:v>53.923619000000002</c:v>
                </c:pt>
                <c:pt idx="2">
                  <c:v>19.525680999999999</c:v>
                </c:pt>
                <c:pt idx="3">
                  <c:v>11.125324000000001</c:v>
                </c:pt>
                <c:pt idx="4">
                  <c:v>11.125324000000001</c:v>
                </c:pt>
                <c:pt idx="5">
                  <c:v>0.121263</c:v>
                </c:pt>
                <c:pt idx="6">
                  <c:v>0</c:v>
                </c:pt>
                <c:pt idx="7">
                  <c:v>0.398648</c:v>
                </c:pt>
                <c:pt idx="8">
                  <c:v>0.86678699999999997</c:v>
                </c:pt>
                <c:pt idx="9">
                  <c:v>14.614258</c:v>
                </c:pt>
                <c:pt idx="10">
                  <c:v>10.218766</c:v>
                </c:pt>
                <c:pt idx="11">
                  <c:v>18.771149999999999</c:v>
                </c:pt>
                <c:pt idx="12">
                  <c:v>9.9162859999999995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A4D-4F2D-BFE2-B0B634903FA8}"/>
            </c:ext>
          </c:extLst>
        </c:ser>
        <c:ser>
          <c:idx val="1"/>
          <c:order val="1"/>
          <c:tx>
            <c:strRef>
              <c:f>'Fig. 1'!$F$1</c:f>
              <c:strCache>
                <c:ptCount val="1"/>
                <c:pt idx="0">
                  <c:v>Energy generation, non-renewable sources</c:v>
                </c:pt>
              </c:strCache>
            </c:strRef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noFill/>
              <a:ln w="6350">
                <a:solidFill>
                  <a:schemeClr val="tx1"/>
                </a:solidFill>
              </a:ln>
              <a:effectLst/>
            </c:spPr>
          </c:marker>
          <c:xVal>
            <c:numRef>
              <c:f>'Fig. 1'!$H$3:$H$15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1'!$J$3:$J$15</c:f>
              <c:numCache>
                <c:formatCode>0.0</c:formatCode>
                <c:ptCount val="13"/>
                <c:pt idx="0">
                  <c:v>1.0306029999999999</c:v>
                </c:pt>
                <c:pt idx="1">
                  <c:v>1.0073220000000001</c:v>
                </c:pt>
                <c:pt idx="2">
                  <c:v>5.4280150000000003</c:v>
                </c:pt>
                <c:pt idx="3">
                  <c:v>3.6335980000000001</c:v>
                </c:pt>
                <c:pt idx="4">
                  <c:v>36.345266000000002</c:v>
                </c:pt>
                <c:pt idx="5">
                  <c:v>21.114815</c:v>
                </c:pt>
                <c:pt idx="6">
                  <c:v>4.3259359999999996</c:v>
                </c:pt>
                <c:pt idx="7">
                  <c:v>0.74782099999999996</c:v>
                </c:pt>
                <c:pt idx="8">
                  <c:v>23.871917</c:v>
                </c:pt>
                <c:pt idx="9">
                  <c:v>16.358233999999999</c:v>
                </c:pt>
                <c:pt idx="10">
                  <c:v>45.325422000000003</c:v>
                </c:pt>
                <c:pt idx="11">
                  <c:v>34.505020999999999</c:v>
                </c:pt>
                <c:pt idx="12">
                  <c:v>18.833289000000001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A4D-4F2D-BFE2-B0B634903FA8}"/>
            </c:ext>
          </c:extLst>
        </c:ser>
        <c:ser>
          <c:idx val="2"/>
          <c:order val="2"/>
          <c:tx>
            <c:strRef>
              <c:f>'Fig. 1'!$K$1</c:f>
              <c:strCache>
                <c:ptCount val="1"/>
                <c:pt idx="0">
                  <c:v>Energy generation, renewable sources</c:v>
                </c:pt>
              </c:strCache>
            </c:strRef>
          </c:tx>
          <c:spPr>
            <a:ln w="6350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diamond"/>
            <c:size val="7"/>
            <c:spPr>
              <a:noFill/>
              <a:ln w="6350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'Fig. 1'!$M$3:$M$15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1'!$O$3:$O$15</c:f>
              <c:numCache>
                <c:formatCode>0.0</c:formatCode>
                <c:ptCount val="13"/>
                <c:pt idx="0">
                  <c:v>0.224661</c:v>
                </c:pt>
                <c:pt idx="1">
                  <c:v>2.7608890000000001</c:v>
                </c:pt>
                <c:pt idx="2">
                  <c:v>13.758426</c:v>
                </c:pt>
                <c:pt idx="3">
                  <c:v>23.072313999999999</c:v>
                </c:pt>
                <c:pt idx="4">
                  <c:v>12.903739</c:v>
                </c:pt>
                <c:pt idx="5">
                  <c:v>11.467117999999999</c:v>
                </c:pt>
                <c:pt idx="6">
                  <c:v>2.4333649999999998</c:v>
                </c:pt>
                <c:pt idx="7">
                  <c:v>3.4512019999999999</c:v>
                </c:pt>
                <c:pt idx="8">
                  <c:v>20.333223</c:v>
                </c:pt>
                <c:pt idx="9">
                  <c:v>60.955634000000003</c:v>
                </c:pt>
                <c:pt idx="10">
                  <c:v>13.789175999999999</c:v>
                </c:pt>
                <c:pt idx="11">
                  <c:v>17.249286999999999</c:v>
                </c:pt>
                <c:pt idx="12">
                  <c:v>37.127099999999999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3A4D-4F2D-BFE2-B0B634903FA8}"/>
            </c:ext>
          </c:extLst>
        </c:ser>
        <c:ser>
          <c:idx val="0"/>
          <c:order val="3"/>
          <c:tx>
            <c:strRef>
              <c:f>'Fig. 1'!$A$1</c:f>
              <c:strCache>
                <c:ptCount val="1"/>
                <c:pt idx="0">
                  <c:v>Energy Policy</c:v>
                </c:pt>
              </c:strCache>
            </c:strRef>
          </c:tx>
          <c:spPr>
            <a:ln w="6350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square"/>
            <c:size val="6"/>
            <c:spPr>
              <a:noFill/>
              <a:ln w="6350">
                <a:solidFill>
                  <a:schemeClr val="accent5">
                    <a:lumMod val="50000"/>
                  </a:schemeClr>
                </a:solidFill>
              </a:ln>
              <a:effectLst/>
            </c:spPr>
          </c:marker>
          <c:xVal>
            <c:numRef>
              <c:f>'Fig. 1'!$C$3:$C$15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1'!$E$3:$E$15</c:f>
              <c:numCache>
                <c:formatCode>0.0</c:formatCode>
                <c:ptCount val="13"/>
                <c:pt idx="0">
                  <c:v>1.5072239999999999</c:v>
                </c:pt>
                <c:pt idx="1">
                  <c:v>1.6505650000000001</c:v>
                </c:pt>
                <c:pt idx="2">
                  <c:v>1.453848</c:v>
                </c:pt>
                <c:pt idx="3">
                  <c:v>1.3595269999999999</c:v>
                </c:pt>
                <c:pt idx="4">
                  <c:v>3.097756</c:v>
                </c:pt>
                <c:pt idx="5">
                  <c:v>2.4613559999999999</c:v>
                </c:pt>
                <c:pt idx="6">
                  <c:v>2.0692210000000002</c:v>
                </c:pt>
                <c:pt idx="7">
                  <c:v>13.940637000000001</c:v>
                </c:pt>
                <c:pt idx="8">
                  <c:v>14.366968</c:v>
                </c:pt>
                <c:pt idx="9">
                  <c:v>23.877144999999999</c:v>
                </c:pt>
                <c:pt idx="10">
                  <c:v>10.723321</c:v>
                </c:pt>
                <c:pt idx="11">
                  <c:v>10.305455</c:v>
                </c:pt>
                <c:pt idx="12">
                  <c:v>14.784865999999999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A4D-4F2D-BFE2-B0B634903FA8}"/>
            </c:ext>
          </c:extLst>
        </c:ser>
        <c:ser>
          <c:idx val="4"/>
          <c:order val="4"/>
          <c:tx>
            <c:strRef>
              <c:f>'Fig. 1'!$U$1</c:f>
              <c:strCache>
                <c:ptCount val="1"/>
                <c:pt idx="0">
                  <c:v>Nuclear energy plants</c:v>
                </c:pt>
              </c:strCache>
            </c:strRef>
          </c:tx>
          <c:spPr>
            <a:ln w="19050" cap="sq">
              <a:solidFill>
                <a:srgbClr val="FFC000"/>
              </a:solidFill>
              <a:prstDash val="lgDash"/>
              <a:round/>
            </a:ln>
            <a:effectLst/>
          </c:spPr>
          <c:marker>
            <c:symbol val="none"/>
          </c:marker>
          <c:xVal>
            <c:numRef>
              <c:f>'Fig. 1'!$W$3:$W$13</c:f>
              <c:numCache>
                <c:formatCode>General</c:formatCode>
                <c:ptCount val="11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xVal>
          <c:yVal>
            <c:numRef>
              <c:f>'Fig. 1'!$Y$3:$Y$13</c:f>
              <c:numCache>
                <c:formatCode>0.00</c:formatCode>
                <c:ptCount val="11"/>
                <c:pt idx="0">
                  <c:v>0</c:v>
                </c:pt>
                <c:pt idx="1">
                  <c:v>0.12027599999999999</c:v>
                </c:pt>
                <c:pt idx="2">
                  <c:v>6.2753000000000003E-2</c:v>
                </c:pt>
                <c:pt idx="3">
                  <c:v>0.18157799999999999</c:v>
                </c:pt>
                <c:pt idx="4">
                  <c:v>0.36671799999999999</c:v>
                </c:pt>
                <c:pt idx="5">
                  <c:v>0.52492899999999998</c:v>
                </c:pt>
                <c:pt idx="6">
                  <c:v>0.19640199999999999</c:v>
                </c:pt>
                <c:pt idx="7">
                  <c:v>0</c:v>
                </c:pt>
                <c:pt idx="8">
                  <c:v>0</c:v>
                </c:pt>
                <c:pt idx="9">
                  <c:v>0.16014700000000001</c:v>
                </c:pt>
                <c:pt idx="10">
                  <c:v>4.4358000000000002E-2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3A4D-4F2D-BFE2-B0B634903F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2660848"/>
        <c:axId val="-392658672"/>
      </c:scatterChart>
      <c:valAx>
        <c:axId val="-392660848"/>
        <c:scaling>
          <c:orientation val="minMax"/>
          <c:max val="2020"/>
          <c:min val="2008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Year</a:t>
                </a:r>
              </a:p>
            </c:rich>
          </c:tx>
          <c:layout>
            <c:manualLayout>
              <c:xMode val="edge"/>
              <c:yMode val="edge"/>
              <c:x val="0.50099188006357509"/>
              <c:y val="0.7719842352330825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out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58672"/>
        <c:crosses val="autoZero"/>
        <c:crossBetween val="midCat"/>
        <c:minorUnit val="1"/>
      </c:valAx>
      <c:valAx>
        <c:axId val="-392658672"/>
        <c:scaling>
          <c:orientation val="minMax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4.7711647380109887E-3"/>
              <c:y val="0.1227141506355276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60848"/>
        <c:crosses val="autoZero"/>
        <c:crossBetween val="midCat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"/>
          <c:y val="0.8336961014835953"/>
          <c:w val="0.99914565335203565"/>
          <c:h val="0.166145581430376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/>
              <a:t>Kosovo</a:t>
            </a:r>
            <a:endParaRPr lang="sv-SE" sz="1000" b="1"/>
          </a:p>
        </c:rich>
      </c:tx>
      <c:layout>
        <c:manualLayout>
          <c:xMode val="edge"/>
          <c:yMode val="edge"/>
          <c:x val="0.48956036365899608"/>
          <c:y val="8.50159404888416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4024582959518724E-2"/>
          <c:y val="7.2667542487050971E-2"/>
          <c:w val="0.87610910984305101"/>
          <c:h val="0.5911616892734316"/>
        </c:manualLayout>
      </c:layout>
      <c:scatterChart>
        <c:scatterStyle val="smoothMarker"/>
        <c:varyColors val="0"/>
        <c:ser>
          <c:idx val="3"/>
          <c:order val="0"/>
          <c:tx>
            <c:strRef>
              <c:f>'Fig. 1'!$P$1</c:f>
              <c:strCache>
                <c:ptCount val="1"/>
                <c:pt idx="0">
                  <c:v>Energy distribution</c:v>
                </c:pt>
              </c:strCache>
            </c:strRef>
          </c:tx>
          <c:spPr>
            <a:ln w="6350" cap="rnd">
              <a:solidFill>
                <a:srgbClr val="FF0000"/>
              </a:solidFill>
              <a:round/>
            </a:ln>
            <a:effectLst/>
          </c:spPr>
          <c:marker>
            <c:symbol val="triangle"/>
            <c:size val="6"/>
            <c:spPr>
              <a:noFill/>
              <a:ln w="6350">
                <a:solidFill>
                  <a:srgbClr val="FF0000"/>
                </a:solidFill>
              </a:ln>
              <a:effectLst/>
            </c:spPr>
          </c:marker>
          <c:xVal>
            <c:numRef>
              <c:f>'Fig. 1'!$R$3:$R$14</c:f>
              <c:numCache>
                <c:formatCode>General</c:formatCode>
                <c:ptCount val="12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  <c:pt idx="11">
                  <c:v>2020</c:v>
                </c:pt>
              </c:numCache>
            </c:numRef>
          </c:xVal>
          <c:yVal>
            <c:numRef>
              <c:f>'Fig. 1'!$T$3:$T$14</c:f>
              <c:numCache>
                <c:formatCode>0.0</c:formatCode>
                <c:ptCount val="12"/>
                <c:pt idx="0">
                  <c:v>1.0668089999999999</c:v>
                </c:pt>
                <c:pt idx="1">
                  <c:v>2.6920500000000001</c:v>
                </c:pt>
                <c:pt idx="2">
                  <c:v>6.4361430000000004</c:v>
                </c:pt>
                <c:pt idx="3">
                  <c:v>11.758406000000001</c:v>
                </c:pt>
                <c:pt idx="4">
                  <c:v>5.4940660000000001</c:v>
                </c:pt>
                <c:pt idx="5">
                  <c:v>21.093201000000001</c:v>
                </c:pt>
                <c:pt idx="6">
                  <c:v>36.471148999999997</c:v>
                </c:pt>
                <c:pt idx="7">
                  <c:v>25.405110000000001</c:v>
                </c:pt>
                <c:pt idx="8">
                  <c:v>26.636075000000002</c:v>
                </c:pt>
                <c:pt idx="9">
                  <c:v>12.472916</c:v>
                </c:pt>
                <c:pt idx="10">
                  <c:v>13.030486</c:v>
                </c:pt>
                <c:pt idx="11">
                  <c:v>7.7739159999999998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0E4-4178-A367-7401787268D5}"/>
            </c:ext>
          </c:extLst>
        </c:ser>
        <c:ser>
          <c:idx val="1"/>
          <c:order val="1"/>
          <c:tx>
            <c:strRef>
              <c:f>'Fig. 1'!$F$1</c:f>
              <c:strCache>
                <c:ptCount val="1"/>
                <c:pt idx="0">
                  <c:v>Energy generation, non-renewable sources</c:v>
                </c:pt>
              </c:strCache>
            </c:strRef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noFill/>
              <a:ln w="6350">
                <a:solidFill>
                  <a:schemeClr val="tx1"/>
                </a:solidFill>
              </a:ln>
              <a:effectLst/>
            </c:spPr>
          </c:marker>
          <c:xVal>
            <c:numRef>
              <c:f>'Fig. 1'!$H$3:$H$15</c:f>
              <c:numCache>
                <c:formatCode>General</c:formatCode>
                <c:ptCount val="13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  <c:pt idx="11">
                  <c:v>2020</c:v>
                </c:pt>
              </c:numCache>
            </c:numRef>
          </c:xVal>
          <c:yVal>
            <c:numRef>
              <c:f>'Fig. 1'!$J$3:$J$15</c:f>
              <c:numCache>
                <c:formatCode>0.0</c:formatCode>
                <c:ptCount val="13"/>
                <c:pt idx="0">
                  <c:v>8.5745260000000005</c:v>
                </c:pt>
                <c:pt idx="1">
                  <c:v>8.0027430000000006</c:v>
                </c:pt>
                <c:pt idx="2">
                  <c:v>1.7747269999999999</c:v>
                </c:pt>
                <c:pt idx="3">
                  <c:v>4.8350400000000002</c:v>
                </c:pt>
                <c:pt idx="4">
                  <c:v>2.5460000000000001E-3</c:v>
                </c:pt>
                <c:pt idx="5">
                  <c:v>0</c:v>
                </c:pt>
                <c:pt idx="6">
                  <c:v>8.92E-4</c:v>
                </c:pt>
                <c:pt idx="7">
                  <c:v>0.56367999999999996</c:v>
                </c:pt>
                <c:pt idx="8">
                  <c:v>0.83630499999999997</c:v>
                </c:pt>
                <c:pt idx="9">
                  <c:v>8.1443000000000002E-2</c:v>
                </c:pt>
                <c:pt idx="10">
                  <c:v>0</c:v>
                </c:pt>
                <c:pt idx="11">
                  <c:v>9.529242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0E4-4178-A367-7401787268D5}"/>
            </c:ext>
          </c:extLst>
        </c:ser>
        <c:ser>
          <c:idx val="2"/>
          <c:order val="2"/>
          <c:tx>
            <c:strRef>
              <c:f>'Fig. 1'!$K$1</c:f>
              <c:strCache>
                <c:ptCount val="1"/>
                <c:pt idx="0">
                  <c:v>Energy generation, renewable sources</c:v>
                </c:pt>
              </c:strCache>
            </c:strRef>
          </c:tx>
          <c:spPr>
            <a:ln w="6350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diamond"/>
            <c:size val="7"/>
            <c:spPr>
              <a:noFill/>
              <a:ln w="6350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'Fig. 1'!$M$3:$M$15</c:f>
              <c:numCache>
                <c:formatCode>General</c:formatCode>
                <c:ptCount val="13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  <c:pt idx="11">
                  <c:v>2020</c:v>
                </c:pt>
              </c:numCache>
            </c:numRef>
          </c:xVal>
          <c:yVal>
            <c:numRef>
              <c:f>'Fig. 1'!$O$3:$O$15</c:f>
              <c:numCache>
                <c:formatCode>0.0</c:formatCode>
                <c:ptCount val="13"/>
                <c:pt idx="0">
                  <c:v>16.783783</c:v>
                </c:pt>
                <c:pt idx="1">
                  <c:v>0.23097899999999999</c:v>
                </c:pt>
                <c:pt idx="2">
                  <c:v>2.6426000000000002E-2</c:v>
                </c:pt>
                <c:pt idx="3">
                  <c:v>4.5170000000000002E-3</c:v>
                </c:pt>
                <c:pt idx="4">
                  <c:v>0.121281</c:v>
                </c:pt>
                <c:pt idx="5">
                  <c:v>1.2449999999999999E-2</c:v>
                </c:pt>
                <c:pt idx="6">
                  <c:v>2.4884300000000001</c:v>
                </c:pt>
                <c:pt idx="7">
                  <c:v>1.718804</c:v>
                </c:pt>
                <c:pt idx="8">
                  <c:v>3.2096629999999999</c:v>
                </c:pt>
                <c:pt idx="9">
                  <c:v>6.2582420000000001</c:v>
                </c:pt>
                <c:pt idx="10">
                  <c:v>24.090955999999998</c:v>
                </c:pt>
                <c:pt idx="11">
                  <c:v>19.679545999999998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0E4-4178-A367-7401787268D5}"/>
            </c:ext>
          </c:extLst>
        </c:ser>
        <c:ser>
          <c:idx val="0"/>
          <c:order val="3"/>
          <c:tx>
            <c:strRef>
              <c:f>'Fig. 1'!$A$1</c:f>
              <c:strCache>
                <c:ptCount val="1"/>
                <c:pt idx="0">
                  <c:v>Energy Policy</c:v>
                </c:pt>
              </c:strCache>
            </c:strRef>
          </c:tx>
          <c:spPr>
            <a:ln w="6350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square"/>
            <c:size val="6"/>
            <c:spPr>
              <a:noFill/>
              <a:ln w="6350">
                <a:solidFill>
                  <a:schemeClr val="accent5">
                    <a:lumMod val="50000"/>
                  </a:schemeClr>
                </a:solidFill>
              </a:ln>
              <a:effectLst/>
            </c:spPr>
          </c:marker>
          <c:xVal>
            <c:numRef>
              <c:f>'Fig. 1'!$C$3:$C$14</c:f>
              <c:numCache>
                <c:formatCode>General</c:formatCode>
                <c:ptCount val="12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  <c:pt idx="11">
                  <c:v>2020</c:v>
                </c:pt>
              </c:numCache>
            </c:numRef>
          </c:xVal>
          <c:yVal>
            <c:numRef>
              <c:f>'Fig. 1'!$E$3:$E$14</c:f>
              <c:numCache>
                <c:formatCode>0.0</c:formatCode>
                <c:ptCount val="12"/>
                <c:pt idx="0">
                  <c:v>9.6909019999999995</c:v>
                </c:pt>
                <c:pt idx="1">
                  <c:v>0.50234900000000005</c:v>
                </c:pt>
                <c:pt idx="2">
                  <c:v>1.0631660000000001</c:v>
                </c:pt>
                <c:pt idx="3">
                  <c:v>9.1554629999999992</c:v>
                </c:pt>
                <c:pt idx="4">
                  <c:v>7.2436800000000003</c:v>
                </c:pt>
                <c:pt idx="5">
                  <c:v>1.5520989999999999</c:v>
                </c:pt>
                <c:pt idx="6">
                  <c:v>2.631532</c:v>
                </c:pt>
                <c:pt idx="7">
                  <c:v>1.5689979999999999</c:v>
                </c:pt>
                <c:pt idx="8">
                  <c:v>4.0046819999999999</c:v>
                </c:pt>
                <c:pt idx="9">
                  <c:v>13.09653</c:v>
                </c:pt>
                <c:pt idx="10">
                  <c:v>5.3161490000000002</c:v>
                </c:pt>
                <c:pt idx="11">
                  <c:v>6.1869630000000004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0E4-4178-A367-7401787268D5}"/>
            </c:ext>
          </c:extLst>
        </c:ser>
        <c:ser>
          <c:idx val="4"/>
          <c:order val="4"/>
          <c:tx>
            <c:strRef>
              <c:f>'Fig. 1'!$U$1</c:f>
              <c:strCache>
                <c:ptCount val="1"/>
                <c:pt idx="0">
                  <c:v>Nuclear energy plants</c:v>
                </c:pt>
              </c:strCache>
            </c:strRef>
          </c:tx>
          <c:spPr>
            <a:ln w="19050" cap="sq">
              <a:solidFill>
                <a:srgbClr val="FFC000"/>
              </a:solidFill>
              <a:prstDash val="lgDash"/>
              <a:round/>
            </a:ln>
            <a:effectLst/>
          </c:spPr>
          <c:marker>
            <c:symbol val="none"/>
          </c:marker>
          <c:xVal>
            <c:numRef>
              <c:f>'Fig. 1'!$W$4:$W$15</c:f>
              <c:numCache>
                <c:formatCode>General</c:formatCode>
                <c:ptCount val="12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  <c:pt idx="11">
                  <c:v>2020</c:v>
                </c:pt>
              </c:numCache>
            </c:numRef>
          </c:xVal>
          <c:yVal>
            <c:numRef>
              <c:f>'Fig. 1'!$Y$4:$Y$15</c:f>
              <c:numCache>
                <c:formatCode>0.00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2.5094000000000002E-2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60E4-4178-A367-7401787268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2685872"/>
        <c:axId val="-392682608"/>
      </c:scatterChart>
      <c:valAx>
        <c:axId val="-392685872"/>
        <c:scaling>
          <c:orientation val="minMax"/>
          <c:max val="2020"/>
          <c:min val="2008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Year</a:t>
                </a:r>
              </a:p>
            </c:rich>
          </c:tx>
          <c:layout>
            <c:manualLayout>
              <c:xMode val="edge"/>
              <c:yMode val="edge"/>
              <c:x val="0.50099188006357509"/>
              <c:y val="0.767733438208640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out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82608"/>
        <c:crosses val="autoZero"/>
        <c:crossBetween val="midCat"/>
        <c:minorUnit val="1"/>
      </c:valAx>
      <c:valAx>
        <c:axId val="-392682608"/>
        <c:scaling>
          <c:orientation val="minMax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Development finance / US$ million </a:t>
                </a:r>
              </a:p>
            </c:rich>
          </c:tx>
          <c:layout>
            <c:manualLayout>
              <c:xMode val="edge"/>
              <c:yMode val="edge"/>
              <c:x val="5.2675601784594739E-3"/>
              <c:y val="0.128701080271448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85872"/>
        <c:crosses val="autoZero"/>
        <c:crossBetween val="midCat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"/>
          <c:y val="0.83387517049210502"/>
          <c:w val="0.99899445767659611"/>
          <c:h val="0.157464918372982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/>
              <a:t>Montenegro</a:t>
            </a:r>
            <a:endParaRPr lang="sv-SE" sz="1000" b="1"/>
          </a:p>
        </c:rich>
      </c:tx>
      <c:layout>
        <c:manualLayout>
          <c:xMode val="edge"/>
          <c:yMode val="edge"/>
          <c:x val="0.49525737420474264"/>
          <c:y val="1.2752391073326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4024582959518724E-2"/>
          <c:y val="7.0138150903294366E-2"/>
          <c:w val="0.87610910984305101"/>
          <c:h val="0.5911616892734316"/>
        </c:manualLayout>
      </c:layout>
      <c:scatterChart>
        <c:scatterStyle val="smoothMarker"/>
        <c:varyColors val="0"/>
        <c:ser>
          <c:idx val="3"/>
          <c:order val="0"/>
          <c:tx>
            <c:strRef>
              <c:f>'Fig. 1'!$P$1</c:f>
              <c:strCache>
                <c:ptCount val="1"/>
                <c:pt idx="0">
                  <c:v>Energy distribution</c:v>
                </c:pt>
              </c:strCache>
            </c:strRef>
          </c:tx>
          <c:spPr>
            <a:ln w="6350" cap="rnd">
              <a:solidFill>
                <a:srgbClr val="FF0000"/>
              </a:solidFill>
              <a:round/>
            </a:ln>
            <a:effectLst/>
          </c:spPr>
          <c:marker>
            <c:symbol val="triangle"/>
            <c:size val="6"/>
            <c:spPr>
              <a:noFill/>
              <a:ln w="6350">
                <a:solidFill>
                  <a:srgbClr val="FF0000"/>
                </a:solidFill>
              </a:ln>
              <a:effectLst/>
            </c:spPr>
          </c:marker>
          <c:xVal>
            <c:numRef>
              <c:f>'Fig. 1'!$R$3:$R$15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1'!$T$3:$T$15</c:f>
              <c:numCache>
                <c:formatCode>0.0</c:formatCode>
                <c:ptCount val="13"/>
                <c:pt idx="0">
                  <c:v>1.3165629999999999</c:v>
                </c:pt>
                <c:pt idx="1">
                  <c:v>2.3241230000000002</c:v>
                </c:pt>
                <c:pt idx="2">
                  <c:v>1.1187260000000001</c:v>
                </c:pt>
                <c:pt idx="3">
                  <c:v>5.2241929999999996</c:v>
                </c:pt>
                <c:pt idx="4">
                  <c:v>21.531680000000001</c:v>
                </c:pt>
                <c:pt idx="5">
                  <c:v>24.258533</c:v>
                </c:pt>
                <c:pt idx="6">
                  <c:v>18.362746999999999</c:v>
                </c:pt>
                <c:pt idx="7">
                  <c:v>21.284583999999999</c:v>
                </c:pt>
                <c:pt idx="8">
                  <c:v>37.548242999999999</c:v>
                </c:pt>
                <c:pt idx="9">
                  <c:v>24.238379999999999</c:v>
                </c:pt>
                <c:pt idx="10">
                  <c:v>16.077390000000001</c:v>
                </c:pt>
                <c:pt idx="11">
                  <c:v>22.588705999999998</c:v>
                </c:pt>
                <c:pt idx="12">
                  <c:v>3.8937849999999998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54E-4DB3-80AB-7BA1D7C65558}"/>
            </c:ext>
          </c:extLst>
        </c:ser>
        <c:ser>
          <c:idx val="1"/>
          <c:order val="1"/>
          <c:tx>
            <c:strRef>
              <c:f>'Fig. 1'!$F$1</c:f>
              <c:strCache>
                <c:ptCount val="1"/>
                <c:pt idx="0">
                  <c:v>Energy generation, non-renewable sources</c:v>
                </c:pt>
              </c:strCache>
            </c:strRef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noFill/>
              <a:ln w="6350">
                <a:solidFill>
                  <a:schemeClr val="tx1"/>
                </a:solidFill>
              </a:ln>
              <a:effectLst/>
            </c:spPr>
          </c:marker>
          <c:xVal>
            <c:numRef>
              <c:f>'Fig. 1'!$H$3:$H$15</c:f>
              <c:numCache>
                <c:formatCode>General</c:formatCode>
                <c:ptCount val="13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  <c:pt idx="11">
                  <c:v>2020</c:v>
                </c:pt>
              </c:numCache>
            </c:numRef>
          </c:xVal>
          <c:yVal>
            <c:numRef>
              <c:f>'Fig. 1'!$J$3:$J$15</c:f>
              <c:numCache>
                <c:formatCode>0.0</c:formatCode>
                <c:ptCount val="13"/>
                <c:pt idx="0">
                  <c:v>0.64427599999999996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0.609294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54E-4DB3-80AB-7BA1D7C65558}"/>
            </c:ext>
          </c:extLst>
        </c:ser>
        <c:ser>
          <c:idx val="2"/>
          <c:order val="2"/>
          <c:tx>
            <c:strRef>
              <c:f>'Fig. 1'!$K$1</c:f>
              <c:strCache>
                <c:ptCount val="1"/>
                <c:pt idx="0">
                  <c:v>Energy generation, renewable sources</c:v>
                </c:pt>
              </c:strCache>
            </c:strRef>
          </c:tx>
          <c:spPr>
            <a:ln w="6350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diamond"/>
            <c:size val="7"/>
            <c:spPr>
              <a:noFill/>
              <a:ln w="6350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'Fig. 1'!$M$3:$M$15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1'!$O$3:$O$15</c:f>
              <c:numCache>
                <c:formatCode>0.0</c:formatCode>
                <c:ptCount val="13"/>
                <c:pt idx="0">
                  <c:v>3.0853959999999998</c:v>
                </c:pt>
                <c:pt idx="1">
                  <c:v>5.0900449999999999</c:v>
                </c:pt>
                <c:pt idx="2">
                  <c:v>2.5604939999999998</c:v>
                </c:pt>
                <c:pt idx="3">
                  <c:v>6.8535360000000001</c:v>
                </c:pt>
                <c:pt idx="4">
                  <c:v>1.704196</c:v>
                </c:pt>
                <c:pt idx="5">
                  <c:v>2.8778290000000002</c:v>
                </c:pt>
                <c:pt idx="6">
                  <c:v>2.405742</c:v>
                </c:pt>
                <c:pt idx="7">
                  <c:v>11.383749999999999</c:v>
                </c:pt>
                <c:pt idx="8">
                  <c:v>40.394340999999997</c:v>
                </c:pt>
                <c:pt idx="9">
                  <c:v>20.073782999999999</c:v>
                </c:pt>
                <c:pt idx="10">
                  <c:v>17.513468</c:v>
                </c:pt>
                <c:pt idx="11">
                  <c:v>4.5210720000000002</c:v>
                </c:pt>
                <c:pt idx="12">
                  <c:v>26.284981999999999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F54E-4DB3-80AB-7BA1D7C65558}"/>
            </c:ext>
          </c:extLst>
        </c:ser>
        <c:ser>
          <c:idx val="0"/>
          <c:order val="3"/>
          <c:tx>
            <c:strRef>
              <c:f>'Fig. 1'!$A$1</c:f>
              <c:strCache>
                <c:ptCount val="1"/>
                <c:pt idx="0">
                  <c:v>Energy Policy</c:v>
                </c:pt>
              </c:strCache>
            </c:strRef>
          </c:tx>
          <c:spPr>
            <a:ln w="6350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square"/>
            <c:size val="6"/>
            <c:spPr>
              <a:noFill/>
              <a:ln w="6350">
                <a:solidFill>
                  <a:schemeClr val="accent5">
                    <a:lumMod val="50000"/>
                  </a:schemeClr>
                </a:solidFill>
              </a:ln>
              <a:effectLst/>
            </c:spPr>
          </c:marker>
          <c:xVal>
            <c:numRef>
              <c:f>'Fig. 1'!$C$3:$C$15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1'!$E$3:$E$15</c:f>
              <c:numCache>
                <c:formatCode>0.0</c:formatCode>
                <c:ptCount val="13"/>
                <c:pt idx="0">
                  <c:v>1.5033749999999999</c:v>
                </c:pt>
                <c:pt idx="1">
                  <c:v>2.6930130000000001</c:v>
                </c:pt>
                <c:pt idx="2">
                  <c:v>2.9907400000000002</c:v>
                </c:pt>
                <c:pt idx="3">
                  <c:v>2.9317690000000001</c:v>
                </c:pt>
                <c:pt idx="4">
                  <c:v>4.7684850000000001</c:v>
                </c:pt>
                <c:pt idx="5">
                  <c:v>2.4120110000000001</c:v>
                </c:pt>
                <c:pt idx="6">
                  <c:v>0.403285</c:v>
                </c:pt>
                <c:pt idx="7">
                  <c:v>0.50182000000000004</c:v>
                </c:pt>
                <c:pt idx="8">
                  <c:v>1.7845</c:v>
                </c:pt>
                <c:pt idx="9">
                  <c:v>2.801555</c:v>
                </c:pt>
                <c:pt idx="10">
                  <c:v>0.400588</c:v>
                </c:pt>
                <c:pt idx="11">
                  <c:v>9.2941999999999997E-2</c:v>
                </c:pt>
                <c:pt idx="12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F54E-4DB3-80AB-7BA1D7C65558}"/>
            </c:ext>
          </c:extLst>
        </c:ser>
        <c:ser>
          <c:idx val="4"/>
          <c:order val="4"/>
          <c:tx>
            <c:strRef>
              <c:f>'Fig. 1'!$U$1</c:f>
              <c:strCache>
                <c:ptCount val="1"/>
                <c:pt idx="0">
                  <c:v>Nuclear energy plants </c:v>
                </c:pt>
              </c:strCache>
            </c:strRef>
          </c:tx>
          <c:spPr>
            <a:ln w="19050" cap="sq">
              <a:solidFill>
                <a:srgbClr val="FFC000"/>
              </a:solidFill>
              <a:prstDash val="lgDash"/>
              <a:round/>
            </a:ln>
            <a:effectLst/>
          </c:spPr>
          <c:marker>
            <c:symbol val="none"/>
          </c:marker>
          <c:xVal>
            <c:numRef>
              <c:f>'Fig. 1'!$W$3:$W$13</c:f>
              <c:numCache>
                <c:formatCode>General</c:formatCode>
                <c:ptCount val="11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numCache>
            </c:numRef>
          </c:xVal>
          <c:yVal>
            <c:numRef>
              <c:f>'Fig. 1'!$Y$3:$Y$13</c:f>
              <c:numCache>
                <c:formatCode>0.00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0.10248400000000001</c:v>
                </c:pt>
                <c:pt idx="4">
                  <c:v>0.444189</c:v>
                </c:pt>
                <c:pt idx="5">
                  <c:v>0.121268</c:v>
                </c:pt>
                <c:pt idx="6">
                  <c:v>4.4047000000000003E-2</c:v>
                </c:pt>
                <c:pt idx="7">
                  <c:v>0</c:v>
                </c:pt>
                <c:pt idx="8">
                  <c:v>6.4779000000000003E-2</c:v>
                </c:pt>
                <c:pt idx="9">
                  <c:v>0</c:v>
                </c:pt>
                <c:pt idx="10">
                  <c:v>5.6470000000000001E-3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F54E-4DB3-80AB-7BA1D7C655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2667920"/>
        <c:axId val="-392657584"/>
      </c:scatterChart>
      <c:valAx>
        <c:axId val="-392667920"/>
        <c:scaling>
          <c:orientation val="minMax"/>
          <c:max val="2020"/>
          <c:min val="2008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Year</a:t>
                </a:r>
              </a:p>
            </c:rich>
          </c:tx>
          <c:layout>
            <c:manualLayout>
              <c:xMode val="edge"/>
              <c:yMode val="edge"/>
              <c:x val="0.50099188006357509"/>
              <c:y val="0.767733438208640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out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57584"/>
        <c:crosses val="autoZero"/>
        <c:crossBetween val="midCat"/>
        <c:minorUnit val="1"/>
      </c:valAx>
      <c:valAx>
        <c:axId val="-392657584"/>
        <c:scaling>
          <c:orientation val="minMax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Development finance / US$ million </a:t>
                </a:r>
              </a:p>
            </c:rich>
          </c:tx>
          <c:layout>
            <c:manualLayout>
              <c:xMode val="edge"/>
              <c:yMode val="edge"/>
              <c:x val="5.2675601784594739E-3"/>
              <c:y val="7.7691515978143555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67920"/>
        <c:crosses val="autoZero"/>
        <c:crossBetween val="midCat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"/>
          <c:y val="0.83387517049210502"/>
          <c:w val="0.99914565335203565"/>
          <c:h val="0.157464918372982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/>
              <a:t>North Macedonia</a:t>
            </a:r>
            <a:endParaRPr lang="sv-SE" sz="1000" b="1"/>
          </a:p>
        </c:rich>
      </c:tx>
      <c:layout>
        <c:manualLayout>
          <c:xMode val="edge"/>
          <c:yMode val="edge"/>
          <c:x val="0.471230468661053"/>
          <c:y val="1.2752391073326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4024582959518724E-2"/>
          <c:y val="7.3182966615154416E-2"/>
          <c:w val="0.87610910984305101"/>
          <c:h val="0.59544239213089023"/>
        </c:manualLayout>
      </c:layout>
      <c:scatterChart>
        <c:scatterStyle val="smoothMarker"/>
        <c:varyColors val="0"/>
        <c:ser>
          <c:idx val="3"/>
          <c:order val="0"/>
          <c:tx>
            <c:strRef>
              <c:f>'Fig. 1'!$P$1</c:f>
              <c:strCache>
                <c:ptCount val="1"/>
                <c:pt idx="0">
                  <c:v>Energy distribution</c:v>
                </c:pt>
              </c:strCache>
            </c:strRef>
          </c:tx>
          <c:spPr>
            <a:ln w="6350" cap="rnd">
              <a:solidFill>
                <a:srgbClr val="FF0000"/>
              </a:solidFill>
              <a:round/>
            </a:ln>
            <a:effectLst/>
          </c:spPr>
          <c:marker>
            <c:symbol val="triangle"/>
            <c:size val="6"/>
            <c:spPr>
              <a:noFill/>
              <a:ln w="6350">
                <a:solidFill>
                  <a:srgbClr val="FF0000"/>
                </a:solidFill>
              </a:ln>
              <a:effectLst/>
            </c:spPr>
          </c:marker>
          <c:xVal>
            <c:numRef>
              <c:f>'Fig. 1'!$R$3:$R$15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1'!$T$3:$T$15</c:f>
              <c:numCache>
                <c:formatCode>0.0</c:formatCode>
                <c:ptCount val="13"/>
                <c:pt idx="0">
                  <c:v>2.3365209999999998</c:v>
                </c:pt>
                <c:pt idx="1">
                  <c:v>9.0580300000000005</c:v>
                </c:pt>
                <c:pt idx="2">
                  <c:v>11.527434</c:v>
                </c:pt>
                <c:pt idx="3">
                  <c:v>2.9531480000000001</c:v>
                </c:pt>
                <c:pt idx="4">
                  <c:v>7.4859049999999998</c:v>
                </c:pt>
                <c:pt idx="5">
                  <c:v>3.2988010000000001</c:v>
                </c:pt>
                <c:pt idx="6">
                  <c:v>9.2383450000000007</c:v>
                </c:pt>
                <c:pt idx="7">
                  <c:v>2.8113450000000002</c:v>
                </c:pt>
                <c:pt idx="8">
                  <c:v>2.3290039999999999</c:v>
                </c:pt>
                <c:pt idx="9">
                  <c:v>0.310525</c:v>
                </c:pt>
                <c:pt idx="10">
                  <c:v>0</c:v>
                </c:pt>
                <c:pt idx="11">
                  <c:v>17.254011999999999</c:v>
                </c:pt>
                <c:pt idx="12">
                  <c:v>8.2795199999999998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442-457A-9979-52DA3009649C}"/>
            </c:ext>
          </c:extLst>
        </c:ser>
        <c:ser>
          <c:idx val="1"/>
          <c:order val="1"/>
          <c:tx>
            <c:strRef>
              <c:f>'Fig. 1'!$F$1</c:f>
              <c:strCache>
                <c:ptCount val="1"/>
                <c:pt idx="0">
                  <c:v>Energy generation, non-renewable sources</c:v>
                </c:pt>
              </c:strCache>
            </c:strRef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noFill/>
              <a:ln w="6350">
                <a:solidFill>
                  <a:schemeClr val="tx1"/>
                </a:solidFill>
              </a:ln>
              <a:effectLst/>
            </c:spPr>
          </c:marker>
          <c:xVal>
            <c:numRef>
              <c:f>'Fig. 1'!$H$3:$H$15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1'!$J$3:$J$15</c:f>
              <c:numCache>
                <c:formatCode>0.0</c:formatCode>
                <c:ptCount val="13"/>
                <c:pt idx="0">
                  <c:v>2.3365209999999998</c:v>
                </c:pt>
                <c:pt idx="1">
                  <c:v>0.29186200000000001</c:v>
                </c:pt>
                <c:pt idx="2">
                  <c:v>0.36097099999999999</c:v>
                </c:pt>
                <c:pt idx="3">
                  <c:v>2.4024640000000002</c:v>
                </c:pt>
                <c:pt idx="4">
                  <c:v>2.2531659999999998</c:v>
                </c:pt>
                <c:pt idx="5">
                  <c:v>1.46086</c:v>
                </c:pt>
                <c:pt idx="6">
                  <c:v>3.5506820000000001</c:v>
                </c:pt>
                <c:pt idx="7">
                  <c:v>3.4007869999999998</c:v>
                </c:pt>
                <c:pt idx="8">
                  <c:v>4.7577400000000001</c:v>
                </c:pt>
                <c:pt idx="9">
                  <c:v>3.5500000000000001E-4</c:v>
                </c:pt>
                <c:pt idx="10">
                  <c:v>0</c:v>
                </c:pt>
                <c:pt idx="11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442-457A-9979-52DA3009649C}"/>
            </c:ext>
          </c:extLst>
        </c:ser>
        <c:ser>
          <c:idx val="2"/>
          <c:order val="2"/>
          <c:tx>
            <c:strRef>
              <c:f>'Fig. 1'!$K$1</c:f>
              <c:strCache>
                <c:ptCount val="1"/>
                <c:pt idx="0">
                  <c:v>Energy generation, renewable sources</c:v>
                </c:pt>
              </c:strCache>
            </c:strRef>
          </c:tx>
          <c:spPr>
            <a:ln w="6350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diamond"/>
            <c:size val="7"/>
            <c:spPr>
              <a:noFill/>
              <a:ln w="6350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'Fig. 1'!$M$3:$M$15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1'!$O$3:$O$15</c:f>
              <c:numCache>
                <c:formatCode>0.0</c:formatCode>
                <c:ptCount val="13"/>
                <c:pt idx="0">
                  <c:v>0.94136799999999998</c:v>
                </c:pt>
                <c:pt idx="1">
                  <c:v>0.93253699999999995</c:v>
                </c:pt>
                <c:pt idx="2">
                  <c:v>0.25760499999999997</c:v>
                </c:pt>
                <c:pt idx="3">
                  <c:v>1.101235</c:v>
                </c:pt>
                <c:pt idx="4">
                  <c:v>23.681502999999999</c:v>
                </c:pt>
                <c:pt idx="5">
                  <c:v>42.121727</c:v>
                </c:pt>
                <c:pt idx="6">
                  <c:v>29.292382</c:v>
                </c:pt>
                <c:pt idx="7">
                  <c:v>2.5721810000000001</c:v>
                </c:pt>
                <c:pt idx="8">
                  <c:v>3.313E-2</c:v>
                </c:pt>
                <c:pt idx="9">
                  <c:v>8.9492000000000002E-2</c:v>
                </c:pt>
                <c:pt idx="10">
                  <c:v>0</c:v>
                </c:pt>
                <c:pt idx="11">
                  <c:v>4.9649999999999998E-3</c:v>
                </c:pt>
                <c:pt idx="12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442-457A-9979-52DA3009649C}"/>
            </c:ext>
          </c:extLst>
        </c:ser>
        <c:ser>
          <c:idx val="0"/>
          <c:order val="3"/>
          <c:tx>
            <c:strRef>
              <c:f>'Fig. 1'!$A$1</c:f>
              <c:strCache>
                <c:ptCount val="1"/>
                <c:pt idx="0">
                  <c:v>Energy Policy</c:v>
                </c:pt>
              </c:strCache>
            </c:strRef>
          </c:tx>
          <c:spPr>
            <a:ln w="6350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square"/>
            <c:size val="6"/>
            <c:spPr>
              <a:noFill/>
              <a:ln w="6350">
                <a:solidFill>
                  <a:schemeClr val="accent5">
                    <a:lumMod val="50000"/>
                  </a:schemeClr>
                </a:solidFill>
              </a:ln>
              <a:effectLst/>
            </c:spPr>
          </c:marker>
          <c:xVal>
            <c:numRef>
              <c:f>'Fig. 1'!$C$3:$C$15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1'!$E$3:$E$15</c:f>
              <c:numCache>
                <c:formatCode>0.0</c:formatCode>
                <c:ptCount val="13"/>
                <c:pt idx="0">
                  <c:v>0.62464399999999998</c:v>
                </c:pt>
                <c:pt idx="1">
                  <c:v>2.2526570000000001</c:v>
                </c:pt>
                <c:pt idx="2">
                  <c:v>1.418731</c:v>
                </c:pt>
                <c:pt idx="3">
                  <c:v>1.8943270000000001</c:v>
                </c:pt>
                <c:pt idx="4">
                  <c:v>0.46967100000000001</c:v>
                </c:pt>
                <c:pt idx="5">
                  <c:v>1.371885</c:v>
                </c:pt>
                <c:pt idx="6">
                  <c:v>1.908925</c:v>
                </c:pt>
                <c:pt idx="7">
                  <c:v>1.2990520000000001</c:v>
                </c:pt>
                <c:pt idx="8">
                  <c:v>0.62455300000000002</c:v>
                </c:pt>
                <c:pt idx="9">
                  <c:v>0.33168799999999998</c:v>
                </c:pt>
                <c:pt idx="10">
                  <c:v>0</c:v>
                </c:pt>
                <c:pt idx="11">
                  <c:v>0.21692</c:v>
                </c:pt>
                <c:pt idx="12">
                  <c:v>0.80832099999999996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5442-457A-9979-52DA3009649C}"/>
            </c:ext>
          </c:extLst>
        </c:ser>
        <c:ser>
          <c:idx val="4"/>
          <c:order val="4"/>
          <c:tx>
            <c:strRef>
              <c:f>'Fig. 1'!$U$1</c:f>
              <c:strCache>
                <c:ptCount val="1"/>
                <c:pt idx="0">
                  <c:v>Nuclear energy plants </c:v>
                </c:pt>
              </c:strCache>
            </c:strRef>
          </c:tx>
          <c:spPr>
            <a:ln w="19050" cap="sq">
              <a:solidFill>
                <a:srgbClr val="FFC000"/>
              </a:solidFill>
              <a:prstDash val="lgDash"/>
              <a:round/>
            </a:ln>
            <a:effectLst/>
          </c:spPr>
          <c:marker>
            <c:symbol val="none"/>
          </c:marker>
          <c:xVal>
            <c:numRef>
              <c:f>'Fig. 1'!$W$3:$W$13</c:f>
              <c:numCache>
                <c:formatCode>General</c:formatCode>
                <c:ptCount val="11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xVal>
          <c:yVal>
            <c:numRef>
              <c:f>'Fig. 1'!$Y$3:$Y$13</c:f>
              <c:numCache>
                <c:formatCode>0.00</c:formatCode>
                <c:ptCount val="11"/>
                <c:pt idx="0">
                  <c:v>0</c:v>
                </c:pt>
                <c:pt idx="1">
                  <c:v>5.1075000000000002E-2</c:v>
                </c:pt>
                <c:pt idx="2">
                  <c:v>2.5148E-2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5442-457A-9979-52DA300964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2680432"/>
        <c:axId val="-392679888"/>
      </c:scatterChart>
      <c:valAx>
        <c:axId val="-392680432"/>
        <c:scaling>
          <c:orientation val="minMax"/>
          <c:max val="2020"/>
          <c:min val="2008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sz="1000"/>
                  <a:t>Year</a:t>
                </a:r>
              </a:p>
            </c:rich>
          </c:tx>
          <c:layout>
            <c:manualLayout>
              <c:xMode val="edge"/>
              <c:yMode val="edge"/>
              <c:x val="0.50677557005779139"/>
              <c:y val="0.776235032257524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out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79888"/>
        <c:crosses val="autoZero"/>
        <c:crossBetween val="midCat"/>
        <c:minorUnit val="1"/>
      </c:valAx>
      <c:valAx>
        <c:axId val="-392679888"/>
        <c:scaling>
          <c:orientation val="minMax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sz="1000"/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4.6806902173665531E-3"/>
              <c:y val="0.1116982268821073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80432"/>
        <c:crosses val="autoZero"/>
        <c:crossBetween val="midCat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2.8851443617288804E-3"/>
          <c:y val="0.84095023722459772"/>
          <c:w val="0.99398218988264497"/>
          <c:h val="0.150390186348916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/>
              <a:t>Serbia</a:t>
            </a:r>
            <a:endParaRPr lang="sv-SE" sz="1000" b="1"/>
          </a:p>
        </c:rich>
      </c:tx>
      <c:layout>
        <c:manualLayout>
          <c:xMode val="edge"/>
          <c:yMode val="edge"/>
          <c:x val="0.5053498373432066"/>
          <c:y val="8.50159404888416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4024582959518724E-2"/>
          <c:y val="6.8416745462608883E-2"/>
          <c:w val="0.87610910984305101"/>
          <c:h val="0.59541248629787369"/>
        </c:manualLayout>
      </c:layout>
      <c:scatterChart>
        <c:scatterStyle val="smoothMarker"/>
        <c:varyColors val="0"/>
        <c:ser>
          <c:idx val="3"/>
          <c:order val="0"/>
          <c:tx>
            <c:strRef>
              <c:f>'Fig. 1'!$P$1</c:f>
              <c:strCache>
                <c:ptCount val="1"/>
                <c:pt idx="0">
                  <c:v>Energy distribution</c:v>
                </c:pt>
              </c:strCache>
            </c:strRef>
          </c:tx>
          <c:spPr>
            <a:ln w="6350" cap="rnd">
              <a:solidFill>
                <a:srgbClr val="FF0000"/>
              </a:solidFill>
              <a:round/>
            </a:ln>
            <a:effectLst/>
          </c:spPr>
          <c:marker>
            <c:symbol val="triangle"/>
            <c:size val="6"/>
            <c:spPr>
              <a:noFill/>
              <a:ln w="6350">
                <a:solidFill>
                  <a:srgbClr val="FF0000"/>
                </a:solidFill>
              </a:ln>
              <a:effectLst/>
            </c:spPr>
          </c:marker>
          <c:xVal>
            <c:numRef>
              <c:f>'Fig. 1'!$R$3:$R$15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1'!$T$3:$T$15</c:f>
              <c:numCache>
                <c:formatCode>0.0</c:formatCode>
                <c:ptCount val="13"/>
                <c:pt idx="0">
                  <c:v>15.942912</c:v>
                </c:pt>
                <c:pt idx="1">
                  <c:v>65.032112999999995</c:v>
                </c:pt>
                <c:pt idx="2">
                  <c:v>117.24626000000001</c:v>
                </c:pt>
                <c:pt idx="3">
                  <c:v>23.336988000000002</c:v>
                </c:pt>
                <c:pt idx="4">
                  <c:v>28.187999999999999</c:v>
                </c:pt>
                <c:pt idx="5">
                  <c:v>10.382631999999999</c:v>
                </c:pt>
                <c:pt idx="6">
                  <c:v>17.637498999999998</c:v>
                </c:pt>
                <c:pt idx="7">
                  <c:v>5.0809179999999996</c:v>
                </c:pt>
                <c:pt idx="8">
                  <c:v>0.36197299999999999</c:v>
                </c:pt>
                <c:pt idx="9">
                  <c:v>3.9859719999999998</c:v>
                </c:pt>
                <c:pt idx="10">
                  <c:v>4.7748809999999997</c:v>
                </c:pt>
                <c:pt idx="11">
                  <c:v>4.8419299999999996</c:v>
                </c:pt>
                <c:pt idx="12">
                  <c:v>6.6810539999999996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B15-418C-84C0-06E92667080A}"/>
            </c:ext>
          </c:extLst>
        </c:ser>
        <c:ser>
          <c:idx val="1"/>
          <c:order val="1"/>
          <c:tx>
            <c:strRef>
              <c:f>'Fig. 1'!$F$1</c:f>
              <c:strCache>
                <c:ptCount val="1"/>
                <c:pt idx="0">
                  <c:v>Energy generation, non-renewable sources</c:v>
                </c:pt>
              </c:strCache>
            </c:strRef>
          </c:tx>
          <c:spPr>
            <a:ln w="63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noFill/>
              <a:ln w="6350">
                <a:solidFill>
                  <a:schemeClr val="tx1"/>
                </a:solidFill>
              </a:ln>
              <a:effectLst/>
            </c:spPr>
          </c:marker>
          <c:xVal>
            <c:numRef>
              <c:f>'Fig. 1'!$H$3:$H$15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1'!$J$3:$J$15</c:f>
              <c:numCache>
                <c:formatCode>0.0</c:formatCode>
                <c:ptCount val="13"/>
                <c:pt idx="0">
                  <c:v>37.359850999999999</c:v>
                </c:pt>
                <c:pt idx="1">
                  <c:v>45.511578999999998</c:v>
                </c:pt>
                <c:pt idx="2">
                  <c:v>37.253098999999999</c:v>
                </c:pt>
                <c:pt idx="3">
                  <c:v>28.038965000000001</c:v>
                </c:pt>
                <c:pt idx="4">
                  <c:v>35.479058000000002</c:v>
                </c:pt>
                <c:pt idx="5">
                  <c:v>17.706043000000001</c:v>
                </c:pt>
                <c:pt idx="6">
                  <c:v>6.0431350000000004</c:v>
                </c:pt>
                <c:pt idx="7">
                  <c:v>56.701115000000001</c:v>
                </c:pt>
                <c:pt idx="8">
                  <c:v>275.15689800000001</c:v>
                </c:pt>
                <c:pt idx="9">
                  <c:v>62.152538999999997</c:v>
                </c:pt>
                <c:pt idx="10">
                  <c:v>28.497406999999999</c:v>
                </c:pt>
                <c:pt idx="11">
                  <c:v>39.272258000000001</c:v>
                </c:pt>
                <c:pt idx="12">
                  <c:v>64.806450999999996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B15-418C-84C0-06E92667080A}"/>
            </c:ext>
          </c:extLst>
        </c:ser>
        <c:ser>
          <c:idx val="2"/>
          <c:order val="2"/>
          <c:tx>
            <c:strRef>
              <c:f>'Fig. 1'!$K$1</c:f>
              <c:strCache>
                <c:ptCount val="1"/>
                <c:pt idx="0">
                  <c:v>Energy generation, renewable sources</c:v>
                </c:pt>
              </c:strCache>
            </c:strRef>
          </c:tx>
          <c:spPr>
            <a:ln w="6350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diamond"/>
            <c:size val="7"/>
            <c:spPr>
              <a:noFill/>
              <a:ln w="6350">
                <a:solidFill>
                  <a:schemeClr val="accent6">
                    <a:lumMod val="50000"/>
                  </a:schemeClr>
                </a:solidFill>
              </a:ln>
              <a:effectLst/>
            </c:spPr>
          </c:marker>
          <c:xVal>
            <c:numRef>
              <c:f>'Fig. 1'!$M$3:$M$15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1'!$O$3:$O$15</c:f>
              <c:numCache>
                <c:formatCode>0.0</c:formatCode>
                <c:ptCount val="13"/>
                <c:pt idx="0">
                  <c:v>9.5122230000000005</c:v>
                </c:pt>
                <c:pt idx="1">
                  <c:v>12.898019</c:v>
                </c:pt>
                <c:pt idx="2">
                  <c:v>13.475165000000001</c:v>
                </c:pt>
                <c:pt idx="3">
                  <c:v>34.536476999999998</c:v>
                </c:pt>
                <c:pt idx="4">
                  <c:v>2.8752170000000001</c:v>
                </c:pt>
                <c:pt idx="5">
                  <c:v>11.342795000000001</c:v>
                </c:pt>
                <c:pt idx="6">
                  <c:v>17.613340000000001</c:v>
                </c:pt>
                <c:pt idx="7">
                  <c:v>6.0088220000000003</c:v>
                </c:pt>
                <c:pt idx="8">
                  <c:v>26.443107999999999</c:v>
                </c:pt>
                <c:pt idx="9">
                  <c:v>45.654045000000004</c:v>
                </c:pt>
                <c:pt idx="10">
                  <c:v>131.657433</c:v>
                </c:pt>
                <c:pt idx="11">
                  <c:v>70.174304000000006</c:v>
                </c:pt>
                <c:pt idx="12">
                  <c:v>15.976621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B15-418C-84C0-06E92667080A}"/>
            </c:ext>
          </c:extLst>
        </c:ser>
        <c:ser>
          <c:idx val="0"/>
          <c:order val="3"/>
          <c:tx>
            <c:strRef>
              <c:f>'Fig. 1'!$A$1</c:f>
              <c:strCache>
                <c:ptCount val="1"/>
                <c:pt idx="0">
                  <c:v>Energy Policy</c:v>
                </c:pt>
              </c:strCache>
            </c:strRef>
          </c:tx>
          <c:spPr>
            <a:ln w="6350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square"/>
            <c:size val="6"/>
            <c:spPr>
              <a:noFill/>
              <a:ln w="6350">
                <a:solidFill>
                  <a:schemeClr val="accent5">
                    <a:lumMod val="50000"/>
                  </a:schemeClr>
                </a:solidFill>
              </a:ln>
              <a:effectLst/>
            </c:spPr>
          </c:marker>
          <c:xVal>
            <c:numRef>
              <c:f>'Fig. 1'!$C$3:$C$15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xVal>
          <c:yVal>
            <c:numRef>
              <c:f>'Fig. 1'!$E$3:$E$15</c:f>
              <c:numCache>
                <c:formatCode>0.0</c:formatCode>
                <c:ptCount val="13"/>
                <c:pt idx="0">
                  <c:v>14.582008</c:v>
                </c:pt>
                <c:pt idx="1">
                  <c:v>12.652925</c:v>
                </c:pt>
                <c:pt idx="2">
                  <c:v>8.5538919999999994</c:v>
                </c:pt>
                <c:pt idx="3">
                  <c:v>10.343190999999999</c:v>
                </c:pt>
                <c:pt idx="4">
                  <c:v>9.0618870000000005</c:v>
                </c:pt>
                <c:pt idx="5">
                  <c:v>2.8783799999999999</c:v>
                </c:pt>
                <c:pt idx="6">
                  <c:v>7.306667</c:v>
                </c:pt>
                <c:pt idx="7">
                  <c:v>1.9178770000000001</c:v>
                </c:pt>
                <c:pt idx="8">
                  <c:v>4.9030820000000004</c:v>
                </c:pt>
                <c:pt idx="9">
                  <c:v>82.538200000000003</c:v>
                </c:pt>
                <c:pt idx="10">
                  <c:v>2.681324</c:v>
                </c:pt>
                <c:pt idx="11">
                  <c:v>63.626050999999997</c:v>
                </c:pt>
                <c:pt idx="12">
                  <c:v>3.6587839999999998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2B15-418C-84C0-06E92667080A}"/>
            </c:ext>
          </c:extLst>
        </c:ser>
        <c:ser>
          <c:idx val="4"/>
          <c:order val="4"/>
          <c:tx>
            <c:strRef>
              <c:f>'Fig. 1'!$U$1</c:f>
              <c:strCache>
                <c:ptCount val="1"/>
                <c:pt idx="0">
                  <c:v>Nuclear energy plants </c:v>
                </c:pt>
              </c:strCache>
            </c:strRef>
          </c:tx>
          <c:spPr>
            <a:ln w="19050" cap="sq">
              <a:solidFill>
                <a:srgbClr val="FFC000"/>
              </a:solidFill>
              <a:prstDash val="lgDash"/>
              <a:round/>
            </a:ln>
            <a:effectLst/>
          </c:spPr>
          <c:marker>
            <c:symbol val="none"/>
          </c:marker>
          <c:xVal>
            <c:numRef>
              <c:f>'Fig. 1'!$W$3:$W$13</c:f>
              <c:numCache>
                <c:formatCode>General</c:formatCode>
                <c:ptCount val="11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</c:numCache>
            </c:numRef>
          </c:xVal>
          <c:yVal>
            <c:numRef>
              <c:f>'Fig. 1'!$Y$3:$Y$13</c:f>
              <c:numCache>
                <c:formatCode>0.00</c:formatCode>
                <c:ptCount val="11"/>
                <c:pt idx="0">
                  <c:v>0.86663199999999996</c:v>
                </c:pt>
                <c:pt idx="1">
                  <c:v>4.6109390000000001</c:v>
                </c:pt>
                <c:pt idx="2">
                  <c:v>13.483018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1.6073219999999999</c:v>
                </c:pt>
                <c:pt idx="7">
                  <c:v>2.2209999999999999E-3</c:v>
                </c:pt>
                <c:pt idx="8">
                  <c:v>0</c:v>
                </c:pt>
                <c:pt idx="9">
                  <c:v>2.8635000000000001E-2</c:v>
                </c:pt>
                <c:pt idx="10">
                  <c:v>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4-2B15-418C-84C0-06E9266708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2658128"/>
        <c:axId val="-392678256"/>
      </c:scatterChart>
      <c:valAx>
        <c:axId val="-392658128"/>
        <c:scaling>
          <c:orientation val="minMax"/>
          <c:max val="2020"/>
          <c:min val="2008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Year</a:t>
                </a:r>
              </a:p>
            </c:rich>
          </c:tx>
          <c:layout>
            <c:manualLayout>
              <c:xMode val="edge"/>
              <c:yMode val="edge"/>
              <c:x val="0.50099188006357509"/>
              <c:y val="0.76348264118419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out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78256"/>
        <c:crosses val="autoZero"/>
        <c:crossBetween val="midCat"/>
        <c:minorUnit val="1"/>
      </c:valAx>
      <c:valAx>
        <c:axId val="-392678256"/>
        <c:scaling>
          <c:orientation val="minMax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Development finance / million US dollar</a:t>
                </a:r>
              </a:p>
            </c:rich>
          </c:tx>
          <c:layout>
            <c:manualLayout>
              <c:xMode val="edge"/>
              <c:yMode val="edge"/>
              <c:x val="5.2675601784594739E-3"/>
              <c:y val="5.6437530855933123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58128"/>
        <c:crosses val="autoZero"/>
        <c:crossBetween val="midCat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"/>
          <c:y val="0.83387517049210502"/>
          <c:w val="0.99914565335203565"/>
          <c:h val="0.157464918372982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Bosnia and Herzegovina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6052100268842912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0889517716535434"/>
          <c:y val="6.1889937407217703E-2"/>
          <c:w val="0.56633630431612714"/>
          <c:h val="0.7711722473500073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C95-4A36-9386-725D357C6786}"/>
              </c:ext>
            </c:extLst>
          </c:dPt>
          <c:dPt>
            <c:idx val="1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C95-4A36-9386-725D357C6786}"/>
              </c:ext>
            </c:extLst>
          </c:dPt>
          <c:dPt>
            <c:idx val="3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C95-4A36-9386-725D357C6786}"/>
              </c:ext>
            </c:extLst>
          </c:dPt>
          <c:dPt>
            <c:idx val="4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C95-4A36-9386-725D357C6786}"/>
              </c:ext>
            </c:extLst>
          </c:dPt>
          <c:dPt>
            <c:idx val="5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C95-4A36-9386-725D357C6786}"/>
              </c:ext>
            </c:extLst>
          </c:dPt>
          <c:dPt>
            <c:idx val="6"/>
            <c:invertIfNegative val="0"/>
            <c:bubble3D val="0"/>
            <c:spPr>
              <a:solidFill>
                <a:schemeClr val="tx1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C95-4A36-9386-725D357C6786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C95-4A36-9386-725D357C6786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EC95-4A36-9386-725D357C6786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EC95-4A36-9386-725D357C6786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EC95-4A36-9386-725D357C6786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EC95-4A36-9386-725D357C6786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EC95-4A36-9386-725D357C6786}"/>
              </c:ext>
            </c:extLst>
          </c:dPt>
          <c:dPt>
            <c:idx val="15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EC95-4A36-9386-725D357C6786}"/>
              </c:ext>
            </c:extLst>
          </c:dPt>
          <c:dPt>
            <c:idx val="16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EC95-4A36-9386-725D357C6786}"/>
              </c:ext>
            </c:extLst>
          </c:dPt>
          <c:dPt>
            <c:idx val="17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EC95-4A36-9386-725D357C6786}"/>
              </c:ext>
            </c:extLst>
          </c:dPt>
          <c:dPt>
            <c:idx val="19"/>
            <c:invertIfNegative val="0"/>
            <c:bubble3D val="0"/>
            <c:spPr>
              <a:solidFill>
                <a:srgbClr val="FFC000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EC95-4A36-9386-725D357C6786}"/>
              </c:ext>
            </c:extLst>
          </c:dPt>
          <c:cat>
            <c:strRef>
              <c:f>'Fig. 3'!$W$3:$W$22</c:f>
              <c:strCache>
                <c:ptCount val="20"/>
                <c:pt idx="0">
                  <c:v>Electric power transmission and distribution (centralised grids)</c:v>
                </c:pt>
                <c:pt idx="1">
                  <c:v>District heating and cooling</c:v>
                </c:pt>
                <c:pt idx="3">
                  <c:v>Coal-fired electric power plants</c:v>
                </c:pt>
                <c:pt idx="4">
                  <c:v>Energy generation, non-renewable sources, unspecified</c:v>
                </c:pt>
                <c:pt idx="5">
                  <c:v>Natural gas-fired electric power plants</c:v>
                </c:pt>
                <c:pt idx="6">
                  <c:v>Oil-fired electric power plants</c:v>
                </c:pt>
                <c:pt idx="8">
                  <c:v>Energy generation, renewable sources - multiple technologies</c:v>
                </c:pt>
                <c:pt idx="9">
                  <c:v>Wind energy</c:v>
                </c:pt>
                <c:pt idx="10">
                  <c:v>Hydro-electric power plants</c:v>
                </c:pt>
                <c:pt idx="11">
                  <c:v>Biofuel-fired power plants</c:v>
                </c:pt>
                <c:pt idx="12">
                  <c:v>Solar energy for centralised grids</c:v>
                </c:pt>
                <c:pt idx="13">
                  <c:v>Geothermal energy</c:v>
                </c:pt>
                <c:pt idx="15">
                  <c:v>Energy policy and administrative management</c:v>
                </c:pt>
                <c:pt idx="16">
                  <c:v>Energy conservation and demand-side efficiency</c:v>
                </c:pt>
                <c:pt idx="17">
                  <c:v>Energy education/training</c:v>
                </c:pt>
                <c:pt idx="19">
                  <c:v>Nuclear energy electric power plants and nuclear safety</c:v>
                </c:pt>
              </c:strCache>
            </c:strRef>
          </c:cat>
          <c:val>
            <c:numRef>
              <c:f>'Fig. 3'!$X$3:$X$22</c:f>
              <c:numCache>
                <c:formatCode>0.0</c:formatCode>
                <c:ptCount val="20"/>
                <c:pt idx="0" formatCode="0">
                  <c:v>144.23906700000001</c:v>
                </c:pt>
                <c:pt idx="1">
                  <c:v>0.38825700000000002</c:v>
                </c:pt>
                <c:pt idx="3" formatCode="0">
                  <c:v>116.307383</c:v>
                </c:pt>
                <c:pt idx="4" formatCode="0">
                  <c:v>84.294404999999998</c:v>
                </c:pt>
                <c:pt idx="5" formatCode="0">
                  <c:v>11.655942</c:v>
                </c:pt>
                <c:pt idx="6">
                  <c:v>0.26952900000000002</c:v>
                </c:pt>
                <c:pt idx="8" formatCode="0">
                  <c:v>102.02708</c:v>
                </c:pt>
                <c:pt idx="9" formatCode="0">
                  <c:v>86.961954000000006</c:v>
                </c:pt>
                <c:pt idx="10" formatCode="0">
                  <c:v>21.753250999999999</c:v>
                </c:pt>
                <c:pt idx="11">
                  <c:v>4.5963989999999999</c:v>
                </c:pt>
                <c:pt idx="12">
                  <c:v>2.939022</c:v>
                </c:pt>
                <c:pt idx="13">
                  <c:v>1.2484280000000001</c:v>
                </c:pt>
                <c:pt idx="15" formatCode="0">
                  <c:v>72.811283000000003</c:v>
                </c:pt>
                <c:pt idx="16" formatCode="0">
                  <c:v>24.777235000000001</c:v>
                </c:pt>
                <c:pt idx="17">
                  <c:v>3.8015680000000001</c:v>
                </c:pt>
                <c:pt idx="19">
                  <c:v>1.6571610000000001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0-EC95-4A36-9386-725D357C67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-392667376"/>
        <c:axId val="-392661392"/>
      </c:barChart>
      <c:catAx>
        <c:axId val="-39266737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61392"/>
        <c:crosses val="autoZero"/>
        <c:auto val="1"/>
        <c:lblAlgn val="ctr"/>
        <c:lblOffset val="100"/>
        <c:noMultiLvlLbl val="0"/>
      </c:catAx>
      <c:valAx>
        <c:axId val="-392661392"/>
        <c:scaling>
          <c:orientation val="minMax"/>
          <c:max val="15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b="0"/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0.63329462359715161"/>
              <c:y val="0.932503971733412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67376"/>
        <c:crosses val="autoZero"/>
        <c:crossBetween val="between"/>
        <c:majorUnit val="30"/>
        <c:minorUnit val="10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Kosovo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6432908437052655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0876175903113326"/>
          <c:y val="6.1889937407217703E-2"/>
          <c:w val="0.56525990931295533"/>
          <c:h val="0.77385687869501407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323-470C-911C-60BB01D440D7}"/>
              </c:ext>
            </c:extLst>
          </c:dPt>
          <c:dPt>
            <c:idx val="1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323-470C-911C-60BB01D440D7}"/>
              </c:ext>
            </c:extLst>
          </c:dPt>
          <c:dPt>
            <c:idx val="3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323-470C-911C-60BB01D440D7}"/>
              </c:ext>
            </c:extLst>
          </c:dPt>
          <c:dPt>
            <c:idx val="4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323-470C-911C-60BB01D440D7}"/>
              </c:ext>
            </c:extLst>
          </c:dPt>
          <c:dPt>
            <c:idx val="5"/>
            <c:invertIfNegative val="0"/>
            <c:bubble3D val="0"/>
            <c:spPr>
              <a:solidFill>
                <a:schemeClr val="tx1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323-470C-911C-60BB01D440D7}"/>
              </c:ext>
            </c:extLst>
          </c:dPt>
          <c:dPt>
            <c:idx val="6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323-470C-911C-60BB01D440D7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323-470C-911C-60BB01D440D7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6323-470C-911C-60BB01D440D7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6323-470C-911C-60BB01D440D7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6323-470C-911C-60BB01D440D7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6323-470C-911C-60BB01D440D7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6323-470C-911C-60BB01D440D7}"/>
              </c:ext>
            </c:extLst>
          </c:dPt>
          <c:dPt>
            <c:idx val="15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6323-470C-911C-60BB01D440D7}"/>
              </c:ext>
            </c:extLst>
          </c:dPt>
          <c:dPt>
            <c:idx val="16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6323-470C-911C-60BB01D440D7}"/>
              </c:ext>
            </c:extLst>
          </c:dPt>
          <c:dPt>
            <c:idx val="17"/>
            <c:invertIfNegative val="0"/>
            <c:bubble3D val="0"/>
            <c:spPr>
              <a:pattFill prst="narHorz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6323-470C-911C-60BB01D440D7}"/>
              </c:ext>
            </c:extLst>
          </c:dPt>
          <c:dPt>
            <c:idx val="19"/>
            <c:invertIfNegative val="0"/>
            <c:bubble3D val="0"/>
            <c:spPr>
              <a:solidFill>
                <a:srgbClr val="FFC000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6323-470C-911C-60BB01D440D7}"/>
              </c:ext>
            </c:extLst>
          </c:dPt>
          <c:cat>
            <c:strRef>
              <c:f>'Fig. 3'!$W$3:$W$22</c:f>
              <c:strCache>
                <c:ptCount val="20"/>
                <c:pt idx="0">
                  <c:v>Electric power transmission and distribution (centralised grids)</c:v>
                </c:pt>
                <c:pt idx="1">
                  <c:v>District heating and cooling</c:v>
                </c:pt>
                <c:pt idx="3">
                  <c:v>Energy generation, non-renewable sources, unspecified</c:v>
                </c:pt>
                <c:pt idx="4">
                  <c:v>Coal-fired electric power plants</c:v>
                </c:pt>
                <c:pt idx="5">
                  <c:v>Oil-fired electric power plants</c:v>
                </c:pt>
                <c:pt idx="6">
                  <c:v>Natural gas-fired electric power plants</c:v>
                </c:pt>
                <c:pt idx="8">
                  <c:v>Energy generation, renewable sources - multiple technologies</c:v>
                </c:pt>
                <c:pt idx="9">
                  <c:v>Geothermal energy</c:v>
                </c:pt>
                <c:pt idx="10">
                  <c:v>Hydro-electric power plants</c:v>
                </c:pt>
                <c:pt idx="11">
                  <c:v>Biofuel-fired power plants</c:v>
                </c:pt>
                <c:pt idx="12">
                  <c:v>Solar energy for centralised grids</c:v>
                </c:pt>
                <c:pt idx="13">
                  <c:v>Wind energy</c:v>
                </c:pt>
                <c:pt idx="15">
                  <c:v>Energy policy and administrative management</c:v>
                </c:pt>
                <c:pt idx="16">
                  <c:v>Energy conservation and demand-side efficiency</c:v>
                </c:pt>
                <c:pt idx="17">
                  <c:v>Energy education/training</c:v>
                </c:pt>
                <c:pt idx="19">
                  <c:v>Nuclear energy electric power plants and nuclear safety</c:v>
                </c:pt>
              </c:strCache>
            </c:strRef>
          </c:cat>
          <c:val>
            <c:numRef>
              <c:f>'Fig. 3'!$X$3:$X$22</c:f>
              <c:numCache>
                <c:formatCode>0.0</c:formatCode>
                <c:ptCount val="20"/>
                <c:pt idx="0" formatCode="0">
                  <c:v>153.96618699999999</c:v>
                </c:pt>
                <c:pt idx="1">
                  <c:v>16.364139999999999</c:v>
                </c:pt>
                <c:pt idx="3" formatCode="0">
                  <c:v>21.138708999999999</c:v>
                </c:pt>
                <c:pt idx="4">
                  <c:v>13.062435000000001</c:v>
                </c:pt>
                <c:pt idx="5">
                  <c:v>0</c:v>
                </c:pt>
                <c:pt idx="6" formatCode="0">
                  <c:v>0</c:v>
                </c:pt>
                <c:pt idx="8">
                  <c:v>53.773631000000002</c:v>
                </c:pt>
                <c:pt idx="9">
                  <c:v>31.676850999999999</c:v>
                </c:pt>
                <c:pt idx="10">
                  <c:v>0.75270300000000001</c:v>
                </c:pt>
                <c:pt idx="11">
                  <c:v>0.64650700000000005</c:v>
                </c:pt>
                <c:pt idx="12">
                  <c:v>0.112524</c:v>
                </c:pt>
                <c:pt idx="13" formatCode="0">
                  <c:v>0</c:v>
                </c:pt>
                <c:pt idx="15">
                  <c:v>53.012276</c:v>
                </c:pt>
                <c:pt idx="16">
                  <c:v>9.0002370000000003</c:v>
                </c:pt>
                <c:pt idx="17">
                  <c:v>0</c:v>
                </c:pt>
                <c:pt idx="19">
                  <c:v>2.5094000000000002E-2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0-6323-470C-911C-60BB01D440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-392685328"/>
        <c:axId val="-392666832"/>
      </c:barChart>
      <c:catAx>
        <c:axId val="-3926853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66832"/>
        <c:crosses val="autoZero"/>
        <c:auto val="1"/>
        <c:lblAlgn val="ctr"/>
        <c:lblOffset val="100"/>
        <c:noMultiLvlLbl val="0"/>
      </c:catAx>
      <c:valAx>
        <c:axId val="-392666832"/>
        <c:scaling>
          <c:orientation val="minMax"/>
          <c:max val="16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</a:rPr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0.63290130231696751"/>
              <c:y val="0.9348726006823567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85328"/>
        <c:crosses val="autoZero"/>
        <c:crossBetween val="between"/>
        <c:majorUnit val="30"/>
        <c:minorUnit val="10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 i="0" u="none" strike="noStrike" baseline="0">
                <a:effectLst/>
              </a:rPr>
              <a:t>Montenegro</a:t>
            </a:r>
            <a:endParaRPr lang="sv-SE" sz="1000" b="1"/>
          </a:p>
        </c:rich>
      </c:tx>
      <c:layout>
        <c:manualLayout>
          <c:xMode val="edge"/>
          <c:yMode val="edge"/>
          <c:x val="0.63877956550977688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1040229283080504"/>
          <c:y val="7.958496155036944E-2"/>
          <c:w val="0.56498256543842951"/>
          <c:h val="0.740669918916883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C3C-47DC-9132-71E617B22526}"/>
              </c:ext>
            </c:extLst>
          </c:dPt>
          <c:dPt>
            <c:idx val="1"/>
            <c:invertIfNegative val="0"/>
            <c:bubble3D val="0"/>
            <c:spPr>
              <a:solidFill>
                <a:schemeClr val="tx1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C3C-47DC-9132-71E617B22526}"/>
              </c:ext>
            </c:extLst>
          </c:dPt>
          <c:dPt>
            <c:idx val="3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C3C-47DC-9132-71E617B22526}"/>
              </c:ext>
            </c:extLst>
          </c:dPt>
          <c:dPt>
            <c:idx val="4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C3C-47DC-9132-71E617B22526}"/>
              </c:ext>
            </c:extLst>
          </c:dPt>
          <c:dPt>
            <c:idx val="5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C3C-47DC-9132-71E617B22526}"/>
              </c:ext>
            </c:extLst>
          </c:dPt>
          <c:dPt>
            <c:idx val="6"/>
            <c:invertIfNegative val="0"/>
            <c:bubble3D val="0"/>
            <c:spPr>
              <a:solidFill>
                <a:schemeClr val="tx1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8C3C-47DC-9132-71E617B22526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8C3C-47DC-9132-71E617B22526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8C3C-47DC-9132-71E617B22526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8C3C-47DC-9132-71E617B22526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8C3C-47DC-9132-71E617B22526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8C3C-47DC-9132-71E617B22526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8C3C-47DC-9132-71E617B22526}"/>
              </c:ext>
            </c:extLst>
          </c:dPt>
          <c:dPt>
            <c:idx val="15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8C3C-47DC-9132-71E617B22526}"/>
              </c:ext>
            </c:extLst>
          </c:dPt>
          <c:dPt>
            <c:idx val="16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8C3C-47DC-9132-71E617B22526}"/>
              </c:ext>
            </c:extLst>
          </c:dPt>
          <c:dPt>
            <c:idx val="17"/>
            <c:invertIfNegative val="0"/>
            <c:bubble3D val="0"/>
            <c:spPr>
              <a:pattFill prst="narHorz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8C3C-47DC-9132-71E617B22526}"/>
              </c:ext>
            </c:extLst>
          </c:dPt>
          <c:dPt>
            <c:idx val="19"/>
            <c:invertIfNegative val="0"/>
            <c:bubble3D val="0"/>
            <c:spPr>
              <a:solidFill>
                <a:srgbClr val="FFC000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8C3C-47DC-9132-71E617B22526}"/>
              </c:ext>
            </c:extLst>
          </c:dPt>
          <c:cat>
            <c:strRef>
              <c:f>'Fig. 3'!$X$3:$X$22</c:f>
              <c:strCache>
                <c:ptCount val="20"/>
                <c:pt idx="0">
                  <c:v>Electric power transmission and distribution (centralised grids)</c:v>
                </c:pt>
                <c:pt idx="1">
                  <c:v>District heating and cooling</c:v>
                </c:pt>
                <c:pt idx="3">
                  <c:v>Energy generation, non-renewable sources, unspecified</c:v>
                </c:pt>
                <c:pt idx="4">
                  <c:v>Coal-fired electric power plants</c:v>
                </c:pt>
                <c:pt idx="5">
                  <c:v>Natural gas-fired electric power plants</c:v>
                </c:pt>
                <c:pt idx="6">
                  <c:v>Oil-fired electric power plants</c:v>
                </c:pt>
                <c:pt idx="8">
                  <c:v>Energy generation, renewable sources - multiple technologies</c:v>
                </c:pt>
                <c:pt idx="9">
                  <c:v>Hydro-electric power plants</c:v>
                </c:pt>
                <c:pt idx="10">
                  <c:v>Biofuel-fired power plants</c:v>
                </c:pt>
                <c:pt idx="11">
                  <c:v>Solar energy for centralised grids</c:v>
                </c:pt>
                <c:pt idx="12">
                  <c:v>Geothermal energy</c:v>
                </c:pt>
                <c:pt idx="13">
                  <c:v>Wind energy</c:v>
                </c:pt>
                <c:pt idx="15">
                  <c:v>Energy policy and administrative management</c:v>
                </c:pt>
                <c:pt idx="16">
                  <c:v>Energy education/training</c:v>
                </c:pt>
                <c:pt idx="17">
                  <c:v>Energy conservation and demand-side efficiency</c:v>
                </c:pt>
                <c:pt idx="19">
                  <c:v>Nuclear energy electric power plants and nuclear safety</c:v>
                </c:pt>
              </c:strCache>
            </c:strRef>
          </c:cat>
          <c:val>
            <c:numRef>
              <c:f>'Fig. 3'!$Y$3:$Y$22</c:f>
              <c:numCache>
                <c:formatCode>0.0</c:formatCode>
                <c:ptCount val="20"/>
                <c:pt idx="0" formatCode="0">
                  <c:v>199.767653</c:v>
                </c:pt>
                <c:pt idx="1">
                  <c:v>0</c:v>
                </c:pt>
                <c:pt idx="3">
                  <c:v>1.2535700000000001</c:v>
                </c:pt>
                <c:pt idx="4" formatCode="0">
                  <c:v>0</c:v>
                </c:pt>
                <c:pt idx="5" formatCode="0">
                  <c:v>0</c:v>
                </c:pt>
                <c:pt idx="6">
                  <c:v>0</c:v>
                </c:pt>
                <c:pt idx="8" formatCode="0">
                  <c:v>107.182508</c:v>
                </c:pt>
                <c:pt idx="9" formatCode="0">
                  <c:v>37.722071999999997</c:v>
                </c:pt>
                <c:pt idx="10">
                  <c:v>0.260855</c:v>
                </c:pt>
                <c:pt idx="11">
                  <c:v>3.0856999999999999E-2</c:v>
                </c:pt>
                <c:pt idx="12">
                  <c:v>0</c:v>
                </c:pt>
                <c:pt idx="13" formatCode="0">
                  <c:v>0</c:v>
                </c:pt>
                <c:pt idx="15" formatCode="0">
                  <c:v>18.145793999999999</c:v>
                </c:pt>
                <c:pt idx="16">
                  <c:v>4.9797969999999996</c:v>
                </c:pt>
                <c:pt idx="17">
                  <c:v>0.15849199999999999</c:v>
                </c:pt>
                <c:pt idx="19">
                  <c:v>0.78241400000000005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0-8C3C-47DC-9132-71E617B225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-392679344"/>
        <c:axId val="-392677712"/>
      </c:barChart>
      <c:catAx>
        <c:axId val="-39267934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77712"/>
        <c:crosses val="autoZero"/>
        <c:auto val="1"/>
        <c:lblAlgn val="ctr"/>
        <c:lblOffset val="100"/>
        <c:noMultiLvlLbl val="0"/>
      </c:catAx>
      <c:valAx>
        <c:axId val="-392677712"/>
        <c:scaling>
          <c:orientation val="minMax"/>
          <c:max val="21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</a:rPr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0.63248536240662223"/>
              <c:y val="0.938469545716987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79344"/>
        <c:crosses val="autoZero"/>
        <c:crossBetween val="between"/>
        <c:majorUnit val="30"/>
        <c:minorUnit val="10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North Macedonia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6332815685488706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0963705447750204"/>
          <c:y val="6.050959358029237E-2"/>
          <c:w val="0.56382005892988063"/>
          <c:h val="0.8019858250981114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0BB-4492-9A04-491300199128}"/>
              </c:ext>
            </c:extLst>
          </c:dPt>
          <c:dPt>
            <c:idx val="1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0BB-4492-9A04-491300199128}"/>
              </c:ext>
            </c:extLst>
          </c:dPt>
          <c:dPt>
            <c:idx val="3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0BB-4492-9A04-491300199128}"/>
              </c:ext>
            </c:extLst>
          </c:dPt>
          <c:dPt>
            <c:idx val="4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0BB-4492-9A04-491300199128}"/>
              </c:ext>
            </c:extLst>
          </c:dPt>
          <c:dPt>
            <c:idx val="5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0BB-4492-9A04-491300199128}"/>
              </c:ext>
            </c:extLst>
          </c:dPt>
          <c:dPt>
            <c:idx val="6"/>
            <c:invertIfNegative val="0"/>
            <c:bubble3D val="0"/>
            <c:spPr>
              <a:solidFill>
                <a:schemeClr val="tx1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0BB-4492-9A04-491300199128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0BB-4492-9A04-491300199128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E0BB-4492-9A04-491300199128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E0BB-4492-9A04-491300199128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E0BB-4492-9A04-491300199128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E0BB-4492-9A04-491300199128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E0BB-4492-9A04-491300199128}"/>
              </c:ext>
            </c:extLst>
          </c:dPt>
          <c:dPt>
            <c:idx val="15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E0BB-4492-9A04-491300199128}"/>
              </c:ext>
            </c:extLst>
          </c:dPt>
          <c:dPt>
            <c:idx val="16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E0BB-4492-9A04-491300199128}"/>
              </c:ext>
            </c:extLst>
          </c:dPt>
          <c:dPt>
            <c:idx val="17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E0BB-4492-9A04-491300199128}"/>
              </c:ext>
            </c:extLst>
          </c:dPt>
          <c:dPt>
            <c:idx val="19"/>
            <c:invertIfNegative val="0"/>
            <c:bubble3D val="0"/>
            <c:spPr>
              <a:solidFill>
                <a:srgbClr val="FFC000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E0BB-4492-9A04-491300199128}"/>
              </c:ext>
            </c:extLst>
          </c:dPt>
          <c:cat>
            <c:strRef>
              <c:f>'Fig. 3'!$X$3:$X$22</c:f>
              <c:strCache>
                <c:ptCount val="20"/>
                <c:pt idx="0">
                  <c:v>Electric power transmission and distribution (centralised grids)</c:v>
                </c:pt>
                <c:pt idx="1">
                  <c:v>District heating and cooling</c:v>
                </c:pt>
                <c:pt idx="3">
                  <c:v>Energy generation, non-renewable sources, unspecified</c:v>
                </c:pt>
                <c:pt idx="4">
                  <c:v>Coal-fired electric power plants</c:v>
                </c:pt>
                <c:pt idx="5">
                  <c:v>Natural gas-fired electric power plants</c:v>
                </c:pt>
                <c:pt idx="6">
                  <c:v>Oil-fired electric power plants</c:v>
                </c:pt>
                <c:pt idx="8">
                  <c:v>Energy generation, renewable sources - multiple technologies</c:v>
                </c:pt>
                <c:pt idx="9">
                  <c:v>Hydro-electric power plants</c:v>
                </c:pt>
                <c:pt idx="10">
                  <c:v>Geothermal energy</c:v>
                </c:pt>
                <c:pt idx="11">
                  <c:v>Wind energy</c:v>
                </c:pt>
                <c:pt idx="12">
                  <c:v>Biofuel-fired power plants</c:v>
                </c:pt>
                <c:pt idx="13">
                  <c:v>Solar energy for centralised grids</c:v>
                </c:pt>
                <c:pt idx="15">
                  <c:v>Energy policy and administrative management</c:v>
                </c:pt>
                <c:pt idx="16">
                  <c:v>Energy education/training</c:v>
                </c:pt>
                <c:pt idx="17">
                  <c:v>Energy conservation and demand-side efficiency</c:v>
                </c:pt>
                <c:pt idx="19">
                  <c:v>Nuclear energy electric power plants and nuclear safety</c:v>
                </c:pt>
              </c:strCache>
            </c:strRef>
          </c:cat>
          <c:val>
            <c:numRef>
              <c:f>'Fig. 3'!$Y$3:$Y$22</c:f>
              <c:numCache>
                <c:formatCode>0.0</c:formatCode>
                <c:ptCount val="20"/>
                <c:pt idx="0" formatCode="0">
                  <c:v>75.999922999999995</c:v>
                </c:pt>
                <c:pt idx="1">
                  <c:v>0.88266699999999998</c:v>
                </c:pt>
                <c:pt idx="3">
                  <c:v>20.815408000000001</c:v>
                </c:pt>
                <c:pt idx="4" formatCode="0">
                  <c:v>0</c:v>
                </c:pt>
                <c:pt idx="5" formatCode="0">
                  <c:v>0</c:v>
                </c:pt>
                <c:pt idx="6">
                  <c:v>0</c:v>
                </c:pt>
                <c:pt idx="8" formatCode="0">
                  <c:v>79.830264999999997</c:v>
                </c:pt>
                <c:pt idx="9" formatCode="0">
                  <c:v>18.391933999999999</c:v>
                </c:pt>
                <c:pt idx="10">
                  <c:v>1.894647</c:v>
                </c:pt>
                <c:pt idx="11" formatCode="0">
                  <c:v>0.53170899999999999</c:v>
                </c:pt>
                <c:pt idx="12">
                  <c:v>0.30128500000000003</c:v>
                </c:pt>
                <c:pt idx="13">
                  <c:v>7.8284999999999993E-2</c:v>
                </c:pt>
                <c:pt idx="15" formatCode="0">
                  <c:v>12.793189999999999</c:v>
                </c:pt>
                <c:pt idx="16">
                  <c:v>0.26686100000000001</c:v>
                </c:pt>
                <c:pt idx="17">
                  <c:v>0.16132299999999999</c:v>
                </c:pt>
                <c:pt idx="19">
                  <c:v>7.6222999999999999E-2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0-E0BB-4492-9A04-4913001991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-392673904"/>
        <c:axId val="-392653776"/>
      </c:barChart>
      <c:catAx>
        <c:axId val="-392673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53776"/>
        <c:crosses val="autoZero"/>
        <c:auto val="1"/>
        <c:lblAlgn val="ctr"/>
        <c:lblOffset val="100"/>
        <c:noMultiLvlLbl val="0"/>
      </c:catAx>
      <c:valAx>
        <c:axId val="-392653776"/>
        <c:scaling>
          <c:orientation val="minMax"/>
          <c:max val="8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</a:rPr>
                  <a:t>Development finance / million US$</a:t>
                </a:r>
              </a:p>
            </c:rich>
          </c:tx>
          <c:layout>
            <c:manualLayout>
              <c:xMode val="edge"/>
              <c:yMode val="edge"/>
              <c:x val="0.63303534426617714"/>
              <c:y val="0.9367856276201393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73904"/>
        <c:crosses val="autoZero"/>
        <c:crossBetween val="between"/>
        <c:majorUnit val="10"/>
        <c:minorUnit val="5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Serbia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68019078586836568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1068965569587201"/>
          <c:y val="6.0615026734835625E-2"/>
          <c:w val="0.56394408188854939"/>
          <c:h val="0.7706182901420000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767-4DB6-8FF9-CF23C12903FF}"/>
              </c:ext>
            </c:extLst>
          </c:dPt>
          <c:dPt>
            <c:idx val="1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767-4DB6-8FF9-CF23C12903FF}"/>
              </c:ext>
            </c:extLst>
          </c:dPt>
          <c:dPt>
            <c:idx val="2"/>
            <c:invertIfNegative val="0"/>
            <c:bubble3D val="0"/>
            <c:spPr>
              <a:pattFill prst="wdUpDiag">
                <a:fgClr>
                  <a:srgbClr val="FF0000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767-4DB6-8FF9-CF23C12903FF}"/>
              </c:ext>
            </c:extLst>
          </c:dPt>
          <c:dPt>
            <c:idx val="4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767-4DB6-8FF9-CF23C12903FF}"/>
              </c:ext>
            </c:extLst>
          </c:dPt>
          <c:dPt>
            <c:idx val="5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767-4DB6-8FF9-CF23C12903FF}"/>
              </c:ext>
            </c:extLst>
          </c:dPt>
          <c:dPt>
            <c:idx val="6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3767-4DB6-8FF9-CF23C12903FF}"/>
              </c:ext>
            </c:extLst>
          </c:dPt>
          <c:dPt>
            <c:idx val="7"/>
            <c:invertIfNegative val="0"/>
            <c:bubble3D val="0"/>
            <c:spPr>
              <a:pattFill prst="pct50">
                <a:fgClr>
                  <a:schemeClr val="tx1"/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3767-4DB6-8FF9-CF23C12903FF}"/>
              </c:ext>
            </c:extLst>
          </c:dPt>
          <c:dPt>
            <c:idx val="8"/>
            <c:invertIfNegative val="0"/>
            <c:bubble3D val="0"/>
            <c:spPr>
              <a:solidFill>
                <a:schemeClr val="tx1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3767-4DB6-8FF9-CF23C12903FF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3767-4DB6-8FF9-CF23C12903FF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3767-4DB6-8FF9-CF23C12903FF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3767-4DB6-8FF9-CF23C12903FF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3767-4DB6-8FF9-CF23C12903FF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3767-4DB6-8FF9-CF23C12903FF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3767-4DB6-8FF9-CF23C12903FF}"/>
              </c:ext>
            </c:extLst>
          </c:dPt>
          <c:dPt>
            <c:idx val="17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3767-4DB6-8FF9-CF23C12903FF}"/>
              </c:ext>
            </c:extLst>
          </c:dPt>
          <c:dPt>
            <c:idx val="18"/>
            <c:invertIfNegative val="0"/>
            <c:bubble3D val="0"/>
            <c:spPr>
              <a:pattFill prst="ltUpDiag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3767-4DB6-8FF9-CF23C12903FF}"/>
              </c:ext>
            </c:extLst>
          </c:dPt>
          <c:dPt>
            <c:idx val="19"/>
            <c:invertIfNegative val="0"/>
            <c:bubble3D val="0"/>
            <c:spPr>
              <a:pattFill prst="narHorz">
                <a:fgClr>
                  <a:schemeClr val="accent5">
                    <a:lumMod val="75000"/>
                  </a:schemeClr>
                </a:fgClr>
                <a:bgClr>
                  <a:schemeClr val="bg1"/>
                </a:bgClr>
              </a:patt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3767-4DB6-8FF9-CF23C12903FF}"/>
              </c:ext>
            </c:extLst>
          </c:dPt>
          <c:dPt>
            <c:idx val="22"/>
            <c:invertIfNegative val="0"/>
            <c:bubble3D val="0"/>
            <c:spPr>
              <a:solidFill>
                <a:srgbClr val="FFC000"/>
              </a:solidFill>
              <a:ln w="3175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3-3767-4DB6-8FF9-CF23C12903FF}"/>
              </c:ext>
            </c:extLst>
          </c:dPt>
          <c:cat>
            <c:strRef>
              <c:f>'Fig. 3'!$Z$3:$Z$25</c:f>
              <c:strCache>
                <c:ptCount val="23"/>
                <c:pt idx="0">
                  <c:v>Electric power transmission and distribution (centralised grids)</c:v>
                </c:pt>
                <c:pt idx="1">
                  <c:v>Retail gas distribution</c:v>
                </c:pt>
                <c:pt idx="2">
                  <c:v>District heating and cooling</c:v>
                </c:pt>
                <c:pt idx="4">
                  <c:v>Energy generation, non-renewable sources, unspecified</c:v>
                </c:pt>
                <c:pt idx="5">
                  <c:v>Coal-fired electric power plants</c:v>
                </c:pt>
                <c:pt idx="6">
                  <c:v>Non-renewable waste-fired electric power plants</c:v>
                </c:pt>
                <c:pt idx="7">
                  <c:v>Natural gas-fired electric power plants</c:v>
                </c:pt>
                <c:pt idx="8">
                  <c:v>Oil-fired electric power plants</c:v>
                </c:pt>
                <c:pt idx="10">
                  <c:v>Energy generation, renewable sources - multiple technologies</c:v>
                </c:pt>
                <c:pt idx="11">
                  <c:v>Hydro-electric power plants</c:v>
                </c:pt>
                <c:pt idx="12">
                  <c:v>Wind energy</c:v>
                </c:pt>
                <c:pt idx="13">
                  <c:v>Biofuel-fired power plants</c:v>
                </c:pt>
                <c:pt idx="14">
                  <c:v>Solar energy for centralised grids</c:v>
                </c:pt>
                <c:pt idx="15">
                  <c:v>Geothermal energy</c:v>
                </c:pt>
                <c:pt idx="17">
                  <c:v>Energy policy and administrative management</c:v>
                </c:pt>
                <c:pt idx="18">
                  <c:v>Energy conservation and demand-side efficiency</c:v>
                </c:pt>
                <c:pt idx="19">
                  <c:v>Energy education/training</c:v>
                </c:pt>
                <c:pt idx="20">
                  <c:v>Energy research</c:v>
                </c:pt>
                <c:pt idx="22">
                  <c:v>Nuclear energy electric power plants and nuclear safety</c:v>
                </c:pt>
              </c:strCache>
            </c:strRef>
          </c:cat>
          <c:val>
            <c:numRef>
              <c:f>'Fig. 3'!$AA$3:$AA$25</c:f>
              <c:numCache>
                <c:formatCode>0.0</c:formatCode>
                <c:ptCount val="23"/>
                <c:pt idx="0" formatCode="0">
                  <c:v>223.93557999999999</c:v>
                </c:pt>
                <c:pt idx="1">
                  <c:v>75.035435000000007</c:v>
                </c:pt>
                <c:pt idx="2">
                  <c:v>4.5221169999999997</c:v>
                </c:pt>
                <c:pt idx="4">
                  <c:v>509.01221800000002</c:v>
                </c:pt>
                <c:pt idx="5" formatCode="0">
                  <c:v>202.18781999999999</c:v>
                </c:pt>
                <c:pt idx="6" formatCode="0">
                  <c:v>16.737034000000001</c:v>
                </c:pt>
                <c:pt idx="7" formatCode="0">
                  <c:v>6.0413259999999998</c:v>
                </c:pt>
                <c:pt idx="8">
                  <c:v>0</c:v>
                </c:pt>
                <c:pt idx="10" formatCode="0">
                  <c:v>297.17737799999998</c:v>
                </c:pt>
                <c:pt idx="11" formatCode="0">
                  <c:v>37.043554999999998</c:v>
                </c:pt>
                <c:pt idx="12" formatCode="0">
                  <c:v>35.065631000000003</c:v>
                </c:pt>
                <c:pt idx="13">
                  <c:v>23.443280000000001</c:v>
                </c:pt>
                <c:pt idx="14">
                  <c:v>4.2904099999999996</c:v>
                </c:pt>
                <c:pt idx="15">
                  <c:v>1.1473150000000001</c:v>
                </c:pt>
                <c:pt idx="17" formatCode="0">
                  <c:v>216.86161899999999</c:v>
                </c:pt>
                <c:pt idx="18">
                  <c:v>5.6480069999999998</c:v>
                </c:pt>
                <c:pt idx="19">
                  <c:v>2.0321229999999999</c:v>
                </c:pt>
                <c:pt idx="20">
                  <c:v>0.162519</c:v>
                </c:pt>
                <c:pt idx="22">
                  <c:v>20.616351000000002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4-3767-4DB6-8FF9-CF23C12903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-392674992"/>
        <c:axId val="-392626032"/>
      </c:barChart>
      <c:catAx>
        <c:axId val="-3926749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26032"/>
        <c:crosses val="autoZero"/>
        <c:auto val="1"/>
        <c:lblAlgn val="ctr"/>
        <c:lblOffset val="100"/>
        <c:noMultiLvlLbl val="0"/>
      </c:catAx>
      <c:valAx>
        <c:axId val="-392626032"/>
        <c:scaling>
          <c:orientation val="minMax"/>
          <c:max val="60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</a:rPr>
                  <a:t>Development finance / million US$</a:t>
                </a:r>
              </a:p>
            </c:rich>
          </c:tx>
          <c:layout>
            <c:manualLayout>
              <c:xMode val="edge"/>
              <c:yMode val="edge"/>
              <c:x val="0.63156179364219145"/>
              <c:y val="0.9384384178332649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74992"/>
        <c:crosses val="autoZero"/>
        <c:crossBetween val="between"/>
        <c:majorUnit val="100"/>
        <c:minorUnit val="10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Bosnia and Herzegovina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45180258338153073"/>
          <c:y val="1.2752391073326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9472484967719113E-2"/>
          <c:y val="7.6332265055603435E-2"/>
          <c:w val="0.88043625113662416"/>
          <c:h val="0.6372537173554687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'Fig. 5'!$AA$3</c:f>
              <c:strCache>
                <c:ptCount val="1"/>
                <c:pt idx="0">
                  <c:v>ODA grants</c:v>
                </c:pt>
              </c:strCache>
            </c:strRef>
          </c:tx>
          <c:spPr>
            <a:pattFill prst="pct70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generation, renewable sources</c:v>
                </c:pt>
                <c:pt idx="1">
                  <c:v>Energy generation, non-renewable sources</c:v>
                </c:pt>
                <c:pt idx="2">
                  <c:v>Energy distribution</c:v>
                </c:pt>
                <c:pt idx="3">
                  <c:v>Energy policy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5'!$AB$3:$AF$3</c:f>
              <c:numCache>
                <c:formatCode>0.0</c:formatCode>
                <c:ptCount val="5"/>
                <c:pt idx="0" formatCode="0">
                  <c:v>32.426810000000003</c:v>
                </c:pt>
                <c:pt idx="1">
                  <c:v>0.27811399999999997</c:v>
                </c:pt>
                <c:pt idx="2" formatCode="0">
                  <c:v>2.8991850000000001</c:v>
                </c:pt>
                <c:pt idx="3" formatCode="0">
                  <c:v>42.029412000000001</c:v>
                </c:pt>
                <c:pt idx="4">
                  <c:v>1.6571610000000001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FA2-41B7-94AA-450C90867483}"/>
            </c:ext>
          </c:extLst>
        </c:ser>
        <c:ser>
          <c:idx val="1"/>
          <c:order val="1"/>
          <c:tx>
            <c:strRef>
              <c:f>'Fig. 5'!$AA$4</c:f>
              <c:strCache>
                <c:ptCount val="1"/>
                <c:pt idx="0">
                  <c:v>ODA loans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generation, renewable sources</c:v>
                </c:pt>
                <c:pt idx="1">
                  <c:v>Energy generation, non-renewable sources</c:v>
                </c:pt>
                <c:pt idx="2">
                  <c:v>Energy distribution</c:v>
                </c:pt>
                <c:pt idx="3">
                  <c:v>Energy policy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5'!$AB$4:$AF$4</c:f>
              <c:numCache>
                <c:formatCode>0</c:formatCode>
                <c:ptCount val="5"/>
                <c:pt idx="0">
                  <c:v>181.87507600000001</c:v>
                </c:pt>
                <c:pt idx="1">
                  <c:v>186.23101399999999</c:v>
                </c:pt>
                <c:pt idx="2">
                  <c:v>53.996642999999999</c:v>
                </c:pt>
                <c:pt idx="3">
                  <c:v>35.063583999999999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FA2-41B7-94AA-450C90867483}"/>
            </c:ext>
          </c:extLst>
        </c:ser>
        <c:ser>
          <c:idx val="2"/>
          <c:order val="2"/>
          <c:tx>
            <c:strRef>
              <c:f>'Fig. 5'!$AA$5</c:f>
              <c:strCache>
                <c:ptCount val="1"/>
                <c:pt idx="0">
                  <c:v>Other official flows (non export credit)</c:v>
                </c:pt>
              </c:strCache>
            </c:strRef>
          </c:tx>
          <c:spPr>
            <a:pattFill prst="pct50">
              <a:fgClr>
                <a:schemeClr val="accent5">
                  <a:lumMod val="50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generation, renewable sources</c:v>
                </c:pt>
                <c:pt idx="1">
                  <c:v>Energy generation, non-renewable sources</c:v>
                </c:pt>
                <c:pt idx="2">
                  <c:v>Energy distribution</c:v>
                </c:pt>
                <c:pt idx="3">
                  <c:v>Energy policy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5'!$AB$5:$AF$5</c:f>
              <c:numCache>
                <c:formatCode>0</c:formatCode>
                <c:ptCount val="5"/>
                <c:pt idx="0" formatCode="0.0">
                  <c:v>1.6225909999999999</c:v>
                </c:pt>
                <c:pt idx="1">
                  <c:v>26.018131</c:v>
                </c:pt>
                <c:pt idx="2">
                  <c:v>87.731496000000007</c:v>
                </c:pt>
                <c:pt idx="3">
                  <c:v>24.504892999999999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FA2-41B7-94AA-450C90867483}"/>
            </c:ext>
          </c:extLst>
        </c:ser>
        <c:ser>
          <c:idx val="3"/>
          <c:order val="3"/>
          <c:tx>
            <c:strRef>
              <c:f>'Fig. 5'!$AA$6</c:f>
              <c:strCache>
                <c:ptCount val="1"/>
                <c:pt idx="0">
                  <c:v>Equity investment</c:v>
                </c:pt>
              </c:strCache>
            </c:strRef>
          </c:tx>
          <c:spPr>
            <a:pattFill prst="ltVert">
              <a:fgClr>
                <a:srgbClr val="FF0000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generation, renewable sources</c:v>
                </c:pt>
                <c:pt idx="1">
                  <c:v>Energy generation, non-renewable sources</c:v>
                </c:pt>
                <c:pt idx="2">
                  <c:v>Energy distribution</c:v>
                </c:pt>
                <c:pt idx="3">
                  <c:v>Energy policy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5'!$AB$6:$AF$6</c:f>
              <c:numCache>
                <c:formatCode>General</c:formatCode>
                <c:ptCount val="5"/>
                <c:pt idx="0" formatCode="0.0">
                  <c:v>3.6016569999999999</c:v>
                </c:pt>
                <c:pt idx="2" formatCode="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FA2-41B7-94AA-450C908674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392652688"/>
        <c:axId val="-392641264"/>
      </c:barChart>
      <c:catAx>
        <c:axId val="-39265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1264"/>
        <c:crosses val="autoZero"/>
        <c:auto val="1"/>
        <c:lblAlgn val="ctr"/>
        <c:lblOffset val="100"/>
        <c:noMultiLvlLbl val="0"/>
      </c:catAx>
      <c:valAx>
        <c:axId val="-392641264"/>
        <c:scaling>
          <c:orientation val="minMax"/>
          <c:max val="24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 sz="1000"/>
                  <a:t>Development finance / US$ million </a:t>
                </a:r>
              </a:p>
            </c:rich>
          </c:tx>
          <c:layout>
            <c:manualLayout>
              <c:xMode val="edge"/>
              <c:yMode val="edge"/>
              <c:x val="9.5380789951863311E-3"/>
              <c:y val="0.18350255633561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52688"/>
        <c:crosses val="autoZero"/>
        <c:crossBetween val="between"/>
        <c:majorUnit val="40"/>
        <c:minorUnit val="10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9.8197492519912749E-2"/>
          <c:y val="0.92675207310032048"/>
          <c:w val="0.89999991406257163"/>
          <c:h val="7.11293319739991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 i="0" u="none" strike="noStrike" baseline="0">
                <a:effectLst/>
              </a:rPr>
              <a:t>Kosovo</a:t>
            </a:r>
            <a:endParaRPr lang="sv-SE" sz="1000" b="1"/>
          </a:p>
        </c:rich>
      </c:tx>
      <c:layout>
        <c:manualLayout>
          <c:xMode val="edge"/>
          <c:yMode val="edge"/>
          <c:x val="0.49607665438581305"/>
          <c:y val="8.50159404888416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9472484967719113E-2"/>
          <c:y val="7.6332265055603435E-2"/>
          <c:w val="0.88043625113662416"/>
          <c:h val="0.6457553114043528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'Fig. 5'!$W$3</c:f>
              <c:strCache>
                <c:ptCount val="1"/>
                <c:pt idx="0">
                  <c:v>ODA grants</c:v>
                </c:pt>
              </c:strCache>
            </c:strRef>
          </c:tx>
          <c:spPr>
            <a:pattFill prst="pct70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5'!$X$3:$AA$3</c:f>
              <c:numCache>
                <c:formatCode>0</c:formatCode>
                <c:ptCount val="4"/>
                <c:pt idx="0">
                  <c:v>60.630356999999997</c:v>
                </c:pt>
                <c:pt idx="1">
                  <c:v>34.119700999999999</c:v>
                </c:pt>
                <c:pt idx="2">
                  <c:v>34.520747999999998</c:v>
                </c:pt>
                <c:pt idx="3">
                  <c:v>52.021797999999997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A9-48A5-B0E3-9D879F10C7B7}"/>
            </c:ext>
          </c:extLst>
        </c:ser>
        <c:ser>
          <c:idx val="1"/>
          <c:order val="1"/>
          <c:tx>
            <c:strRef>
              <c:f>'Fig. 5'!$W$4</c:f>
              <c:strCache>
                <c:ptCount val="1"/>
                <c:pt idx="0">
                  <c:v>ODA loans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5'!$X$4:$AA$4</c:f>
              <c:numCache>
                <c:formatCode>0</c:formatCode>
                <c:ptCount val="4"/>
                <c:pt idx="0" formatCode="0.0">
                  <c:v>1.3821559999999999</c:v>
                </c:pt>
                <c:pt idx="1">
                  <c:v>0</c:v>
                </c:pt>
                <c:pt idx="2">
                  <c:v>15.894800999999999</c:v>
                </c:pt>
                <c:pt idx="3">
                  <c:v>85.451564000000005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1A9-48A5-B0E3-9D879F10C7B7}"/>
            </c:ext>
          </c:extLst>
        </c:ser>
        <c:ser>
          <c:idx val="2"/>
          <c:order val="2"/>
          <c:tx>
            <c:strRef>
              <c:f>'Fig. 5'!$W$5</c:f>
              <c:strCache>
                <c:ptCount val="1"/>
                <c:pt idx="0">
                  <c:v>Other official flows (non export credit)</c:v>
                </c:pt>
              </c:strCache>
            </c:strRef>
          </c:tx>
          <c:spPr>
            <a:pattFill prst="pct50">
              <a:fgClr>
                <a:schemeClr val="accent5">
                  <a:lumMod val="50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5'!$X$5:$AA$5</c:f>
              <c:numCache>
                <c:formatCode>0</c:formatCode>
                <c:ptCount val="4"/>
                <c:pt idx="0">
                  <c:v>0</c:v>
                </c:pt>
                <c:pt idx="1">
                  <c:v>8.1443000000000002E-2</c:v>
                </c:pt>
                <c:pt idx="2">
                  <c:v>36.573543999999998</c:v>
                </c:pt>
                <c:pt idx="3">
                  <c:v>32.856965000000002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1A9-48A5-B0E3-9D879F10C7B7}"/>
            </c:ext>
          </c:extLst>
        </c:ser>
        <c:ser>
          <c:idx val="3"/>
          <c:order val="3"/>
          <c:tx>
            <c:strRef>
              <c:f>'Fig. 5'!$W$6</c:f>
              <c:strCache>
                <c:ptCount val="1"/>
                <c:pt idx="0">
                  <c:v>Equity investment</c:v>
                </c:pt>
              </c:strCache>
            </c:strRef>
          </c:tx>
          <c:spPr>
            <a:pattFill prst="ltVert">
              <a:fgClr>
                <a:srgbClr val="FF0000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5'!$X$6:$AA$6</c:f>
              <c:numCache>
                <c:formatCode>General</c:formatCode>
                <c:ptCount val="4"/>
                <c:pt idx="2" formatCode="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1A9-48A5-B0E3-9D879F10C7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392646704"/>
        <c:axId val="-392640720"/>
      </c:barChart>
      <c:catAx>
        <c:axId val="-392646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0720"/>
        <c:crosses val="autoZero"/>
        <c:auto val="1"/>
        <c:lblAlgn val="ctr"/>
        <c:lblOffset val="100"/>
        <c:noMultiLvlLbl val="0"/>
      </c:catAx>
      <c:valAx>
        <c:axId val="-392640720"/>
        <c:scaling>
          <c:orientation val="minMax"/>
          <c:max val="18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5.6822856657087906E-3"/>
              <c:y val="0.179251759311170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6704"/>
        <c:crosses val="autoZero"/>
        <c:crossBetween val="between"/>
        <c:majorUnit val="30"/>
        <c:minorUnit val="10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9.8197492519912749E-2"/>
          <c:y val="0.92675207310032048"/>
          <c:w val="0.89999991406257163"/>
          <c:h val="7.11293319739991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 i="0" u="none" strike="noStrike" baseline="0">
                <a:solidFill>
                  <a:sysClr val="windowText" lastClr="000000"/>
                </a:solidFill>
                <a:effectLst/>
              </a:rPr>
              <a:t>Montenegro</a:t>
            </a:r>
            <a:endParaRPr lang="sv-SE" sz="10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49444765760555243"/>
          <c:y val="1.70031880977683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9472484967719113E-2"/>
          <c:y val="7.940723137556796E-2"/>
          <c:w val="0.88043625113662416"/>
          <c:h val="0.6415045143799108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'Fig. 5'!$W$3</c:f>
              <c:strCache>
                <c:ptCount val="1"/>
                <c:pt idx="0">
                  <c:v>ODA grants</c:v>
                </c:pt>
              </c:strCache>
            </c:strRef>
          </c:tx>
          <c:spPr>
            <a:pattFill prst="pct70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5'!$X$3:$AA$3</c:f>
              <c:numCache>
                <c:formatCode>0</c:formatCode>
                <c:ptCount val="4"/>
                <c:pt idx="0">
                  <c:v>11.861402</c:v>
                </c:pt>
                <c:pt idx="1">
                  <c:v>0.64427599999999996</c:v>
                </c:pt>
                <c:pt idx="2" formatCode="0.0">
                  <c:v>8.2755449999999993</c:v>
                </c:pt>
                <c:pt idx="3">
                  <c:v>0.21293599999999999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10F-4336-A1D4-D032E81D7765}"/>
            </c:ext>
          </c:extLst>
        </c:ser>
        <c:ser>
          <c:idx val="1"/>
          <c:order val="1"/>
          <c:tx>
            <c:strRef>
              <c:f>'Fig. 5'!$W$4</c:f>
              <c:strCache>
                <c:ptCount val="1"/>
                <c:pt idx="0">
                  <c:v>ODA loans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5'!$X$4:$AA$4</c:f>
              <c:numCache>
                <c:formatCode>0</c:formatCode>
                <c:ptCount val="4"/>
                <c:pt idx="0" formatCode="0.0">
                  <c:v>0</c:v>
                </c:pt>
                <c:pt idx="1">
                  <c:v>0.609294</c:v>
                </c:pt>
                <c:pt idx="2">
                  <c:v>56.148445000000002</c:v>
                </c:pt>
                <c:pt idx="3">
                  <c:v>35.620244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10F-4336-A1D4-D032E81D7765}"/>
            </c:ext>
          </c:extLst>
        </c:ser>
        <c:ser>
          <c:idx val="2"/>
          <c:order val="2"/>
          <c:tx>
            <c:strRef>
              <c:f>'Fig. 5'!$W$5</c:f>
              <c:strCache>
                <c:ptCount val="1"/>
                <c:pt idx="0">
                  <c:v>Other official flows (non export credit)</c:v>
                </c:pt>
              </c:strCache>
            </c:strRef>
          </c:tx>
          <c:spPr>
            <a:pattFill prst="pct50">
              <a:fgClr>
                <a:schemeClr val="accent5">
                  <a:lumMod val="50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5'!$X$5:$AA$5</c:f>
              <c:numCache>
                <c:formatCode>0</c:formatCode>
                <c:ptCount val="4"/>
                <c:pt idx="0">
                  <c:v>11.422681000000001</c:v>
                </c:pt>
                <c:pt idx="1">
                  <c:v>0</c:v>
                </c:pt>
                <c:pt idx="2">
                  <c:v>80.107978000000003</c:v>
                </c:pt>
                <c:pt idx="3">
                  <c:v>163.934473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10F-4336-A1D4-D032E81D7765}"/>
            </c:ext>
          </c:extLst>
        </c:ser>
        <c:ser>
          <c:idx val="3"/>
          <c:order val="3"/>
          <c:tx>
            <c:strRef>
              <c:f>'Fig. 5'!$W$6</c:f>
              <c:strCache>
                <c:ptCount val="1"/>
                <c:pt idx="0">
                  <c:v>Equity investment</c:v>
                </c:pt>
              </c:strCache>
            </c:strRef>
          </c:tx>
          <c:spPr>
            <a:pattFill prst="ltVert">
              <a:fgClr>
                <a:srgbClr val="FF0000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5'!$X$6:$AA$6</c:f>
              <c:numCache>
                <c:formatCode>General</c:formatCode>
                <c:ptCount val="4"/>
                <c:pt idx="2" formatCode="0">
                  <c:v>1.524346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10F-4336-A1D4-D032E81D77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392625488"/>
        <c:axId val="-392639088"/>
      </c:barChart>
      <c:catAx>
        <c:axId val="-392625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39088"/>
        <c:crosses val="autoZero"/>
        <c:auto val="1"/>
        <c:lblAlgn val="ctr"/>
        <c:lblOffset val="100"/>
        <c:noMultiLvlLbl val="0"/>
      </c:catAx>
      <c:valAx>
        <c:axId val="-392639088"/>
        <c:scaling>
          <c:orientation val="minMax"/>
          <c:max val="21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>
                    <a:solidFill>
                      <a:sysClr val="windowText" lastClr="000000"/>
                    </a:solidFill>
                  </a:rPr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7.6101823304475609E-3"/>
              <c:y val="0.1367437890667492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25488"/>
        <c:crosses val="autoZero"/>
        <c:crossBetween val="between"/>
        <c:majorUnit val="30"/>
        <c:minorUnit val="10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9.8197492519912749E-2"/>
          <c:y val="0.92675207310032048"/>
          <c:w val="0.89999991406257163"/>
          <c:h val="7.11293319739991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North Macedonia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46240601503759399"/>
          <c:y val="1.2752391073326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9472484967719113E-2"/>
          <c:y val="7.5156434351125886E-2"/>
          <c:w val="0.88043625113662416"/>
          <c:h val="0.6670092965265632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'Fig. 5'!$W$3</c:f>
              <c:strCache>
                <c:ptCount val="1"/>
                <c:pt idx="0">
                  <c:v>ODA grants</c:v>
                </c:pt>
              </c:strCache>
            </c:strRef>
          </c:tx>
          <c:spPr>
            <a:pattFill prst="pct70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5'!$X$3:$AA$3</c:f>
              <c:numCache>
                <c:formatCode>0.0</c:formatCode>
                <c:ptCount val="4"/>
                <c:pt idx="0">
                  <c:v>13.221374000000001</c:v>
                </c:pt>
                <c:pt idx="1">
                  <c:v>0.48006799999999999</c:v>
                </c:pt>
                <c:pt idx="2">
                  <c:v>2.6156920000000001</c:v>
                </c:pt>
                <c:pt idx="3">
                  <c:v>1.0507010000000001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899-48F5-B2CD-5A83A1E5A50A}"/>
            </c:ext>
          </c:extLst>
        </c:ser>
        <c:ser>
          <c:idx val="1"/>
          <c:order val="1"/>
          <c:tx>
            <c:strRef>
              <c:f>'Fig. 5'!$W$4</c:f>
              <c:strCache>
                <c:ptCount val="1"/>
                <c:pt idx="0">
                  <c:v>ODA loans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5'!$X$4:$AA$4</c:f>
              <c:numCache>
                <c:formatCode>0.0</c:formatCode>
                <c:ptCount val="4"/>
                <c:pt idx="0">
                  <c:v>0</c:v>
                </c:pt>
                <c:pt idx="1">
                  <c:v>0</c:v>
                </c:pt>
                <c:pt idx="2" formatCode="0">
                  <c:v>96.353487000000001</c:v>
                </c:pt>
                <c:pt idx="3">
                  <c:v>0.88266699999999998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899-48F5-B2CD-5A83A1E5A50A}"/>
            </c:ext>
          </c:extLst>
        </c:ser>
        <c:ser>
          <c:idx val="2"/>
          <c:order val="2"/>
          <c:tx>
            <c:strRef>
              <c:f>'Fig. 5'!$W$5</c:f>
              <c:strCache>
                <c:ptCount val="1"/>
                <c:pt idx="0">
                  <c:v>Other official flows (non export credit)</c:v>
                </c:pt>
              </c:strCache>
            </c:strRef>
          </c:tx>
          <c:spPr>
            <a:pattFill prst="pct50">
              <a:fgClr>
                <a:schemeClr val="accent5">
                  <a:lumMod val="50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5'!$X$5:$AA$5</c:f>
              <c:numCache>
                <c:formatCode>0.0</c:formatCode>
                <c:ptCount val="4"/>
                <c:pt idx="0">
                  <c:v>0</c:v>
                </c:pt>
                <c:pt idx="1">
                  <c:v>20.335339999999999</c:v>
                </c:pt>
                <c:pt idx="2">
                  <c:v>1.296773</c:v>
                </c:pt>
                <c:pt idx="3" formatCode="0">
                  <c:v>74.949222000000006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899-48F5-B2CD-5A83A1E5A50A}"/>
            </c:ext>
          </c:extLst>
        </c:ser>
        <c:ser>
          <c:idx val="3"/>
          <c:order val="3"/>
          <c:tx>
            <c:strRef>
              <c:f>'Fig. 5'!$W$6</c:f>
              <c:strCache>
                <c:ptCount val="1"/>
                <c:pt idx="0">
                  <c:v>Equity investment</c:v>
                </c:pt>
              </c:strCache>
            </c:strRef>
          </c:tx>
          <c:spPr>
            <a:pattFill prst="ltVert">
              <a:fgClr>
                <a:srgbClr val="FF0000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5'!$X$2:$AA$2</c:f>
              <c:strCache>
                <c:ptCount val="4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</c:strCache>
            </c:strRef>
          </c:cat>
          <c:val>
            <c:numRef>
              <c:f>'Fig. 5'!$X$6:$AA$6</c:f>
              <c:numCache>
                <c:formatCode>General</c:formatCode>
                <c:ptCount val="4"/>
                <c:pt idx="2" formatCode="0.0">
                  <c:v>0.76217299999999999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899-48F5-B2CD-5A83A1E5A5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392634736"/>
        <c:axId val="-392635824"/>
      </c:barChart>
      <c:catAx>
        <c:axId val="-392634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35824"/>
        <c:crosses val="autoZero"/>
        <c:auto val="1"/>
        <c:lblAlgn val="ctr"/>
        <c:lblOffset val="100"/>
        <c:noMultiLvlLbl val="0"/>
      </c:catAx>
      <c:valAx>
        <c:axId val="-392635824"/>
        <c:scaling>
          <c:orientation val="minMax"/>
          <c:max val="12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9.8691569254054385E-3"/>
              <c:y val="0.15962614429293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34736"/>
        <c:crosses val="autoZero"/>
        <c:crossBetween val="between"/>
        <c:majorUnit val="30"/>
        <c:minorUnit val="10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9.8197492519912749E-2"/>
          <c:y val="0.92675207310032048"/>
          <c:w val="0.89999991406257163"/>
          <c:h val="7.11293319739991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 i="0" u="none" strike="noStrike" baseline="0">
                <a:effectLst/>
              </a:rPr>
              <a:t>Serbia</a:t>
            </a:r>
            <a:endParaRPr lang="sv-SE" sz="1000" b="1"/>
          </a:p>
        </c:rich>
      </c:tx>
      <c:layout>
        <c:manualLayout>
          <c:xMode val="edge"/>
          <c:yMode val="edge"/>
          <c:x val="0.50674763832658576"/>
          <c:y val="1.2752391073326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9472484967719113E-2"/>
          <c:y val="7.5156434351125886E-2"/>
          <c:w val="0.88043625113662416"/>
          <c:h val="0.6287521233065845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'Fig. 5'!$AA$3</c:f>
              <c:strCache>
                <c:ptCount val="1"/>
                <c:pt idx="0">
                  <c:v>ODA grants</c:v>
                </c:pt>
              </c:strCache>
            </c:strRef>
          </c:tx>
          <c:spPr>
            <a:pattFill prst="pct70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5'!$AB$3:$AF$3</c:f>
              <c:numCache>
                <c:formatCode>0.0</c:formatCode>
                <c:ptCount val="5"/>
                <c:pt idx="0">
                  <c:v>51.952424000000001</c:v>
                </c:pt>
                <c:pt idx="1">
                  <c:v>86.831959999999995</c:v>
                </c:pt>
                <c:pt idx="2">
                  <c:v>54.727477</c:v>
                </c:pt>
                <c:pt idx="3">
                  <c:v>94.890984000000003</c:v>
                </c:pt>
                <c:pt idx="4">
                  <c:v>20.616351000000002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B4A-4238-B3F6-BD810EAC4857}"/>
            </c:ext>
          </c:extLst>
        </c:ser>
        <c:ser>
          <c:idx val="1"/>
          <c:order val="1"/>
          <c:tx>
            <c:strRef>
              <c:f>'Fig. 5'!$AA$4</c:f>
              <c:strCache>
                <c:ptCount val="1"/>
                <c:pt idx="0">
                  <c:v>ODA loans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5'!$AB$4:$AF$4</c:f>
              <c:numCache>
                <c:formatCode>0.0</c:formatCode>
                <c:ptCount val="5"/>
                <c:pt idx="0">
                  <c:v>9.1178190000000008</c:v>
                </c:pt>
                <c:pt idx="1">
                  <c:v>318.12376699999999</c:v>
                </c:pt>
                <c:pt idx="2" formatCode="0">
                  <c:v>152.75728000000001</c:v>
                </c:pt>
                <c:pt idx="3">
                  <c:v>68.880077999999997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B4A-4238-B3F6-BD810EAC4857}"/>
            </c:ext>
          </c:extLst>
        </c:ser>
        <c:ser>
          <c:idx val="2"/>
          <c:order val="2"/>
          <c:tx>
            <c:strRef>
              <c:f>'Fig. 5'!$AA$5</c:f>
              <c:strCache>
                <c:ptCount val="1"/>
                <c:pt idx="0">
                  <c:v>Other official flows (non export credit)</c:v>
                </c:pt>
              </c:strCache>
            </c:strRef>
          </c:tx>
          <c:spPr>
            <a:pattFill prst="pct50">
              <a:fgClr>
                <a:schemeClr val="accent5">
                  <a:lumMod val="50000"/>
                </a:schemeClr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5'!$AB$5:$AF$5</c:f>
              <c:numCache>
                <c:formatCode>0.0</c:formatCode>
                <c:ptCount val="5"/>
                <c:pt idx="0">
                  <c:v>163.63402500000001</c:v>
                </c:pt>
                <c:pt idx="1">
                  <c:v>325.90240299999999</c:v>
                </c:pt>
                <c:pt idx="2">
                  <c:v>181.561106</c:v>
                </c:pt>
                <c:pt idx="3" formatCode="0">
                  <c:v>139.72207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B4A-4238-B3F6-BD810EAC4857}"/>
            </c:ext>
          </c:extLst>
        </c:ser>
        <c:ser>
          <c:idx val="3"/>
          <c:order val="3"/>
          <c:tx>
            <c:strRef>
              <c:f>'Fig. 5'!$AA$6</c:f>
              <c:strCache>
                <c:ptCount val="1"/>
                <c:pt idx="0">
                  <c:v>Equity investment</c:v>
                </c:pt>
              </c:strCache>
            </c:strRef>
          </c:tx>
          <c:spPr>
            <a:pattFill prst="ltVert">
              <a:fgClr>
                <a:srgbClr val="FF0000"/>
              </a:fgClr>
              <a:bgClr>
                <a:schemeClr val="bg1"/>
              </a:bgClr>
            </a:pattFill>
            <a:ln w="6350">
              <a:solidFill>
                <a:schemeClr val="tx1"/>
              </a:solidFill>
            </a:ln>
            <a:effectLst/>
          </c:spPr>
          <c:invertIfNegative val="0"/>
          <c:cat>
            <c:strRef>
              <c:f>'Fig. 5'!$AB$2:$AF$2</c:f>
              <c:strCache>
                <c:ptCount val="5"/>
                <c:pt idx="0">
                  <c:v>Energy policy</c:v>
                </c:pt>
                <c:pt idx="1">
                  <c:v>Energy generation, non-renewable sources</c:v>
                </c:pt>
                <c:pt idx="2">
                  <c:v>Energy generation, renewable sources</c:v>
                </c:pt>
                <c:pt idx="3">
                  <c:v>Energy distribution</c:v>
                </c:pt>
                <c:pt idx="4">
                  <c:v>Nuclear energy plants</c:v>
                </c:pt>
              </c:strCache>
            </c:strRef>
          </c:cat>
          <c:val>
            <c:numRef>
              <c:f>'Fig. 5'!$AB$6:$AF$6</c:f>
              <c:numCache>
                <c:formatCode>0.0</c:formatCode>
                <c:ptCount val="5"/>
                <c:pt idx="1">
                  <c:v>3.1202679999999998</c:v>
                </c:pt>
                <c:pt idx="2">
                  <c:v>9.1217059999999996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B4A-4238-B3F6-BD810EAC48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392643984"/>
        <c:axId val="-392623312"/>
      </c:barChart>
      <c:catAx>
        <c:axId val="-392643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23312"/>
        <c:crosses val="autoZero"/>
        <c:auto val="1"/>
        <c:lblAlgn val="ctr"/>
        <c:lblOffset val="100"/>
        <c:noMultiLvlLbl val="0"/>
      </c:catAx>
      <c:valAx>
        <c:axId val="-392623312"/>
        <c:scaling>
          <c:orientation val="minMax"/>
          <c:max val="80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/>
                  <a:t>Development finance / US$ million</a:t>
                </a:r>
              </a:p>
            </c:rich>
          </c:tx>
          <c:layout>
            <c:manualLayout>
              <c:xMode val="edge"/>
              <c:yMode val="edge"/>
              <c:x val="5.6822856657087906E-3"/>
              <c:y val="0.1324929920423071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3984"/>
        <c:crosses val="autoZero"/>
        <c:crossBetween val="between"/>
        <c:majorUnit val="200"/>
        <c:minorUnit val="50"/>
      </c:valAx>
      <c:spPr>
        <a:noFill/>
        <a:ln w="6350"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9.8197492519912749E-2"/>
          <c:y val="0.92675207310032048"/>
          <c:w val="0.89999991406257163"/>
          <c:h val="7.11293319739991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solidFill>
                  <a:sysClr val="windowText" lastClr="000000"/>
                </a:solidFill>
              </a:rPr>
              <a:t>Bosnia and Herzegovina</a:t>
            </a:r>
            <a:endParaRPr lang="sv-SE" sz="10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63375747059957588"/>
          <c:y val="1.2752391073326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5870703409037433"/>
          <c:y val="9.0987473537114977E-2"/>
          <c:w val="0.50721898629068118"/>
          <c:h val="0.76085149823859688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 w="6350">
              <a:solidFill>
                <a:schemeClr val="tx1"/>
              </a:solidFill>
            </a:ln>
            <a:effectLst/>
          </c:spPr>
          <c:invertIfNegative val="0"/>
          <c:dPt>
            <c:idx val="7"/>
            <c:invertIfNegative val="0"/>
            <c:bubble3D val="0"/>
            <c:spPr>
              <a:pattFill prst="ltUpDiag">
                <a:fgClr>
                  <a:srgbClr val="FF0000"/>
                </a:fgClr>
                <a:bgClr>
                  <a:schemeClr val="bg1"/>
                </a:bgClr>
              </a:pattFill>
              <a:ln w="635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A92-424D-90C4-78DC27AB7E79}"/>
              </c:ext>
            </c:extLst>
          </c:dPt>
          <c:cat>
            <c:strRef>
              <c:f>'Fig. 6'!$F$40:$F$47</c:f>
              <c:strCache>
                <c:ptCount val="8"/>
                <c:pt idx="0">
                  <c:v>Germany</c:v>
                </c:pt>
                <c:pt idx="1">
                  <c:v>EBRD</c:v>
                </c:pt>
                <c:pt idx="2">
                  <c:v>Japan</c:v>
                </c:pt>
                <c:pt idx="3">
                  <c:v>EU Institutions (excl. EIB)</c:v>
                </c:pt>
                <c:pt idx="4">
                  <c:v>World Bank</c:v>
                </c:pt>
                <c:pt idx="5">
                  <c:v>Sweden</c:v>
                </c:pt>
                <c:pt idx="6">
                  <c:v>Austria</c:v>
                </c:pt>
                <c:pt idx="7">
                  <c:v>Cumulative amount for other providers (&lt; US$10 million individually) </c:v>
                </c:pt>
              </c:strCache>
            </c:strRef>
          </c:cat>
          <c:val>
            <c:numRef>
              <c:f>'Fig. 6'!$H$40:$H$47</c:f>
              <c:numCache>
                <c:formatCode>0.0</c:formatCode>
                <c:ptCount val="8"/>
                <c:pt idx="0">
                  <c:v>196.52575899999999</c:v>
                </c:pt>
                <c:pt idx="1">
                  <c:v>120.249769</c:v>
                </c:pt>
                <c:pt idx="2">
                  <c:v>117.613516</c:v>
                </c:pt>
                <c:pt idx="3">
                  <c:v>111.271553</c:v>
                </c:pt>
                <c:pt idx="4">
                  <c:v>74.738061999999999</c:v>
                </c:pt>
                <c:pt idx="5">
                  <c:v>15.028382000000001</c:v>
                </c:pt>
                <c:pt idx="6">
                  <c:v>11.990402</c:v>
                </c:pt>
                <c:pt idx="7">
                  <c:v>32.685186000000002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A92-424D-90C4-78DC27AB7E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392645616"/>
        <c:axId val="-392622768"/>
      </c:barChart>
      <c:catAx>
        <c:axId val="-392645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22768"/>
        <c:crosses val="autoZero"/>
        <c:auto val="1"/>
        <c:lblAlgn val="ctr"/>
        <c:lblOffset val="100"/>
        <c:noMultiLvlLbl val="0"/>
      </c:catAx>
      <c:valAx>
        <c:axId val="-392622768"/>
        <c:scaling>
          <c:orientation val="minMax"/>
          <c:max val="20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>
                    <a:solidFill>
                      <a:sysClr val="windowText" lastClr="000000"/>
                    </a:solidFill>
                  </a:rPr>
                  <a:t>Funding by provider / US$ million</a:t>
                </a:r>
              </a:p>
            </c:rich>
          </c:tx>
          <c:layout>
            <c:manualLayout>
              <c:xMode val="edge"/>
              <c:yMode val="edge"/>
              <c:x val="0.6305814505980275"/>
              <c:y val="0.938469545716987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5616"/>
        <c:crosses val="autoZero"/>
        <c:crossBetween val="between"/>
        <c:majorUnit val="50"/>
        <c:minorUnit val="10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Kosovo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67632285448715113"/>
          <c:y val="1.27523910733262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5982908852811311"/>
          <c:y val="7.3719531073493605E-2"/>
          <c:w val="0.50562201991957478"/>
          <c:h val="0.7778546863363652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 w="6350">
              <a:solidFill>
                <a:schemeClr val="tx1"/>
              </a:solidFill>
            </a:ln>
            <a:effectLst/>
          </c:spPr>
          <c:invertIfNegative val="0"/>
          <c:dPt>
            <c:idx val="6"/>
            <c:invertIfNegative val="0"/>
            <c:bubble3D val="0"/>
            <c:spPr>
              <a:pattFill prst="ltUpDiag">
                <a:fgClr>
                  <a:srgbClr val="FF0000"/>
                </a:fgClr>
                <a:bgClr>
                  <a:schemeClr val="bg1"/>
                </a:bgClr>
              </a:pattFill>
              <a:ln w="635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A74-4D23-867E-433F10BF491C}"/>
              </c:ext>
            </c:extLst>
          </c:dPt>
          <c:cat>
            <c:strRef>
              <c:f>'Fig. 6'!$E$42:$E$48</c:f>
              <c:strCache>
                <c:ptCount val="7"/>
                <c:pt idx="0">
                  <c:v>Germany</c:v>
                </c:pt>
                <c:pt idx="1">
                  <c:v>EU Institutions (excl. EIB)</c:v>
                </c:pt>
                <c:pt idx="2">
                  <c:v>EBRD</c:v>
                </c:pt>
                <c:pt idx="3">
                  <c:v>United States</c:v>
                </c:pt>
                <c:pt idx="4">
                  <c:v>World Bank</c:v>
                </c:pt>
                <c:pt idx="5">
                  <c:v>Switzerland</c:v>
                </c:pt>
                <c:pt idx="6">
                  <c:v>Cumulative amount for other providers (&lt; US$10 million individually) </c:v>
                </c:pt>
              </c:strCache>
            </c:strRef>
          </c:cat>
          <c:val>
            <c:numRef>
              <c:f>'Fig. 6'!$F$42:$F$48</c:f>
              <c:numCache>
                <c:formatCode>0</c:formatCode>
                <c:ptCount val="7"/>
                <c:pt idx="0">
                  <c:v>117.45215499999998</c:v>
                </c:pt>
                <c:pt idx="1">
                  <c:v>93.998529999999946</c:v>
                </c:pt>
                <c:pt idx="2">
                  <c:v>69.430509000000001</c:v>
                </c:pt>
                <c:pt idx="3">
                  <c:v>38.428750000000008</c:v>
                </c:pt>
                <c:pt idx="4">
                  <c:v>17.796806999999998</c:v>
                </c:pt>
                <c:pt idx="5">
                  <c:v>11.060941</c:v>
                </c:pt>
                <c:pt idx="6">
                  <c:v>5.390479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A74-4D23-867E-433F10BF49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392636368"/>
        <c:axId val="-392642896"/>
      </c:barChart>
      <c:catAx>
        <c:axId val="-3926363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2896"/>
        <c:crosses val="autoZero"/>
        <c:auto val="1"/>
        <c:lblAlgn val="ctr"/>
        <c:lblOffset val="100"/>
        <c:noMultiLvlLbl val="0"/>
      </c:catAx>
      <c:valAx>
        <c:axId val="-392642896"/>
        <c:scaling>
          <c:orientation val="minMax"/>
          <c:max val="12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algn="ctr"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">
                    <a:solidFill>
                      <a:sysClr val="windowText" lastClr="000000"/>
                    </a:solidFill>
                  </a:rPr>
                  <a:t>Funding by provider / US$ million</a:t>
                </a:r>
              </a:p>
            </c:rich>
          </c:tx>
          <c:layout>
            <c:manualLayout>
              <c:xMode val="edge"/>
              <c:yMode val="edge"/>
              <c:x val="0.62052387617083826"/>
              <c:y val="0.938469545716987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algn="ctr"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36368"/>
        <c:crosses val="autoZero"/>
        <c:crossBetween val="between"/>
        <c:minorUnit val="5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solidFill>
                  <a:sysClr val="windowText" lastClr="000000"/>
                </a:solidFill>
              </a:rPr>
              <a:t>Montenegro</a:t>
            </a:r>
            <a:endParaRPr lang="sv-SE" sz="10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68611914401388086"/>
          <c:y val="8.50159404888416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5834832386842334"/>
          <c:y val="7.7970328097935693E-2"/>
          <c:w val="0.50749192788148445"/>
          <c:h val="0.7693530922874810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 w="6350">
              <a:solidFill>
                <a:schemeClr val="tx1"/>
              </a:solidFill>
            </a:ln>
            <a:effectLst/>
          </c:spPr>
          <c:invertIfNegative val="0"/>
          <c:dPt>
            <c:idx val="5"/>
            <c:invertIfNegative val="0"/>
            <c:bubble3D val="0"/>
            <c:spPr>
              <a:pattFill prst="ltUpDiag">
                <a:fgClr>
                  <a:srgbClr val="FF0000"/>
                </a:fgClr>
                <a:bgClr>
                  <a:schemeClr val="bg1"/>
                </a:bgClr>
              </a:pattFill>
              <a:ln w="635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BAF-41A5-AF9E-0A778574D14C}"/>
              </c:ext>
            </c:extLst>
          </c:dPt>
          <c:cat>
            <c:strRef>
              <c:f>'Fig. 6'!$E$27:$E$32</c:f>
              <c:strCache>
                <c:ptCount val="6"/>
                <c:pt idx="0">
                  <c:v>EBRD</c:v>
                </c:pt>
                <c:pt idx="1">
                  <c:v>Germany</c:v>
                </c:pt>
                <c:pt idx="2">
                  <c:v>World Bank</c:v>
                </c:pt>
                <c:pt idx="3">
                  <c:v>Austria</c:v>
                </c:pt>
                <c:pt idx="4">
                  <c:v>EU Institutions (excl. EIB)</c:v>
                </c:pt>
                <c:pt idx="5">
                  <c:v>Cumulative amount for other providers (&lt; US$10 million individually) </c:v>
                </c:pt>
              </c:strCache>
            </c:strRef>
          </c:cat>
          <c:val>
            <c:numRef>
              <c:f>'Fig. 6'!$G$27:$G$32</c:f>
              <c:numCache>
                <c:formatCode>0.00</c:formatCode>
                <c:ptCount val="6"/>
                <c:pt idx="0">
                  <c:v>221.433459</c:v>
                </c:pt>
                <c:pt idx="1">
                  <c:v>88.962723999999994</c:v>
                </c:pt>
                <c:pt idx="2">
                  <c:v>25.879314999999998</c:v>
                </c:pt>
                <c:pt idx="3">
                  <c:v>16.554186000000001</c:v>
                </c:pt>
                <c:pt idx="4">
                  <c:v>12.338622000000001</c:v>
                </c:pt>
                <c:pt idx="5">
                  <c:v>5.1157060000000003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BAF-41A5-AF9E-0A778574D1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392647792"/>
        <c:axId val="-392652144"/>
      </c:barChart>
      <c:catAx>
        <c:axId val="-392647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52144"/>
        <c:crosses val="autoZero"/>
        <c:auto val="1"/>
        <c:lblAlgn val="ctr"/>
        <c:lblOffset val="100"/>
        <c:noMultiLvlLbl val="0"/>
      </c:catAx>
      <c:valAx>
        <c:axId val="-392652144"/>
        <c:scaling>
          <c:orientation val="minMax"/>
          <c:max val="25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>
                    <a:solidFill>
                      <a:sysClr val="windowText" lastClr="000000"/>
                    </a:solidFill>
                  </a:rPr>
                  <a:t>Funding by provider / US$ million</a:t>
                </a:r>
              </a:p>
            </c:rich>
          </c:tx>
          <c:layout>
            <c:manualLayout>
              <c:xMode val="edge"/>
              <c:yMode val="edge"/>
              <c:x val="0.6267256572685499"/>
              <c:y val="0.938469545716987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7792"/>
        <c:crosses val="autoZero"/>
        <c:crossBetween val="between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effectLst/>
              </a:rPr>
              <a:t>North Macedonia</a:t>
            </a:r>
            <a:endParaRPr lang="sv-SE" sz="1000" b="1">
              <a:effectLst/>
            </a:endParaRPr>
          </a:p>
        </c:rich>
      </c:tx>
      <c:layout>
        <c:manualLayout>
          <c:xMode val="edge"/>
          <c:yMode val="edge"/>
          <c:x val="0.66336996336996334"/>
          <c:y val="8.50159404888416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5870703409037433"/>
          <c:y val="6.5217937024609443E-2"/>
          <c:w val="0.50749192788148445"/>
          <c:h val="0.7863562803852494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 w="6350">
              <a:solidFill>
                <a:schemeClr val="tx1"/>
              </a:solidFill>
            </a:ln>
            <a:effectLst/>
          </c:spPr>
          <c:invertIfNegative val="0"/>
          <c:dPt>
            <c:idx val="3"/>
            <c:invertIfNegative val="0"/>
            <c:bubble3D val="0"/>
            <c:spPr>
              <a:pattFill prst="ltUpDiag">
                <a:fgClr>
                  <a:srgbClr val="FF0000"/>
                </a:fgClr>
                <a:bgClr>
                  <a:schemeClr val="bg1"/>
                </a:bgClr>
              </a:pattFill>
              <a:ln w="635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F2E-4294-9F20-119F4FEB1F2D}"/>
              </c:ext>
            </c:extLst>
          </c:dPt>
          <c:cat>
            <c:strRef>
              <c:f>'Fig. 6'!$E$30:$E$33</c:f>
              <c:strCache>
                <c:ptCount val="4"/>
                <c:pt idx="0">
                  <c:v>Germany</c:v>
                </c:pt>
                <c:pt idx="1">
                  <c:v>World Bank</c:v>
                </c:pt>
                <c:pt idx="2">
                  <c:v>EBRD</c:v>
                </c:pt>
                <c:pt idx="3">
                  <c:v>Cumulative amount for other providers (&lt; US$10 million individually) </c:v>
                </c:pt>
              </c:strCache>
            </c:strRef>
          </c:cat>
          <c:val>
            <c:numRef>
              <c:f>'Fig. 6'!$G$30:$G$33</c:f>
              <c:numCache>
                <c:formatCode>0.00</c:formatCode>
                <c:ptCount val="4"/>
                <c:pt idx="0">
                  <c:v>97.568905999999998</c:v>
                </c:pt>
                <c:pt idx="1">
                  <c:v>50.715394000000003</c:v>
                </c:pt>
                <c:pt idx="2">
                  <c:v>45.864521000000003</c:v>
                </c:pt>
                <c:pt idx="3">
                  <c:v>17.873479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F2E-4294-9F20-119F4FEB1F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392651600"/>
        <c:axId val="-392649424"/>
      </c:barChart>
      <c:catAx>
        <c:axId val="-3926516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9424"/>
        <c:crosses val="autoZero"/>
        <c:auto val="1"/>
        <c:lblAlgn val="ctr"/>
        <c:lblOffset val="100"/>
        <c:noMultiLvlLbl val="0"/>
      </c:catAx>
      <c:valAx>
        <c:axId val="-392649424"/>
        <c:scaling>
          <c:orientation val="minMax"/>
          <c:max val="10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>
                    <a:solidFill>
                      <a:sysClr val="windowText" lastClr="000000"/>
                    </a:solidFill>
                  </a:rPr>
                  <a:t>Funding by provider / US$ million</a:t>
                </a:r>
              </a:p>
            </c:rich>
          </c:tx>
          <c:layout>
            <c:manualLayout>
              <c:xMode val="edge"/>
              <c:yMode val="edge"/>
              <c:x val="0.62094196727433371"/>
              <c:y val="0.938469545716987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51600"/>
        <c:crosses val="autoZero"/>
        <c:crossBetween val="between"/>
        <c:minorUnit val="5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en-US" sz="1000" b="1">
                <a:solidFill>
                  <a:sysClr val="windowText" lastClr="000000"/>
                </a:solidFill>
                <a:effectLst/>
              </a:rPr>
              <a:t>Serbia</a:t>
            </a:r>
            <a:endParaRPr lang="sv-SE" sz="1000" b="1">
              <a:solidFill>
                <a:sysClr val="windowText" lastClr="000000"/>
              </a:solidFill>
              <a:effectLst/>
            </a:endParaRPr>
          </a:p>
        </c:rich>
      </c:tx>
      <c:layout>
        <c:manualLayout>
          <c:xMode val="edge"/>
          <c:yMode val="edge"/>
          <c:x val="0.68211868253310459"/>
          <c:y val="1.70031880977683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5834832386842334"/>
          <c:y val="7.7970328097935693E-2"/>
          <c:w val="0.50749192788148445"/>
          <c:h val="0.78251951768515648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635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1AFB-47A8-9AEA-DB605DF8B4BC}"/>
              </c:ext>
            </c:extLst>
          </c:dPt>
          <c:dPt>
            <c:idx val="8"/>
            <c:invertIfNegative val="0"/>
            <c:bubble3D val="0"/>
            <c:spPr>
              <a:pattFill prst="ltUpDiag">
                <a:fgClr>
                  <a:srgbClr val="FF0000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EED-458E-83F9-6A2F057AE2BB}"/>
              </c:ext>
            </c:extLst>
          </c:dPt>
          <c:cat>
            <c:strRef>
              <c:f>'Fig. 6 '!$E$37:$E$45</c:f>
              <c:strCache>
                <c:ptCount val="9"/>
                <c:pt idx="0">
                  <c:v>EBRD</c:v>
                </c:pt>
                <c:pt idx="1">
                  <c:v>Germany</c:v>
                </c:pt>
                <c:pt idx="2">
                  <c:v>EU Institutions (excl. EIB)</c:v>
                </c:pt>
                <c:pt idx="3">
                  <c:v>World Bank</c:v>
                </c:pt>
                <c:pt idx="4">
                  <c:v>Japan</c:v>
                </c:pt>
                <c:pt idx="5">
                  <c:v>Austria</c:v>
                </c:pt>
                <c:pt idx="6">
                  <c:v>Switzerland</c:v>
                </c:pt>
                <c:pt idx="7">
                  <c:v>United States</c:v>
                </c:pt>
                <c:pt idx="8">
                  <c:v>Cumulative amount for other providers (&lt; US$10 million individually) </c:v>
                </c:pt>
              </c:strCache>
            </c:strRef>
          </c:cat>
          <c:val>
            <c:numRef>
              <c:f>'Fig. 6 '!$G$37:$G$45</c:f>
              <c:numCache>
                <c:formatCode>0.00</c:formatCode>
                <c:ptCount val="9"/>
                <c:pt idx="0">
                  <c:v>598.65766399999995</c:v>
                </c:pt>
                <c:pt idx="1">
                  <c:v>401.04870899999997</c:v>
                </c:pt>
                <c:pt idx="2">
                  <c:v>238.47900999999999</c:v>
                </c:pt>
                <c:pt idx="3">
                  <c:v>211.32503399999999</c:v>
                </c:pt>
                <c:pt idx="4">
                  <c:v>118.12541400000001</c:v>
                </c:pt>
                <c:pt idx="5">
                  <c:v>42.068444</c:v>
                </c:pt>
                <c:pt idx="6">
                  <c:v>28.615016000000001</c:v>
                </c:pt>
                <c:pt idx="7">
                  <c:v>19.263021999999999</c:v>
                </c:pt>
                <c:pt idx="8">
                  <c:v>23.377405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EED-458E-83F9-6A2F057AE2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392641808"/>
        <c:axId val="-392634192"/>
      </c:barChart>
      <c:catAx>
        <c:axId val="-392641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34192"/>
        <c:crosses val="autoZero"/>
        <c:auto val="1"/>
        <c:lblAlgn val="ctr"/>
        <c:lblOffset val="100"/>
        <c:noMultiLvlLbl val="0"/>
      </c:catAx>
      <c:valAx>
        <c:axId val="-392634192"/>
        <c:scaling>
          <c:orientation val="minMax"/>
          <c:max val="600"/>
          <c:min val="0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prstDash val="lgDash"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sv-SE">
                    <a:solidFill>
                      <a:sysClr val="windowText" lastClr="000000"/>
                    </a:solidFill>
                  </a:rPr>
                  <a:t>Funding by provider / US$ million</a:t>
                </a:r>
              </a:p>
            </c:rich>
          </c:tx>
          <c:layout>
            <c:manualLayout>
              <c:xMode val="edge"/>
              <c:yMode val="edge"/>
              <c:x val="0.62738770307261971"/>
              <c:y val="0.939218814318376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in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-392641808"/>
        <c:crosses val="autoZero"/>
        <c:crossBetween val="between"/>
        <c:majorUnit val="100"/>
        <c:minorUnit val="20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77FE6-6E72-40DC-BF2D-66FAAE3E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 Causevic</dc:creator>
  <cp:keywords/>
  <dc:description/>
  <cp:lastModifiedBy>Rajalakshmi Thangaraj</cp:lastModifiedBy>
  <cp:revision>4</cp:revision>
  <cp:lastPrinted>2023-11-17T15:19:00Z</cp:lastPrinted>
  <dcterms:created xsi:type="dcterms:W3CDTF">2023-11-17T15:21:00Z</dcterms:created>
  <dcterms:modified xsi:type="dcterms:W3CDTF">2023-11-29T07:30:00Z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6c813552-ce71-419a-83c3-01a2d12a38a5</vt:lpwstr>
  </property>
</Properties>
</file>