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F354B" w14:textId="77777777" w:rsidR="00D02070" w:rsidRPr="00994A8F" w:rsidRDefault="00D02070" w:rsidP="00D02070">
      <w:pPr>
        <w:pStyle w:val="Listenabsatz"/>
        <w:spacing w:after="120" w:line="360" w:lineRule="auto"/>
        <w:ind w:left="0"/>
      </w:pPr>
      <w:r w:rsidRPr="00D02070">
        <w:rPr>
          <w:rFonts w:asciiTheme="majorHAnsi" w:eastAsiaTheme="majorEastAsia" w:hAnsiTheme="majorHAnsi" w:cstheme="majorBidi"/>
          <w:b/>
          <w:bCs/>
          <w:color w:val="365F91" w:themeColor="accent1" w:themeShade="BF"/>
          <w:sz w:val="28"/>
          <w:szCs w:val="28"/>
          <w:lang w:val="en-US"/>
        </w:rPr>
        <w:t>Supplementary materials to: The circular bioeconomy: A driver for system integration</w:t>
      </w:r>
      <w:r>
        <w:br/>
      </w:r>
      <w:bookmarkStart w:id="0" w:name="_Hlk30336743"/>
      <w:bookmarkStart w:id="1" w:name="_Hlk126576498"/>
      <w:r w:rsidRPr="00D02070">
        <w:rPr>
          <w:i/>
        </w:rPr>
        <w:t xml:space="preserve">Fabian Schipfer*, </w:t>
      </w:r>
      <w:proofErr w:type="spellStart"/>
      <w:r w:rsidRPr="00D02070">
        <w:rPr>
          <w:i/>
        </w:rPr>
        <w:t>Pralhad</w:t>
      </w:r>
      <w:proofErr w:type="spellEnd"/>
      <w:r w:rsidRPr="00D02070">
        <w:rPr>
          <w:i/>
        </w:rPr>
        <w:t xml:space="preserve"> </w:t>
      </w:r>
      <w:proofErr w:type="spellStart"/>
      <w:r w:rsidRPr="00D02070">
        <w:rPr>
          <w:i/>
        </w:rPr>
        <w:t>Burli</w:t>
      </w:r>
      <w:r w:rsidRPr="00D02070">
        <w:rPr>
          <w:i/>
          <w:vertAlign w:val="superscript"/>
        </w:rPr>
        <w:t>x</w:t>
      </w:r>
      <w:proofErr w:type="spellEnd"/>
      <w:r w:rsidRPr="00D02070">
        <w:rPr>
          <w:i/>
        </w:rPr>
        <w:t xml:space="preserve">, Uwe </w:t>
      </w:r>
      <w:proofErr w:type="gramStart"/>
      <w:r w:rsidRPr="00D02070">
        <w:rPr>
          <w:i/>
        </w:rPr>
        <w:t>Fritsche</w:t>
      </w:r>
      <w:r w:rsidRPr="00D02070">
        <w:rPr>
          <w:i/>
          <w:vertAlign w:val="superscript"/>
        </w:rPr>
        <w:t>[</w:t>
      </w:r>
      <w:proofErr w:type="gramEnd"/>
      <w:r w:rsidRPr="00D02070">
        <w:rPr>
          <w:i/>
          <w:vertAlign w:val="superscript"/>
        </w:rPr>
        <w:t>]</w:t>
      </w:r>
      <w:r w:rsidRPr="00D02070">
        <w:rPr>
          <w:i/>
        </w:rPr>
        <w:t>, Christiane Hennig</w:t>
      </w:r>
      <w:r w:rsidRPr="00D02070">
        <w:rPr>
          <w:i/>
          <w:vertAlign w:val="superscript"/>
        </w:rPr>
        <w:t>=</w:t>
      </w:r>
      <w:r w:rsidRPr="00D02070">
        <w:rPr>
          <w:i/>
        </w:rPr>
        <w:t>, Fabian Stricker°, Maria Wirth</w:t>
      </w:r>
      <w:r w:rsidRPr="00D02070">
        <w:rPr>
          <w:i/>
          <w:vertAlign w:val="superscript"/>
        </w:rPr>
        <w:t>#</w:t>
      </w:r>
      <w:r w:rsidRPr="00D02070">
        <w:rPr>
          <w:i/>
        </w:rPr>
        <w:t xml:space="preserve">, Svetlana </w:t>
      </w:r>
      <w:proofErr w:type="spellStart"/>
      <w:r w:rsidRPr="00D02070">
        <w:rPr>
          <w:i/>
        </w:rPr>
        <w:t>Proskurina</w:t>
      </w:r>
      <w:proofErr w:type="spellEnd"/>
      <w:r w:rsidRPr="00D02070">
        <w:rPr>
          <w:i/>
          <w:vertAlign w:val="superscript"/>
        </w:rPr>
        <w:t>+</w:t>
      </w:r>
      <w:r w:rsidRPr="00D02070">
        <w:rPr>
          <w:i/>
        </w:rPr>
        <w:t>, Sebastian Serna-</w:t>
      </w:r>
      <w:proofErr w:type="spellStart"/>
      <w:r w:rsidRPr="00D02070">
        <w:rPr>
          <w:i/>
        </w:rPr>
        <w:t>Loaiza</w:t>
      </w:r>
      <w:proofErr w:type="spellEnd"/>
      <w:r w:rsidRPr="00D02070">
        <w:rPr>
          <w:i/>
        </w:rPr>
        <w:t>*</w:t>
      </w:r>
    </w:p>
    <w:bookmarkEnd w:id="0"/>
    <w:p w14:paraId="039C6BB8" w14:textId="77777777" w:rsidR="00D02070" w:rsidRPr="00D02070" w:rsidRDefault="00D02070" w:rsidP="00D02070">
      <w:pPr>
        <w:pStyle w:val="Listenabsatz"/>
        <w:spacing w:after="120" w:line="360" w:lineRule="auto"/>
        <w:ind w:left="0"/>
        <w:rPr>
          <w:i/>
        </w:rPr>
      </w:pPr>
      <w:r w:rsidRPr="00D02070">
        <w:rPr>
          <w:i/>
        </w:rPr>
        <w:t xml:space="preserve">Corresponding author: Schipfer Fabian, </w:t>
      </w:r>
      <w:hyperlink r:id="rId11" w:history="1">
        <w:r w:rsidRPr="00D02070">
          <w:rPr>
            <w:rStyle w:val="Hyperlink"/>
            <w:i/>
          </w:rPr>
          <w:t>fabian.schipfer@tuwien.ac.at</w:t>
        </w:r>
      </w:hyperlink>
      <w:r w:rsidRPr="00D02070">
        <w:rPr>
          <w:i/>
        </w:rPr>
        <w:t xml:space="preserve">, </w:t>
      </w:r>
      <w:hyperlink r:id="rId12" w:history="1">
        <w:r w:rsidRPr="00D02070">
          <w:rPr>
            <w:rStyle w:val="Hyperlink"/>
            <w:i/>
          </w:rPr>
          <w:t>www.schipfer.eu</w:t>
        </w:r>
      </w:hyperlink>
      <w:r w:rsidRPr="00D02070">
        <w:rPr>
          <w:i/>
        </w:rPr>
        <w:br/>
        <w:t xml:space="preserve">*Institute of Chemical, Environmental and Bioscience Engineering, </w:t>
      </w:r>
      <w:proofErr w:type="spellStart"/>
      <w:r w:rsidRPr="00D02070">
        <w:rPr>
          <w:i/>
        </w:rPr>
        <w:t>Technische</w:t>
      </w:r>
      <w:proofErr w:type="spellEnd"/>
      <w:r w:rsidRPr="00D02070">
        <w:rPr>
          <w:i/>
        </w:rPr>
        <w:t xml:space="preserve"> Universität Wien, , Vienna, Austria;</w:t>
      </w:r>
      <w:r w:rsidRPr="00D02070">
        <w:rPr>
          <w:i/>
        </w:rPr>
        <w:br/>
      </w:r>
      <w:proofErr w:type="spellStart"/>
      <w:r w:rsidRPr="00D02070">
        <w:rPr>
          <w:i/>
          <w:vertAlign w:val="superscript"/>
        </w:rPr>
        <w:t>x</w:t>
      </w:r>
      <w:r w:rsidRPr="00D02070">
        <w:rPr>
          <w:i/>
        </w:rPr>
        <w:t>Idaho</w:t>
      </w:r>
      <w:proofErr w:type="spellEnd"/>
      <w:r w:rsidRPr="00D02070">
        <w:rPr>
          <w:i/>
        </w:rPr>
        <w:t xml:space="preserve"> National Laboratory, 1955 N Fremont Ave, Idaho Falls, United States</w:t>
      </w:r>
      <w:r w:rsidRPr="00D02070">
        <w:rPr>
          <w:i/>
        </w:rPr>
        <w:br/>
      </w:r>
      <w:r w:rsidRPr="00D02070">
        <w:rPr>
          <w:i/>
          <w:vertAlign w:val="superscript"/>
        </w:rPr>
        <w:t>[]</w:t>
      </w:r>
      <w:r w:rsidRPr="00D02070">
        <w:rPr>
          <w:i/>
        </w:rPr>
        <w:t>IINAS GmbH, Darmstadt, Germany</w:t>
      </w:r>
      <w:r w:rsidRPr="00D02070">
        <w:rPr>
          <w:i/>
        </w:rPr>
        <w:br/>
      </w:r>
      <w:r w:rsidRPr="00D02070">
        <w:rPr>
          <w:i/>
          <w:vertAlign w:val="superscript"/>
        </w:rPr>
        <w:t>=</w:t>
      </w:r>
      <w:r w:rsidRPr="00D02070">
        <w:rPr>
          <w:i/>
        </w:rPr>
        <w:t xml:space="preserve">DBFZ German Biomass Research </w:t>
      </w:r>
      <w:proofErr w:type="spellStart"/>
      <w:r w:rsidRPr="00D02070">
        <w:rPr>
          <w:i/>
        </w:rPr>
        <w:t>Center</w:t>
      </w:r>
      <w:proofErr w:type="spellEnd"/>
      <w:r w:rsidRPr="00D02070">
        <w:rPr>
          <w:i/>
        </w:rPr>
        <w:t xml:space="preserve"> GmbH, Leipzig, Germany</w:t>
      </w:r>
      <w:r w:rsidRPr="00D02070">
        <w:rPr>
          <w:i/>
        </w:rPr>
        <w:br/>
      </w:r>
      <w:r w:rsidRPr="00D02070">
        <w:rPr>
          <w:i/>
          <w:vertAlign w:val="superscript"/>
        </w:rPr>
        <w:t>+</w:t>
      </w:r>
      <w:r w:rsidRPr="00D02070">
        <w:rPr>
          <w:i/>
        </w:rPr>
        <w:t>Lappeenranta-Lahti University of Technology LUT, Lappeenranta, Finland</w:t>
      </w:r>
      <w:r w:rsidRPr="00D02070">
        <w:rPr>
          <w:i/>
          <w:color w:val="4F6228" w:themeColor="accent3" w:themeShade="80"/>
        </w:rPr>
        <w:t>.</w:t>
      </w:r>
      <w:r w:rsidRPr="00D02070">
        <w:rPr>
          <w:i/>
          <w:color w:val="4F6228" w:themeColor="accent3" w:themeShade="80"/>
        </w:rPr>
        <w:br/>
      </w:r>
      <w:r w:rsidRPr="00D02070">
        <w:rPr>
          <w:i/>
        </w:rPr>
        <w:t>°</w:t>
      </w:r>
      <w:proofErr w:type="spellStart"/>
      <w:r w:rsidRPr="00D02070">
        <w:rPr>
          <w:i/>
        </w:rPr>
        <w:t>Fabmap</w:t>
      </w:r>
      <w:proofErr w:type="spellEnd"/>
      <w:r w:rsidRPr="00D02070">
        <w:rPr>
          <w:i/>
        </w:rPr>
        <w:t xml:space="preserve"> </w:t>
      </w:r>
      <w:proofErr w:type="spellStart"/>
      <w:r w:rsidRPr="00D02070">
        <w:rPr>
          <w:i/>
        </w:rPr>
        <w:t>e.U.</w:t>
      </w:r>
      <w:proofErr w:type="spellEnd"/>
      <w:r w:rsidRPr="00D02070">
        <w:rPr>
          <w:i/>
        </w:rPr>
        <w:t>, www.fabmap.at, Vienna, Austria</w:t>
      </w:r>
      <w:r w:rsidRPr="00D02070">
        <w:rPr>
          <w:i/>
          <w:color w:val="4F6228" w:themeColor="accent3" w:themeShade="80"/>
        </w:rPr>
        <w:br/>
      </w:r>
      <w:r w:rsidRPr="00D02070">
        <w:rPr>
          <w:i/>
          <w:vertAlign w:val="superscript"/>
        </w:rPr>
        <w:t>#</w:t>
      </w:r>
      <w:r w:rsidRPr="00D02070">
        <w:rPr>
          <w:i/>
        </w:rPr>
        <w:t xml:space="preserve">alchemia-nova research &amp; innovation </w:t>
      </w:r>
      <w:proofErr w:type="spellStart"/>
      <w:r w:rsidRPr="00D02070">
        <w:rPr>
          <w:i/>
        </w:rPr>
        <w:t>gemeinnützige</w:t>
      </w:r>
      <w:proofErr w:type="spellEnd"/>
      <w:r w:rsidRPr="00D02070">
        <w:rPr>
          <w:i/>
        </w:rPr>
        <w:t xml:space="preserve"> GmbH, </w:t>
      </w:r>
      <w:proofErr w:type="spellStart"/>
      <w:r w:rsidRPr="00D02070">
        <w:rPr>
          <w:i/>
        </w:rPr>
        <w:t>Baumgartenstrasse</w:t>
      </w:r>
      <w:proofErr w:type="spellEnd"/>
      <w:r w:rsidRPr="00D02070">
        <w:rPr>
          <w:i/>
        </w:rPr>
        <w:t xml:space="preserve"> 93, Vienna, Austria</w:t>
      </w:r>
    </w:p>
    <w:bookmarkEnd w:id="1"/>
    <w:p w14:paraId="577B6420" w14:textId="24D97630" w:rsidR="00145A4B" w:rsidRPr="000D1B57" w:rsidRDefault="00145A4B" w:rsidP="004E3BDF">
      <w:pPr>
        <w:pStyle w:val="Listenabsatz"/>
        <w:numPr>
          <w:ilvl w:val="0"/>
          <w:numId w:val="2"/>
        </w:numPr>
        <w:spacing w:after="120" w:line="360" w:lineRule="auto"/>
        <w:contextualSpacing w:val="0"/>
        <w:rPr>
          <w:b/>
        </w:rPr>
      </w:pPr>
      <w:r w:rsidRPr="000D1B57">
        <w:rPr>
          <w:b/>
        </w:rPr>
        <w:t>Key contribution</w:t>
      </w:r>
      <w:r w:rsidR="002374C9">
        <w:rPr>
          <w:b/>
        </w:rPr>
        <w:t>s</w:t>
      </w:r>
    </w:p>
    <w:p w14:paraId="681BE7D7" w14:textId="4D270595" w:rsidR="002374C9" w:rsidRDefault="6CE44234" w:rsidP="008C5B03">
      <w:pPr>
        <w:pStyle w:val="Listenabsatz"/>
        <w:spacing w:after="120" w:line="360" w:lineRule="auto"/>
        <w:ind w:left="0"/>
        <w:contextualSpacing w:val="0"/>
      </w:pPr>
      <w:r>
        <w:t xml:space="preserve">Based on </w:t>
      </w:r>
      <w:r w:rsidR="00E4360C">
        <w:t xml:space="preserve">the </w:t>
      </w:r>
      <w:r>
        <w:t>state</w:t>
      </w:r>
      <w:r w:rsidR="00E4360C">
        <w:t>-of-the-art for deploying Sankey diagrams as tools to inform and communicate anthropocentric transformation strategies, this paper aims to tap</w:t>
      </w:r>
      <w:r>
        <w:t xml:space="preserve"> into research opportunities, closing the most prevalent and discussing residual research gaps. Overcoming these gaps will support quantitative approaches in transformation research, namely by providing means for envisioning, illustrating, </w:t>
      </w:r>
      <w:proofErr w:type="spellStart"/>
      <w:r>
        <w:t>analy</w:t>
      </w:r>
      <w:r w:rsidR="0038503E">
        <w:t>z</w:t>
      </w:r>
      <w:r>
        <w:t>ing</w:t>
      </w:r>
      <w:proofErr w:type="spellEnd"/>
      <w:r>
        <w:t xml:space="preserve"> and communicating such strategies.</w:t>
      </w:r>
    </w:p>
    <w:p w14:paraId="5F87C46C" w14:textId="42B2657F" w:rsidR="00E070BB" w:rsidRPr="00E070BB" w:rsidRDefault="002B2E4D" w:rsidP="008C5B03">
      <w:pPr>
        <w:pStyle w:val="Listenabsatz"/>
        <w:spacing w:after="120" w:line="360" w:lineRule="auto"/>
        <w:ind w:left="0"/>
        <w:contextualSpacing w:val="0"/>
        <w:rPr>
          <w:u w:val="single"/>
        </w:rPr>
      </w:pPr>
      <w:r>
        <w:rPr>
          <w:u w:val="single"/>
        </w:rPr>
        <w:t>Addressed</w:t>
      </w:r>
      <w:r w:rsidR="00E1793B">
        <w:rPr>
          <w:u w:val="single"/>
        </w:rPr>
        <w:t xml:space="preserve"> r</w:t>
      </w:r>
      <w:r w:rsidR="00E070BB" w:rsidRPr="00E070BB">
        <w:rPr>
          <w:u w:val="single"/>
        </w:rPr>
        <w:t>esearch opportunities:</w:t>
      </w:r>
    </w:p>
    <w:p w14:paraId="31A59D82" w14:textId="12E656F4" w:rsidR="002374C9" w:rsidRDefault="6CE44234" w:rsidP="008C5B03">
      <w:pPr>
        <w:pStyle w:val="Listenabsatz"/>
        <w:spacing w:after="120" w:line="360" w:lineRule="auto"/>
        <w:ind w:left="0"/>
        <w:contextualSpacing w:val="0"/>
      </w:pPr>
      <w:r>
        <w:t xml:space="preserve">The European statistics (Eurostat) publish individual Sankey </w:t>
      </w:r>
      <w:r w:rsidR="00E4360C">
        <w:t>diagrams</w:t>
      </w:r>
      <w:r>
        <w:t xml:space="preserve"> and underlying databases for statistically recorded </w:t>
      </w:r>
      <w:r w:rsidR="00E4360C">
        <w:t>energy flows</w:t>
      </w:r>
      <w:r>
        <w:t xml:space="preserve">, biomass, mineral, non-metallic ores and waste streams. Working with this data presents many opportunities. European Member states are obliged to regularly report the data on a national level to Eurostat, while </w:t>
      </w:r>
      <w:r w:rsidR="00E4360C">
        <w:t xml:space="preserve">the </w:t>
      </w:r>
      <w:r>
        <w:t xml:space="preserve">right of access is guaranteed for everybody. Furthermore, adopting Eurostat based Sankey </w:t>
      </w:r>
      <w:r w:rsidR="00E4360C">
        <w:t>diagrams</w:t>
      </w:r>
      <w:r>
        <w:t xml:space="preserve"> and databases for transformation research holds the opportunity to experiment with and propose statistical indicators that can be relatively easily implemented into statistical reporting procedures.</w:t>
      </w:r>
    </w:p>
    <w:p w14:paraId="6D03EFB2" w14:textId="685C6744" w:rsidR="00E070BB" w:rsidRPr="00AE2343" w:rsidRDefault="002B2E4D" w:rsidP="008C5B03">
      <w:pPr>
        <w:pStyle w:val="Listenabsatz"/>
        <w:spacing w:after="120" w:line="360" w:lineRule="auto"/>
        <w:ind w:left="0"/>
        <w:contextualSpacing w:val="0"/>
        <w:rPr>
          <w:u w:val="single"/>
        </w:rPr>
      </w:pPr>
      <w:r>
        <w:rPr>
          <w:u w:val="single"/>
        </w:rPr>
        <w:t>R</w:t>
      </w:r>
      <w:r w:rsidR="00E070BB" w:rsidRPr="00AE2343">
        <w:rPr>
          <w:u w:val="single"/>
        </w:rPr>
        <w:t>esearch gaps</w:t>
      </w:r>
      <w:r>
        <w:rPr>
          <w:u w:val="single"/>
        </w:rPr>
        <w:t xml:space="preserve"> addressed in the methodological part</w:t>
      </w:r>
      <w:r w:rsidR="00E070BB" w:rsidRPr="00AE2343">
        <w:rPr>
          <w:u w:val="single"/>
        </w:rPr>
        <w:t>:</w:t>
      </w:r>
    </w:p>
    <w:p w14:paraId="783D70C3" w14:textId="593D506D" w:rsidR="002374C9" w:rsidRDefault="6CE44234" w:rsidP="008C5B03">
      <w:pPr>
        <w:pStyle w:val="Listenabsatz"/>
        <w:spacing w:after="120" w:line="360" w:lineRule="auto"/>
        <w:ind w:left="0"/>
        <w:contextualSpacing w:val="0"/>
      </w:pPr>
      <w:r>
        <w:t>Research gaps addressed in the methodological part of the presented work include the joint representation of all Eurostat energy, material and biomass flow</w:t>
      </w:r>
      <w:r w:rsidR="00E4360C">
        <w:t>s</w:t>
      </w:r>
      <w:r>
        <w:t xml:space="preserve"> in two measurement units, weight and energy content</w:t>
      </w:r>
      <w:r w:rsidR="00E4360C">
        <w:t>,</w:t>
      </w:r>
      <w:r>
        <w:t xml:space="preserve"> respectively. Furthermore, and in contrast to MFAs, we provide a minimum resolution for illustrating resource flows covering </w:t>
      </w:r>
      <w:r w:rsidR="00E4360C">
        <w:t>primary</w:t>
      </w:r>
      <w:r>
        <w:t xml:space="preserve"> societal needs</w:t>
      </w:r>
      <w:r w:rsidR="00E4360C">
        <w:t>,</w:t>
      </w:r>
      <w:r>
        <w:t xml:space="preserve"> including food, durable and non-durable materials, energy for transportation and other energy services (e.g. residential heating, </w:t>
      </w:r>
      <w:r>
        <w:lastRenderedPageBreak/>
        <w:t xml:space="preserve">electricity for appliances). </w:t>
      </w:r>
      <w:r w:rsidR="00E4360C">
        <w:t>We further explain the</w:t>
      </w:r>
      <w:r>
        <w:t xml:space="preserve"> selection and definition of these societal needs in section 2.1. Lastly, and inspired by the Circularity Gap Research, we propose a methodology to comprehensively illustrate resources flowing out of the economy and looping back through recovery and recycling.</w:t>
      </w:r>
    </w:p>
    <w:p w14:paraId="1DC44309" w14:textId="2D157EB6" w:rsidR="00CB183C" w:rsidRPr="00CB183C" w:rsidRDefault="00CB183C" w:rsidP="008C5B03">
      <w:pPr>
        <w:pStyle w:val="Listenabsatz"/>
        <w:spacing w:after="120" w:line="360" w:lineRule="auto"/>
        <w:ind w:left="0"/>
        <w:contextualSpacing w:val="0"/>
        <w:rPr>
          <w:u w:val="single"/>
        </w:rPr>
      </w:pPr>
      <w:r w:rsidRPr="00CB183C">
        <w:rPr>
          <w:u w:val="single"/>
        </w:rPr>
        <w:t>Residual research gaps</w:t>
      </w:r>
      <w:r w:rsidR="002B2E4D">
        <w:rPr>
          <w:u w:val="single"/>
        </w:rPr>
        <w:t xml:space="preserve"> addressed in the discussion</w:t>
      </w:r>
      <w:r w:rsidRPr="00CB183C">
        <w:rPr>
          <w:u w:val="single"/>
        </w:rPr>
        <w:t>:</w:t>
      </w:r>
    </w:p>
    <w:p w14:paraId="59C791FC" w14:textId="0AF61BBD" w:rsidR="00AE2343" w:rsidRDefault="6CE44234" w:rsidP="008C5B03">
      <w:pPr>
        <w:pStyle w:val="Listenabsatz"/>
        <w:spacing w:after="120" w:line="360" w:lineRule="auto"/>
        <w:ind w:left="0"/>
        <w:contextualSpacing w:val="0"/>
      </w:pPr>
      <w:r>
        <w:t>Research gaps addressed in the discussion part of the presented work include an overview o</w:t>
      </w:r>
      <w:r w:rsidR="00E4360C">
        <w:t>f</w:t>
      </w:r>
      <w:r>
        <w:t xml:space="preserve"> other resource flows and measurement units, including moisture, water, carbon, nutri</w:t>
      </w:r>
      <w:r w:rsidR="00E4360C">
        <w:t>tional</w:t>
      </w:r>
      <w:r>
        <w:t xml:space="preserve"> content and monetary flows</w:t>
      </w:r>
      <w:r w:rsidR="00E4360C">
        <w:t>,</w:t>
      </w:r>
      <w:r>
        <w:t xml:space="preserve"> which have been excluded so far. We discuss why respective resource flow accounts will be </w:t>
      </w:r>
      <w:r w:rsidR="00E4360C">
        <w:t>necessary</w:t>
      </w:r>
      <w:r>
        <w:t xml:space="preserve"> for supporting transformation research. </w:t>
      </w:r>
      <w:r w:rsidR="00E4360C">
        <w:t>Furthermore, we discuss research gaps regarding</w:t>
      </w:r>
      <w:r>
        <w:t xml:space="preserve"> the dynamic presentation to enable the comprehensive illustration of long-term economic metabolism scenarios and potential indicators that have been proposed but not yet implemented in economy</w:t>
      </w:r>
      <w:r w:rsidR="00E4360C">
        <w:t>-</w:t>
      </w:r>
      <w:r>
        <w:t>wide energy, material and biomass flow assessments.</w:t>
      </w:r>
    </w:p>
    <w:p w14:paraId="48761D46" w14:textId="2ACCF871" w:rsidR="00C85981" w:rsidRDefault="00C85981" w:rsidP="008C5B03">
      <w:pPr>
        <w:pStyle w:val="Listenabsatz"/>
        <w:spacing w:after="120" w:line="360" w:lineRule="auto"/>
        <w:ind w:left="0"/>
        <w:contextualSpacing w:val="0"/>
      </w:pPr>
      <w:r>
        <w:t>Section 2 of this paper presents the methodology used to construct the unified Eurostat based economy</w:t>
      </w:r>
      <w:r w:rsidR="00E4360C">
        <w:t>-</w:t>
      </w:r>
      <w:r>
        <w:t xml:space="preserve">wide energy, material and biomass flow diagram. Section 3 illustrates the results, </w:t>
      </w:r>
      <w:r w:rsidR="00E4360C">
        <w:t>limitations, and discussion on</w:t>
      </w:r>
      <w:r>
        <w:t xml:space="preserve"> residual research gaps. Section 4 concludes this work.</w:t>
      </w:r>
    </w:p>
    <w:p w14:paraId="3A64F15A" w14:textId="7EE612F8" w:rsidR="00747348" w:rsidRDefault="002B5BE8" w:rsidP="008C5B03">
      <w:pPr>
        <w:pStyle w:val="Listenabsatz"/>
        <w:numPr>
          <w:ilvl w:val="0"/>
          <w:numId w:val="2"/>
        </w:numPr>
        <w:spacing w:after="120" w:line="360" w:lineRule="auto"/>
        <w:contextualSpacing w:val="0"/>
        <w:rPr>
          <w:b/>
        </w:rPr>
      </w:pPr>
      <w:r>
        <w:rPr>
          <w:b/>
        </w:rPr>
        <w:t>Theory and m</w:t>
      </w:r>
      <w:r w:rsidR="00F37805" w:rsidRPr="00AF46CD">
        <w:rPr>
          <w:b/>
        </w:rPr>
        <w:t>ethodology</w:t>
      </w:r>
    </w:p>
    <w:p w14:paraId="77744D2D" w14:textId="298A520B" w:rsidR="005F4549" w:rsidRDefault="0A0C4D98" w:rsidP="008C5B03">
      <w:pPr>
        <w:pStyle w:val="Listenabsatz"/>
        <w:spacing w:after="120" w:line="360" w:lineRule="auto"/>
        <w:ind w:left="0"/>
        <w:contextualSpacing w:val="0"/>
      </w:pPr>
      <w:r>
        <w:t>Significant progress has been made in statistics to collect, report and illustrate data for separately assessing the relevance of renewable electricity, biobased energy, material</w:t>
      </w:r>
      <w:r w:rsidR="006F0B77">
        <w:t>,</w:t>
      </w:r>
      <w:r>
        <w:t xml:space="preserve"> </w:t>
      </w:r>
      <w:r w:rsidR="006F0B77">
        <w:t>biomass</w:t>
      </w:r>
      <w:r>
        <w:t xml:space="preserve"> and circular </w:t>
      </w:r>
      <w:r w:rsidR="005F4549">
        <w:t xml:space="preserve">flows </w:t>
      </w:r>
      <w:r w:rsidR="009330E5">
        <w:fldChar w:fldCharType="begin"/>
      </w:r>
      <w:r w:rsidR="00C322C9">
        <w:instrText xml:space="preserve"> ADDIN ZOTERO_ITEM CSL_CITATION {"citationID":"p6Oq64Iz","properties":{"formattedCitation":"(Estat, 2022, 2018; Gurria et al., 2020)","plainCitation":"(Estat, 2022, 2018; Gurria et al., 2020)","noteIndex":0},"citationItems":[{"id":7536,"uris":["http://zotero.org/users/1226784/items/PWNVZVVI"],"itemData":{"id":7536,"type":"webpage","abstract":"description","language":"en","title":"Sankey diagrams for energy balance. Statistics explained homepage.","URL":"https://ec.europa.eu/eurostat/statistics-explained/index.php?title=Sankey_diagrams_for_energy_balance","author":[{"family":"Estat","given":""}],"accessed":{"date-parts":[["2022",3,28]]},"issued":{"date-parts":[["2022"]]}}},{"id":7403,"uris":["http://zotero.org/users/1226784/items/L2SQWPEX"],"itemData":{"id":7403,"type":"book","event-place":"LU","language":"en","publisher":"Publications Office","publisher-place":"LU","source":"DOI.org (CSL JSON)","title":"Economy-wide material flow accounts handbook: 2018 edition.","title-short":"Economy-wide material flow accounts handbook","URL":"https://data.europa.eu/doi/10.2785/158567","author":[{"literal":"Estat"}],"accessed":{"date-parts":[["2022",2,21]]},"issued":{"date-parts":[["2018"]]}}},{"id":5980,"uris":["http://zotero.org/users/1226784/items/56J9WBYD"],"itemData":{"id":5980,"type":"book","event-place":"LU","language":"en","publisher":"Publications Office","publisher-place":"LU","source":"DOI.org (CSL JSON)","title":"Biomass flows in the European Union: EU biomass flows tool, version 2020.","title-short":"Biomass flows in the European Union","URL":"https://data.europa.eu/doi/10.2760/14342","author":[{"family":"Gurria","given":"P."},{"family":"Gonzalez","given":"H."},{"family":"Ronzon","given":"T."},{"family":"Tamosiunas","given":"S"},{"family":"Lopez","given":"R."},{"family":"Garcia-Condado","given":"S."},{"family":"Ronchetti","given":"G."},{"family":"Guillen","given":"J."},{"family":"Banja","given":"M"},{"family":"Fiore","given":"G"},{"family":"M'Barek","given":"R"}],"accessed":{"date-parts":[["2020",12,4]]},"issued":{"date-parts":[["2020"]]}}}],"schema":"https://github.com/citation-style-language/schema/raw/master/csl-citation.json"} </w:instrText>
      </w:r>
      <w:r w:rsidR="009330E5">
        <w:fldChar w:fldCharType="separate"/>
      </w:r>
      <w:r w:rsidR="00C322C9" w:rsidRPr="00C322C9">
        <w:rPr>
          <w:rFonts w:ascii="Calibri" w:hAnsi="Calibri" w:cs="Calibri"/>
        </w:rPr>
        <w:t>(Estat, 2022, 2018; Gurria et al., 2020)</w:t>
      </w:r>
      <w:r w:rsidR="009330E5">
        <w:fldChar w:fldCharType="end"/>
      </w:r>
      <w:r>
        <w:t xml:space="preserve">. </w:t>
      </w:r>
      <w:bookmarkStart w:id="2" w:name="_Hlk126577004"/>
      <w:r w:rsidR="005F4549">
        <w:t>Th</w:t>
      </w:r>
      <w:r w:rsidR="00E4360C">
        <w:t>e progress</w:t>
      </w:r>
      <w:r w:rsidR="005F4549">
        <w:t xml:space="preserve"> enables us now</w:t>
      </w:r>
      <w:r w:rsidR="00E4360C">
        <w:t>,</w:t>
      </w:r>
      <w:r w:rsidR="005F4549">
        <w:t xml:space="preserve"> and for the first time to construct a unified Sankey database solely based on Eurostat data. Therefore, f</w:t>
      </w:r>
      <w:r>
        <w:t xml:space="preserve">ive Eurostat data sets </w:t>
      </w:r>
      <w:r w:rsidR="005F4549">
        <w:t>have to be</w:t>
      </w:r>
      <w:r>
        <w:t xml:space="preserve"> </w:t>
      </w:r>
      <w:r w:rsidR="005F4549">
        <w:t>harmoni</w:t>
      </w:r>
      <w:r w:rsidR="0038503E">
        <w:t>z</w:t>
      </w:r>
      <w:r w:rsidR="005F4549">
        <w:t xml:space="preserve">ed and </w:t>
      </w:r>
      <w:r>
        <w:t>unified.</w:t>
      </w:r>
      <w:bookmarkEnd w:id="2"/>
      <w:r>
        <w:t xml:space="preserve"> </w:t>
      </w:r>
      <w:r w:rsidR="005F4549">
        <w:t xml:space="preserve">This methodology section explains the meta-structure under which the different datasets are unified and justifies the selection of </w:t>
      </w:r>
      <w:r w:rsidR="00E4360C">
        <w:t>primary</w:t>
      </w:r>
      <w:r w:rsidR="005F4549">
        <w:t xml:space="preserve"> societal needs</w:t>
      </w:r>
      <w:r w:rsidR="00FE5FFA">
        <w:t xml:space="preserve"> (section 2.1)</w:t>
      </w:r>
      <w:r w:rsidR="005F4549">
        <w:t>.</w:t>
      </w:r>
      <w:r w:rsidR="00404DE0">
        <w:t xml:space="preserve"> Section 2.</w:t>
      </w:r>
      <w:r w:rsidR="00FE5FFA">
        <w:t>2</w:t>
      </w:r>
      <w:r w:rsidR="00404DE0">
        <w:t xml:space="preserve"> – 2.</w:t>
      </w:r>
      <w:r w:rsidR="00FE5FFA">
        <w:t>4</w:t>
      </w:r>
      <w:r w:rsidR="00404DE0">
        <w:t xml:space="preserve"> reveals the particularities of the individual datasets and how they are overcome to </w:t>
      </w:r>
      <w:r w:rsidR="00E4360C">
        <w:t>unify the datasets (section 2.5) finally</w:t>
      </w:r>
      <w:r w:rsidR="00404DE0">
        <w:t xml:space="preserve">. </w:t>
      </w:r>
      <w:bookmarkStart w:id="3" w:name="_Hlk126581680"/>
      <w:r>
        <w:t>The methodology aims at being as reproducible as possible</w:t>
      </w:r>
      <w:r w:rsidR="00E4360C">
        <w:t>. T</w:t>
      </w:r>
      <w:r w:rsidR="009D06D0">
        <w:t xml:space="preserve">herefore, </w:t>
      </w:r>
      <w:r>
        <w:t>the source code, conversion and reattribution tables</w:t>
      </w:r>
      <w:r w:rsidR="009A2239">
        <w:t>, addressed in the methodological section in cursive,</w:t>
      </w:r>
      <w:r>
        <w:t xml:space="preserve"> and explanatory Sankey diagrams can be found in the </w:t>
      </w:r>
      <w:r w:rsidRPr="00F17A58">
        <w:rPr>
          <w:b/>
        </w:rPr>
        <w:t xml:space="preserve">supplementary </w:t>
      </w:r>
      <w:r w:rsidR="00F17A58" w:rsidRPr="00F17A58">
        <w:rPr>
          <w:b/>
        </w:rPr>
        <w:t>sheets</w:t>
      </w:r>
      <w:r>
        <w:t>.</w:t>
      </w:r>
      <w:r w:rsidR="009A2239">
        <w:t xml:space="preserve"> </w:t>
      </w:r>
      <w:bookmarkEnd w:id="3"/>
      <w:r w:rsidR="009A2239">
        <w:t>Underlying datasets are addressed in the methodological section in bold.</w:t>
      </w:r>
    </w:p>
    <w:p w14:paraId="065E33BE" w14:textId="6CE71828" w:rsidR="009B7B2D" w:rsidRPr="009B7B2D" w:rsidRDefault="009B7B2D" w:rsidP="008C5B03">
      <w:pPr>
        <w:pStyle w:val="Listenabsatz"/>
        <w:numPr>
          <w:ilvl w:val="1"/>
          <w:numId w:val="2"/>
        </w:numPr>
        <w:spacing w:after="120" w:line="360" w:lineRule="auto"/>
        <w:contextualSpacing w:val="0"/>
        <w:rPr>
          <w:b/>
        </w:rPr>
      </w:pPr>
      <w:r>
        <w:rPr>
          <w:b/>
        </w:rPr>
        <w:t xml:space="preserve">Meta structure </w:t>
      </w:r>
      <w:r w:rsidR="005F4549">
        <w:rPr>
          <w:b/>
        </w:rPr>
        <w:t>to unify Eurostat Sankey data</w:t>
      </w:r>
    </w:p>
    <w:p w14:paraId="3C1F5A13" w14:textId="3D1D2EDC" w:rsidR="00404DE0" w:rsidRDefault="6CE44234" w:rsidP="008C5B03">
      <w:pPr>
        <w:pStyle w:val="Listenabsatz"/>
        <w:spacing w:after="120" w:line="360" w:lineRule="auto"/>
        <w:ind w:left="0"/>
        <w:contextualSpacing w:val="0"/>
      </w:pPr>
      <w:r>
        <w:t>A well</w:t>
      </w:r>
      <w:r w:rsidR="00E4360C">
        <w:t>-</w:t>
      </w:r>
      <w:r>
        <w:t>thought-out meta</w:t>
      </w:r>
      <w:r w:rsidR="00E4360C">
        <w:t>-</w:t>
      </w:r>
      <w:r>
        <w:t xml:space="preserve">structure is necessary for the Sankey </w:t>
      </w:r>
      <w:r w:rsidR="008C5B03">
        <w:t>diagram</w:t>
      </w:r>
      <w:r>
        <w:t xml:space="preserve"> to ensure (1) a holistic depiction of energy, material and biomass flows and (2) conciseness of the final visualization to fulfil its purpose to </w:t>
      </w:r>
      <w:r w:rsidR="00E4360C">
        <w:t>inform a broader audience effectively</w:t>
      </w:r>
      <w:r>
        <w:t xml:space="preserve">. These two objectives can </w:t>
      </w:r>
      <w:r w:rsidR="00E4360C">
        <w:t>be balanced</w:t>
      </w:r>
      <w:r>
        <w:t xml:space="preserve"> by grouping resource types that flow through the economy and </w:t>
      </w:r>
      <w:r w:rsidR="00E4360C">
        <w:t>the different processes through which the resources flow</w:t>
      </w:r>
      <w:r>
        <w:t xml:space="preserve">. In graph theory, </w:t>
      </w:r>
      <w:r w:rsidR="00E4360C">
        <w:t>function</w:t>
      </w:r>
      <w:r>
        <w:t xml:space="preserve">s such as electricity production and energy consumption </w:t>
      </w:r>
      <w:r>
        <w:lastRenderedPageBreak/>
        <w:t>for transportation are denoted as nodes</w:t>
      </w:r>
      <w:r w:rsidR="00E4360C">
        <w:t>. At the same time,</w:t>
      </w:r>
      <w:r>
        <w:t xml:space="preserve"> the resource flows, e.g., consisting of solid fossil fuels or renewable electricity</w:t>
      </w:r>
      <w:r w:rsidR="00E4360C">
        <w:t>,</w:t>
      </w:r>
      <w:r>
        <w:t xml:space="preserve"> are denoted as edges (see</w:t>
      </w:r>
      <w:r w:rsidR="00E4360C">
        <w:t>,</w:t>
      </w:r>
      <w:r>
        <w:t xml:space="preserve"> e.g., </w:t>
      </w:r>
      <w:r w:rsidR="00404DE0">
        <w:fldChar w:fldCharType="begin"/>
      </w:r>
      <w:r w:rsidR="00404DE0">
        <w:instrText xml:space="preserve"> ADDIN ZOTERO_ITEM CSL_CITATION {"citationID":"TwAbnPwV","properties":{"formattedCitation":"(Ishizaki et al., 2018)","plainCitation":"(Ishizaki et al., 2018)","noteIndex":0},"citationItems":[{"id":7538,"uris":["http://zotero.org/users/1226784/items/C78WU7MX"],"itemData":{"id":7538,"type":"article-journal","abstract":"In this paper, we present an overview of the applications of graph theory in power system modeling, dynamics, coherency, and control. First, we study synchronization of generator dynamics using both nonlinear and small-signal representations of classical structure-preserving models of power systems in light of their network structure and the weights associated with the nodes and edges of the network graph. We overview important necessary and sufficient conditions for both phase and frequency synchronization. We highlight the role of graph structure in coherency properties, and introduce the idea of generator and bus aggregation whereby dynamic equivalent models of large power grids can be developed while retaining the concept of a “bus” in the network graph of the equivalent model. We also discuss several new results on graph sparsification for designing distributed controllers for power flow oscillation damping.","container-title":"Proceedings of the IEEE","DOI":"10.1109/JPROC.2018.2812298","ISSN":"1558-2256","issue":"5","note":"event: Proceedings of the IEEE","page":"931-952","source":"IEEE Xplore","title":"Graph-Theoretic Analysis of Power Systems","volume":"106","author":[{"family":"Ishizaki","given":"Takayuki"},{"family":"Chakrabortty","given":"Aranya"},{"family":"Imura","given":"Jun-Ichi"}],"issued":{"date-parts":[["2018",5]]}}}],"schema":"https://github.com/citation-style-language/schema/raw/master/csl-citation.json"} </w:instrText>
      </w:r>
      <w:r w:rsidR="00404DE0">
        <w:fldChar w:fldCharType="separate"/>
      </w:r>
      <w:r w:rsidRPr="6CE44234">
        <w:rPr>
          <w:rFonts w:ascii="Calibri" w:hAnsi="Calibri" w:cs="Calibri"/>
        </w:rPr>
        <w:t>(Ishizaki et al., 2018)</w:t>
      </w:r>
      <w:r w:rsidR="00404DE0">
        <w:fldChar w:fldCharType="end"/>
      </w:r>
      <w:r>
        <w:t>). Resources typically flow from the inputs nodes from left to</w:t>
      </w:r>
      <w:r w:rsidR="00E4360C">
        <w:t xml:space="preserve"> the</w:t>
      </w:r>
      <w:r>
        <w:t xml:space="preserve"> right, </w:t>
      </w:r>
      <w:r w:rsidR="00E4360C">
        <w:t>except for</w:t>
      </w:r>
      <w:r>
        <w:t xml:space="preserve"> circular flows</w:t>
      </w:r>
      <w:r w:rsidR="00E4360C">
        <w:t>,</w:t>
      </w:r>
      <w:r>
        <w:t xml:space="preserve"> which can loop back to the input nodes. The nodes are again grouped into node levels giving the main process types and avoiding or minimi</w:t>
      </w:r>
      <w:r w:rsidR="0038503E">
        <w:t>z</w:t>
      </w:r>
      <w:r>
        <w:t xml:space="preserve">ing </w:t>
      </w:r>
      <w:r w:rsidR="00E4360C">
        <w:t>"</w:t>
      </w:r>
      <w:r>
        <w:t>vertical flows</w:t>
      </w:r>
      <w:r w:rsidR="00E4360C">
        <w:t>"</w:t>
      </w:r>
      <w:r>
        <w:t xml:space="preserve">, i.e., flows between nodes on the same node level. Edges are grouped into edge levels. The presented meta-structure, outlined in table 1, is inspired by the Circularity Gap Reports </w:t>
      </w:r>
      <w:r w:rsidR="00404DE0">
        <w:fldChar w:fldCharType="begin"/>
      </w:r>
      <w:r w:rsidR="00404DE0">
        <w:instrText xml:space="preserve"> ADDIN ZOTERO_ITEM CSL_CITATION {"citationID":"k9GU0Pnp","properties":{"formattedCitation":"(Circle Economy, 2022)","plainCitation":"(Circle Economy, 2022)","noteIndex":0},"citationItems":[{"id":7400,"uris":["http://zotero.org/users/1226784/items/KCB8786X"],"itemData":{"id":7400,"type":"report","title":"The Circularity Gap Report 2022","title-short":"1. Report","URL":"https://drive.google.com/file/d/1NMAUtZcoSLwmHt_r5TLWwB28QJDghi6Q/view?usp=embed_facebook","author":[{"family":"Circle Economy","given":""}],"accessed":{"date-parts":[["2022",2,16]]},"issued":{"date-parts":[["2022"]]}}}],"schema":"https://github.com/citation-style-language/schema/raw/master/csl-citation.json"} </w:instrText>
      </w:r>
      <w:r w:rsidR="00404DE0">
        <w:fldChar w:fldCharType="separate"/>
      </w:r>
      <w:r w:rsidRPr="6CE44234">
        <w:rPr>
          <w:rFonts w:ascii="Calibri" w:hAnsi="Calibri" w:cs="Calibri"/>
        </w:rPr>
        <w:t>(Circle Economy, 2022)</w:t>
      </w:r>
      <w:r w:rsidR="00404DE0">
        <w:fldChar w:fldCharType="end"/>
      </w:r>
      <w:r>
        <w:t xml:space="preserve"> and the data availab</w:t>
      </w:r>
      <w:r w:rsidR="00E4360C">
        <w:t>le</w:t>
      </w:r>
      <w:r>
        <w:t xml:space="preserve"> on Eurostat </w:t>
      </w:r>
      <w:r w:rsidR="00404DE0">
        <w:fldChar w:fldCharType="begin"/>
      </w:r>
      <w:r w:rsidR="00404DE0">
        <w:instrText xml:space="preserve"> ADDIN ZOTERO_ITEM CSL_CITATION {"citationID":"wRv0HKOY","properties":{"formattedCitation":"(Estat, 2022, 2018; Gurria et al., 2020)","plainCitation":"(Estat, 2022, 2018; Gurria et al., 2020)","noteIndex":0},"citationItems":[{"id":7536,"uris":["http://zotero.org/users/1226784/items/PWNVZVVI"],"itemData":{"id":7536,"type":"webpage","abstract":"description","language":"en","title":"Sankey diagrams for energy balance. Statistics explained homepage.","URL":"https://ec.europa.eu/eurostat/statistics-explained/index.php?title=Sankey_diagrams_for_energy_balance","author":[{"family":"Estat","given":""}],"accessed":{"date-parts":[["2022",3,28]]},"issued":{"date-parts":[["2022"]]}}},{"id":7403,"uris":["http://zotero.org/users/1226784/items/L2SQWPEX"],"itemData":{"id":7403,"type":"book","event-place":"LU","language":"en","publisher":"Publications Office","publisher-place":"LU","source":"DOI.org (CSL JSON)","title":"Economy-wide material flow accounts handbook: 2018 edition.","title-short":"Economy-wide material flow accounts handbook","URL":"https://data.europa.eu/doi/10.2785/158567","author":[{"literal":"Estat"}],"accessed":{"date-parts":[["2022",2,21]]},"issued":{"date-parts":[["2018"]]}}},{"id":5980,"uris":["http://zotero.org/users/1226784/items/56J9WBYD"],"itemData":{"id":5980,"type":"book","event-place":"LU","language":"en","publisher":"Publications Office","publisher-place":"LU","source":"DOI.org (CSL JSON)","title":"Biomass flows in the European Union: EU biomass flows tool, version 2020.","title-short":"Biomass flows in the European Union","URL":"https://data.europa.eu/doi/10.2760/14342","author":[{"family":"Gurria","given":"P."},{"family":"Gonzalez","given":"H."},{"family":"Ronzon","given":"T."},{"family":"Tamosiunas","given":"S"},{"family":"Lopez","given":"R."},{"family":"Garcia-Condado","given":"S."},{"family":"Ronchetti","given":"G."},{"family":"Guillen","given":"J."},{"family":"Banja","given":"M"},{"family":"Fiore","given":"G"},{"family":"M'Barek","given":"R"}],"accessed":{"date-parts":[["2020",12,4]]},"issued":{"date-parts":[["2020"]]}}}],"schema":"https://github.com/citation-style-language/schema/raw/master/csl-citation.json"} </w:instrText>
      </w:r>
      <w:r w:rsidR="00404DE0">
        <w:fldChar w:fldCharType="separate"/>
      </w:r>
      <w:r w:rsidRPr="6CE44234">
        <w:rPr>
          <w:rFonts w:ascii="Calibri" w:hAnsi="Calibri" w:cs="Calibri"/>
        </w:rPr>
        <w:t>(Estat, 2022, 2018; Gurria et al., 2020)</w:t>
      </w:r>
      <w:r w:rsidR="00404DE0">
        <w:fldChar w:fldCharType="end"/>
      </w:r>
      <w:r>
        <w:t xml:space="preserve"> following the two objectives outlined </w:t>
      </w:r>
      <w:r w:rsidR="00E4360C">
        <w:t>at</w:t>
      </w:r>
      <w:r>
        <w:t xml:space="preserve"> the beginning of this paragraph.</w:t>
      </w:r>
    </w:p>
    <w:p w14:paraId="095604B5" w14:textId="1F55654B" w:rsidR="00DE1CD7" w:rsidRDefault="00DE1CD7" w:rsidP="008C5B03">
      <w:pPr>
        <w:pStyle w:val="Beschriftung"/>
        <w:keepNext/>
        <w:spacing w:after="120" w:line="360" w:lineRule="auto"/>
      </w:pPr>
      <w:r>
        <w:t xml:space="preserve">Table </w:t>
      </w:r>
      <w:r>
        <w:fldChar w:fldCharType="begin"/>
      </w:r>
      <w:r>
        <w:instrText xml:space="preserve"> SEQ Table \* ARABIC </w:instrText>
      </w:r>
      <w:r>
        <w:fldChar w:fldCharType="separate"/>
      </w:r>
      <w:r>
        <w:rPr>
          <w:noProof/>
        </w:rPr>
        <w:t>1</w:t>
      </w:r>
      <w:r>
        <w:fldChar w:fldCharType="end"/>
      </w:r>
      <w:r>
        <w:t xml:space="preserve">: Identified optimal grouping of node levels, nodes, edge levels and edges for the Sankey </w:t>
      </w:r>
      <w:r w:rsidR="008C5B03">
        <w:t>diagram</w:t>
      </w:r>
      <w:r>
        <w:t xml:space="preserve"> illustration in this work. Source: own elaboration based on the Circularity Gap Reports and Eurostat data availability (refs)</w:t>
      </w:r>
    </w:p>
    <w:p w14:paraId="636C7CA4" w14:textId="2B039E92" w:rsidR="00122EDC" w:rsidRDefault="00064665" w:rsidP="00F17A58">
      <w:pPr>
        <w:pStyle w:val="Listenabsatz"/>
        <w:spacing w:after="120" w:line="360" w:lineRule="auto"/>
        <w:ind w:left="0"/>
        <w:contextualSpacing w:val="0"/>
        <w:jc w:val="center"/>
      </w:pPr>
      <w:r w:rsidRPr="00064665">
        <w:rPr>
          <w:noProof/>
        </w:rPr>
        <w:drawing>
          <wp:inline distT="0" distB="0" distL="0" distR="0" wp14:anchorId="44E6FDF6" wp14:editId="1D7D8033">
            <wp:extent cx="3222241" cy="3457426"/>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28638" cy="3464290"/>
                    </a:xfrm>
                    <a:prstGeom prst="rect">
                      <a:avLst/>
                    </a:prstGeom>
                  </pic:spPr>
                </pic:pic>
              </a:graphicData>
            </a:graphic>
          </wp:inline>
        </w:drawing>
      </w:r>
    </w:p>
    <w:p w14:paraId="412E571F" w14:textId="3A7A4A36" w:rsidR="00223C76" w:rsidRDefault="6CE44234" w:rsidP="008C5B03">
      <w:pPr>
        <w:pStyle w:val="Listenabsatz"/>
        <w:spacing w:after="120" w:line="360" w:lineRule="auto"/>
        <w:ind w:left="0"/>
        <w:contextualSpacing w:val="0"/>
      </w:pPr>
      <w:r>
        <w:t>While the majority of the grouping efforts in Table 1 stem from underlying data itself and represent the state-of-the</w:t>
      </w:r>
      <w:r w:rsidR="00E4360C">
        <w:t>-</w:t>
      </w:r>
      <w:r>
        <w:t xml:space="preserve">art and </w:t>
      </w:r>
      <w:r w:rsidR="00E4360C">
        <w:t>shared</w:t>
      </w:r>
      <w:r>
        <w:t xml:space="preserve"> understanding, especially some node levels and nodes are particular to this publication and thus require further explanations:</w:t>
      </w:r>
    </w:p>
    <w:p w14:paraId="366715EB" w14:textId="40D66F28" w:rsidR="000969B8" w:rsidRDefault="00E56792" w:rsidP="008C5B03">
      <w:pPr>
        <w:spacing w:after="120" w:line="360" w:lineRule="auto"/>
      </w:pPr>
      <w:r>
        <w:t>The node</w:t>
      </w:r>
      <w:r w:rsidR="00E4360C">
        <w:t>-</w:t>
      </w:r>
      <w:r>
        <w:t xml:space="preserve">level </w:t>
      </w:r>
      <w:r w:rsidR="00E4360C">
        <w:t>"</w:t>
      </w:r>
      <w:r>
        <w:t>a</w:t>
      </w:r>
      <w:r w:rsidR="000969B8">
        <w:t>vailability</w:t>
      </w:r>
      <w:r w:rsidR="00E4360C">
        <w:t>"</w:t>
      </w:r>
      <w:r w:rsidR="003B486D">
        <w:t xml:space="preserve"> summarises all inflows</w:t>
      </w:r>
      <w:r>
        <w:t xml:space="preserve"> into domestic inputs</w:t>
      </w:r>
      <w:r w:rsidR="003B486D">
        <w:t>. On the one hand, this is an auxiliary node since statistics are rare to differentiate between flows</w:t>
      </w:r>
      <w:r w:rsidR="00470C8D">
        <w:t xml:space="preserve"> from different sources</w:t>
      </w:r>
      <w:r>
        <w:t xml:space="preserve"> and flows looping back from waste treatment</w:t>
      </w:r>
      <w:r w:rsidR="003B486D">
        <w:t xml:space="preserve"> going into the </w:t>
      </w:r>
      <w:r w:rsidR="00E4360C">
        <w:t>various</w:t>
      </w:r>
      <w:r w:rsidR="003B486D">
        <w:t xml:space="preserve"> processes. On the other hand, it </w:t>
      </w:r>
      <w:r w:rsidR="00BB5301">
        <w:t>elucidates the different magnitudes in mobili</w:t>
      </w:r>
      <w:r w:rsidR="0038503E">
        <w:t>z</w:t>
      </w:r>
      <w:r w:rsidR="00BB5301">
        <w:t>ed non-renewable resources, renewable power from intermittent generation and biogenic resources</w:t>
      </w:r>
      <w:r>
        <w:t xml:space="preserve"> flowing into the economic metabolism.</w:t>
      </w:r>
    </w:p>
    <w:p w14:paraId="2089A6EE" w14:textId="0D7AD1DD" w:rsidR="00064665" w:rsidRDefault="00E56792" w:rsidP="008C5B03">
      <w:pPr>
        <w:spacing w:after="120" w:line="360" w:lineRule="auto"/>
      </w:pPr>
      <w:r>
        <w:lastRenderedPageBreak/>
        <w:t xml:space="preserve">A differentiation between </w:t>
      </w:r>
      <w:r w:rsidR="00E4360C">
        <w:t>"</w:t>
      </w:r>
      <w:r>
        <w:t>pre-processing</w:t>
      </w:r>
      <w:r w:rsidR="00E4360C">
        <w:t>"</w:t>
      </w:r>
      <w:r>
        <w:t xml:space="preserve"> and </w:t>
      </w:r>
      <w:r w:rsidR="00E4360C">
        <w:t>"</w:t>
      </w:r>
      <w:r>
        <w:t>processing</w:t>
      </w:r>
      <w:r w:rsidR="00E4360C">
        <w:t>"</w:t>
      </w:r>
      <w:r>
        <w:t xml:space="preserve"> is still necessary, mainly separating the first processing steps in the energy sector from other industrial processes to illustrate the flows between those sectors. </w:t>
      </w:r>
      <w:r w:rsidR="00C1756D">
        <w:t xml:space="preserve">In </w:t>
      </w:r>
      <w:r w:rsidR="00E4360C">
        <w:t>"</w:t>
      </w:r>
      <w:r w:rsidR="00C1756D">
        <w:t>pre-processing</w:t>
      </w:r>
      <w:r w:rsidR="00E4360C">
        <w:t>"</w:t>
      </w:r>
      <w:r w:rsidR="00C1756D">
        <w:t xml:space="preserve"> and </w:t>
      </w:r>
      <w:r w:rsidR="00E4360C">
        <w:t>providing an illustration basis for transformation strategies, it is</w:t>
      </w:r>
      <w:r w:rsidR="001429D0">
        <w:t xml:space="preserve"> necessary to differentiate between electricity and heat production and other primary energy carrier transformation processes. The latter, comprising all refinery processes and other transformation processes</w:t>
      </w:r>
      <w:r w:rsidR="00E4360C">
        <w:t>,</w:t>
      </w:r>
      <w:r w:rsidR="001429D0">
        <w:t xml:space="preserve"> </w:t>
      </w:r>
      <w:r w:rsidR="00C1756D">
        <w:t>will have to decline significantly compared to electricity and heat production</w:t>
      </w:r>
      <w:r w:rsidR="00E4360C">
        <w:t>,</w:t>
      </w:r>
      <w:r w:rsidR="00C1756D">
        <w:t xml:space="preserve"> which </w:t>
      </w:r>
      <w:r w:rsidR="00E4360C">
        <w:t>renewables can provide</w:t>
      </w:r>
      <w:r w:rsidR="00064665">
        <w:t>.</w:t>
      </w:r>
    </w:p>
    <w:p w14:paraId="5DA03086" w14:textId="400CF46B" w:rsidR="00064665" w:rsidRDefault="00064665" w:rsidP="008C5B03">
      <w:pPr>
        <w:spacing w:after="120" w:line="360" w:lineRule="auto"/>
      </w:pPr>
      <w:r>
        <w:t xml:space="preserve">The </w:t>
      </w:r>
      <w:r w:rsidR="00E4360C">
        <w:t>"</w:t>
      </w:r>
      <w:r>
        <w:t>Societal needs</w:t>
      </w:r>
      <w:r w:rsidR="00E4360C">
        <w:t>"</w:t>
      </w:r>
      <w:r>
        <w:t xml:space="preserve"> node</w:t>
      </w:r>
      <w:r w:rsidR="00E4360C">
        <w:t>-</w:t>
      </w:r>
      <w:r>
        <w:t xml:space="preserve">level groups the </w:t>
      </w:r>
      <w:r w:rsidR="00E4360C">
        <w:t>primary</w:t>
      </w:r>
      <w:r>
        <w:t xml:space="preserve"> </w:t>
      </w:r>
      <w:r w:rsidR="00453CF1">
        <w:t xml:space="preserve">societal needs covered by the resource flows in </w:t>
      </w:r>
      <w:r w:rsidR="00E4360C">
        <w:t xml:space="preserve">the </w:t>
      </w:r>
      <w:r w:rsidR="00453CF1">
        <w:t xml:space="preserve">scope of this work. Compared to </w:t>
      </w:r>
      <w:proofErr w:type="spellStart"/>
      <w:r w:rsidR="00453CF1">
        <w:t>ewMFAs</w:t>
      </w:r>
      <w:proofErr w:type="spellEnd"/>
      <w:r w:rsidR="00453CF1">
        <w:t>, energy flow accounting provides a more anthropocentric view and thus information on different final use types</w:t>
      </w:r>
      <w:r w:rsidR="00F71F72">
        <w:t>. The novel biomass flow accounting from Eurostat seems to adopt this strategy. We mainly transfer the final use of energy and biomass to this node level with some adjustments:</w:t>
      </w:r>
    </w:p>
    <w:p w14:paraId="597EE2AC" w14:textId="2E8A2A5B" w:rsidR="00F71F72" w:rsidRDefault="00F71F72" w:rsidP="008C5B03">
      <w:pPr>
        <w:pStyle w:val="Listenabsatz"/>
        <w:numPr>
          <w:ilvl w:val="0"/>
          <w:numId w:val="26"/>
        </w:numPr>
        <w:spacing w:after="120" w:line="360" w:lineRule="auto"/>
        <w:contextualSpacing w:val="0"/>
      </w:pPr>
      <w:r>
        <w:t>Energy resource</w:t>
      </w:r>
      <w:r w:rsidR="00E4360C">
        <w:t>s for final energy use for industrial processes and energy resources for non-energy use are directed into the "material industry" node under the "processing" node level, which provides the materials covering</w:t>
      </w:r>
      <w:r>
        <w:t xml:space="preserve"> the </w:t>
      </w:r>
      <w:r w:rsidR="00E4360C">
        <w:t>primary</w:t>
      </w:r>
      <w:r>
        <w:t xml:space="preserve"> societal needs.</w:t>
      </w:r>
    </w:p>
    <w:p w14:paraId="1F56570B" w14:textId="166F2644" w:rsidR="00F71F72" w:rsidRDefault="009D06D0" w:rsidP="008C5B03">
      <w:pPr>
        <w:pStyle w:val="Listenabsatz"/>
        <w:numPr>
          <w:ilvl w:val="0"/>
          <w:numId w:val="26"/>
        </w:numPr>
        <w:spacing w:after="120" w:line="360" w:lineRule="auto"/>
        <w:contextualSpacing w:val="0"/>
      </w:pPr>
      <w:r>
        <w:t xml:space="preserve">A node </w:t>
      </w:r>
      <w:r w:rsidR="00E4360C">
        <w:t>"</w:t>
      </w:r>
      <w:r w:rsidR="00513E7C">
        <w:t>Energy services</w:t>
      </w:r>
      <w:r w:rsidR="00E4360C">
        <w:t>"</w:t>
      </w:r>
      <w:r w:rsidR="00513E7C">
        <w:t xml:space="preserve"> comprise all final energy use for other sectors</w:t>
      </w:r>
      <w:r w:rsidR="00E4360C">
        <w:t>,</w:t>
      </w:r>
      <w:r w:rsidR="00513E7C">
        <w:t xml:space="preserve"> including households, services, agriculture, forestry</w:t>
      </w:r>
      <w:r w:rsidR="00E4360C">
        <w:t>, fishing,</w:t>
      </w:r>
      <w:r w:rsidR="00513E7C">
        <w:t xml:space="preserve"> and other non-specified sectors.</w:t>
      </w:r>
    </w:p>
    <w:p w14:paraId="3011C732" w14:textId="4C476CE8" w:rsidR="00513E7C" w:rsidRDefault="00E4360C" w:rsidP="008C5B03">
      <w:pPr>
        <w:pStyle w:val="Listenabsatz"/>
        <w:numPr>
          <w:ilvl w:val="0"/>
          <w:numId w:val="26"/>
        </w:numPr>
        <w:spacing w:after="120" w:line="360" w:lineRule="auto"/>
        <w:contextualSpacing w:val="0"/>
      </w:pPr>
      <w:r>
        <w:t>"</w:t>
      </w:r>
      <w:r w:rsidR="00513E7C">
        <w:t>Transport</w:t>
      </w:r>
      <w:r>
        <w:t>"</w:t>
      </w:r>
      <w:r w:rsidR="00513E7C">
        <w:t xml:space="preserve"> includes next to final energy consumption for road and rail transportation also aviation and shipping, domestic and international.</w:t>
      </w:r>
    </w:p>
    <w:p w14:paraId="2B3708C6" w14:textId="40E428A3" w:rsidR="00513E7C" w:rsidRDefault="00E4360C" w:rsidP="008C5B03">
      <w:pPr>
        <w:pStyle w:val="Listenabsatz"/>
        <w:numPr>
          <w:ilvl w:val="0"/>
          <w:numId w:val="26"/>
        </w:numPr>
        <w:spacing w:after="120" w:line="360" w:lineRule="auto"/>
        <w:contextualSpacing w:val="0"/>
      </w:pPr>
      <w:r>
        <w:t>"</w:t>
      </w:r>
      <w:r w:rsidR="6CE44234">
        <w:t>Food</w:t>
      </w:r>
      <w:r>
        <w:t xml:space="preserve"> "</w:t>
      </w:r>
      <w:r w:rsidR="6CE44234">
        <w:t>summarizes animal</w:t>
      </w:r>
      <w:r>
        <w:t>-</w:t>
      </w:r>
      <w:r w:rsidR="6CE44234">
        <w:t>based and plant-based food.</w:t>
      </w:r>
    </w:p>
    <w:p w14:paraId="395AE528" w14:textId="79D3E63F" w:rsidR="00513E7C" w:rsidRDefault="00513E7C" w:rsidP="008C5B03">
      <w:pPr>
        <w:spacing w:after="120" w:line="360" w:lineRule="auto"/>
      </w:pPr>
      <w:r>
        <w:t xml:space="preserve">For the </w:t>
      </w:r>
      <w:r w:rsidR="00E4360C">
        <w:t>"</w:t>
      </w:r>
      <w:r>
        <w:t>Societal needs</w:t>
      </w:r>
      <w:r w:rsidR="00E4360C">
        <w:t>"</w:t>
      </w:r>
      <w:r>
        <w:t xml:space="preserve"> node level, we </w:t>
      </w:r>
      <w:r w:rsidR="00E4360C">
        <w:t>finally have to provide a grouping for non-food materials</w:t>
      </w:r>
      <w:r>
        <w:t>. Therefore, we aim to introduce the minimum differentiation between throughput material and in-use material stocks</w:t>
      </w:r>
      <w:r w:rsidR="00E4360C">
        <w:t>,</w:t>
      </w:r>
      <w:r>
        <w:t xml:space="preserve"> as discussed in </w:t>
      </w:r>
      <w:r>
        <w:fldChar w:fldCharType="begin"/>
      </w:r>
      <w:r w:rsidR="00E95283">
        <w:instrText xml:space="preserve"> ADDIN ZOTERO_ITEM CSL_CITATION {"citationID":"MRThdVJB","properties":{"formattedCitation":"(Mayer et al., 2019)","plainCitation":"(Mayer et al., 2019)","noteIndex":0},"citationItems":[{"id":5775,"uris":["http://zotero.org/users/1226784/items/K8SW5QWJ"],"itemData":{"id":5775,"type":"article-journal","abstract":"The concept of a circular economy (CE) is gaining increasing attention from policy makers, industry, and academia. There is a rapidly evolving debate on definitions, limitations, the contribution to a wider sustainability agenda, and a need for indicators to assess the effectiveness of circular economy measures at larger scales. Herein, we present a framework for a comprehensive and economy-wide biophysical assessment of a CE, utilizing and systematically linking official statistics on resource extraction and use and waste flows in a mass-balanced approach. This framework builds on the widely applied framework of economy-wide material flow accounting and expands it by integrating waste flows, recycling, and downcycled materials. We propose a comprehensive set of indicators that measure the scale and circularity of total material and waste flows and their socioeconomic and ecological loop closing. We applied this framework in the context of monitoring efforts for a CE in the European Union (EU28) for the year 2014. We found that 7.4 gigatons (Gt) of materials were processed in the EU and only 0.71 Gt of them were secondary materials. The derived input socioeconomic cycling rate of materials was therefore 9.6%. Further, of the 4.8 Gt of interim output flows, 14.8% were recycled or downcycled. Based on these findings and our first efforts in assessing sensitivity of the framework, a number of improvements are deemed necessary: improved reporting of wastes, explicit modeling of societal in-use stocks, introduction of criteria for ecological cycling, and disaggregated mass-based indicators to evaluate environmental impacts of different materials and circularity initiatives. This article met the requirements for a gold – gold JIE data openness badge described at http://jie.click/badges.","container-title":"Journal of Industrial Ecology","DOI":"10.1111/jiec.12809","ISSN":"1530-9290","issue":"1","language":"en","note":"_eprint: https://onlinelibrary.wiley.com/doi/pdf/10.1111/jiec.12809","page":"62-76","source":"Wiley Online Library","title":"Measuring Progress towards a Circular Economy: A Monitoring Framework for Economy-wide Material Loop Closing in the EU28","title-short":"Measuring Progress towards a Circular Economy","volume":"23","author":[{"family":"Mayer","given":"Andreas"},{"family":"Haas","given":"Willi"},{"family":"Wiedenhofer","given":"Dominik"},{"family":"Krausmann","given":"Fridolin"},{"family":"Nuss","given":"Philip"},{"family":"Blengini","given":"Gian Andrea"}],"issued":{"date-parts":[["2019"]]}}}],"schema":"https://github.com/citation-style-language/schema/raw/master/csl-citation.json"} </w:instrText>
      </w:r>
      <w:r>
        <w:fldChar w:fldCharType="separate"/>
      </w:r>
      <w:r w:rsidRPr="3388140A">
        <w:rPr>
          <w:rFonts w:ascii="Calibri" w:hAnsi="Calibri" w:cs="Calibri"/>
        </w:rPr>
        <w:t>(Mayer et al., 2019)</w:t>
      </w:r>
      <w:r>
        <w:fldChar w:fldCharType="end"/>
      </w:r>
      <w:r>
        <w:t xml:space="preserve">. Thus, we discern between </w:t>
      </w:r>
    </w:p>
    <w:p w14:paraId="6F160B04" w14:textId="1F72DF66" w:rsidR="00513E7C" w:rsidRDefault="00E4360C" w:rsidP="008C5B03">
      <w:pPr>
        <w:pStyle w:val="Listenabsatz"/>
        <w:numPr>
          <w:ilvl w:val="0"/>
          <w:numId w:val="22"/>
        </w:numPr>
        <w:spacing w:after="120" w:line="360" w:lineRule="auto"/>
        <w:contextualSpacing w:val="0"/>
      </w:pPr>
      <w:r>
        <w:t>c</w:t>
      </w:r>
      <w:r w:rsidR="00513E7C">
        <w:t>onsumables for materials that typically do not exceed a one-year lifetime which is the time resolution of the Sankey diagram.</w:t>
      </w:r>
      <w:r w:rsidR="00D539FF">
        <w:t xml:space="preserve"> </w:t>
      </w:r>
      <w:r w:rsidR="009D06D0">
        <w:t>This</w:t>
      </w:r>
      <w:r>
        <w:t xml:space="preserve"> node</w:t>
      </w:r>
      <w:r w:rsidR="009D06D0">
        <w:t xml:space="preserve"> includes all types of</w:t>
      </w:r>
      <w:r w:rsidR="006157D6">
        <w:t xml:space="preserve"> </w:t>
      </w:r>
      <w:r w:rsidR="002C2781">
        <w:t>fossil-based</w:t>
      </w:r>
      <w:r w:rsidR="009D06D0">
        <w:t xml:space="preserve"> </w:t>
      </w:r>
      <w:r w:rsidR="006157D6">
        <w:t>plastics and biomaterials from agricultural biomass</w:t>
      </w:r>
      <w:r w:rsidR="002C2781">
        <w:t>.</w:t>
      </w:r>
    </w:p>
    <w:p w14:paraId="3BB19057" w14:textId="345D2C59" w:rsidR="00513E7C" w:rsidRDefault="00E4360C" w:rsidP="008C5B03">
      <w:pPr>
        <w:pStyle w:val="Listenabsatz"/>
        <w:numPr>
          <w:ilvl w:val="0"/>
          <w:numId w:val="22"/>
        </w:numPr>
        <w:spacing w:after="120" w:line="360" w:lineRule="auto"/>
        <w:contextualSpacing w:val="0"/>
      </w:pPr>
      <w:r>
        <w:t>a</w:t>
      </w:r>
      <w:r w:rsidR="6CE44234">
        <w:t>nd longer-lived products and services that add to the in-use material stocks. This agglomeration mainly contains the built environment</w:t>
      </w:r>
      <w:r>
        <w:t>,</w:t>
      </w:r>
      <w:r w:rsidR="6CE44234">
        <w:t xml:space="preserve"> including buildings and infrastructure and mobile stock (e.g., industrial equipment, heavy machinery, vehicles) as per </w:t>
      </w:r>
      <w:r w:rsidR="00D539FF">
        <w:fldChar w:fldCharType="begin"/>
      </w:r>
      <w:r w:rsidR="00D539FF">
        <w:instrText xml:space="preserve"> ADDIN ZOTERO_ITEM CSL_CITATION {"citationID":"CKYUKecW","properties":{"formattedCitation":"(Lanau et al., 2019)","plainCitation":"(Lanau et al., 2019)","noteIndex":0},"citationItems":[{"id":5767,"uris":["http://zotero.org/users/1226784/items/XXJSFETQ"],"itemData":{"id":5767,"type":"article-journal","abstract":"Built environment stocks (buildings and infrastructures) play multiple roles in our socio-economic metabolism: they serve as the backbone of modern societies and human well-being, drive the material cycles throughout the economy, entail temporal and spatial lock-ins on energy use and emissions, and represent an extensive reservoir of secondary materials. This review aims at providing a comprehensive and critical review of the state of the art, progress, and prospects of built environment stocks research which has boomed in the past decades. We included 249 publications published from 1985 to 2018, conducted a bibliometric analysis, and assessed the studies by key characteristics including typology of stocks (status of stock and end-use category), type of measurement (object and unit), spatial boundary and level of resolution, and temporal scope. We also highlighted the strengths and weaknesses of diﬀerent estimation approaches. A comparability analysis of existing studies shows a clearly higher level of stocks per capita and per area in developed countries and cities, conﬁrming the role of urbanization and industrialization in built environment stock growth. However, more spatially reﬁned case studies (e.g., on developing cities and nonresidential buildings) and standardization and improvement of methodology (e.g., with geographic information system and architectural knowledge) and data (e.g., on material intensity and lifetime) would be urgently needed to reveal more robust conclusions on the patterns, drivers, and implications of built environment stocks. Such advanced knowledge on built environment stocks could foster societal and policy agendas such as urban sustainability, circular economy, climate change, and United Nations 2030 Sustainable Development Goals.","container-title":"Environmental Science &amp; Technology","DOI":"10.1021/acs.est.8b06652","ISSN":"0013-936X, 1520-5851","issue":"15","journalAbbreviation":"Environ. Sci. Technol.","language":"en","page":"8499-8515","source":"DOI.org (Crossref)","title":"Taking Stock of Built Environment Stock Studies: Progress and Prospects","title-short":"Taking Stock of Built Environment Stock Studies","volume":"53","author":[{"family":"Lanau","given":"Maud"},{"family":"Liu","given":"Gang"},{"family":"Kral","given":"Ulrich"},{"family":"Wiedenhofer","given":"Dominik"},{"family":"Keijzer","given":"Elisabeth"},{"family":"Yu","given":"Chang"},{"family":"Ehlert","given":"Christina"}],"issued":{"date-parts":[["2019",8,6]]}}}],"schema":"https://github.com/citation-style-language/schema/raw/master/csl-citation.json"} </w:instrText>
      </w:r>
      <w:r w:rsidR="00D539FF">
        <w:fldChar w:fldCharType="separate"/>
      </w:r>
      <w:r w:rsidR="6CE44234" w:rsidRPr="6CE44234">
        <w:rPr>
          <w:rFonts w:ascii="Calibri" w:hAnsi="Calibri" w:cs="Calibri"/>
        </w:rPr>
        <w:t>(Lanau et al., 2019)</w:t>
      </w:r>
      <w:r w:rsidR="00D539FF">
        <w:fldChar w:fldCharType="end"/>
      </w:r>
      <w:r w:rsidR="6CE44234">
        <w:t>.</w:t>
      </w:r>
    </w:p>
    <w:p w14:paraId="3EF9BDE4" w14:textId="457B18A5" w:rsidR="000F34D0" w:rsidRDefault="00B03006" w:rsidP="008C5B03">
      <w:pPr>
        <w:spacing w:after="120" w:line="360" w:lineRule="auto"/>
      </w:pPr>
      <w:r>
        <w:t>The node</w:t>
      </w:r>
      <w:r w:rsidR="00E4360C">
        <w:t>-</w:t>
      </w:r>
      <w:r w:rsidR="00D539FF">
        <w:t xml:space="preserve">level </w:t>
      </w:r>
      <w:r w:rsidR="00E4360C">
        <w:t>"</w:t>
      </w:r>
      <w:r w:rsidR="001B4F0D">
        <w:t>Loopbacks</w:t>
      </w:r>
      <w:r w:rsidR="00E4360C">
        <w:t>"</w:t>
      </w:r>
      <w:r w:rsidR="00116976">
        <w:t xml:space="preserve"> </w:t>
      </w:r>
      <w:r w:rsidR="001B4F0D">
        <w:t>includes processes for resource recovery as waste treatment. Also</w:t>
      </w:r>
      <w:r w:rsidR="00E4360C">
        <w:t>,</w:t>
      </w:r>
      <w:r w:rsidR="001B4F0D">
        <w:t xml:space="preserve"> exports loop back into the economic metabolism, however, with spatial distance and out of the </w:t>
      </w:r>
      <w:r w:rsidR="001B4F0D">
        <w:lastRenderedPageBreak/>
        <w:t>selected geopolitical area.</w:t>
      </w:r>
      <w:r w:rsidR="00D539FF">
        <w:t xml:space="preserve"> </w:t>
      </w:r>
      <w:r w:rsidR="00FE5FFA">
        <w:t>T</w:t>
      </w:r>
      <w:r w:rsidR="00D539FF">
        <w:t>he node</w:t>
      </w:r>
      <w:r w:rsidR="00E4360C">
        <w:t>-</w:t>
      </w:r>
      <w:r w:rsidR="00D539FF">
        <w:t xml:space="preserve">level </w:t>
      </w:r>
      <w:r w:rsidR="00E4360C">
        <w:t>"</w:t>
      </w:r>
      <w:r w:rsidR="00D539FF">
        <w:t>Outflows</w:t>
      </w:r>
      <w:r w:rsidR="00E4360C">
        <w:t>"</w:t>
      </w:r>
      <w:r w:rsidR="00D539FF">
        <w:t xml:space="preserve"> groups</w:t>
      </w:r>
      <w:r>
        <w:t xml:space="preserve"> the emissions, waste and dispersed flows</w:t>
      </w:r>
      <w:r w:rsidR="00D539FF">
        <w:t xml:space="preserve"> either as losses or landfill</w:t>
      </w:r>
      <w:r w:rsidR="00E4360C">
        <w:t xml:space="preserve">s. We </w:t>
      </w:r>
      <w:r w:rsidR="008C0182">
        <w:t xml:space="preserve">considered </w:t>
      </w:r>
      <w:r w:rsidR="00E4360C">
        <w:t>lost and landfilled resources</w:t>
      </w:r>
      <w:r w:rsidR="008C0182">
        <w:t xml:space="preserve"> </w:t>
      </w:r>
      <w:r w:rsidR="00E4360C">
        <w:t>to be</w:t>
      </w:r>
      <w:r w:rsidR="008C0182">
        <w:t xml:space="preserve"> currently inaccessible</w:t>
      </w:r>
      <w:r w:rsidR="00E95283">
        <w:t xml:space="preserve"> to be looped back into</w:t>
      </w:r>
      <w:r w:rsidR="008C0182">
        <w:t xml:space="preserve"> the economic metabolism.</w:t>
      </w:r>
    </w:p>
    <w:p w14:paraId="125B25A3" w14:textId="6C5B7DDD" w:rsidR="00351F5D" w:rsidRPr="00351F5D" w:rsidRDefault="006B7A9C" w:rsidP="008C5B03">
      <w:pPr>
        <w:pStyle w:val="Listenabsatz"/>
        <w:numPr>
          <w:ilvl w:val="1"/>
          <w:numId w:val="2"/>
        </w:numPr>
        <w:spacing w:after="120" w:line="360" w:lineRule="auto"/>
        <w:contextualSpacing w:val="0"/>
        <w:rPr>
          <w:b/>
        </w:rPr>
      </w:pPr>
      <w:r>
        <w:rPr>
          <w:b/>
        </w:rPr>
        <w:t xml:space="preserve">Eurostat Energy </w:t>
      </w:r>
      <w:r w:rsidR="009D06D0">
        <w:rPr>
          <w:b/>
        </w:rPr>
        <w:t>Flow Accounting</w:t>
      </w:r>
      <w:r>
        <w:rPr>
          <w:b/>
        </w:rPr>
        <w:t xml:space="preserve"> – </w:t>
      </w:r>
      <w:proofErr w:type="spellStart"/>
      <w:r>
        <w:rPr>
          <w:b/>
        </w:rPr>
        <w:t>nrg_bal_sd</w:t>
      </w:r>
      <w:proofErr w:type="spellEnd"/>
    </w:p>
    <w:p w14:paraId="4A78BEC5" w14:textId="1941FBD9" w:rsidR="006B7A9C" w:rsidRDefault="007822DF" w:rsidP="008C5B03">
      <w:pPr>
        <w:spacing w:after="120" w:line="360" w:lineRule="auto"/>
      </w:pPr>
      <w:r>
        <w:t xml:space="preserve">The interactive Eurostat Energy Flows Sankey </w:t>
      </w:r>
      <w:r w:rsidR="00261136">
        <w:t>diagram</w:t>
      </w:r>
      <w:r>
        <w:t xml:space="preserve"> can be accessed </w:t>
      </w:r>
      <w:r w:rsidR="00CD01EC">
        <w:t>online under the following link:</w:t>
      </w:r>
    </w:p>
    <w:p w14:paraId="4C7F426F" w14:textId="61B8FC5D" w:rsidR="00CD01EC" w:rsidRDefault="00D02070" w:rsidP="008C5B03">
      <w:pPr>
        <w:pStyle w:val="Listenabsatz"/>
        <w:numPr>
          <w:ilvl w:val="0"/>
          <w:numId w:val="20"/>
        </w:numPr>
        <w:spacing w:after="120" w:line="360" w:lineRule="auto"/>
        <w:contextualSpacing w:val="0"/>
      </w:pPr>
      <w:hyperlink r:id="rId14" w:history="1">
        <w:r w:rsidR="00CD01EC" w:rsidRPr="00A96981">
          <w:rPr>
            <w:rStyle w:val="Hyperlink"/>
          </w:rPr>
          <w:t>https://ec.europa.eu/eurostat/web/energy/energy-flow-diagrams</w:t>
        </w:r>
      </w:hyperlink>
    </w:p>
    <w:p w14:paraId="1740BBF2" w14:textId="71DE1F81" w:rsidR="00CD01EC" w:rsidRDefault="00CD01EC" w:rsidP="008C5B03">
      <w:pPr>
        <w:spacing w:after="120" w:line="360" w:lineRule="auto"/>
      </w:pPr>
      <w:r>
        <w:t xml:space="preserve">In contrast to the remaining Eurostat dataset, the underlying data is well integrated in the Eurostat database under the handle </w:t>
      </w:r>
      <w:proofErr w:type="spellStart"/>
      <w:r w:rsidRPr="00CD01EC">
        <w:rPr>
          <w:b/>
        </w:rPr>
        <w:t>nrg_bal_sd</w:t>
      </w:r>
      <w:proofErr w:type="spellEnd"/>
      <w:r>
        <w:t xml:space="preserve"> and is best sourced using a</w:t>
      </w:r>
      <w:r w:rsidR="00E4360C">
        <w:t>n</w:t>
      </w:r>
      <w:r>
        <w:t xml:space="preserve"> SDMX call</w:t>
      </w:r>
      <w:r w:rsidR="0084450B">
        <w:t xml:space="preserve"> (Statistical Data and Metadata </w:t>
      </w:r>
      <w:proofErr w:type="spellStart"/>
      <w:r w:rsidR="0084450B">
        <w:t>eXchange</w:t>
      </w:r>
      <w:proofErr w:type="spellEnd"/>
      <w:r w:rsidR="0084450B">
        <w:t>)</w:t>
      </w:r>
      <w:r>
        <w:t xml:space="preserve"> via a statistical programming environment</w:t>
      </w:r>
      <w:r w:rsidR="00E4360C">
        <w:t>;</w:t>
      </w:r>
      <w:r>
        <w:t xml:space="preserve"> in our case</w:t>
      </w:r>
      <w:r w:rsidR="00E4360C">
        <w:t>,</w:t>
      </w:r>
      <w:r>
        <w:t xml:space="preserve"> RStudio using the </w:t>
      </w:r>
      <w:proofErr w:type="spellStart"/>
      <w:r>
        <w:t>rSDMX</w:t>
      </w:r>
      <w:proofErr w:type="spellEnd"/>
      <w:r>
        <w:t xml:space="preserve"> package</w:t>
      </w:r>
      <w:r w:rsidR="00E95283">
        <w:t xml:space="preserve"> </w:t>
      </w:r>
      <w:r w:rsidR="00E95283">
        <w:fldChar w:fldCharType="begin"/>
      </w:r>
      <w:r w:rsidR="00E95283">
        <w:instrText xml:space="preserve"> ADDIN ZOTERO_ITEM CSL_CITATION {"citationID":"rt9UpgWu","properties":{"formattedCitation":"(Blondel et al., 2018)","plainCitation":"(Blondel et al., 2018)","noteIndex":0},"citationItems":[{"id":4413,"uris":["http://zotero.org/users/1226784/items/3SW5BL6R"],"itemData":{"id":4413,"type":"book","abstract":"Set of classes and methods to read data and metadata documents exchanged through the Statistical Data and Metadata Exchange (SDMX) framework, currently focusing on the SDMX XML standard format (SDMX-ML).","source":"R-Packages","title":"rsdmx: Tools for Reading SDMX Data and Metadata","title-short":"rsdmx","URL":"https://CRAN.R-project.org/package=rsdmx","version":"0.5-13","author":[{"family":"Blondel","given":"Emmanuel"},{"family":"Stigler","given":"Matthieu"},{"family":"Persson","given":"Eric"}],"accessed":{"date-parts":[["2020",1,19]]},"issued":{"date-parts":[["2018",9,21]]}}}],"schema":"https://github.com/citation-style-language/schema/raw/master/csl-citation.json"} </w:instrText>
      </w:r>
      <w:r w:rsidR="00E95283">
        <w:fldChar w:fldCharType="separate"/>
      </w:r>
      <w:r w:rsidR="00E95283" w:rsidRPr="00E95283">
        <w:rPr>
          <w:rFonts w:ascii="Calibri" w:hAnsi="Calibri" w:cs="Calibri"/>
        </w:rPr>
        <w:t>(Blondel et al., 2018)</w:t>
      </w:r>
      <w:r w:rsidR="00E95283">
        <w:fldChar w:fldCharType="end"/>
      </w:r>
      <w:r>
        <w:t>. Also, this way</w:t>
      </w:r>
      <w:r w:rsidR="00E4360C">
        <w:t>,</w:t>
      </w:r>
      <w:r>
        <w:t xml:space="preserve"> limitations in downloading more extensive datasets can be easily overcome, e.g.</w:t>
      </w:r>
      <w:r w:rsidR="00261136">
        <w:t>,</w:t>
      </w:r>
      <w:r>
        <w:t xml:space="preserve"> by looping the data query. The </w:t>
      </w:r>
      <w:r w:rsidRPr="009D06D0">
        <w:rPr>
          <w:i/>
        </w:rPr>
        <w:t>SIEC-sheet</w:t>
      </w:r>
      <w:r>
        <w:t xml:space="preserve"> in the supplementary materials lists</w:t>
      </w:r>
      <w:r w:rsidR="00E4360C">
        <w:t xml:space="preserve"> and</w:t>
      </w:r>
      <w:r>
        <w:t xml:space="preserve"> defines the 19 energy carriers based on the Standard International Energy Products Classification (SIEC) as </w:t>
      </w:r>
      <w:r w:rsidR="00233D55">
        <w:t>documented</w:t>
      </w:r>
      <w:r>
        <w:t xml:space="preserve"> in </w:t>
      </w:r>
      <w:r w:rsidR="00233D55">
        <w:fldChar w:fldCharType="begin"/>
      </w:r>
      <w:r w:rsidR="00E95283">
        <w:instrText xml:space="preserve"> ADDIN ZOTERO_ITEM CSL_CITATION {"citationID":"hjoJMOYK","properties":{"formattedCitation":"(EUROSTAT, 2019)","plainCitation":"(EUROSTAT, 2019)","noteIndex":0},"citationItems":[{"id":4840,"uris":["http://zotero.org/groups/2455097/items/AWAXFTC6"],"itemData":{"id":4840,"type":"document","title":"Eurostat, Energy balance guide - Methodology guide for the construction of energy balances &amp; Operational guide for the energy balance builder tool, 31 January 2019","URL":"https://ec.europa.eu/eurostat/web/energy/data/energy-balances","author":[{"family":"EUROSTAT","given":""}],"accessed":{"date-parts":[["2020",4,1]]},"issued":{"date-parts":[["2019"]]}}}],"schema":"https://github.com/citation-style-language/schema/raw/master/csl-citation.json"} </w:instrText>
      </w:r>
      <w:r w:rsidR="00233D55">
        <w:fldChar w:fldCharType="separate"/>
      </w:r>
      <w:r w:rsidR="00233D55" w:rsidRPr="005B41E5">
        <w:rPr>
          <w:rFonts w:ascii="Calibri" w:hAnsi="Calibri" w:cs="Calibri"/>
        </w:rPr>
        <w:t>(EUROSTAT, 2019)</w:t>
      </w:r>
      <w:r w:rsidR="00233D55">
        <w:fldChar w:fldCharType="end"/>
      </w:r>
      <w:r w:rsidR="00233D55">
        <w:t xml:space="preserve"> </w:t>
      </w:r>
      <w:r w:rsidR="00233D55">
        <w:rPr>
          <w:rFonts w:ascii="Calibri" w:hAnsi="Calibri" w:cs="Calibri"/>
        </w:rPr>
        <w:t>p.12f. While we aim for</w:t>
      </w:r>
      <w:r w:rsidR="001D1572">
        <w:rPr>
          <w:rFonts w:ascii="Calibri" w:hAnsi="Calibri" w:cs="Calibri"/>
        </w:rPr>
        <w:t xml:space="preserve"> illustrating</w:t>
      </w:r>
      <w:r w:rsidR="00233D55">
        <w:rPr>
          <w:rFonts w:ascii="Calibri" w:hAnsi="Calibri" w:cs="Calibri"/>
        </w:rPr>
        <w:t xml:space="preserve"> </w:t>
      </w:r>
      <w:r w:rsidR="00E4360C">
        <w:rPr>
          <w:rFonts w:ascii="Calibri" w:hAnsi="Calibri" w:cs="Calibri"/>
        </w:rPr>
        <w:t xml:space="preserve">the </w:t>
      </w:r>
      <w:r w:rsidR="00233D55">
        <w:rPr>
          <w:rFonts w:ascii="Calibri" w:hAnsi="Calibri" w:cs="Calibri"/>
        </w:rPr>
        <w:t>highest agglomerates</w:t>
      </w:r>
      <w:r w:rsidR="001D1572">
        <w:rPr>
          <w:rFonts w:ascii="Calibri" w:hAnsi="Calibri" w:cs="Calibri"/>
        </w:rPr>
        <w:t xml:space="preserve">, i.e. fossil fuels, renewable electricity and bioenergy, this distinction is not available in the original dataset and would also not include sufficient information for unit conversion between energy and mass values. </w:t>
      </w:r>
      <w:r w:rsidR="008F30C9">
        <w:rPr>
          <w:rFonts w:ascii="Calibri" w:hAnsi="Calibri" w:cs="Calibri"/>
        </w:rPr>
        <w:t xml:space="preserve">The native unit of this dataset is kilo tonnes </w:t>
      </w:r>
      <w:r w:rsidR="00E4360C">
        <w:rPr>
          <w:rFonts w:ascii="Calibri" w:hAnsi="Calibri" w:cs="Calibri"/>
        </w:rPr>
        <w:t xml:space="preserve">of </w:t>
      </w:r>
      <w:r w:rsidR="008F30C9">
        <w:rPr>
          <w:rFonts w:ascii="Calibri" w:hAnsi="Calibri" w:cs="Calibri"/>
        </w:rPr>
        <w:t>oil equivalent [</w:t>
      </w:r>
      <w:proofErr w:type="spellStart"/>
      <w:r w:rsidR="008F30C9">
        <w:rPr>
          <w:rFonts w:ascii="Calibri" w:hAnsi="Calibri" w:cs="Calibri"/>
        </w:rPr>
        <w:t>ktoe</w:t>
      </w:r>
      <w:proofErr w:type="spellEnd"/>
      <w:r w:rsidR="008F30C9">
        <w:rPr>
          <w:rFonts w:ascii="Calibri" w:hAnsi="Calibri" w:cs="Calibri"/>
        </w:rPr>
        <w:t>]</w:t>
      </w:r>
      <w:r w:rsidR="000F5374">
        <w:rPr>
          <w:rFonts w:ascii="Calibri" w:hAnsi="Calibri" w:cs="Calibri"/>
        </w:rPr>
        <w:t xml:space="preserve">. </w:t>
      </w:r>
      <w:r w:rsidR="001D1572">
        <w:rPr>
          <w:rFonts w:ascii="Calibri" w:hAnsi="Calibri" w:cs="Calibri"/>
        </w:rPr>
        <w:t xml:space="preserve">The SIEC-sheet lists the </w:t>
      </w:r>
      <w:r w:rsidR="001D1572">
        <w:t xml:space="preserve">conversion factors for unit conversion between energy </w:t>
      </w:r>
      <w:r w:rsidR="00E4360C">
        <w:t>and mass values, mainly derived from the Energy Balance Guide. A</w:t>
      </w:r>
      <w:r w:rsidR="001D1572">
        <w:t>dditional assumptions are documented in the same sheet.</w:t>
      </w:r>
      <w:r w:rsidR="000F5374">
        <w:t xml:space="preserve"> </w:t>
      </w:r>
      <w:r w:rsidR="00E4360C">
        <w:t>The s</w:t>
      </w:r>
      <w:r w:rsidR="000F5374">
        <w:t>pecific weight of electricity and heat are set to 0 kt</w:t>
      </w:r>
      <w:r w:rsidR="00E95283">
        <w:t>/</w:t>
      </w:r>
      <w:proofErr w:type="spellStart"/>
      <w:r w:rsidR="00E95283">
        <w:t>ktoe</w:t>
      </w:r>
      <w:proofErr w:type="spellEnd"/>
      <w:r w:rsidR="000F5374">
        <w:t>.</w:t>
      </w:r>
    </w:p>
    <w:p w14:paraId="1CAB26E0" w14:textId="54D9F5F2" w:rsidR="001D1572" w:rsidRDefault="00E4360C" w:rsidP="008C5B03">
      <w:pPr>
        <w:spacing w:after="120" w:line="360" w:lineRule="auto"/>
        <w:rPr>
          <w:rFonts w:ascii="Calibri" w:hAnsi="Calibri" w:cs="Calibri"/>
        </w:rPr>
      </w:pPr>
      <w:r>
        <w:rPr>
          <w:rFonts w:ascii="Calibri" w:hAnsi="Calibri" w:cs="Calibri"/>
        </w:rPr>
        <w:t>We automatically query datasets for the selected energy carriers</w:t>
      </w:r>
      <w:r w:rsidR="001D1572">
        <w:rPr>
          <w:rFonts w:ascii="Calibri" w:hAnsi="Calibri" w:cs="Calibri"/>
        </w:rPr>
        <w:t xml:space="preserve"> and </w:t>
      </w:r>
      <w:r>
        <w:rPr>
          <w:rFonts w:ascii="Calibri" w:hAnsi="Calibri" w:cs="Calibri"/>
        </w:rPr>
        <w:t xml:space="preserve">create </w:t>
      </w:r>
      <w:r w:rsidR="001D1572">
        <w:rPr>
          <w:rFonts w:ascii="Calibri" w:hAnsi="Calibri" w:cs="Calibri"/>
        </w:rPr>
        <w:t xml:space="preserve">a </w:t>
      </w:r>
      <w:r>
        <w:rPr>
          <w:rFonts w:ascii="Calibri" w:hAnsi="Calibri" w:cs="Calibri"/>
        </w:rPr>
        <w:t>"</w:t>
      </w:r>
      <w:r w:rsidR="001D1572">
        <w:rPr>
          <w:rFonts w:ascii="Calibri" w:hAnsi="Calibri" w:cs="Calibri"/>
        </w:rPr>
        <w:t>selected energy flow dataset</w:t>
      </w:r>
      <w:r>
        <w:rPr>
          <w:rFonts w:ascii="Calibri" w:hAnsi="Calibri" w:cs="Calibri"/>
        </w:rPr>
        <w:t>"</w:t>
      </w:r>
      <w:r w:rsidR="001D1572">
        <w:rPr>
          <w:rFonts w:ascii="Calibri" w:hAnsi="Calibri" w:cs="Calibri"/>
        </w:rPr>
        <w:t xml:space="preserve">. The </w:t>
      </w:r>
      <w:proofErr w:type="spellStart"/>
      <w:r w:rsidR="001D1572" w:rsidRPr="00FC2913">
        <w:rPr>
          <w:rFonts w:ascii="Calibri" w:hAnsi="Calibri" w:cs="Calibri"/>
          <w:b/>
        </w:rPr>
        <w:t>nrg_bal_sd</w:t>
      </w:r>
      <w:proofErr w:type="spellEnd"/>
      <w:r w:rsidR="001D1572">
        <w:rPr>
          <w:rFonts w:ascii="Calibri" w:hAnsi="Calibri" w:cs="Calibri"/>
        </w:rPr>
        <w:t xml:space="preserve"> data source does not contain the meta-information </w:t>
      </w:r>
      <w:r w:rsidR="004E3B0B">
        <w:rPr>
          <w:rFonts w:ascii="Calibri" w:hAnsi="Calibri" w:cs="Calibri"/>
        </w:rPr>
        <w:t xml:space="preserve">to locate the nodes to the different parent node levels of the Sankey </w:t>
      </w:r>
      <w:r w:rsidR="008C5B03">
        <w:rPr>
          <w:rFonts w:ascii="Calibri" w:hAnsi="Calibri" w:cs="Calibri"/>
        </w:rPr>
        <w:t>diagram</w:t>
      </w:r>
      <w:r w:rsidR="004E3B0B">
        <w:rPr>
          <w:rFonts w:ascii="Calibri" w:hAnsi="Calibri" w:cs="Calibri"/>
        </w:rPr>
        <w:t xml:space="preserve">. However, we anyway like to restructure the respective parent node levels. Thus, an exemplary Sankey </w:t>
      </w:r>
      <w:r w:rsidR="008C5B03">
        <w:rPr>
          <w:rFonts w:ascii="Calibri" w:hAnsi="Calibri" w:cs="Calibri"/>
        </w:rPr>
        <w:t>diagram</w:t>
      </w:r>
      <w:r w:rsidR="004E3B0B">
        <w:rPr>
          <w:rFonts w:ascii="Calibri" w:hAnsi="Calibri" w:cs="Calibri"/>
        </w:rPr>
        <w:t xml:space="preserve"> from the homepage is </w:t>
      </w:r>
      <w:r w:rsidR="009D06D0">
        <w:rPr>
          <w:rFonts w:ascii="Calibri" w:hAnsi="Calibri" w:cs="Calibri"/>
        </w:rPr>
        <w:t>reverse engineered</w:t>
      </w:r>
      <w:r>
        <w:rPr>
          <w:rFonts w:ascii="Calibri" w:hAnsi="Calibri" w:cs="Calibri"/>
        </w:rPr>
        <w:t>,</w:t>
      </w:r>
      <w:r w:rsidR="009D06D0">
        <w:rPr>
          <w:rFonts w:ascii="Calibri" w:hAnsi="Calibri" w:cs="Calibri"/>
        </w:rPr>
        <w:t xml:space="preserve"> </w:t>
      </w:r>
      <w:r w:rsidR="004E3B0B">
        <w:rPr>
          <w:rFonts w:ascii="Calibri" w:hAnsi="Calibri" w:cs="Calibri"/>
        </w:rPr>
        <w:t xml:space="preserve">and the </w:t>
      </w:r>
      <w:r>
        <w:rPr>
          <w:rFonts w:ascii="Calibri" w:hAnsi="Calibri" w:cs="Calibri"/>
        </w:rPr>
        <w:t>separat</w:t>
      </w:r>
      <w:r w:rsidR="004E3B0B">
        <w:rPr>
          <w:rFonts w:ascii="Calibri" w:hAnsi="Calibri" w:cs="Calibri"/>
        </w:rPr>
        <w:t xml:space="preserve">e indicators for each node are identified as documented in the supplementary materials </w:t>
      </w:r>
      <w:r w:rsidR="004E3B0B" w:rsidRPr="00E95283">
        <w:rPr>
          <w:rFonts w:ascii="Calibri" w:hAnsi="Calibri" w:cs="Calibri"/>
          <w:i/>
        </w:rPr>
        <w:t>E</w:t>
      </w:r>
      <w:r w:rsidR="00DB78B9">
        <w:rPr>
          <w:rFonts w:ascii="Calibri" w:hAnsi="Calibri" w:cs="Calibri"/>
          <w:i/>
        </w:rPr>
        <w:t>-</w:t>
      </w:r>
      <w:r w:rsidR="004E3B0B" w:rsidRPr="00E95283">
        <w:rPr>
          <w:rFonts w:ascii="Calibri" w:hAnsi="Calibri" w:cs="Calibri"/>
          <w:i/>
        </w:rPr>
        <w:t>Sankey</w:t>
      </w:r>
      <w:r w:rsidR="00FC2913" w:rsidRPr="00E95283">
        <w:rPr>
          <w:rFonts w:ascii="Calibri" w:hAnsi="Calibri" w:cs="Calibri"/>
          <w:i/>
        </w:rPr>
        <w:t>-</w:t>
      </w:r>
      <w:r w:rsidR="004E3B0B" w:rsidRPr="00E95283">
        <w:rPr>
          <w:rFonts w:ascii="Calibri" w:hAnsi="Calibri" w:cs="Calibri"/>
          <w:i/>
        </w:rPr>
        <w:t>sheet</w:t>
      </w:r>
      <w:r w:rsidR="004E3B0B">
        <w:rPr>
          <w:rFonts w:ascii="Calibri" w:hAnsi="Calibri" w:cs="Calibri"/>
        </w:rPr>
        <w:t xml:space="preserve">. </w:t>
      </w:r>
      <w:r w:rsidR="00505E5D">
        <w:rPr>
          <w:rFonts w:ascii="Calibri" w:hAnsi="Calibri" w:cs="Calibri"/>
        </w:rPr>
        <w:t xml:space="preserve">Based on this clear understanding of indicators, the reattribution table for this dataset to fit the unified Sankey database is </w:t>
      </w:r>
      <w:r>
        <w:rPr>
          <w:rFonts w:ascii="Calibri" w:hAnsi="Calibri" w:cs="Calibri"/>
        </w:rPr>
        <w:t>record</w:t>
      </w:r>
      <w:r w:rsidR="00505E5D">
        <w:rPr>
          <w:rFonts w:ascii="Calibri" w:hAnsi="Calibri" w:cs="Calibri"/>
        </w:rPr>
        <w:t xml:space="preserve">ed in the </w:t>
      </w:r>
      <w:r w:rsidR="00505E5D" w:rsidRPr="00E95283">
        <w:rPr>
          <w:rFonts w:ascii="Calibri" w:hAnsi="Calibri" w:cs="Calibri"/>
          <w:i/>
        </w:rPr>
        <w:t>NRG</w:t>
      </w:r>
      <w:r w:rsidR="00E95283" w:rsidRPr="00E95283">
        <w:rPr>
          <w:rFonts w:ascii="Calibri" w:hAnsi="Calibri" w:cs="Calibri"/>
          <w:i/>
        </w:rPr>
        <w:t>-</w:t>
      </w:r>
      <w:r w:rsidR="00505E5D" w:rsidRPr="00E95283">
        <w:rPr>
          <w:rFonts w:ascii="Calibri" w:hAnsi="Calibri" w:cs="Calibri"/>
          <w:i/>
        </w:rPr>
        <w:t>sheet</w:t>
      </w:r>
      <w:r w:rsidR="00505E5D">
        <w:rPr>
          <w:rFonts w:ascii="Calibri" w:hAnsi="Calibri" w:cs="Calibri"/>
        </w:rPr>
        <w:t xml:space="preserve"> in the supplementary materials.</w:t>
      </w:r>
      <w:r w:rsidR="009F06A5">
        <w:rPr>
          <w:rFonts w:ascii="Calibri" w:hAnsi="Calibri" w:cs="Calibri"/>
        </w:rPr>
        <w:t xml:space="preserve"> </w:t>
      </w:r>
      <w:r w:rsidR="00E95283">
        <w:rPr>
          <w:rFonts w:ascii="Calibri" w:hAnsi="Calibri" w:cs="Calibri"/>
        </w:rPr>
        <w:t>The Eurostat energy flow dataset contains</w:t>
      </w:r>
      <w:r w:rsidR="00B80569">
        <w:rPr>
          <w:rFonts w:ascii="Calibri" w:hAnsi="Calibri" w:cs="Calibri"/>
        </w:rPr>
        <w:t xml:space="preserve"> </w:t>
      </w:r>
      <w:r>
        <w:rPr>
          <w:rFonts w:ascii="Calibri" w:hAnsi="Calibri" w:cs="Calibri"/>
        </w:rPr>
        <w:t>bioenergy flows next to fossil fuel flow data</w:t>
      </w:r>
      <w:r w:rsidR="00E95283">
        <w:rPr>
          <w:rFonts w:ascii="Calibri" w:hAnsi="Calibri" w:cs="Calibri"/>
        </w:rPr>
        <w:t>. Thus</w:t>
      </w:r>
      <w:r w:rsidR="00B80569">
        <w:rPr>
          <w:rFonts w:ascii="Calibri" w:hAnsi="Calibri" w:cs="Calibri"/>
        </w:rPr>
        <w:t>,</w:t>
      </w:r>
      <w:r w:rsidR="00E95283">
        <w:rPr>
          <w:rFonts w:ascii="Calibri" w:hAnsi="Calibri" w:cs="Calibri"/>
        </w:rPr>
        <w:t xml:space="preserve"> double</w:t>
      </w:r>
      <w:r>
        <w:rPr>
          <w:rFonts w:ascii="Calibri" w:hAnsi="Calibri" w:cs="Calibri"/>
        </w:rPr>
        <w:t>-</w:t>
      </w:r>
      <w:r w:rsidR="00E95283">
        <w:rPr>
          <w:rFonts w:ascii="Calibri" w:hAnsi="Calibri" w:cs="Calibri"/>
        </w:rPr>
        <w:t>counting has to be avoided when merging the datasets</w:t>
      </w:r>
      <w:r>
        <w:rPr>
          <w:rFonts w:ascii="Calibri" w:hAnsi="Calibri" w:cs="Calibri"/>
        </w:rPr>
        <w:t>,</w:t>
      </w:r>
      <w:r w:rsidR="00E95283">
        <w:rPr>
          <w:rFonts w:ascii="Calibri" w:hAnsi="Calibri" w:cs="Calibri"/>
        </w:rPr>
        <w:t xml:space="preserve"> as described in section 2.</w:t>
      </w:r>
      <w:r w:rsidR="009D06D0">
        <w:rPr>
          <w:rFonts w:ascii="Calibri" w:hAnsi="Calibri" w:cs="Calibri"/>
        </w:rPr>
        <w:t>5</w:t>
      </w:r>
      <w:r w:rsidR="00E95283">
        <w:rPr>
          <w:rFonts w:ascii="Calibri" w:hAnsi="Calibri" w:cs="Calibri"/>
        </w:rPr>
        <w:t>.</w:t>
      </w:r>
    </w:p>
    <w:p w14:paraId="091137FD" w14:textId="46288D23" w:rsidR="004E3B0B" w:rsidRPr="00351F5D" w:rsidRDefault="004E3B0B" w:rsidP="008C5B03">
      <w:pPr>
        <w:pStyle w:val="Listenabsatz"/>
        <w:numPr>
          <w:ilvl w:val="1"/>
          <w:numId w:val="2"/>
        </w:numPr>
        <w:spacing w:after="120" w:line="360" w:lineRule="auto"/>
        <w:contextualSpacing w:val="0"/>
        <w:rPr>
          <w:b/>
        </w:rPr>
      </w:pPr>
      <w:r>
        <w:rPr>
          <w:b/>
        </w:rPr>
        <w:t xml:space="preserve">Eurostat Material Flow </w:t>
      </w:r>
      <w:r w:rsidR="009A2239">
        <w:rPr>
          <w:b/>
        </w:rPr>
        <w:t>Accounting</w:t>
      </w:r>
      <w:r>
        <w:rPr>
          <w:b/>
        </w:rPr>
        <w:t xml:space="preserve"> – </w:t>
      </w:r>
      <w:proofErr w:type="spellStart"/>
      <w:r w:rsidRPr="004E3B0B">
        <w:rPr>
          <w:b/>
        </w:rPr>
        <w:t>env_ac_mfa</w:t>
      </w:r>
      <w:proofErr w:type="spellEnd"/>
      <w:r w:rsidRPr="004E3B0B">
        <w:rPr>
          <w:b/>
        </w:rPr>
        <w:t xml:space="preserve">, </w:t>
      </w:r>
      <w:proofErr w:type="spellStart"/>
      <w:r w:rsidRPr="004E3B0B">
        <w:rPr>
          <w:b/>
        </w:rPr>
        <w:t>env_ac_sd</w:t>
      </w:r>
      <w:proofErr w:type="spellEnd"/>
      <w:r>
        <w:rPr>
          <w:b/>
        </w:rPr>
        <w:t xml:space="preserve"> and</w:t>
      </w:r>
      <w:r w:rsidRPr="004E3B0B">
        <w:rPr>
          <w:b/>
        </w:rPr>
        <w:t xml:space="preserve"> </w:t>
      </w:r>
      <w:proofErr w:type="spellStart"/>
      <w:r w:rsidRPr="004E3B0B">
        <w:rPr>
          <w:b/>
        </w:rPr>
        <w:t>env_wassd</w:t>
      </w:r>
      <w:proofErr w:type="spellEnd"/>
    </w:p>
    <w:p w14:paraId="3D2421F1" w14:textId="1D56E100" w:rsidR="004E3B0B" w:rsidRDefault="004E3B0B" w:rsidP="008C5B03">
      <w:pPr>
        <w:spacing w:after="120" w:line="360" w:lineRule="auto"/>
      </w:pPr>
      <w:r>
        <w:t xml:space="preserve">The interactive Eurostat Material Flow Sankey </w:t>
      </w:r>
      <w:r w:rsidR="008C5B03">
        <w:t>diagram</w:t>
      </w:r>
      <w:r>
        <w:t xml:space="preserve"> can be accessed online under the following link:</w:t>
      </w:r>
    </w:p>
    <w:p w14:paraId="4B032789" w14:textId="2C29EC61" w:rsidR="004E3B0B" w:rsidRDefault="00D02070" w:rsidP="008C5B03">
      <w:pPr>
        <w:pStyle w:val="Listenabsatz"/>
        <w:numPr>
          <w:ilvl w:val="0"/>
          <w:numId w:val="20"/>
        </w:numPr>
        <w:spacing w:after="120" w:line="360" w:lineRule="auto"/>
        <w:contextualSpacing w:val="0"/>
      </w:pPr>
      <w:hyperlink r:id="rId15" w:history="1">
        <w:r w:rsidR="004E3B0B" w:rsidRPr="00A96981">
          <w:rPr>
            <w:rStyle w:val="Hyperlink"/>
          </w:rPr>
          <w:t>https://ec.europa.eu/eurostat/web/circular-economy/material-flow-diagram</w:t>
        </w:r>
      </w:hyperlink>
    </w:p>
    <w:p w14:paraId="7F6C4344" w14:textId="06BD9A4D" w:rsidR="00D015D4" w:rsidRDefault="00E4360C" w:rsidP="008C5B03">
      <w:pPr>
        <w:spacing w:after="120" w:line="360" w:lineRule="auto"/>
      </w:pPr>
      <w:r>
        <w:t>No</w:t>
      </w:r>
      <w:r w:rsidR="0A0C4D98">
        <w:t xml:space="preserve"> SDMX code for the underlying dataset could </w:t>
      </w:r>
      <w:r>
        <w:t>yet</w:t>
      </w:r>
      <w:r w:rsidR="0A0C4D98">
        <w:t xml:space="preserve"> be identified. The online documentation of the Eurostat MFA offers three data sets, namely </w:t>
      </w:r>
      <w:proofErr w:type="spellStart"/>
      <w:r w:rsidR="0A0C4D98" w:rsidRPr="0A0C4D98">
        <w:rPr>
          <w:b/>
          <w:bCs/>
        </w:rPr>
        <w:t>env_ac_mfa.tsv</w:t>
      </w:r>
      <w:proofErr w:type="spellEnd"/>
      <w:r w:rsidR="0A0C4D98" w:rsidRPr="0A0C4D98">
        <w:rPr>
          <w:b/>
          <w:bCs/>
        </w:rPr>
        <w:t xml:space="preserve">, </w:t>
      </w:r>
      <w:proofErr w:type="spellStart"/>
      <w:r w:rsidR="0A0C4D98" w:rsidRPr="0A0C4D98">
        <w:rPr>
          <w:b/>
          <w:bCs/>
        </w:rPr>
        <w:t>env_wassd.tsv</w:t>
      </w:r>
      <w:proofErr w:type="spellEnd"/>
      <w:r w:rsidR="0A0C4D98" w:rsidRPr="0A0C4D98">
        <w:rPr>
          <w:b/>
          <w:bCs/>
        </w:rPr>
        <w:t xml:space="preserve"> </w:t>
      </w:r>
      <w:r w:rsidR="0A0C4D98">
        <w:t>and</w:t>
      </w:r>
      <w:r w:rsidR="0A0C4D98" w:rsidRPr="0A0C4D98">
        <w:rPr>
          <w:b/>
          <w:bCs/>
        </w:rPr>
        <w:t xml:space="preserve"> </w:t>
      </w:r>
      <w:proofErr w:type="spellStart"/>
      <w:r w:rsidR="0A0C4D98" w:rsidRPr="0A0C4D98">
        <w:rPr>
          <w:b/>
          <w:bCs/>
        </w:rPr>
        <w:t>env_ac_sd.tsv</w:t>
      </w:r>
      <w:proofErr w:type="spellEnd"/>
      <w:r w:rsidR="0A0C4D98">
        <w:t xml:space="preserve"> for the Material Flow Accounts, Waste Management Statistics and additional environmental Sankey data</w:t>
      </w:r>
      <w:r>
        <w:t>,</w:t>
      </w:r>
      <w:r w:rsidR="0A0C4D98">
        <w:t xml:space="preserve"> respectively. Again, we focus on selected flow aggregates only, as documented in the </w:t>
      </w:r>
      <w:r w:rsidR="0A0C4D98" w:rsidRPr="00E95283">
        <w:rPr>
          <w:i/>
        </w:rPr>
        <w:t>MAT</w:t>
      </w:r>
      <w:r w:rsidR="00E95283" w:rsidRPr="00E95283">
        <w:rPr>
          <w:i/>
        </w:rPr>
        <w:t>-</w:t>
      </w:r>
      <w:r w:rsidR="0A0C4D98" w:rsidRPr="00E95283">
        <w:rPr>
          <w:i/>
        </w:rPr>
        <w:t>sheet</w:t>
      </w:r>
      <w:r w:rsidR="0A0C4D98">
        <w:t xml:space="preserve"> in the supplementary materials. 15 different material flows include different types of biomass from agriculture, forestry and fisheries, metal ores, non-metallic ores and the main agglomerates for fossil energy carriers. The native unit of this dataset is kilo tonnes [kt], thus</w:t>
      </w:r>
      <w:r>
        <w:t>,</w:t>
      </w:r>
      <w:r w:rsidR="0A0C4D98">
        <w:t xml:space="preserve"> the dataset does not include the energy carriers</w:t>
      </w:r>
      <w:r>
        <w:t>,</w:t>
      </w:r>
      <w:r w:rsidR="0A0C4D98">
        <w:t xml:space="preserve"> electricity and heat. The heating value of all metal and non-metallic-ores is simplified to</w:t>
      </w:r>
      <w:r w:rsidR="00E95283">
        <w:t xml:space="preserve"> be</w:t>
      </w:r>
      <w:r w:rsidR="0A0C4D98">
        <w:t xml:space="preserve"> 0 </w:t>
      </w:r>
      <w:proofErr w:type="spellStart"/>
      <w:r w:rsidR="00E95283">
        <w:t>ktoe</w:t>
      </w:r>
      <w:proofErr w:type="spellEnd"/>
      <w:r w:rsidR="0A0C4D98">
        <w:t>/kt</w:t>
      </w:r>
      <w:r>
        <w:t xml:space="preserve"> for further conversions</w:t>
      </w:r>
      <w:r w:rsidR="0A0C4D98">
        <w:t>.</w:t>
      </w:r>
    </w:p>
    <w:p w14:paraId="7142444D" w14:textId="12A97784" w:rsidR="004E3B0B" w:rsidRDefault="008F30C9" w:rsidP="008C5B03">
      <w:pPr>
        <w:spacing w:after="120" w:line="360" w:lineRule="auto"/>
        <w:rPr>
          <w:rFonts w:ascii="Calibri" w:hAnsi="Calibri" w:cs="Calibri"/>
        </w:rPr>
      </w:pPr>
      <w:r>
        <w:t xml:space="preserve">Similar to our approach with the energy flow dataset, we use an exemplary Sankey </w:t>
      </w:r>
      <w:r w:rsidR="008C5B03">
        <w:t>diagram</w:t>
      </w:r>
      <w:r>
        <w:t xml:space="preserve"> from the homepage to inspect how the indicators of the different datasets are used and merged into the MFA Sankey following non-available meta-data on parent nodes. The results of </w:t>
      </w:r>
      <w:r w:rsidR="009A2239">
        <w:t>this reverse engineering</w:t>
      </w:r>
      <w:r>
        <w:t xml:space="preserve"> are documented in the supplementary materials </w:t>
      </w:r>
      <w:r w:rsidR="00FC2913" w:rsidRPr="00E95283">
        <w:rPr>
          <w:i/>
        </w:rPr>
        <w:t>M</w:t>
      </w:r>
      <w:r w:rsidR="00DB78B9">
        <w:rPr>
          <w:i/>
        </w:rPr>
        <w:t>-</w:t>
      </w:r>
      <w:r w:rsidRPr="00E95283">
        <w:rPr>
          <w:i/>
        </w:rPr>
        <w:t>Sankey</w:t>
      </w:r>
      <w:r w:rsidR="00FC2913" w:rsidRPr="00E95283">
        <w:rPr>
          <w:i/>
        </w:rPr>
        <w:t>-</w:t>
      </w:r>
      <w:r w:rsidRPr="00E95283">
        <w:rPr>
          <w:i/>
        </w:rPr>
        <w:t>sheet</w:t>
      </w:r>
      <w:r>
        <w:t xml:space="preserve">. </w:t>
      </w:r>
      <w:r w:rsidR="00E4360C">
        <w:t>T</w:t>
      </w:r>
      <w:r>
        <w:t xml:space="preserve">he </w:t>
      </w:r>
      <w:proofErr w:type="spellStart"/>
      <w:r w:rsidRPr="00FC2913">
        <w:rPr>
          <w:b/>
        </w:rPr>
        <w:t>env_ac_mfa</w:t>
      </w:r>
      <w:proofErr w:type="spellEnd"/>
      <w:r>
        <w:t xml:space="preserve"> dataset contributes mainly to the left side of the Sankey </w:t>
      </w:r>
      <w:r w:rsidR="008C5B03">
        <w:t>diagram</w:t>
      </w:r>
      <w:r w:rsidR="00E4360C">
        <w:t>. T</w:t>
      </w:r>
      <w:r>
        <w:t>he right side</w:t>
      </w:r>
      <w:r w:rsidR="00E4360C">
        <w:t>,</w:t>
      </w:r>
      <w:r>
        <w:t xml:space="preserve"> </w:t>
      </w:r>
      <w:r w:rsidR="00E4360C">
        <w:t>including</w:t>
      </w:r>
      <w:r>
        <w:t xml:space="preserve"> out- and backflows</w:t>
      </w:r>
      <w:r w:rsidR="00E4360C">
        <w:t>,</w:t>
      </w:r>
      <w:r>
        <w:t xml:space="preserve"> can m</w:t>
      </w:r>
      <w:r w:rsidR="00E4360C">
        <w:t>ost</w:t>
      </w:r>
      <w:r>
        <w:t xml:space="preserve">ly be found in the </w:t>
      </w:r>
      <w:proofErr w:type="spellStart"/>
      <w:r w:rsidR="00E87EAE" w:rsidRPr="00FC2913">
        <w:rPr>
          <w:b/>
        </w:rPr>
        <w:t>env_wassd</w:t>
      </w:r>
      <w:proofErr w:type="spellEnd"/>
      <w:r w:rsidR="00E87EAE">
        <w:t xml:space="preserve"> and </w:t>
      </w:r>
      <w:proofErr w:type="spellStart"/>
      <w:r w:rsidR="00E87EAE" w:rsidRPr="00FC2913">
        <w:rPr>
          <w:b/>
        </w:rPr>
        <w:t>env_ac_sd</w:t>
      </w:r>
      <w:proofErr w:type="spellEnd"/>
      <w:r w:rsidR="00E87EAE">
        <w:t xml:space="preserve"> datasets.</w:t>
      </w:r>
      <w:r w:rsidR="00505E5D">
        <w:t xml:space="preserve"> </w:t>
      </w:r>
      <w:r w:rsidR="00505E5D">
        <w:rPr>
          <w:rFonts w:ascii="Calibri" w:hAnsi="Calibri" w:cs="Calibri"/>
        </w:rPr>
        <w:t xml:space="preserve">Based on this clear understanding of indicators, the reattribution table for this dataset to fit the unified Sankey database is documented in the </w:t>
      </w:r>
      <w:r w:rsidR="00505E5D" w:rsidRPr="00E95283">
        <w:rPr>
          <w:rFonts w:ascii="Calibri" w:hAnsi="Calibri" w:cs="Calibri"/>
          <w:i/>
        </w:rPr>
        <w:t>MFA</w:t>
      </w:r>
      <w:r w:rsidR="00E95283" w:rsidRPr="00E95283">
        <w:rPr>
          <w:rFonts w:ascii="Calibri" w:hAnsi="Calibri" w:cs="Calibri"/>
          <w:i/>
        </w:rPr>
        <w:t>-</w:t>
      </w:r>
      <w:r w:rsidR="00505E5D" w:rsidRPr="00E95283">
        <w:rPr>
          <w:rFonts w:ascii="Calibri" w:hAnsi="Calibri" w:cs="Calibri"/>
          <w:i/>
        </w:rPr>
        <w:t>, WASSD</w:t>
      </w:r>
      <w:r w:rsidR="00E95283" w:rsidRPr="00E95283">
        <w:rPr>
          <w:rFonts w:ascii="Calibri" w:hAnsi="Calibri" w:cs="Calibri"/>
          <w:i/>
        </w:rPr>
        <w:t>-</w:t>
      </w:r>
      <w:r w:rsidR="00505E5D" w:rsidRPr="00E95283">
        <w:rPr>
          <w:rFonts w:ascii="Calibri" w:hAnsi="Calibri" w:cs="Calibri"/>
          <w:i/>
        </w:rPr>
        <w:t xml:space="preserve"> and ENV</w:t>
      </w:r>
      <w:r w:rsidR="00E95283" w:rsidRPr="00E95283">
        <w:rPr>
          <w:rFonts w:ascii="Calibri" w:hAnsi="Calibri" w:cs="Calibri"/>
          <w:i/>
        </w:rPr>
        <w:t>-</w:t>
      </w:r>
      <w:r w:rsidR="00505E5D" w:rsidRPr="00E95283">
        <w:rPr>
          <w:rFonts w:ascii="Calibri" w:hAnsi="Calibri" w:cs="Calibri"/>
          <w:i/>
        </w:rPr>
        <w:t>sheets</w:t>
      </w:r>
      <w:r w:rsidR="00505E5D">
        <w:rPr>
          <w:rFonts w:ascii="Calibri" w:hAnsi="Calibri" w:cs="Calibri"/>
        </w:rPr>
        <w:t xml:space="preserve"> in the supplementary materials.</w:t>
      </w:r>
    </w:p>
    <w:p w14:paraId="77AFA9DF" w14:textId="3D46D40B" w:rsidR="00B80569" w:rsidRDefault="00B80569" w:rsidP="008C5B03">
      <w:pPr>
        <w:spacing w:after="120" w:line="360" w:lineRule="auto"/>
      </w:pPr>
      <w:r>
        <w:rPr>
          <w:rFonts w:ascii="Calibri" w:hAnsi="Calibri" w:cs="Calibri"/>
        </w:rPr>
        <w:t xml:space="preserve">The Eurostat material flow dataset contains </w:t>
      </w:r>
      <w:r w:rsidR="00E4360C">
        <w:rPr>
          <w:rFonts w:ascii="Calibri" w:hAnsi="Calibri" w:cs="Calibri"/>
        </w:rPr>
        <w:t>biomass, and fossil fuel flows next to mineral ores and non-metallic ore</w:t>
      </w:r>
      <w:r>
        <w:rPr>
          <w:rFonts w:ascii="Calibri" w:hAnsi="Calibri" w:cs="Calibri"/>
        </w:rPr>
        <w:t>s. Thus, double</w:t>
      </w:r>
      <w:r w:rsidR="00E4360C">
        <w:rPr>
          <w:rFonts w:ascii="Calibri" w:hAnsi="Calibri" w:cs="Calibri"/>
        </w:rPr>
        <w:t>-</w:t>
      </w:r>
      <w:r>
        <w:rPr>
          <w:rFonts w:ascii="Calibri" w:hAnsi="Calibri" w:cs="Calibri"/>
        </w:rPr>
        <w:t>counting has to be avoided when merging the datasets</w:t>
      </w:r>
      <w:r w:rsidR="00E4360C">
        <w:rPr>
          <w:rFonts w:ascii="Calibri" w:hAnsi="Calibri" w:cs="Calibri"/>
        </w:rPr>
        <w:t>,</w:t>
      </w:r>
      <w:r>
        <w:rPr>
          <w:rFonts w:ascii="Calibri" w:hAnsi="Calibri" w:cs="Calibri"/>
        </w:rPr>
        <w:t xml:space="preserve"> as described in section 2.</w:t>
      </w:r>
      <w:r w:rsidR="009A2239">
        <w:rPr>
          <w:rFonts w:ascii="Calibri" w:hAnsi="Calibri" w:cs="Calibri"/>
        </w:rPr>
        <w:t>5</w:t>
      </w:r>
      <w:r>
        <w:rPr>
          <w:rFonts w:ascii="Calibri" w:hAnsi="Calibri" w:cs="Calibri"/>
        </w:rPr>
        <w:t>.</w:t>
      </w:r>
    </w:p>
    <w:p w14:paraId="250AAFD6" w14:textId="11992D0A" w:rsidR="00505E5D" w:rsidRPr="00351F5D" w:rsidRDefault="00505E5D" w:rsidP="008C5B03">
      <w:pPr>
        <w:pStyle w:val="Listenabsatz"/>
        <w:numPr>
          <w:ilvl w:val="1"/>
          <w:numId w:val="2"/>
        </w:numPr>
        <w:spacing w:after="120" w:line="360" w:lineRule="auto"/>
        <w:contextualSpacing w:val="0"/>
        <w:rPr>
          <w:b/>
        </w:rPr>
      </w:pPr>
      <w:r>
        <w:rPr>
          <w:b/>
        </w:rPr>
        <w:t>Eurostat Biomass Flow Sankey</w:t>
      </w:r>
    </w:p>
    <w:p w14:paraId="3AF18F74" w14:textId="56E9F68D" w:rsidR="00200A65" w:rsidRDefault="00200A65" w:rsidP="008C5B03">
      <w:pPr>
        <w:pStyle w:val="Listenabsatz"/>
        <w:spacing w:after="120" w:line="360" w:lineRule="auto"/>
        <w:ind w:left="0"/>
        <w:contextualSpacing w:val="0"/>
      </w:pPr>
      <w:r>
        <w:t xml:space="preserve">The interactive Biomass Flows Sankey </w:t>
      </w:r>
      <w:r w:rsidR="008C5B03">
        <w:t>diagram</w:t>
      </w:r>
      <w:r>
        <w:t xml:space="preserve"> can be accessed online under the following link:</w:t>
      </w:r>
    </w:p>
    <w:p w14:paraId="7B28DE3C" w14:textId="12A21E51" w:rsidR="008962BA" w:rsidRDefault="00D02070" w:rsidP="008C5B03">
      <w:pPr>
        <w:pStyle w:val="Listenabsatz"/>
        <w:numPr>
          <w:ilvl w:val="0"/>
          <w:numId w:val="20"/>
        </w:numPr>
        <w:spacing w:after="120" w:line="360" w:lineRule="auto"/>
        <w:contextualSpacing w:val="0"/>
      </w:pPr>
      <w:hyperlink r:id="rId16" w:history="1">
        <w:r w:rsidR="00200A65" w:rsidRPr="00A96981">
          <w:rPr>
            <w:rStyle w:val="Hyperlink"/>
          </w:rPr>
          <w:t>https://datam.jrc.ec.europa.eu/datam/mashup/BIOMASS_FLOWS</w:t>
        </w:r>
      </w:hyperlink>
    </w:p>
    <w:p w14:paraId="142F1F10" w14:textId="35C3F1C0" w:rsidR="00200A65" w:rsidRDefault="00DE66CB" w:rsidP="008C5B03">
      <w:pPr>
        <w:spacing w:after="120" w:line="360" w:lineRule="auto"/>
      </w:pPr>
      <w:r>
        <w:t>This dataset seems yet to be least integrated in</w:t>
      </w:r>
      <w:r w:rsidR="00E4360C">
        <w:t>to</w:t>
      </w:r>
      <w:r>
        <w:t xml:space="preserve"> Eurostat, but the </w:t>
      </w:r>
      <w:r w:rsidR="00E4360C">
        <w:t>whole</w:t>
      </w:r>
      <w:r>
        <w:t xml:space="preserve"> dataset can be downloaded in the online documentation</w:t>
      </w:r>
      <w:r w:rsidR="00E95283">
        <w:t xml:space="preserve"> of the homepage (3)</w:t>
      </w:r>
      <w:r>
        <w:t>.</w:t>
      </w:r>
      <w:r w:rsidR="009B691B">
        <w:t xml:space="preserve"> On the upside, however, the </w:t>
      </w:r>
      <w:r w:rsidR="00E4360C">
        <w:t>whole</w:t>
      </w:r>
      <w:r w:rsidR="009B691B">
        <w:t xml:space="preserve"> dataset is the most comprehensive</w:t>
      </w:r>
      <w:r w:rsidR="00E4360C">
        <w:t>,</w:t>
      </w:r>
      <w:r w:rsidR="009B691B">
        <w:t xml:space="preserve"> including the meta-data, useful biomass agglomerates for our purposes and documentation from the European Commission Bioeconomy Observatory </w:t>
      </w:r>
      <w:r w:rsidR="00F03796">
        <w:fldChar w:fldCharType="begin"/>
      </w:r>
      <w:r w:rsidR="00F03796">
        <w:instrText xml:space="preserve"> ADDIN ZOTERO_ITEM CSL_CITATION {"citationID":"CgqTpfHH","properties":{"formattedCitation":"(Gurria et al., 2020)","plainCitation":"(Gurria et al., 2020)","noteIndex":0},"citationItems":[{"id":5980,"uris":["http://zotero.org/users/1226784/items/56J9WBYD"],"itemData":{"id":5980,"type":"book","event-place":"LU","language":"en","publisher":"Publications Office","publisher-place":"LU","source":"DOI.org (CSL JSON)","title":"Biomass flows in the European Union: EU biomass flows tool, version 2020.","title-short":"Biomass flows in the European Union","URL":"https://data.europa.eu/doi/10.2760/14342","author":[{"family":"Gurria","given":"P."},{"family":"Gonzalez","given":"H."},{"family":"Ronzon","given":"T."},{"family":"Tamosiunas","given":"S"},{"family":"Lopez","given":"R."},{"family":"Garcia-Condado","given":"S."},{"family":"Ronchetti","given":"G."},{"family":"Guillen","given":"J."},{"family":"Banja","given":"M"},{"family":"Fiore","given":"G"},{"family":"M'Barek","given":"R"}],"accessed":{"date-parts":[["2020",12,4]]},"issued":{"date-parts":[["2020"]]}}}],"schema":"https://github.com/citation-style-language/schema/raw/master/csl-citation.json"} </w:instrText>
      </w:r>
      <w:r w:rsidR="00F03796">
        <w:fldChar w:fldCharType="separate"/>
      </w:r>
      <w:r w:rsidR="00F03796" w:rsidRPr="00F03796">
        <w:rPr>
          <w:rFonts w:ascii="Calibri" w:hAnsi="Calibri" w:cs="Calibri"/>
        </w:rPr>
        <w:t>(Gurria et al., 2020)</w:t>
      </w:r>
      <w:r w:rsidR="00F03796">
        <w:fldChar w:fldCharType="end"/>
      </w:r>
      <w:r w:rsidR="00F03796">
        <w:t>.</w:t>
      </w:r>
      <w:r w:rsidR="009B691B">
        <w:t xml:space="preserve"> </w:t>
      </w:r>
      <w:r w:rsidR="00DB69DD">
        <w:t>The native unit of this dataset is kilo tonnes [kt] dry mass.</w:t>
      </w:r>
    </w:p>
    <w:p w14:paraId="3240DB19" w14:textId="5BD6AA16" w:rsidR="00DB69DD" w:rsidRDefault="00DB69DD" w:rsidP="008C5B03">
      <w:pPr>
        <w:spacing w:after="120" w:line="360" w:lineRule="auto"/>
      </w:pPr>
      <w:r>
        <w:t>For a lower aggregation level, thus</w:t>
      </w:r>
      <w:r w:rsidR="00E4360C">
        <w:t>,</w:t>
      </w:r>
      <w:r>
        <w:t xml:space="preserve"> when requesting detailed flow information of forestry, agriculture and fishery biomass, the Eurostat Sankey does not yet allow for a joint illustration of all biomass types. The visual inspection documented in the </w:t>
      </w:r>
      <w:r w:rsidRPr="00E95283">
        <w:rPr>
          <w:i/>
        </w:rPr>
        <w:t>B</w:t>
      </w:r>
      <w:r w:rsidR="00DB78B9">
        <w:rPr>
          <w:i/>
        </w:rPr>
        <w:t>-</w:t>
      </w:r>
      <w:r w:rsidRPr="00E95283">
        <w:rPr>
          <w:i/>
        </w:rPr>
        <w:t>Sankey</w:t>
      </w:r>
      <w:r w:rsidR="00E95283" w:rsidRPr="00E95283">
        <w:rPr>
          <w:i/>
        </w:rPr>
        <w:t>-</w:t>
      </w:r>
      <w:r w:rsidRPr="00E95283">
        <w:rPr>
          <w:i/>
        </w:rPr>
        <w:t>sheet</w:t>
      </w:r>
      <w:r>
        <w:t xml:space="preserve"> thus includes three distinct exemplary Sankey </w:t>
      </w:r>
      <w:r w:rsidR="00E4360C">
        <w:t>diagrams</w:t>
      </w:r>
      <w:r>
        <w:t>.</w:t>
      </w:r>
      <w:r w:rsidRPr="00DB69DD">
        <w:rPr>
          <w:rFonts w:ascii="Calibri" w:hAnsi="Calibri" w:cs="Calibri"/>
        </w:rPr>
        <w:t xml:space="preserve"> </w:t>
      </w:r>
      <w:r>
        <w:rPr>
          <w:rFonts w:ascii="Calibri" w:hAnsi="Calibri" w:cs="Calibri"/>
        </w:rPr>
        <w:t xml:space="preserve">Based on this </w:t>
      </w:r>
      <w:r w:rsidR="00E95283">
        <w:rPr>
          <w:rFonts w:ascii="Calibri" w:hAnsi="Calibri" w:cs="Calibri"/>
        </w:rPr>
        <w:t>c</w:t>
      </w:r>
      <w:r>
        <w:rPr>
          <w:rFonts w:ascii="Calibri" w:hAnsi="Calibri" w:cs="Calibri"/>
        </w:rPr>
        <w:t xml:space="preserve">lear understanding of indicators and </w:t>
      </w:r>
      <w:r w:rsidR="00B80569">
        <w:rPr>
          <w:rFonts w:ascii="Calibri" w:hAnsi="Calibri" w:cs="Calibri"/>
        </w:rPr>
        <w:t>edge levels</w:t>
      </w:r>
      <w:r>
        <w:rPr>
          <w:rFonts w:ascii="Calibri" w:hAnsi="Calibri" w:cs="Calibri"/>
        </w:rPr>
        <w:t xml:space="preserve">, </w:t>
      </w:r>
      <w:r w:rsidR="00E4360C">
        <w:rPr>
          <w:rFonts w:ascii="Calibri" w:hAnsi="Calibri" w:cs="Calibri"/>
        </w:rPr>
        <w:t xml:space="preserve">we </w:t>
      </w:r>
      <w:r w:rsidR="00E4360C">
        <w:rPr>
          <w:rFonts w:ascii="Calibri" w:hAnsi="Calibri" w:cs="Calibri"/>
        </w:rPr>
        <w:lastRenderedPageBreak/>
        <w:t xml:space="preserve">report </w:t>
      </w:r>
      <w:r>
        <w:rPr>
          <w:rFonts w:ascii="Calibri" w:hAnsi="Calibri" w:cs="Calibri"/>
        </w:rPr>
        <w:t xml:space="preserve">the reattribution table for this dataset to fit the unified Sankey database in the </w:t>
      </w:r>
      <w:r w:rsidRPr="009F06A5">
        <w:rPr>
          <w:rFonts w:ascii="Calibri" w:hAnsi="Calibri" w:cs="Calibri"/>
          <w:i/>
        </w:rPr>
        <w:t>BM</w:t>
      </w:r>
      <w:r w:rsidR="009F06A5" w:rsidRPr="009F06A5">
        <w:rPr>
          <w:rFonts w:ascii="Calibri" w:hAnsi="Calibri" w:cs="Calibri"/>
          <w:i/>
        </w:rPr>
        <w:t>-</w:t>
      </w:r>
      <w:r w:rsidRPr="009F06A5">
        <w:rPr>
          <w:rFonts w:ascii="Calibri" w:hAnsi="Calibri" w:cs="Calibri"/>
          <w:i/>
        </w:rPr>
        <w:t>sheet</w:t>
      </w:r>
      <w:r>
        <w:rPr>
          <w:rFonts w:ascii="Calibri" w:hAnsi="Calibri" w:cs="Calibri"/>
        </w:rPr>
        <w:t xml:space="preserve"> in the supplementary materials.</w:t>
      </w:r>
    </w:p>
    <w:p w14:paraId="18B0C224" w14:textId="1BE9893F" w:rsidR="00351F5D" w:rsidRPr="00351F5D" w:rsidRDefault="00DB69DD" w:rsidP="008C5B03">
      <w:pPr>
        <w:pStyle w:val="Listenabsatz"/>
        <w:numPr>
          <w:ilvl w:val="1"/>
          <w:numId w:val="2"/>
        </w:numPr>
        <w:spacing w:after="120" w:line="360" w:lineRule="auto"/>
        <w:contextualSpacing w:val="0"/>
        <w:rPr>
          <w:b/>
        </w:rPr>
      </w:pPr>
      <w:r>
        <w:rPr>
          <w:b/>
        </w:rPr>
        <w:t xml:space="preserve">Unifying the datasets from the energy, material and biomass Sankey </w:t>
      </w:r>
      <w:r w:rsidR="00E4360C">
        <w:rPr>
          <w:b/>
        </w:rPr>
        <w:t>diagrams</w:t>
      </w:r>
    </w:p>
    <w:p w14:paraId="4D04CF01" w14:textId="47A11E2E" w:rsidR="00F518F4" w:rsidRDefault="00A87C1C" w:rsidP="008C5B03">
      <w:pPr>
        <w:spacing w:after="120" w:line="360" w:lineRule="auto"/>
      </w:pPr>
      <w:r>
        <w:t>The energy, material and biomass flow datasets are harmoni</w:t>
      </w:r>
      <w:r w:rsidR="0038503E">
        <w:t>z</w:t>
      </w:r>
      <w:r>
        <w:t>ed and merged into a single database.</w:t>
      </w:r>
      <w:r w:rsidR="000F6447">
        <w:t xml:space="preserve"> Double- and triple counting of the resource flows </w:t>
      </w:r>
      <w:r w:rsidR="00E4360C">
        <w:t xml:space="preserve">need </w:t>
      </w:r>
      <w:r w:rsidR="000F6447">
        <w:t>to be avoided</w:t>
      </w:r>
      <w:r w:rsidR="00E4360C">
        <w:t>,</w:t>
      </w:r>
      <w:r w:rsidR="000F6447">
        <w:t xml:space="preserve"> especially for the biomass flows </w:t>
      </w:r>
      <w:r w:rsidR="00E4360C">
        <w:t>and</w:t>
      </w:r>
      <w:r w:rsidR="000F6447">
        <w:t xml:space="preserve"> flows of fossil fuels and emissions. The following paragraphs explain the chosen methodology and highlight flow substitution inaccuracies mainly induced by inaccuracies in unit conversion:</w:t>
      </w:r>
    </w:p>
    <w:p w14:paraId="3D2EDD52" w14:textId="0013B4AA" w:rsidR="00624341" w:rsidRDefault="00E4360C" w:rsidP="008C5B03">
      <w:pPr>
        <w:spacing w:after="120" w:line="360" w:lineRule="auto"/>
      </w:pPr>
      <w:r>
        <w:t>A</w:t>
      </w:r>
      <w:r w:rsidR="008A52D2">
        <w:t>ll biomass and energy flows are suppressed from the MFA dataset but for the share of the waste management account (WASSD). Th</w:t>
      </w:r>
      <w:r w:rsidR="00624341">
        <w:t>e WASSD</w:t>
      </w:r>
      <w:r w:rsidR="008A52D2">
        <w:t xml:space="preserve"> dataset contains information on waste treatment, recovery and landfilling of materials based on fossil fuels and biomass</w:t>
      </w:r>
      <w:r>
        <w:t>,</w:t>
      </w:r>
      <w:r w:rsidR="008A52D2">
        <w:t xml:space="preserve"> which are not included in the energy flow accounts nor the biomass flow accounts.</w:t>
      </w:r>
      <w:r w:rsidR="001E2E37">
        <w:t xml:space="preserve"> </w:t>
      </w:r>
      <w:r w:rsidR="00624341">
        <w:t>Domestic Material Inputs (DMI) of fossil fuels and biomass from the MFA dataset are substituted by the more detailed flow data from the energy and biomass flow datasets</w:t>
      </w:r>
      <w:r w:rsidR="002E6C5B">
        <w:t xml:space="preserve">. The former dataset requires </w:t>
      </w:r>
      <w:r>
        <w:t>converting</w:t>
      </w:r>
      <w:r w:rsidR="002E6C5B">
        <w:t xml:space="preserve"> energy into mass units, which results in an inaccuracy of +6% in total mass input into the economy compared to the MFA dataset. Biomass flows are reported in mass units in the Eurostat MFA and the biomass flow data</w:t>
      </w:r>
      <w:r>
        <w:t>. However, the latter reports</w:t>
      </w:r>
      <w:r w:rsidR="002E6C5B">
        <w:t xml:space="preserve"> the data in dry tonnes compared to wet tonnes in the MFA dataset. </w:t>
      </w:r>
      <w:r w:rsidR="00764287">
        <w:t>The final Sankey representation includes</w:t>
      </w:r>
      <w:r w:rsidR="002E6C5B">
        <w:t xml:space="preserve"> -29% in total </w:t>
      </w:r>
      <w:r w:rsidR="00764287">
        <w:t>bio</w:t>
      </w:r>
      <w:r w:rsidR="002E6C5B">
        <w:t>mass input into the economy compared to the MFA dataset</w:t>
      </w:r>
      <w:r w:rsidR="00764287">
        <w:t>.</w:t>
      </w:r>
    </w:p>
    <w:p w14:paraId="17A5E150" w14:textId="74678D58" w:rsidR="008A52D2" w:rsidRDefault="002E6C5B" w:rsidP="008C5B03">
      <w:pPr>
        <w:spacing w:after="120" w:line="360" w:lineRule="auto"/>
      </w:pPr>
      <w:r>
        <w:t xml:space="preserve">However, </w:t>
      </w:r>
      <w:r w:rsidR="00E4360C">
        <w:t>as reported in the novel biomass flow accounts, the biomass inflows into the economy</w:t>
      </w:r>
      <w:r w:rsidR="008A52D2">
        <w:t xml:space="preserve"> are </w:t>
      </w:r>
      <w:r>
        <w:t xml:space="preserve">state of the art and </w:t>
      </w:r>
      <w:r w:rsidR="00A971F4">
        <w:t>comprehensive</w:t>
      </w:r>
      <w:r>
        <w:t xml:space="preserve"> </w:t>
      </w:r>
      <w:r w:rsidR="00F03796">
        <w:fldChar w:fldCharType="begin"/>
      </w:r>
      <w:r w:rsidR="00E63E55">
        <w:instrText xml:space="preserve"> ADDIN ZOTERO_ITEM CSL_CITATION {"citationID":"HM1vP8b1","properties":{"formattedCitation":"(Gurria et al., 2020)","plainCitation":"(Gurria et al., 2020)","noteIndex":0},"citationItems":[{"id":5980,"uris":["http://zotero.org/users/1226784/items/56J9WBYD"],"itemData":{"id":5980,"type":"book","event-place":"LU","language":"en","publisher":"Publications Office","publisher-place":"LU","source":"DOI.org (CSL JSON)","title":"Biomass flows in the European Union: EU biomass flows tool, version 2020.","title-short":"Biomass flows in the European Union","URL":"https://data.europa.eu/doi/10.2760/14342","author":[{"family":"Gurria","given":"P."},{"family":"Gonzalez","given":"H."},{"family":"Ronzon","given":"T."},{"family":"Tamosiunas","given":"S"},{"family":"Lopez","given":"R."},{"family":"Garcia-Condado","given":"S."},{"family":"Ronchetti","given":"G."},{"family":"Guillen","given":"J."},{"family":"Banja","given":"M"},{"family":"Fiore","given":"G"},{"family":"M'Barek","given":"R"}],"accessed":{"date-parts":[["2020",12,4]]},"issued":{"date-parts":[["2020"]]}}}],"schema":"https://github.com/citation-style-language/schema/raw/master/csl-citation.json"} </w:instrText>
      </w:r>
      <w:r w:rsidR="00F03796">
        <w:fldChar w:fldCharType="separate"/>
      </w:r>
      <w:r w:rsidR="00F03796" w:rsidRPr="00F03796">
        <w:rPr>
          <w:rFonts w:ascii="Calibri" w:hAnsi="Calibri" w:cs="Calibri"/>
        </w:rPr>
        <w:t>(Gurria et al., 2020)</w:t>
      </w:r>
      <w:r w:rsidR="00F03796">
        <w:fldChar w:fldCharType="end"/>
      </w:r>
      <w:r w:rsidR="00F03796">
        <w:t>.</w:t>
      </w:r>
      <w:r w:rsidR="00A971F4">
        <w:t xml:space="preserve"> </w:t>
      </w:r>
      <w:r>
        <w:t>T</w:t>
      </w:r>
      <w:r w:rsidR="00A971F4">
        <w:t>hus</w:t>
      </w:r>
      <w:r>
        <w:t>,</w:t>
      </w:r>
      <w:r w:rsidR="00A971F4">
        <w:t xml:space="preserve"> we</w:t>
      </w:r>
      <w:r>
        <w:t xml:space="preserve"> also</w:t>
      </w:r>
      <w:r w:rsidR="00A971F4">
        <w:t xml:space="preserve"> suppress the domestic extraction</w:t>
      </w:r>
      <w:r w:rsidR="00E4360C">
        <w:t>,</w:t>
      </w:r>
      <w:r w:rsidR="00A971F4">
        <w:t xml:space="preserve"> and imported bioenergy flows from the energy flow accounts. </w:t>
      </w:r>
      <w:r w:rsidR="00E4360C">
        <w:t>We hide a</w:t>
      </w:r>
      <w:r w:rsidR="0074105F">
        <w:t>ll flows for biofuels and bioenergy for electricity and heat from the biomass flow accounts</w:t>
      </w:r>
      <w:r w:rsidR="00E4360C">
        <w:t>. T</w:t>
      </w:r>
      <w:r w:rsidR="0074105F">
        <w:t xml:space="preserve">he energy flow accounts include these flows too, however, with a more </w:t>
      </w:r>
      <w:r w:rsidR="00E4360C">
        <w:t>help</w:t>
      </w:r>
      <w:r w:rsidR="0074105F">
        <w:t xml:space="preserve">ful resolution fitting our selected meta-structure. </w:t>
      </w:r>
      <w:r w:rsidR="00764287">
        <w:t xml:space="preserve">Converting the </w:t>
      </w:r>
      <w:r w:rsidR="000F6447">
        <w:t>bioenergy flows into mass units results in a +10% overestimation of included biomass flows for energy purposes compared to the Eurostat biomass flow dataset.</w:t>
      </w:r>
    </w:p>
    <w:p w14:paraId="55A1AC07" w14:textId="09FDDC52" w:rsidR="00B80569" w:rsidRDefault="00B80569" w:rsidP="008C5B03">
      <w:pPr>
        <w:spacing w:after="120" w:line="360" w:lineRule="auto"/>
      </w:pPr>
      <w:r>
        <w:t>Emissions</w:t>
      </w:r>
      <w:r w:rsidR="00F518F4">
        <w:t xml:space="preserve"> originating from fossil fuels and biomass are only part of the </w:t>
      </w:r>
      <w:proofErr w:type="spellStart"/>
      <w:r w:rsidR="00F518F4">
        <w:t>ewMFA</w:t>
      </w:r>
      <w:proofErr w:type="spellEnd"/>
      <w:r w:rsidR="00F518F4">
        <w:t xml:space="preserve"> dataset. For the continuous flow representation in our Sankey </w:t>
      </w:r>
      <w:r w:rsidR="00E4360C">
        <w:t>diagram,</w:t>
      </w:r>
      <w:r w:rsidR="00F518F4">
        <w:t xml:space="preserve"> we opt </w:t>
      </w:r>
      <w:r w:rsidR="00E4360C">
        <w:t>to create emission flows from scratch by prolonging all fossil fuels and biomass flows</w:t>
      </w:r>
      <w:r w:rsidR="001E2E37">
        <w:t xml:space="preserve"> used for energy purposes. This bottom</w:t>
      </w:r>
      <w:r w:rsidR="00E4360C">
        <w:t>-</w:t>
      </w:r>
      <w:r w:rsidR="001E2E37">
        <w:t xml:space="preserve">up emissions estimation results in a mass value </w:t>
      </w:r>
      <w:r w:rsidR="001E2E37" w:rsidRPr="002369F5">
        <w:t>of about 50%</w:t>
      </w:r>
      <w:r w:rsidR="001E2E37">
        <w:t xml:space="preserve"> of the emissions mass value given by the Eurostat </w:t>
      </w:r>
      <w:proofErr w:type="spellStart"/>
      <w:r w:rsidR="001E2E37">
        <w:t>ewMFA</w:t>
      </w:r>
      <w:proofErr w:type="spellEnd"/>
      <w:r w:rsidR="001E2E37">
        <w:t xml:space="preserve">. However, the MFA emissions account for the weight of CO2, while our estimate accounts for the weight in a mix of different carbohydrates before undergoing the combustion process. </w:t>
      </w:r>
      <w:r w:rsidR="00AA562F">
        <w:t>Based on the molecular weight of carbon (~12 g/mol) and oxygen (~16 g/mol)</w:t>
      </w:r>
      <w:r w:rsidR="00E4360C">
        <w:t>,</w:t>
      </w:r>
      <w:r w:rsidR="00AA562F">
        <w:t xml:space="preserve"> each gram of carbon atom forms about 3.67 gram</w:t>
      </w:r>
      <w:r w:rsidR="00E4360C">
        <w:t>s</w:t>
      </w:r>
      <w:r w:rsidR="00AA562F">
        <w:t xml:space="preserve"> of CO2. </w:t>
      </w:r>
      <w:r w:rsidR="002369F5">
        <w:t xml:space="preserve">The fixed carbon content per weight in different fuels can be as low </w:t>
      </w:r>
      <w:r w:rsidR="002369F5">
        <w:lastRenderedPageBreak/>
        <w:t xml:space="preserve">as 30% for solid fossil fuels and about 85% for liquid fossil fuels </w:t>
      </w:r>
      <w:r w:rsidR="002369F5">
        <w:fldChar w:fldCharType="begin"/>
      </w:r>
      <w:r w:rsidR="002369F5">
        <w:instrText xml:space="preserve"> ADDIN ZOTERO_ITEM CSL_CITATION {"citationID":"1GWpe8tx","properties":{"formattedCitation":"(Jurich, 2016)","plainCitation":"(Jurich, 2016)","noteIndex":0},"citationItems":[{"id":7548,"uris":["http://zotero.org/users/1226784/items/YS4DEDRE"],"itemData":{"id":7548,"type":"article-journal","language":"en","page":"48","source":"Zotero","title":"CO2 Emission Factors for Fossil Fuels","author":[{"family":"Jurich","given":"Kristina"}],"issued":{"date-parts":[["2016"]]}}}],"schema":"https://github.com/citation-style-language/schema/raw/master/csl-citation.json"} </w:instrText>
      </w:r>
      <w:r w:rsidR="002369F5">
        <w:fldChar w:fldCharType="separate"/>
      </w:r>
      <w:r w:rsidR="002369F5" w:rsidRPr="002369F5">
        <w:rPr>
          <w:rFonts w:ascii="Calibri" w:hAnsi="Calibri" w:cs="Calibri"/>
        </w:rPr>
        <w:t>(Jurich, 2016)</w:t>
      </w:r>
      <w:r w:rsidR="002369F5">
        <w:fldChar w:fldCharType="end"/>
      </w:r>
      <w:r w:rsidR="002369F5">
        <w:t xml:space="preserve">. </w:t>
      </w:r>
      <w:r w:rsidR="00A71FE4">
        <w:t>Thus, the derived top-down estimation on the carbon content of about 55% for all fuels contributing to the emissions is accepted as a plausible magnitude.</w:t>
      </w:r>
    </w:p>
    <w:p w14:paraId="1C75F9FF" w14:textId="2F733ADB" w:rsidR="00C17628" w:rsidRPr="00AF46CD" w:rsidRDefault="00705D58" w:rsidP="008C5B03">
      <w:pPr>
        <w:pStyle w:val="Listenabsatz"/>
        <w:numPr>
          <w:ilvl w:val="0"/>
          <w:numId w:val="2"/>
        </w:numPr>
        <w:spacing w:after="120" w:line="360" w:lineRule="auto"/>
        <w:contextualSpacing w:val="0"/>
        <w:rPr>
          <w:b/>
        </w:rPr>
      </w:pPr>
      <w:r w:rsidRPr="00AF46CD">
        <w:rPr>
          <w:b/>
        </w:rPr>
        <w:t>Results</w:t>
      </w:r>
      <w:r w:rsidR="003D78EC">
        <w:rPr>
          <w:b/>
        </w:rPr>
        <w:t xml:space="preserve"> and discussion</w:t>
      </w:r>
    </w:p>
    <w:p w14:paraId="57DB165C" w14:textId="381ED642" w:rsidR="00B427CE" w:rsidRDefault="6CE44234" w:rsidP="008C5B03">
      <w:pPr>
        <w:pStyle w:val="Listenabsatz"/>
        <w:spacing w:after="120" w:line="360" w:lineRule="auto"/>
        <w:ind w:left="0"/>
        <w:contextualSpacing w:val="0"/>
      </w:pPr>
      <w:r>
        <w:t xml:space="preserve">The underlying Eurostat data consists of five datasets of varying integration and data qualities and are primarily generated to be illustrated in five Sankey </w:t>
      </w:r>
      <w:r w:rsidR="00E4360C">
        <w:t>diagrams</w:t>
      </w:r>
      <w:r>
        <w:t xml:space="preserve"> (</w:t>
      </w:r>
      <w:r w:rsidR="00E4360C">
        <w:t>one</w:t>
      </w:r>
      <w:r>
        <w:t xml:space="preserve"> energy, </w:t>
      </w:r>
      <w:r w:rsidR="00E4360C">
        <w:t>one</w:t>
      </w:r>
      <w:r>
        <w:t xml:space="preserve"> MFA and </w:t>
      </w:r>
      <w:r w:rsidR="00E4360C">
        <w:t>three</w:t>
      </w:r>
      <w:r>
        <w:t xml:space="preserve"> biomass</w:t>
      </w:r>
      <w:r w:rsidR="00E4360C">
        <w:t xml:space="preserve"> Sankey diagrams</w:t>
      </w:r>
      <w:r>
        <w:t xml:space="preserve">). In </w:t>
      </w:r>
      <w:r w:rsidRPr="00E4360C">
        <w:rPr>
          <w:b/>
        </w:rPr>
        <w:t>Figure 2</w:t>
      </w:r>
      <w:r>
        <w:t xml:space="preserve"> and </w:t>
      </w:r>
      <w:r w:rsidRPr="00E4360C">
        <w:rPr>
          <w:b/>
        </w:rPr>
        <w:t>Figure 3</w:t>
      </w:r>
      <w:r w:rsidR="00E4360C">
        <w:rPr>
          <w:b/>
        </w:rPr>
        <w:t>,</w:t>
      </w:r>
      <w:r>
        <w:t xml:space="preserve"> we illustrate Sankey </w:t>
      </w:r>
      <w:r w:rsidR="00E4360C">
        <w:t>diagrams</w:t>
      </w:r>
      <w:r>
        <w:t xml:space="preserve"> combining for the first time the energy, material and biomass flows from the Eurostat database in mass units [kt] and energy units [TJ]</w:t>
      </w:r>
      <w:r w:rsidR="00E4360C">
        <w:t>,</w:t>
      </w:r>
      <w:r>
        <w:t xml:space="preserve"> respectively. Merging these datasets allows us, on the one hand, to extend the anthropocentric focus of the energy and biomass flows to the MFA data. On the other hand, information from the MFA data on circular flows and outflows</w:t>
      </w:r>
      <w:r w:rsidR="00E4360C">
        <w:t>, including emissions, landfills, and losses, is now also related</w:t>
      </w:r>
      <w:r>
        <w:t xml:space="preserve"> to the more detailed energy and biomass flows.</w:t>
      </w:r>
    </w:p>
    <w:p w14:paraId="0056356C" w14:textId="37CFA166" w:rsidR="00241523" w:rsidRDefault="005034A2" w:rsidP="008C5B03">
      <w:pPr>
        <w:pStyle w:val="Listenabsatz"/>
        <w:spacing w:after="120" w:line="360" w:lineRule="auto"/>
        <w:ind w:left="0"/>
        <w:contextualSpacing w:val="0"/>
      </w:pPr>
      <w:r>
        <w:t xml:space="preserve">Based on this </w:t>
      </w:r>
      <w:r w:rsidR="005A0C48">
        <w:t xml:space="preserve">more holistic </w:t>
      </w:r>
      <w:r>
        <w:t xml:space="preserve">representation </w:t>
      </w:r>
      <w:r w:rsidR="005A0C48">
        <w:t>of the economic metabolism,</w:t>
      </w:r>
      <w:r w:rsidR="004810F5">
        <w:t xml:space="preserve"> and the yearly EU28 population (ref </w:t>
      </w:r>
      <w:proofErr w:type="spellStart"/>
      <w:r w:rsidR="004810F5">
        <w:t>estat</w:t>
      </w:r>
      <w:proofErr w:type="spellEnd"/>
      <w:r w:rsidR="004810F5">
        <w:t>),</w:t>
      </w:r>
      <w:r w:rsidR="005A0C48">
        <w:t xml:space="preserve"> we are able to derive and discuss valuable key performance indicators; </w:t>
      </w:r>
    </w:p>
    <w:p w14:paraId="4926D213" w14:textId="5886882F" w:rsidR="005A0C48" w:rsidRDefault="005A0C48" w:rsidP="008C5B03">
      <w:pPr>
        <w:pStyle w:val="Listenabsatz"/>
        <w:spacing w:after="120" w:line="360" w:lineRule="auto"/>
        <w:ind w:left="0"/>
        <w:contextualSpacing w:val="0"/>
      </w:pPr>
      <w:r>
        <w:t xml:space="preserve">The EU28 yearly domestic input per capita in 2010-2017, in mass and in energy values, was about 17 tonnes or 233 GJ (equal to 64 MWh) respectively. </w:t>
      </w:r>
      <w:r w:rsidR="004810F5">
        <w:t xml:space="preserve">Considering all services these resources provide directly to the European population including food, energy services, transportation, consumables, stocks and exports, we can </w:t>
      </w:r>
      <w:r w:rsidR="00D839C9">
        <w:t>identify an overall resource efficiency of our services of 78% on a mass basis. On an energy basis, the overall resource efficiency of our services is at 61% in 2017, only slightly increased from about 60% since 2010. Import dependencies</w:t>
      </w:r>
      <w:r w:rsidR="008B1F00">
        <w:t xml:space="preserve"> in 2017</w:t>
      </w:r>
      <w:r w:rsidR="00D839C9">
        <w:t xml:space="preserve"> are at 24% on a mass basis </w:t>
      </w:r>
      <w:r w:rsidR="008B1F00">
        <w:t>or</w:t>
      </w:r>
      <w:r w:rsidR="00D839C9">
        <w:t xml:space="preserve"> 56% on an energy basis, both with positive trends in the covered period</w:t>
      </w:r>
      <w:r w:rsidR="008B1F00">
        <w:t>, starting from 23% in 2010 on a mass basis or 54% on an energy basis</w:t>
      </w:r>
      <w:r w:rsidR="00D839C9">
        <w:t>. Also export share trends compared to all services are positive from 11% in 2010 to 13% in 2017 on mass basis or from 29% in 2010 to 34% in 2017</w:t>
      </w:r>
      <w:r w:rsidR="008B1F00">
        <w:t xml:space="preserve"> on energy basis.</w:t>
      </w:r>
    </w:p>
    <w:p w14:paraId="3C235468" w14:textId="77777777" w:rsidR="008B1F00" w:rsidRDefault="008B1F00" w:rsidP="008C5B03">
      <w:pPr>
        <w:pStyle w:val="Listenabsatz"/>
        <w:spacing w:after="120" w:line="360" w:lineRule="auto"/>
        <w:ind w:left="0"/>
        <w:contextualSpacing w:val="0"/>
      </w:pPr>
    </w:p>
    <w:p w14:paraId="387EB082" w14:textId="77777777" w:rsidR="009B566A" w:rsidRDefault="009B566A" w:rsidP="008C5B03">
      <w:pPr>
        <w:pStyle w:val="Listenabsatz"/>
        <w:spacing w:after="120" w:line="360" w:lineRule="auto"/>
        <w:ind w:left="0"/>
        <w:contextualSpacing w:val="0"/>
      </w:pPr>
    </w:p>
    <w:p w14:paraId="74602F8E" w14:textId="77777777" w:rsidR="009B566A" w:rsidRDefault="009B566A" w:rsidP="008C5B03">
      <w:pPr>
        <w:pStyle w:val="Listenabsatz"/>
        <w:spacing w:after="120" w:line="360" w:lineRule="auto"/>
        <w:ind w:left="0"/>
        <w:contextualSpacing w:val="0"/>
      </w:pPr>
    </w:p>
    <w:p w14:paraId="7F4CD58B" w14:textId="77777777" w:rsidR="009B566A" w:rsidRDefault="009B566A" w:rsidP="008C5B03">
      <w:pPr>
        <w:pStyle w:val="Listenabsatz"/>
        <w:spacing w:after="120" w:line="360" w:lineRule="auto"/>
        <w:ind w:left="0"/>
        <w:contextualSpacing w:val="0"/>
      </w:pPr>
    </w:p>
    <w:p w14:paraId="5F04DEF3" w14:textId="290D5399" w:rsidR="009B566A" w:rsidRDefault="009B566A" w:rsidP="008C5B03">
      <w:pPr>
        <w:pStyle w:val="Listenabsatz"/>
        <w:spacing w:after="120" w:line="360" w:lineRule="auto"/>
        <w:ind w:left="0"/>
        <w:contextualSpacing w:val="0"/>
        <w:sectPr w:rsidR="009B566A" w:rsidSect="00CE5731">
          <w:footerReference w:type="default" r:id="rId17"/>
          <w:pgSz w:w="11906" w:h="16838" w:code="9"/>
          <w:pgMar w:top="1418" w:right="1418" w:bottom="1134" w:left="1418" w:header="709" w:footer="709" w:gutter="0"/>
          <w:cols w:space="708"/>
          <w:docGrid w:linePitch="360"/>
        </w:sectPr>
      </w:pPr>
    </w:p>
    <w:p w14:paraId="5D4AE44F" w14:textId="6B19FCD1" w:rsidR="00200339" w:rsidRDefault="00200339" w:rsidP="008C5B03">
      <w:pPr>
        <w:pStyle w:val="Listenabsatz"/>
        <w:spacing w:after="120" w:line="360" w:lineRule="auto"/>
        <w:ind w:left="0"/>
        <w:contextualSpacing w:val="0"/>
      </w:pPr>
    </w:p>
    <w:p w14:paraId="48B21699" w14:textId="48E147E9" w:rsidR="00CE3A23" w:rsidRDefault="00F4637A" w:rsidP="008C5B03">
      <w:pPr>
        <w:pStyle w:val="Listenabsatz"/>
        <w:keepNext/>
        <w:spacing w:after="120" w:line="360" w:lineRule="auto"/>
        <w:ind w:left="0"/>
        <w:contextualSpacing w:val="0"/>
      </w:pPr>
      <w:r w:rsidRPr="00F4637A">
        <w:rPr>
          <w:noProof/>
        </w:rPr>
        <w:drawing>
          <wp:inline distT="0" distB="0" distL="0" distR="0" wp14:anchorId="059096C1" wp14:editId="2585F1BA">
            <wp:extent cx="9071610" cy="3388360"/>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71610" cy="3388360"/>
                    </a:xfrm>
                    <a:prstGeom prst="rect">
                      <a:avLst/>
                    </a:prstGeom>
                  </pic:spPr>
                </pic:pic>
              </a:graphicData>
            </a:graphic>
          </wp:inline>
        </w:drawing>
      </w:r>
    </w:p>
    <w:p w14:paraId="74E465AB" w14:textId="5824EA7E" w:rsidR="00CD7969" w:rsidRDefault="00CE3A23" w:rsidP="008C5B03">
      <w:pPr>
        <w:pStyle w:val="Beschriftung"/>
        <w:spacing w:after="120" w:line="360" w:lineRule="auto"/>
      </w:pPr>
      <w:r>
        <w:t xml:space="preserve">Figure </w:t>
      </w:r>
      <w:r>
        <w:fldChar w:fldCharType="begin"/>
      </w:r>
      <w:r>
        <w:instrText xml:space="preserve"> SEQ Figure \* ARABIC </w:instrText>
      </w:r>
      <w:r>
        <w:fldChar w:fldCharType="separate"/>
      </w:r>
      <w:r w:rsidR="00CD7969">
        <w:rPr>
          <w:noProof/>
        </w:rPr>
        <w:t>2</w:t>
      </w:r>
      <w:r>
        <w:fldChar w:fldCharType="end"/>
      </w:r>
      <w:r>
        <w:t>:</w:t>
      </w:r>
      <w:r w:rsidR="00CD7969">
        <w:t xml:space="preserve"> Unified EU27 material flows in mass volumes. Source own illustration</w:t>
      </w:r>
      <w:r w:rsidR="00762FC8">
        <w:t>.</w:t>
      </w:r>
    </w:p>
    <w:p w14:paraId="15D801AE" w14:textId="381F5B86" w:rsidR="0089298C" w:rsidRDefault="0089298C" w:rsidP="008C5B03">
      <w:pPr>
        <w:pStyle w:val="Beschriftung"/>
        <w:spacing w:after="120" w:line="360" w:lineRule="auto"/>
      </w:pPr>
    </w:p>
    <w:p w14:paraId="20830882" w14:textId="5DEA2370" w:rsidR="00200339" w:rsidRDefault="00200339" w:rsidP="008C5B03">
      <w:pPr>
        <w:pStyle w:val="Listenabsatz"/>
        <w:spacing w:after="120" w:line="360" w:lineRule="auto"/>
        <w:ind w:left="0"/>
        <w:contextualSpacing w:val="0"/>
      </w:pPr>
    </w:p>
    <w:p w14:paraId="211742E8" w14:textId="0A73CC2D" w:rsidR="00CD7969" w:rsidRDefault="00F4637A" w:rsidP="008C5B03">
      <w:pPr>
        <w:pStyle w:val="Listenabsatz"/>
        <w:keepNext/>
        <w:spacing w:after="120" w:line="360" w:lineRule="auto"/>
        <w:ind w:left="0"/>
        <w:contextualSpacing w:val="0"/>
      </w:pPr>
      <w:r w:rsidRPr="00F4637A">
        <w:rPr>
          <w:noProof/>
        </w:rPr>
        <w:lastRenderedPageBreak/>
        <w:drawing>
          <wp:inline distT="0" distB="0" distL="0" distR="0" wp14:anchorId="176C8DC0" wp14:editId="52432597">
            <wp:extent cx="9071610" cy="31324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071610" cy="3132455"/>
                    </a:xfrm>
                    <a:prstGeom prst="rect">
                      <a:avLst/>
                    </a:prstGeom>
                  </pic:spPr>
                </pic:pic>
              </a:graphicData>
            </a:graphic>
          </wp:inline>
        </w:drawing>
      </w:r>
    </w:p>
    <w:p w14:paraId="7A5E7313" w14:textId="355D26F7" w:rsidR="00200339" w:rsidRDefault="00CD7969" w:rsidP="008C5B03">
      <w:pPr>
        <w:pStyle w:val="Beschriftung"/>
        <w:spacing w:after="120" w:line="360" w:lineRule="auto"/>
      </w:pPr>
      <w:r>
        <w:t xml:space="preserve">Figure </w:t>
      </w:r>
      <w:r>
        <w:fldChar w:fldCharType="begin"/>
      </w:r>
      <w:r>
        <w:instrText xml:space="preserve"> SEQ Figure \* ARABIC </w:instrText>
      </w:r>
      <w:r>
        <w:fldChar w:fldCharType="separate"/>
      </w:r>
      <w:r>
        <w:rPr>
          <w:noProof/>
        </w:rPr>
        <w:t>3</w:t>
      </w:r>
      <w:r>
        <w:fldChar w:fldCharType="end"/>
      </w:r>
      <w:r>
        <w:t>: Unified EU27 material flows in energy volumes. Source own illustration</w:t>
      </w:r>
      <w:r w:rsidR="00762FC8">
        <w:t>.</w:t>
      </w:r>
    </w:p>
    <w:p w14:paraId="64CED01A" w14:textId="77777777" w:rsidR="00200339" w:rsidRDefault="00200339" w:rsidP="008C5B03">
      <w:pPr>
        <w:pStyle w:val="Listenabsatz"/>
        <w:spacing w:after="120" w:line="360" w:lineRule="auto"/>
        <w:ind w:left="0"/>
        <w:contextualSpacing w:val="0"/>
        <w:sectPr w:rsidR="00200339" w:rsidSect="00200339">
          <w:pgSz w:w="16838" w:h="11906" w:orient="landscape" w:code="9"/>
          <w:pgMar w:top="1418" w:right="1418" w:bottom="1418" w:left="1134" w:header="709" w:footer="709" w:gutter="0"/>
          <w:cols w:space="708"/>
          <w:docGrid w:linePitch="360"/>
        </w:sectPr>
      </w:pPr>
    </w:p>
    <w:p w14:paraId="5FB62A64" w14:textId="77777777" w:rsidR="009B566A" w:rsidRDefault="009B566A" w:rsidP="009B566A">
      <w:pPr>
        <w:pStyle w:val="Listenabsatz"/>
        <w:spacing w:after="120" w:line="360" w:lineRule="auto"/>
        <w:ind w:left="0"/>
        <w:contextualSpacing w:val="0"/>
      </w:pPr>
      <w:r>
        <w:lastRenderedPageBreak/>
        <w:t>With this work, we facilitate the illustration and discussion of synergies and trade-offs between transformation strategies focusing on (1) renewable power (2) circularity measures and (3) the broader bioeconomy. Still, the presented methodology and illustrations are only a first step to supporting quantitative approaches in transformation research. Before addressing selected residual research gaps in the final subsections, we have to outline the significant limitations of the presented methodology:</w:t>
      </w:r>
    </w:p>
    <w:p w14:paraId="6A853310" w14:textId="77777777" w:rsidR="009B566A" w:rsidRDefault="009B566A" w:rsidP="009B566A">
      <w:pPr>
        <w:pStyle w:val="Listenabsatz"/>
        <w:spacing w:after="120" w:line="360" w:lineRule="auto"/>
        <w:ind w:left="0"/>
        <w:contextualSpacing w:val="0"/>
      </w:pPr>
      <w:r>
        <w:t>The varying levels of integration of the data sources in the Eurostat database are discussed in section 2, resulting in varying data quality: While all data sets contain time series, we illustrate the Sankey diagrams for the year 2015 since respective data is most comprehensive in all involved datasets. Furthermore, and due to the exit of Great Britain (GB) from the European Union (EU) and thus also from its statistical services, EU agglomerates do not include GB data any longer. GB data has been excluded retrospectively for the well-integrated MFA and energy flow datasets, while the biomass data set still reports a EU28 agglomerate. Thus, the presented Sankey diagrams and database are mainly an EU27 agglomerate with inaccuracies due to GB data in the biomass flows. We expect that this inconsistency will be resolved with the following updates of the underlying Eurostat databases.</w:t>
      </w:r>
    </w:p>
    <w:p w14:paraId="1304ECDE" w14:textId="77777777" w:rsidR="009B566A" w:rsidRDefault="009B566A" w:rsidP="009B566A">
      <w:pPr>
        <w:pStyle w:val="Listenabsatz"/>
        <w:spacing w:after="120" w:line="360" w:lineRule="auto"/>
        <w:ind w:left="0"/>
        <w:contextualSpacing w:val="0"/>
      </w:pPr>
      <w:r>
        <w:t xml:space="preserve">Due to the harmonization of datasets and conversion inaccuracies, the resulting dataset does not fulfil the thermodynamic principles of representing exact mass and energy balances. We calculate the (im-) balances for all nodes and present them in the supplementary materials' </w:t>
      </w:r>
      <w:r w:rsidRPr="00E4360C">
        <w:rPr>
          <w:i/>
        </w:rPr>
        <w:t>balances-sheet</w:t>
      </w:r>
      <w:r>
        <w:t>. We address significant imbalances and particularities in the following:</w:t>
      </w:r>
    </w:p>
    <w:p w14:paraId="3EFFC462" w14:textId="77777777" w:rsidR="009B566A" w:rsidRDefault="009B566A" w:rsidP="009B566A">
      <w:pPr>
        <w:pStyle w:val="Listenabsatz"/>
        <w:numPr>
          <w:ilvl w:val="0"/>
          <w:numId w:val="27"/>
        </w:numPr>
        <w:spacing w:after="120" w:line="360" w:lineRule="auto"/>
        <w:contextualSpacing w:val="0"/>
      </w:pPr>
      <w:r>
        <w:t>System boundary cut-offs are placed in different node levels after outflows, including emissions, losses, landfilling, and all exported energy, material, and biomass flows. Additionally, stocks accumulation of ores results in a significant imbalance since those stocks remain in use in the economy without flowing through it. We will discuss in Section 3.1.3 how this node representation could be altered to support dynamic scenario modelling.</w:t>
      </w:r>
    </w:p>
    <w:p w14:paraId="3C59C591" w14:textId="14C61BC7" w:rsidR="009B566A" w:rsidRPr="009B566A" w:rsidRDefault="009B566A" w:rsidP="009B566A">
      <w:pPr>
        <w:pStyle w:val="Listenabsatz"/>
        <w:numPr>
          <w:ilvl w:val="0"/>
          <w:numId w:val="27"/>
        </w:numPr>
        <w:spacing w:after="120" w:line="360" w:lineRule="auto"/>
        <w:contextualSpacing w:val="0"/>
      </w:pPr>
      <w:r>
        <w:t>For the presented Sankey illustrations, we deliberately choose to account for energy flows lost to the environment. This way, we can balance inputs and outputs, e.g., transportation and energy services. These services include significant emission flows when measured on a weight basis, but no emissions flow is calculated on an energy basis in traditional representations. In our representation, all consumed final energy is ultimately lost to the environment, resulting in significant energy flows to the "Loss" node when measured in energy values. Still, non-vanishing material flows are lost to the environment, as reported by the waste statistics.</w:t>
      </w:r>
    </w:p>
    <w:p w14:paraId="41B5FE72" w14:textId="486095A5" w:rsidR="0096736A" w:rsidRDefault="00B427CE" w:rsidP="008C5B03">
      <w:pPr>
        <w:pStyle w:val="Listenabsatz"/>
        <w:numPr>
          <w:ilvl w:val="1"/>
          <w:numId w:val="2"/>
        </w:numPr>
        <w:spacing w:after="120" w:line="360" w:lineRule="auto"/>
        <w:contextualSpacing w:val="0"/>
        <w:rPr>
          <w:b/>
        </w:rPr>
      </w:pPr>
      <w:r>
        <w:rPr>
          <w:b/>
        </w:rPr>
        <w:t>Selected residual research gaps</w:t>
      </w:r>
    </w:p>
    <w:p w14:paraId="1ECAC091" w14:textId="0355D196" w:rsidR="00A16970" w:rsidRDefault="002C15B6" w:rsidP="008C5B03">
      <w:pPr>
        <w:spacing w:after="120" w:line="360" w:lineRule="auto"/>
        <w:rPr>
          <w:lang w:val="en-US"/>
        </w:rPr>
      </w:pPr>
      <w:r w:rsidRPr="6CE44234">
        <w:rPr>
          <w:lang w:val="en-US"/>
        </w:rPr>
        <w:lastRenderedPageBreak/>
        <w:fldChar w:fldCharType="begin"/>
      </w:r>
      <w:r w:rsidR="00E4360C">
        <w:rPr>
          <w:lang w:val="en-US"/>
        </w:rPr>
        <w:instrText xml:space="preserve"> ADDIN ZOTERO_ITEM CSL_CITATION {"citationID":"uFTm6P75","properties":{"formattedCitation":"(D\\uc0\\u8217{}Amato et al., 2017)","plainCitation":"(D’Amato et al., 2017)","dontUpdate":true,"noteIndex":0},"citationItems":[{"id":6413,"uris":["http://zotero.org/users/1226784/items/P5DS6ZVQ"],"itemData":{"id":6413,"type":"article-journal","abstract":"Despite their evidently different assumptions and operationalization strategies, the concepts of Circular Economy, Green Economy and Bioeconomy are joined by the common ideal to reconcile economic, environmental and social goals. The three concepts are currently mainstreamed in academia and policy making as key sustainability avenues, but a comparative analysis of such concepts is missing. The aim of this article is thus to comprehensively analyse the diversity within and between such concepts. The results are drawn from a bibliometric review of almost two thousand scientific articles published within the last three decades, coupled with a conceptual analysis. We find that, for what concerns environmental sustainability, Green Economy acts as an ‘umbrella’ concept, including elements from Circular Economy and Bioeconomy concepts (e.g. eco-efficiency; renewables), as well as additional ideas, e.g. nature-based solutions. In particular, Circular Economy and Bioeconomy are resource-focused, whereas in principle Green Economy acknowledges the underpinning role of all ecological processes. Regarding the social dimension, Green Economy is more inclusive of some aspects at local level (e.g. eco-tourism, education), while there is an emerging discussion in Bioeconomy literature around local processes in terms of biosecurity and rural policies. When considering weak/strong sustainability visions, all concepts remain limited in questioning economic growth. By comparing the different sustainability strategies promoted by these concepts we do not advocate for their substitutability, but for their clarification and reciprocal integration. The findings are discussed in light of the concepts' synergies and limits, with the purpose to inform research and policy implementation.","container-title":"Journal of Cleaner Production","DOI":"10.1016/j.jclepro.2017.09.053","ISSN":"0959-6526","journalAbbreviation":"Journal of Cleaner Production","language":"en","page":"716-734","source":"ScienceDirect","title":"Green, circular, bio economy: A comparative analysis of sustainability avenues","title-short":"Green, circular, bio economy","volume":"168","author":[{"family":"D'Amato","given":"D."},{"family":"Droste","given":"N."},{"family":"Allen","given":"B."},{"family":"Kettunen","given":"M."},{"family":"Lähtinen","given":"K."},{"family":"Korhonen","given":"J."},{"family":"Leskinen","given":"P."},{"family":"Matthies","given":"B. D."},{"family":"Toppinen","given":"A."}],"issued":{"date-parts":[["2017",12,1]]}}}],"schema":"https://github.com/citation-style-language/schema/raw/master/csl-citation.json"} </w:instrText>
      </w:r>
      <w:r w:rsidRPr="6CE44234">
        <w:rPr>
          <w:lang w:val="en-US"/>
        </w:rPr>
        <w:fldChar w:fldCharType="separate"/>
      </w:r>
      <w:r w:rsidR="6CE44234" w:rsidRPr="6CE44234">
        <w:rPr>
          <w:rFonts w:ascii="Calibri" w:hAnsi="Calibri" w:cs="Calibri"/>
        </w:rPr>
        <w:t>(D</w:t>
      </w:r>
      <w:r w:rsidR="00E4360C">
        <w:rPr>
          <w:rFonts w:ascii="Calibri" w:hAnsi="Calibri" w:cs="Calibri"/>
        </w:rPr>
        <w:t>'</w:t>
      </w:r>
      <w:r w:rsidR="6CE44234" w:rsidRPr="6CE44234">
        <w:rPr>
          <w:rFonts w:ascii="Calibri" w:hAnsi="Calibri" w:cs="Calibri"/>
        </w:rPr>
        <w:t>Amato et al., 2017)</w:t>
      </w:r>
      <w:r w:rsidRPr="6CE44234">
        <w:rPr>
          <w:lang w:val="en-US"/>
        </w:rPr>
        <w:fldChar w:fldCharType="end"/>
      </w:r>
      <w:r w:rsidR="6CE44234" w:rsidRPr="6CE44234">
        <w:rPr>
          <w:lang w:val="en-US"/>
        </w:rPr>
        <w:t xml:space="preserve"> outline the diversity in focus, scope and emphasis of different transformation strategies, </w:t>
      </w:r>
      <w:r w:rsidR="00E4360C">
        <w:rPr>
          <w:lang w:val="en-US"/>
        </w:rPr>
        <w:t>denoting them</w:t>
      </w:r>
      <w:r w:rsidR="6CE44234" w:rsidRPr="6CE44234">
        <w:rPr>
          <w:lang w:val="en-US"/>
        </w:rPr>
        <w:t xml:space="preserve"> </w:t>
      </w:r>
      <w:r w:rsidR="00E4360C">
        <w:rPr>
          <w:lang w:val="en-US"/>
        </w:rPr>
        <w:t>'</w:t>
      </w:r>
      <w:r w:rsidR="6CE44234" w:rsidRPr="6CE44234">
        <w:rPr>
          <w:lang w:val="en-US"/>
        </w:rPr>
        <w:t>sustainability avenues</w:t>
      </w:r>
      <w:r w:rsidR="00E4360C">
        <w:rPr>
          <w:lang w:val="en-US"/>
        </w:rPr>
        <w:t>'</w:t>
      </w:r>
      <w:r w:rsidR="6CE44234" w:rsidRPr="6CE44234">
        <w:rPr>
          <w:lang w:val="en-US"/>
        </w:rPr>
        <w:t xml:space="preserve">. They base their analysis on a comparison between Bioeconomy (BE), the Circular Economy (CE) and the Green Economy (GE) concepts. These concepts and their respective strategies have in common that they aim </w:t>
      </w:r>
      <w:r w:rsidR="00E4360C">
        <w:rPr>
          <w:lang w:val="en-US"/>
        </w:rPr>
        <w:t>"</w:t>
      </w:r>
      <w:r w:rsidR="6CE44234" w:rsidRPr="6CE44234">
        <w:rPr>
          <w:lang w:val="en-US"/>
        </w:rPr>
        <w:t>to reconcile economic, environmental and social goals.</w:t>
      </w:r>
      <w:r w:rsidR="00E4360C">
        <w:rPr>
          <w:lang w:val="en-US"/>
        </w:rPr>
        <w:t>"</w:t>
      </w:r>
      <w:r w:rsidR="6CE44234" w:rsidRPr="6CE44234">
        <w:rPr>
          <w:lang w:val="en-US"/>
        </w:rPr>
        <w:t xml:space="preserve"> According to </w:t>
      </w:r>
      <w:r w:rsidRPr="6CE44234">
        <w:rPr>
          <w:lang w:val="en-US"/>
        </w:rPr>
        <w:fldChar w:fldCharType="begin"/>
      </w:r>
      <w:r w:rsidR="00E4360C">
        <w:rPr>
          <w:lang w:val="en-US"/>
        </w:rPr>
        <w:instrText xml:space="preserve"> ADDIN ZOTERO_ITEM CSL_CITATION {"citationID":"otA7c1FX","properties":{"formattedCitation":"(D\\uc0\\u8217{}Amato et al., 2017)","plainCitation":"(D’Amato et al., 2017)","dontUpdate":true,"noteIndex":0},"citationItems":[{"id":6413,"uris":["http://zotero.org/users/1226784/items/P5DS6ZVQ"],"itemData":{"id":6413,"type":"article-journal","abstract":"Despite their evidently different assumptions and operationalization strategies, the concepts of Circular Economy, Green Economy and Bioeconomy are joined by the common ideal to reconcile economic, environmental and social goals. The three concepts are currently mainstreamed in academia and policy making as key sustainability avenues, but a comparative analysis of such concepts is missing. The aim of this article is thus to comprehensively analyse the diversity within and between such concepts. The results are drawn from a bibliometric review of almost two thousand scientific articles published within the last three decades, coupled with a conceptual analysis. We find that, for what concerns environmental sustainability, Green Economy acts as an ‘umbrella’ concept, including elements from Circular Economy and Bioeconomy concepts (e.g. eco-efficiency; renewables), as well as additional ideas, e.g. nature-based solutions. In particular, Circular Economy and Bioeconomy are resource-focused, whereas in principle Green Economy acknowledges the underpinning role of all ecological processes. Regarding the social dimension, Green Economy is more inclusive of some aspects at local level (e.g. eco-tourism, education), while there is an emerging discussion in Bioeconomy literature around local processes in terms of biosecurity and rural policies. When considering weak/strong sustainability visions, all concepts remain limited in questioning economic growth. By comparing the different sustainability strategies promoted by these concepts we do not advocate for their substitutability, but for their clarification and reciprocal integration. The findings are discussed in light of the concepts' synergies and limits, with the purpose to inform research and policy implementation.","container-title":"Journal of Cleaner Production","DOI":"10.1016/j.jclepro.2017.09.053","ISSN":"0959-6526","journalAbbreviation":"Journal of Cleaner Production","language":"en","page":"716-734","source":"ScienceDirect","title":"Green, circular, bio economy: A comparative analysis of sustainability avenues","title-short":"Green, circular, bio economy","volume":"168","author":[{"family":"D'Amato","given":"D."},{"family":"Droste","given":"N."},{"family":"Allen","given":"B."},{"family":"Kettunen","given":"M."},{"family":"Lähtinen","given":"K."},{"family":"Korhonen","given":"J."},{"family":"Leskinen","given":"P."},{"family":"Matthies","given":"B. D."},{"family":"Toppinen","given":"A."}],"issued":{"date-parts":[["2017",12,1]]}}}],"schema":"https://github.com/citation-style-language/schema/raw/master/csl-citation.json"} </w:instrText>
      </w:r>
      <w:r w:rsidRPr="6CE44234">
        <w:rPr>
          <w:lang w:val="en-US"/>
        </w:rPr>
        <w:fldChar w:fldCharType="separate"/>
      </w:r>
      <w:r w:rsidR="6CE44234" w:rsidRPr="6CE44234">
        <w:rPr>
          <w:rFonts w:ascii="Calibri" w:hAnsi="Calibri" w:cs="Calibri"/>
        </w:rPr>
        <w:t>(D</w:t>
      </w:r>
      <w:r w:rsidR="00E4360C">
        <w:rPr>
          <w:rFonts w:ascii="Calibri" w:hAnsi="Calibri" w:cs="Calibri"/>
        </w:rPr>
        <w:t>'</w:t>
      </w:r>
      <w:r w:rsidR="6CE44234" w:rsidRPr="6CE44234">
        <w:rPr>
          <w:rFonts w:ascii="Calibri" w:hAnsi="Calibri" w:cs="Calibri"/>
        </w:rPr>
        <w:t>Amato et al., 2017)</w:t>
      </w:r>
      <w:r w:rsidRPr="6CE44234">
        <w:rPr>
          <w:lang w:val="en-US"/>
        </w:rPr>
        <w:fldChar w:fldCharType="end"/>
      </w:r>
      <w:r w:rsidR="6CE44234" w:rsidRPr="6CE44234">
        <w:rPr>
          <w:lang w:val="en-US"/>
        </w:rPr>
        <w:t>, literature on GE captures ecosystem services more comprehensively, BE and CE discussions emphasi</w:t>
      </w:r>
      <w:r w:rsidR="0038503E">
        <w:rPr>
          <w:lang w:val="en-US"/>
        </w:rPr>
        <w:t>z</w:t>
      </w:r>
      <w:r w:rsidR="6CE44234" w:rsidRPr="6CE44234">
        <w:rPr>
          <w:lang w:val="en-US"/>
        </w:rPr>
        <w:t>e resource extraction in rural and urban areas.</w:t>
      </w:r>
    </w:p>
    <w:p w14:paraId="7D03CFBD" w14:textId="177257FC" w:rsidR="00A16970" w:rsidRDefault="004D4F01" w:rsidP="008C5B03">
      <w:pPr>
        <w:spacing w:after="120" w:line="360" w:lineRule="auto"/>
        <w:rPr>
          <w:lang w:val="en-US"/>
        </w:rPr>
      </w:pPr>
      <w:r>
        <w:rPr>
          <w:lang w:val="en-US"/>
        </w:rPr>
        <w:t>Until the end of 2021</w:t>
      </w:r>
      <w:r w:rsidR="00E4360C">
        <w:rPr>
          <w:lang w:val="en-US"/>
        </w:rPr>
        <w:t>,</w:t>
      </w:r>
      <w:r>
        <w:rPr>
          <w:lang w:val="en-US"/>
        </w:rPr>
        <w:t xml:space="preserve"> about 13,000 scientific papers have been published</w:t>
      </w:r>
      <w:r w:rsidR="00E4360C">
        <w:rPr>
          <w:lang w:val="en-US"/>
        </w:rPr>
        <w:t>,</w:t>
      </w:r>
      <w:r>
        <w:rPr>
          <w:lang w:val="en-US"/>
        </w:rPr>
        <w:t xml:space="preserve"> including CE in their title, abstract or keywords</w:t>
      </w:r>
      <w:r w:rsidR="00A16970">
        <w:rPr>
          <w:lang w:val="en-US"/>
        </w:rPr>
        <w:t>, growing exponentially</w:t>
      </w:r>
      <w:r>
        <w:rPr>
          <w:lang w:val="en-US"/>
        </w:rPr>
        <w:t xml:space="preserve">. The </w:t>
      </w:r>
      <w:r w:rsidR="003340A2">
        <w:rPr>
          <w:lang w:val="en-US"/>
        </w:rPr>
        <w:t>remaining</w:t>
      </w:r>
      <w:r>
        <w:rPr>
          <w:lang w:val="en-US"/>
        </w:rPr>
        <w:t xml:space="preserve"> </w:t>
      </w:r>
      <w:r w:rsidR="00A16970">
        <w:rPr>
          <w:lang w:val="en-US"/>
        </w:rPr>
        <w:t>concepts</w:t>
      </w:r>
      <w:r>
        <w:rPr>
          <w:lang w:val="en-US"/>
        </w:rPr>
        <w:t>, BE and GE</w:t>
      </w:r>
      <w:r w:rsidR="00E4360C">
        <w:rPr>
          <w:lang w:val="en-US"/>
        </w:rPr>
        <w:t>,</w:t>
      </w:r>
      <w:r>
        <w:rPr>
          <w:lang w:val="en-US"/>
        </w:rPr>
        <w:t xml:space="preserve"> have been subject to about 3,500 cumulated publications</w:t>
      </w:r>
      <w:r w:rsidR="00A16970">
        <w:rPr>
          <w:lang w:val="en-US"/>
        </w:rPr>
        <w:t>, growing exponentially. This</w:t>
      </w:r>
      <w:r w:rsidR="00E4360C">
        <w:rPr>
          <w:lang w:val="en-US"/>
        </w:rPr>
        <w:t xml:space="preserve"> count</w:t>
      </w:r>
      <w:r w:rsidR="003340A2">
        <w:rPr>
          <w:lang w:val="en-US"/>
        </w:rPr>
        <w:t xml:space="preserve"> is</w:t>
      </w:r>
      <w:r>
        <w:rPr>
          <w:lang w:val="en-US"/>
        </w:rPr>
        <w:t xml:space="preserve"> comparable to</w:t>
      </w:r>
      <w:r w:rsidR="00F70CC1">
        <w:rPr>
          <w:lang w:val="en-US"/>
        </w:rPr>
        <w:t xml:space="preserve"> search results </w:t>
      </w:r>
      <w:r w:rsidR="00A16970">
        <w:rPr>
          <w:lang w:val="en-US"/>
        </w:rPr>
        <w:t>for</w:t>
      </w:r>
      <w:r>
        <w:rPr>
          <w:lang w:val="en-US"/>
        </w:rPr>
        <w:t xml:space="preserve"> the Hydrogen </w:t>
      </w:r>
      <w:r w:rsidR="003340A2">
        <w:rPr>
          <w:lang w:val="en-US"/>
        </w:rPr>
        <w:t>E</w:t>
      </w:r>
      <w:r>
        <w:rPr>
          <w:lang w:val="en-US"/>
        </w:rPr>
        <w:t>conomy (HE) and Low-carbon Economy (LE)</w:t>
      </w:r>
      <w:r w:rsidR="00B60A0E">
        <w:rPr>
          <w:lang w:val="en-US"/>
        </w:rPr>
        <w:t>, however</w:t>
      </w:r>
      <w:r w:rsidR="00A16970">
        <w:rPr>
          <w:lang w:val="en-US"/>
        </w:rPr>
        <w:t>,</w:t>
      </w:r>
      <w:r w:rsidR="00B60A0E">
        <w:rPr>
          <w:lang w:val="en-US"/>
        </w:rPr>
        <w:t xml:space="preserve"> with the latter two exhibiting much lower growth rates</w:t>
      </w:r>
      <w:r w:rsidR="000A571C">
        <w:rPr>
          <w:lang w:val="en-US"/>
        </w:rPr>
        <w:t xml:space="preserve"> </w:t>
      </w:r>
      <w:r w:rsidR="003340A2">
        <w:rPr>
          <w:lang w:val="en-US"/>
        </w:rPr>
        <w:t>in publications</w:t>
      </w:r>
      <w:r w:rsidR="00B60A0E" w:rsidRPr="00E4360C">
        <w:rPr>
          <w:rStyle w:val="Funotenzeichen"/>
        </w:rPr>
        <w:footnoteReference w:id="2"/>
      </w:r>
      <w:r w:rsidR="00B60A0E">
        <w:rPr>
          <w:lang w:val="en-US"/>
        </w:rPr>
        <w:t>.</w:t>
      </w:r>
      <w:r w:rsidR="00AD3063">
        <w:rPr>
          <w:lang w:val="en-US"/>
        </w:rPr>
        <w:t xml:space="preserve"> Furthermore,</w:t>
      </w:r>
      <w:r w:rsidR="00AD3063" w:rsidRPr="00C17663">
        <w:rPr>
          <w:lang w:val="en-US"/>
        </w:rPr>
        <w:t xml:space="preserve"> </w:t>
      </w:r>
      <w:r w:rsidR="00AD3063">
        <w:rPr>
          <w:lang w:val="en-US"/>
        </w:rPr>
        <w:fldChar w:fldCharType="begin"/>
      </w:r>
      <w:r w:rsidR="00E95283">
        <w:rPr>
          <w:lang w:val="en-US"/>
        </w:rPr>
        <w:instrText xml:space="preserve"> ADDIN ZOTERO_ITEM CSL_CITATION {"citationID":"bV8pDp2L","properties":{"formattedCitation":"(Giampietro, 2019)","plainCitation":"(Giampietro, 2019)","noteIndex":0},"citationItems":[{"id":7424,"uris":["http://zotero.org/users/1226784/items/FXKSTEUV"],"itemData":{"id":7424,"type":"article-journal","abstract":"This paper explores the existing confusion around the conceptual definitions and interpretations of the term circular bioeconomy. The co-existence of diametrically opposite interpretations of the concept indicates lack of a serious discussion of its theoretical foundations. Two narratives on circular bioeconomy are explored in depth: (i) the new economic paradigm based on technological progress (the economics of technological promises) that seeks perpetual economic growth; (ii) an entropic (thermodynamic) narrative that reflects on the limits on economic growth imposed by nature. The latter narrative makes a distinction between primary, secondary and tertiary resource flows and helps to identify what can and cannot be re-circulated within the metabolic pattern of social-ecological systems. Adopting the biophysical view, it becomes clear that the industrial revolution represented a linearization of material and energy flows with the goal to overcome the low pace and density of biological transformations. The required level of productivity of production factors in contemporary developed economies (flows per hour of labor and per hectare of land use) is orders of magnitude larger than the pace and density of supply and sink capacity of natural processes. Relying on nature to ‘close the loop’ will simply slow down the economic process.","container-title":"Ecological Economics","DOI":"10.1016/j.ecolecon.2019.05.001","ISSN":"0921-8009","journalAbbreviation":"Ecological Economics","language":"en","page":"143-156","source":"ScienceDirect","title":"On the Circular Bioeconomy and Decoupling: Implications for Sustainable Growth","title-short":"On the Circular Bioeconomy and Decoupling","volume":"162","author":[{"family":"Giampietro","given":"Mario"}],"issued":{"date-parts":[["2019",8,1]]}}}],"schema":"https://github.com/citation-style-language/schema/raw/master/csl-citation.json"} </w:instrText>
      </w:r>
      <w:r w:rsidR="00AD3063">
        <w:rPr>
          <w:lang w:val="en-US"/>
        </w:rPr>
        <w:fldChar w:fldCharType="separate"/>
      </w:r>
      <w:r w:rsidR="00AD3063" w:rsidRPr="00683B80">
        <w:rPr>
          <w:rFonts w:ascii="Calibri" w:hAnsi="Calibri" w:cs="Calibri"/>
        </w:rPr>
        <w:t>(Giampietro, 2019)</w:t>
      </w:r>
      <w:r w:rsidR="00AD3063">
        <w:rPr>
          <w:lang w:val="en-US"/>
        </w:rPr>
        <w:fldChar w:fldCharType="end"/>
      </w:r>
      <w:r w:rsidR="00AD3063">
        <w:rPr>
          <w:lang w:val="en-US"/>
        </w:rPr>
        <w:t xml:space="preserve"> discusses three different bioeconomy concepts, with the first </w:t>
      </w:r>
      <w:r w:rsidR="00E4360C">
        <w:rPr>
          <w:lang w:val="en-US"/>
        </w:rPr>
        <w:t>"</w:t>
      </w:r>
      <w:r w:rsidR="00AD3063">
        <w:rPr>
          <w:lang w:val="en-US"/>
        </w:rPr>
        <w:t>considering the limits of the biosphere</w:t>
      </w:r>
      <w:r w:rsidR="00E4360C">
        <w:rPr>
          <w:lang w:val="en-US"/>
        </w:rPr>
        <w:t>"</w:t>
      </w:r>
      <w:r w:rsidR="00AD3063">
        <w:rPr>
          <w:lang w:val="en-US"/>
        </w:rPr>
        <w:t>, the second concept focusing on biotechnologies</w:t>
      </w:r>
      <w:r w:rsidR="00E4360C">
        <w:rPr>
          <w:lang w:val="en-US"/>
        </w:rPr>
        <w:t>,</w:t>
      </w:r>
      <w:r w:rsidR="00AD3063">
        <w:rPr>
          <w:lang w:val="en-US"/>
        </w:rPr>
        <w:t xml:space="preserve"> and the third on all flows between the biosphere and the techno-sphere. </w:t>
      </w:r>
      <w:r w:rsidR="00AD3063">
        <w:rPr>
          <w:lang w:val="en-US"/>
        </w:rPr>
        <w:fldChar w:fldCharType="begin"/>
      </w:r>
      <w:r w:rsidR="00E95283">
        <w:rPr>
          <w:lang w:val="en-US"/>
        </w:rPr>
        <w:instrText xml:space="preserve"> ADDIN ZOTERO_ITEM CSL_CITATION {"citationID":"UcwN0DKY","properties":{"formattedCitation":"(Frisvold et al., 2021)","plainCitation":"(Frisvold et al., 2021)","noteIndex":0},"citationItems":[{"id":6757,"uris":["http://zotero.org/users/1226784/items/MB9XRNYE"],"itemData":{"id":6757,"type":"article-journal","abstract":"This article provides an overview of the U.S. bioeconomy, discussing how its definition has evolved and been formalized over time. The first attempts to conceptualize and define the U.S. bioeconomy began in the early 1990s. This was followed by a series of government and private efforts to develop methods to understand and evaluate it and to develop programs to promote it. These efforts culminated in the 2020 release of the National Academies of Science, Engineering, and Medicine (NASEM), Safeguarding the Bioeconomy report. The report recommended a formal definition of the U.S. bioeconomy, providing the rationale for that particular definition in the U.S. context. Formally adopting a comprehensive definition of the U.S. bioeconomy would enable the U.S. government to better assess the bioeconomy’s current state, to develop strategies to support its growth, and to promote strategies to safeguard it. Along with this recommendation, the NASEM Safeguarding report also discussed defining the “bioeconomy landscape,” which involves more precise determination and quantification of which economic activities are part of and external to the U.S. economy. Defining this landscape could guide metric development and data collection needed to track the bioeconomy’s growth, conduct economic assessments, and enable policy makers to keep abreast of advances that could potentially pose new national or economic security challenges. The report also includes an analysis of the broad range national bioeconomy strategies, identification of the four drivers of the U.S. bioeconomy, and the first of its kind, comprehensive estimate of the size and scope of the U.S. bioeconomy of USD 959B (valued in 2016 constant USD ).","container-title":"Sustainability","DOI":"10.3390/su13041627","issue":"4","language":"en","note":"number: 4\npublisher: Multidisciplinary Digital Publishing Institute","page":"1627","source":"www.mdpi.com","title":"Understanding the U.S. Bioeconomy: A New Definition and Landscape","title-short":"Understanding the U.S. Bioeconomy","volume":"13","author":[{"family":"Frisvold","given":"George B."},{"family":"Moss","given":"Steven M."},{"family":"Hodgson","given":"Andrea"},{"family":"Maxon","given":"Mary E."}],"issued":{"date-parts":[["2021",1]]}}}],"schema":"https://github.com/citation-style-language/schema/raw/master/csl-citation.json"} </w:instrText>
      </w:r>
      <w:r w:rsidR="00AD3063">
        <w:rPr>
          <w:lang w:val="en-US"/>
        </w:rPr>
        <w:fldChar w:fldCharType="separate"/>
      </w:r>
      <w:r w:rsidR="00AD3063" w:rsidRPr="00683B80">
        <w:rPr>
          <w:rFonts w:ascii="Calibri" w:hAnsi="Calibri" w:cs="Calibri"/>
        </w:rPr>
        <w:t>(Frisvold et al., 2021)</w:t>
      </w:r>
      <w:r w:rsidR="00AD3063">
        <w:rPr>
          <w:lang w:val="en-US"/>
        </w:rPr>
        <w:fldChar w:fldCharType="end"/>
      </w:r>
      <w:r w:rsidR="00AD3063">
        <w:rPr>
          <w:lang w:val="en-US"/>
        </w:rPr>
        <w:t xml:space="preserve"> similarly</w:t>
      </w:r>
      <w:r w:rsidR="00E4360C">
        <w:rPr>
          <w:lang w:val="en-US"/>
        </w:rPr>
        <w:t>,</w:t>
      </w:r>
      <w:r w:rsidR="00AD3063">
        <w:rPr>
          <w:lang w:val="en-US"/>
        </w:rPr>
        <w:t xml:space="preserve"> differentiate a </w:t>
      </w:r>
      <w:r w:rsidR="00E4360C">
        <w:rPr>
          <w:lang w:val="en-US"/>
        </w:rPr>
        <w:t>"</w:t>
      </w:r>
      <w:r w:rsidR="00AD3063">
        <w:rPr>
          <w:lang w:val="en-US"/>
        </w:rPr>
        <w:t>bioecology-</w:t>
      </w:r>
      <w:r w:rsidR="00E4360C">
        <w:rPr>
          <w:lang w:val="en-US"/>
        </w:rPr>
        <w:t>" "</w:t>
      </w:r>
      <w:r w:rsidR="00AD3063">
        <w:rPr>
          <w:lang w:val="en-US"/>
        </w:rPr>
        <w:t>biotechnology-</w:t>
      </w:r>
      <w:r w:rsidR="00E4360C">
        <w:rPr>
          <w:lang w:val="en-US"/>
        </w:rPr>
        <w:t>"</w:t>
      </w:r>
      <w:r w:rsidR="00AD3063">
        <w:rPr>
          <w:lang w:val="en-US"/>
        </w:rPr>
        <w:t xml:space="preserve"> and a </w:t>
      </w:r>
      <w:r w:rsidR="00E4360C">
        <w:rPr>
          <w:lang w:val="en-US"/>
        </w:rPr>
        <w:t>"</w:t>
      </w:r>
      <w:r w:rsidR="00AD3063">
        <w:rPr>
          <w:lang w:val="en-US"/>
        </w:rPr>
        <w:t>bioresource vision</w:t>
      </w:r>
      <w:r w:rsidR="00E4360C">
        <w:rPr>
          <w:lang w:val="en-US"/>
        </w:rPr>
        <w:t>"</w:t>
      </w:r>
      <w:r w:rsidR="00AD3063">
        <w:rPr>
          <w:lang w:val="en-US"/>
        </w:rPr>
        <w:t xml:space="preserve"> in existing national bioeconomy strategies</w:t>
      </w:r>
      <w:r w:rsidR="00E4360C">
        <w:rPr>
          <w:lang w:val="en-US"/>
        </w:rPr>
        <w:t>. They conclude that</w:t>
      </w:r>
      <w:r w:rsidR="00AD3063">
        <w:rPr>
          <w:lang w:val="en-US"/>
        </w:rPr>
        <w:t xml:space="preserve"> the EU and the United States emphasi</w:t>
      </w:r>
      <w:r w:rsidR="0038503E">
        <w:rPr>
          <w:lang w:val="en-US"/>
        </w:rPr>
        <w:t>z</w:t>
      </w:r>
      <w:r w:rsidR="00E4360C">
        <w:rPr>
          <w:lang w:val="en-US"/>
        </w:rPr>
        <w:t>e</w:t>
      </w:r>
      <w:r w:rsidR="00AD3063">
        <w:rPr>
          <w:lang w:val="en-US"/>
        </w:rPr>
        <w:t xml:space="preserve"> the ecological and the technological vision</w:t>
      </w:r>
      <w:r w:rsidR="00E4360C">
        <w:rPr>
          <w:lang w:val="en-US"/>
        </w:rPr>
        <w:t>,</w:t>
      </w:r>
      <w:r w:rsidR="00AD3063">
        <w:rPr>
          <w:lang w:val="en-US"/>
        </w:rPr>
        <w:t xml:space="preserve"> respectively.</w:t>
      </w:r>
    </w:p>
    <w:p w14:paraId="497E7EC6" w14:textId="065F2E86" w:rsidR="005E7BD6" w:rsidRDefault="6CE44234" w:rsidP="008C5B03">
      <w:pPr>
        <w:spacing w:after="120" w:line="360" w:lineRule="auto"/>
        <w:rPr>
          <w:lang w:val="en-US"/>
        </w:rPr>
      </w:pPr>
      <w:r w:rsidRPr="6CE44234">
        <w:rPr>
          <w:lang w:val="en-US"/>
        </w:rPr>
        <w:t xml:space="preserve">Depending on the transformation strategy under discussion, supporting Sankey </w:t>
      </w:r>
      <w:r w:rsidR="00E4360C">
        <w:rPr>
          <w:lang w:val="en-US"/>
        </w:rPr>
        <w:t>diagrams</w:t>
      </w:r>
      <w:r w:rsidRPr="6CE44234">
        <w:rPr>
          <w:lang w:val="en-US"/>
        </w:rPr>
        <w:t xml:space="preserve"> have to focus on presenting different edges and nodes. </w:t>
      </w:r>
      <w:r w:rsidRPr="00E4360C">
        <w:rPr>
          <w:b/>
          <w:lang w:val="en-US"/>
        </w:rPr>
        <w:t>Figure 2</w:t>
      </w:r>
      <w:r w:rsidRPr="6CE44234">
        <w:rPr>
          <w:lang w:val="en-US"/>
        </w:rPr>
        <w:t xml:space="preserve"> and </w:t>
      </w:r>
      <w:r w:rsidRPr="00E4360C">
        <w:rPr>
          <w:b/>
          <w:lang w:val="en-US"/>
        </w:rPr>
        <w:t>Figure 3</w:t>
      </w:r>
      <w:r w:rsidRPr="6CE44234">
        <w:rPr>
          <w:lang w:val="en-US"/>
        </w:rPr>
        <w:t xml:space="preserve"> aim at allowing the discussion of synergies and trade-offs between renewable power, circularity and bioeconomy strategies</w:t>
      </w:r>
      <w:r w:rsidR="00E4360C">
        <w:rPr>
          <w:lang w:val="en-US"/>
        </w:rPr>
        <w:t>. However,</w:t>
      </w:r>
      <w:r w:rsidRPr="6CE44234">
        <w:rPr>
          <w:lang w:val="en-US"/>
        </w:rPr>
        <w:t xml:space="preserve"> </w:t>
      </w:r>
      <w:r w:rsidR="00E4360C">
        <w:rPr>
          <w:lang w:val="en-US"/>
        </w:rPr>
        <w:t>Sankey diagrams supporting strategies to</w:t>
      </w:r>
      <w:r w:rsidRPr="6CE44234">
        <w:rPr>
          <w:lang w:val="en-US"/>
        </w:rPr>
        <w:t xml:space="preserve"> balancing environmental impacts and resource provision for </w:t>
      </w:r>
      <w:r w:rsidR="00E4360C">
        <w:rPr>
          <w:lang w:val="en-US"/>
        </w:rPr>
        <w:t xml:space="preserve">primary </w:t>
      </w:r>
      <w:r w:rsidRPr="6CE44234">
        <w:rPr>
          <w:lang w:val="en-US"/>
        </w:rPr>
        <w:t xml:space="preserve">societal needs would require additional measurement units (section 3.1.1), other structures and indicators (section 3.1.2) and especially also the means for the illustration of change for dynamic scenario analysis (section 3.1.3). Finally, we also want to address some </w:t>
      </w:r>
      <w:r w:rsidR="00E4360C">
        <w:rPr>
          <w:lang w:val="en-US"/>
        </w:rPr>
        <w:t xml:space="preserve">identified </w:t>
      </w:r>
      <w:r w:rsidRPr="6CE44234">
        <w:rPr>
          <w:lang w:val="en-US"/>
        </w:rPr>
        <w:t>programming challenges in section 3.1.4.</w:t>
      </w:r>
    </w:p>
    <w:p w14:paraId="1D5412C0" w14:textId="0DAF26F8" w:rsidR="005E7BD6" w:rsidRDefault="005E7BD6" w:rsidP="008C5B03">
      <w:pPr>
        <w:pStyle w:val="Listenabsatz"/>
        <w:numPr>
          <w:ilvl w:val="2"/>
          <w:numId w:val="2"/>
        </w:numPr>
        <w:spacing w:after="120" w:line="360" w:lineRule="auto"/>
        <w:contextualSpacing w:val="0"/>
        <w:rPr>
          <w:b/>
        </w:rPr>
      </w:pPr>
      <w:r>
        <w:rPr>
          <w:b/>
        </w:rPr>
        <w:t>Measurement units</w:t>
      </w:r>
    </w:p>
    <w:p w14:paraId="10883441" w14:textId="0BF7C7A4" w:rsidR="00022D69" w:rsidRDefault="6CE44234" w:rsidP="008C5B03">
      <w:pPr>
        <w:spacing w:after="120" w:line="360" w:lineRule="auto"/>
        <w:rPr>
          <w:lang w:val="en-US"/>
        </w:rPr>
      </w:pPr>
      <w:r w:rsidRPr="6CE44234">
        <w:rPr>
          <w:lang w:val="en-US"/>
        </w:rPr>
        <w:t>The results present a comprehensive view o</w:t>
      </w:r>
      <w:r w:rsidR="00E4360C">
        <w:rPr>
          <w:lang w:val="en-US"/>
        </w:rPr>
        <w:t>f</w:t>
      </w:r>
      <w:r w:rsidRPr="6CE44234">
        <w:rPr>
          <w:lang w:val="en-US"/>
        </w:rPr>
        <w:t xml:space="preserve"> energy and materials flowing through the European economy. Therefore, we illustrate the flows in </w:t>
      </w:r>
      <w:r w:rsidRPr="6CE44234">
        <w:rPr>
          <w:b/>
          <w:bCs/>
          <w:lang w:val="en-US"/>
        </w:rPr>
        <w:t>energy and mass units</w:t>
      </w:r>
      <w:r w:rsidRPr="6CE44234">
        <w:rPr>
          <w:lang w:val="en-US"/>
        </w:rPr>
        <w:t>, although this renders some flows to zero kilo tons or zero terajoules. Still, it will be indispensable to show how renewable electricity flows could supersede currently prevailing material flows. This</w:t>
      </w:r>
      <w:r w:rsidR="00E4360C">
        <w:rPr>
          <w:lang w:val="en-US"/>
        </w:rPr>
        <w:t xml:space="preserve"> finding</w:t>
      </w:r>
      <w:r w:rsidRPr="6CE44234">
        <w:rPr>
          <w:lang w:val="en-US"/>
        </w:rPr>
        <w:t xml:space="preserve"> certainly holds for, e.g., energy carriers being used for transportation and room heating, but could also play a </w:t>
      </w:r>
      <w:r w:rsidR="00E4360C">
        <w:rPr>
          <w:lang w:val="en-US"/>
        </w:rPr>
        <w:t>particular</w:t>
      </w:r>
      <w:r w:rsidRPr="6CE44234">
        <w:rPr>
          <w:lang w:val="en-US"/>
        </w:rPr>
        <w:t xml:space="preserve"> </w:t>
      </w:r>
      <w:r w:rsidRPr="6CE44234">
        <w:rPr>
          <w:lang w:val="en-US"/>
        </w:rPr>
        <w:lastRenderedPageBreak/>
        <w:t>role for chemicals, other materials or even nutrients synthesi</w:t>
      </w:r>
      <w:r w:rsidR="0038503E">
        <w:rPr>
          <w:lang w:val="en-US"/>
        </w:rPr>
        <w:t>z</w:t>
      </w:r>
      <w:r w:rsidRPr="6CE44234">
        <w:rPr>
          <w:lang w:val="en-US"/>
        </w:rPr>
        <w:t>ed from captured CO</w:t>
      </w:r>
      <w:r w:rsidRPr="6CE44234">
        <w:rPr>
          <w:vertAlign w:val="subscript"/>
          <w:lang w:val="en-US"/>
        </w:rPr>
        <w:t>2</w:t>
      </w:r>
      <w:r w:rsidRPr="6CE44234">
        <w:rPr>
          <w:lang w:val="en-US"/>
        </w:rPr>
        <w:t xml:space="preserve"> and renewable electricity (see</w:t>
      </w:r>
      <w:r w:rsidR="00E4360C">
        <w:rPr>
          <w:lang w:val="en-US"/>
        </w:rPr>
        <w:t>,</w:t>
      </w:r>
      <w:r w:rsidRPr="6CE44234">
        <w:rPr>
          <w:lang w:val="en-US"/>
        </w:rPr>
        <w:t xml:space="preserve"> e.g., </w:t>
      </w:r>
      <w:r w:rsidR="001A2D96" w:rsidRPr="6CE44234">
        <w:rPr>
          <w:lang w:val="en-US"/>
        </w:rPr>
        <w:fldChar w:fldCharType="begin"/>
      </w:r>
      <w:r w:rsidR="001A2D96" w:rsidRPr="6CE44234">
        <w:rPr>
          <w:lang w:val="en-US"/>
        </w:rPr>
        <w:instrText xml:space="preserve"> ADDIN ZOTERO_ITEM CSL_CITATION {"citationID":"N85kex0y","properties":{"formattedCitation":"(Garc\\uc0\\u237{}a Mart\\uc0\\u237{}nez et al., 2021)","plainCitation":"(García Martínez et al., 2021)","noteIndex":0},"citationItems":[{"id":7541,"uris":["http://zotero.org/users/1226784/items/89ZV334P"],"itemData":{"id":7541,"type":"article-journal","abstract":"Recyclable food technologies are essential for long-term manned space missions. This research compares customary and alternative space foods to non-biological synthesis (NBS) systems using recycled CO2. Using electrochemical conversion of CO2 as a starting point, different carbohydrate synthesis routes are reviewed. Sugars and glycerol are considered as final products. Three roundtrip missions with 5 crew members and 3-year duration were analyzed: International Space Station, the Moon, and Mars. The equivalent system mass (ESM) technique was used to compare NBS systems to customarily storing prepackaged food, artificial-light grown Spirulina platensis, hydrogen-oxidizing bacteria (HOB), and microbial electrosynthesis (MES). This allows for a launch cost comparison of systems with different characteristics, including equipment mass, onboard volume, and power and heat rejection requirements. Power consumption was estimated via mass and energy balances using literature values. The Mars mission ESM of the NBS system is estimated within 10−30 tonnes. This was compared to an average of 65 t for Spirulina, 35 t for prepackaged food, 25 t for MES, and 11 t for HOB. NBS is estimated to be among the most energy efficient options, together with HOB and MES. Electricity-to-food conversion efficiencies of 10–21 % and single-pass carbon yields up to </w:instrText>
      </w:r>
      <w:r w:rsidR="001A2D96" w:rsidRPr="6CE44234">
        <w:rPr>
          <w:rFonts w:ascii="Cambria Math" w:hAnsi="Cambria Math" w:cs="Cambria Math"/>
          <w:lang w:val="en-US"/>
        </w:rPr>
        <w:instrText>∼</w:instrText>
      </w:r>
      <w:r w:rsidR="001A2D96" w:rsidRPr="6CE44234">
        <w:rPr>
          <w:lang w:val="en-US"/>
        </w:rPr>
        <w:instrText xml:space="preserve">70 % are expected for an NBS system. Although NBS is not recommended over all alternatives (i.e. HOB), it is recommended over the prepackaged food and Spirulina benchmarks. These food production technologies could also help humanity survive extreme catastrophes.","container-title":"Journal of CO2 Utilization","DOI":"10.1016/j.jcou.2021.101726","ISSN":"2212-9820","journalAbbreviation":"Journal of CO2 Utilization","language":"en","page":"101726","source":"ScienceDirect","title":"Chemical synthesis of food from CO2 for space missions and food resilience","volume":"53","author":[{"family":"García Martínez","given":"Juan B."},{"family":"Alvarado","given":"Kyle A."},{"family":"Christodoulou","given":"Xenia"},{"family":"Denkenberger","given":"David C."}],"issued":{"date-parts":[["2021",11,1]]}}}],"schema":"https://github.com/citation-style-language/schema/raw/master/csl-citation.json"} </w:instrText>
      </w:r>
      <w:r w:rsidR="001A2D96" w:rsidRPr="6CE44234">
        <w:rPr>
          <w:lang w:val="en-US"/>
        </w:rPr>
        <w:fldChar w:fldCharType="separate"/>
      </w:r>
      <w:r w:rsidRPr="6CE44234">
        <w:rPr>
          <w:rFonts w:ascii="Calibri" w:hAnsi="Calibri" w:cs="Calibri"/>
        </w:rPr>
        <w:t>(García Martínez et al., 2021)</w:t>
      </w:r>
      <w:r w:rsidR="001A2D96" w:rsidRPr="6CE44234">
        <w:rPr>
          <w:lang w:val="en-US"/>
        </w:rPr>
        <w:fldChar w:fldCharType="end"/>
      </w:r>
      <w:r w:rsidRPr="6CE44234">
        <w:rPr>
          <w:lang w:val="en-US"/>
        </w:rPr>
        <w:t>).</w:t>
      </w:r>
    </w:p>
    <w:p w14:paraId="426DB9E8" w14:textId="3BB28A90" w:rsidR="003D390F" w:rsidRDefault="6CE44234" w:rsidP="008C5B03">
      <w:pPr>
        <w:pStyle w:val="Listenabsatz"/>
        <w:spacing w:after="120" w:line="360" w:lineRule="auto"/>
        <w:ind w:left="0"/>
        <w:contextualSpacing w:val="0"/>
        <w:rPr>
          <w:lang w:val="en-US"/>
        </w:rPr>
      </w:pPr>
      <w:r w:rsidRPr="6CE44234">
        <w:rPr>
          <w:lang w:val="en-US"/>
        </w:rPr>
        <w:t xml:space="preserve">Focusing on the energy transformation, </w:t>
      </w:r>
      <w:r w:rsidR="00F312EC" w:rsidRPr="6CE44234">
        <w:rPr>
          <w:lang w:val="en-US"/>
        </w:rPr>
        <w:fldChar w:fldCharType="begin"/>
      </w:r>
      <w:r w:rsidR="00F312EC" w:rsidRPr="6CE44234">
        <w:rPr>
          <w:lang w:val="en-US"/>
        </w:rPr>
        <w:instrText xml:space="preserve"> ADDIN ZOTERO_ITEM CSL_CITATION {"citationID":"CLKvtFfz","properties":{"formattedCitation":"(Ma et al., 2018)","plainCitation":"(Ma et al., 2018)","noteIndex":0},"citationItems":[{"id":7418,"uris":["http://zotero.org/users/1226784/items/X8QPKX4C"],"itemData":{"id":7418,"type":"article-journal","container-title":"Sustainability","DOI":"10.3390/su10020344","ISSN":"2071-1050","issue":"2","journalAbbreviation":"Sustainability","language":"en","page":"344","source":"DOI.org (Crossref)","title":"LMDI Decomposition of Energy-Related CO2 Emissions Based on Energy and CO2 Allocation Sankey Diagrams: The Method and an Application to China","title-short":"LMDI Decomposition of Energy-Related CO2 Emissions Based on Energy and CO2 Allocation Sankey Diagrams","volume":"10","author":[{"family":"Ma","given":"Linwei"},{"family":"Chong","given":"Chinhao"},{"family":"Zhang","given":"Xi"},{"family":"Liu","given":"Pei"},{"family":"Li","given":"Weiqi"},{"family":"Li","given":"Zheng"},{"family":"Ni","given":"Weidou"}],"issued":{"date-parts":[["2018",1,29]]}}}],"schema":"https://github.com/citation-style-language/schema/raw/master/csl-citation.json"} </w:instrText>
      </w:r>
      <w:r w:rsidR="00F312EC" w:rsidRPr="6CE44234">
        <w:rPr>
          <w:lang w:val="en-US"/>
        </w:rPr>
        <w:fldChar w:fldCharType="separate"/>
      </w:r>
      <w:r w:rsidRPr="6CE44234">
        <w:rPr>
          <w:rFonts w:ascii="Calibri" w:hAnsi="Calibri" w:cs="Calibri"/>
        </w:rPr>
        <w:t>(Ma et al., 2018)</w:t>
      </w:r>
      <w:r w:rsidR="00F312EC" w:rsidRPr="6CE44234">
        <w:rPr>
          <w:lang w:val="en-US"/>
        </w:rPr>
        <w:fldChar w:fldCharType="end"/>
      </w:r>
      <w:r w:rsidRPr="6CE44234">
        <w:rPr>
          <w:lang w:val="en-US"/>
        </w:rPr>
        <w:t xml:space="preserve"> </w:t>
      </w:r>
      <w:r w:rsidRPr="6CE44234">
        <w:rPr>
          <w:b/>
          <w:bCs/>
          <w:lang w:val="en-US"/>
        </w:rPr>
        <w:t>allocate the CO</w:t>
      </w:r>
      <w:r w:rsidRPr="6CE44234">
        <w:rPr>
          <w:b/>
          <w:bCs/>
          <w:vertAlign w:val="subscript"/>
          <w:lang w:val="en-US"/>
        </w:rPr>
        <w:t>2</w:t>
      </w:r>
      <w:r w:rsidRPr="6CE44234">
        <w:rPr>
          <w:b/>
          <w:bCs/>
          <w:lang w:val="en-US"/>
        </w:rPr>
        <w:t xml:space="preserve"> backpack</w:t>
      </w:r>
      <w:r w:rsidRPr="6CE44234">
        <w:rPr>
          <w:lang w:val="en-US"/>
        </w:rPr>
        <w:t xml:space="preserve"> to each energy carrier flow, resulting in non-zero flows from electricity and heat produced from fossil fuels. </w:t>
      </w:r>
      <w:r w:rsidR="00E4360C">
        <w:rPr>
          <w:lang w:val="en-US"/>
        </w:rPr>
        <w:t>To integrate</w:t>
      </w:r>
      <w:r w:rsidRPr="6CE44234">
        <w:rPr>
          <w:lang w:val="en-US"/>
        </w:rPr>
        <w:t xml:space="preserve"> a CO</w:t>
      </w:r>
      <w:r w:rsidRPr="6CE44234">
        <w:rPr>
          <w:vertAlign w:val="subscript"/>
          <w:lang w:val="en-US"/>
        </w:rPr>
        <w:t>2</w:t>
      </w:r>
      <w:r w:rsidRPr="6CE44234">
        <w:rPr>
          <w:lang w:val="en-US"/>
        </w:rPr>
        <w:t xml:space="preserve"> or carbon-based illustration in our unified Sankey, </w:t>
      </w:r>
      <w:r w:rsidR="00E4360C">
        <w:rPr>
          <w:lang w:val="en-US"/>
        </w:rPr>
        <w:t xml:space="preserve">we would have to solve the </w:t>
      </w:r>
      <w:r w:rsidRPr="6CE44234">
        <w:rPr>
          <w:lang w:val="en-US"/>
        </w:rPr>
        <w:t xml:space="preserve">allocation problem for electricity and heat with dedicated balancing approaches </w:t>
      </w:r>
      <w:r w:rsidR="00F312EC" w:rsidRPr="6CE44234">
        <w:rPr>
          <w:lang w:val="en-US"/>
        </w:rPr>
        <w:fldChar w:fldCharType="begin"/>
      </w:r>
      <w:r w:rsidR="00F312EC" w:rsidRPr="6CE44234">
        <w:rPr>
          <w:lang w:val="en-US"/>
        </w:rPr>
        <w:instrText xml:space="preserve"> ADDIN ZOTERO_ITEM CSL_CITATION {"citationID":"uOHvkArh","properties":{"formattedCitation":"(Hawkes, 2010)","plainCitation":"(Hawkes, 2010)","noteIndex":0},"citationItems":[{"id":7543,"uris":["http://zotero.org/users/1226784/items/QPBQFSHA"],"itemData":{"id":7543,"type":"article-journal","abstract":"The carbon dioxide (CO2) emissions reduction afforded by a demand-side intervention in the electricity system is typically assessed by means of an assumed grid emissions rate, which measures the CO2 intensity of electricity not used as a result of the intervention. This emissions rate is called the “marginal emissions factor” (MEF). Accurate estimation of MEFs is crucial for performance assessment because their application leads to decisions regarding the relative merits of CO2 reduction strategies. This article contributes to formulating the principles by which MEFs are estimated, highlighting the strengths and weaknesses in existing approaches, and presenting an alternative based on the observed behaviour of power stations. The case of Great Britain is considered, demonstrating an MEF of 0.69kgCO2/kWh for 2002–2009, with error bars at +/−10%. This value could reduce to 0.6kgCO2/kWh over the next decade under planned changes to the underlying generation mix, and could further reduce to approximately 0.51kgCO2/kWh before 2025 if all power stations commissioned pre-1970 are replaced by their modern counterparts. Given that these rates are higher than commonly applied system-average or assumed “long term marginal” emissions rates, it is concluded that maintenance of an improved understanding of MEFs is valuable to better inform policy decisions.","collection-title":"The socio-economic transition towards a hydrogen economy - findings from European research, with regular papers","container-title":"Energy Policy","DOI":"10.1016/j.enpol.2010.05.053","ISSN":"0301-4215","issue":"10","journalAbbreviation":"Energy Policy","language":"en","page":"5977-5987","source":"ScienceDirect","title":"Estimating marginal CO2 emissions rates for national electricity systems","volume":"38","author":[{"family":"Hawkes","given":"A. D."}],"issued":{"date-parts":[["2010",10,1]]}}}],"schema":"https://github.com/citation-style-language/schema/raw/master/csl-citation.json"} </w:instrText>
      </w:r>
      <w:r w:rsidR="00F312EC" w:rsidRPr="6CE44234">
        <w:rPr>
          <w:lang w:val="en-US"/>
        </w:rPr>
        <w:fldChar w:fldCharType="separate"/>
      </w:r>
      <w:r w:rsidRPr="6CE44234">
        <w:rPr>
          <w:rFonts w:ascii="Calibri" w:hAnsi="Calibri" w:cs="Calibri"/>
        </w:rPr>
        <w:t>(Hawkes, 2010)</w:t>
      </w:r>
      <w:r w:rsidR="00F312EC" w:rsidRPr="6CE44234">
        <w:rPr>
          <w:lang w:val="en-US"/>
        </w:rPr>
        <w:fldChar w:fldCharType="end"/>
      </w:r>
      <w:r w:rsidRPr="6CE44234">
        <w:rPr>
          <w:lang w:val="en-US"/>
        </w:rPr>
        <w:t>. For such an illustration to inform about strategies to mitigate global warming, arguably an extension to other greenhouse gas (GHG) emissions</w:t>
      </w:r>
      <w:r w:rsidR="00E4360C">
        <w:rPr>
          <w:lang w:val="en-US"/>
        </w:rPr>
        <w:t>, including methane emissions,</w:t>
      </w:r>
      <w:r w:rsidRPr="6CE44234">
        <w:rPr>
          <w:lang w:val="en-US"/>
        </w:rPr>
        <w:t xml:space="preserve"> would be further </w:t>
      </w:r>
      <w:r w:rsidR="00E4360C">
        <w:rPr>
          <w:lang w:val="en-US"/>
        </w:rPr>
        <w:t>beneficia</w:t>
      </w:r>
      <w:r w:rsidRPr="6CE44234">
        <w:rPr>
          <w:lang w:val="en-US"/>
        </w:rPr>
        <w:t>l.</w:t>
      </w:r>
    </w:p>
    <w:p w14:paraId="7879F8CF" w14:textId="26318A5A" w:rsidR="0028770F" w:rsidRDefault="6CE44234" w:rsidP="008C5B03">
      <w:pPr>
        <w:pStyle w:val="Listenabsatz"/>
        <w:spacing w:after="120" w:line="360" w:lineRule="auto"/>
        <w:ind w:left="0"/>
        <w:contextualSpacing w:val="0"/>
        <w:rPr>
          <w:lang w:val="en-US"/>
        </w:rPr>
      </w:pPr>
      <w:r w:rsidRPr="6CE44234">
        <w:rPr>
          <w:lang w:val="en-US"/>
        </w:rPr>
        <w:t xml:space="preserve">A limitation of the current metabolism database is that it neglects </w:t>
      </w:r>
      <w:r w:rsidRPr="6CE44234">
        <w:rPr>
          <w:b/>
          <w:bCs/>
          <w:lang w:val="en-US"/>
        </w:rPr>
        <w:t>moisture content</w:t>
      </w:r>
      <w:r w:rsidRPr="6CE44234">
        <w:rPr>
          <w:lang w:val="en-US"/>
        </w:rPr>
        <w:t xml:space="preserve">, i.e., water mixed with other substances. </w:t>
      </w:r>
      <w:r w:rsidR="00E4360C">
        <w:rPr>
          <w:lang w:val="en-US"/>
        </w:rPr>
        <w:t>W</w:t>
      </w:r>
      <w:r w:rsidRPr="6CE44234">
        <w:rPr>
          <w:lang w:val="en-US"/>
        </w:rPr>
        <w:t>e decide</w:t>
      </w:r>
      <w:r w:rsidR="00E4360C">
        <w:rPr>
          <w:lang w:val="en-US"/>
        </w:rPr>
        <w:t>d</w:t>
      </w:r>
      <w:r w:rsidRPr="6CE44234">
        <w:rPr>
          <w:lang w:val="en-US"/>
        </w:rPr>
        <w:t xml:space="preserve"> to integrate the Eurostat biomass Sankey dataset, which is based on dry tons, and to </w:t>
      </w:r>
      <w:r w:rsidR="00E4360C">
        <w:rPr>
          <w:lang w:val="en-US"/>
        </w:rPr>
        <w:t>hide</w:t>
      </w:r>
      <w:r w:rsidRPr="6CE44234">
        <w:rPr>
          <w:lang w:val="en-US"/>
        </w:rPr>
        <w:t xml:space="preserve"> the biomass flows of the Eurostat MFAs, which would carry information on their water content </w:t>
      </w:r>
      <w:r w:rsidR="00D82DBF" w:rsidRPr="6CE44234">
        <w:rPr>
          <w:lang w:val="en-US"/>
        </w:rPr>
        <w:fldChar w:fldCharType="begin"/>
      </w:r>
      <w:r w:rsidR="00D82DBF" w:rsidRPr="6CE44234">
        <w:rPr>
          <w:lang w:val="en-US"/>
        </w:rPr>
        <w:instrText xml:space="preserve"> ADDIN ZOTERO_ITEM CSL_CITATION {"citationID":"iv7f0ubj","properties":{"formattedCitation":"(European Commission. Statistical Office of the European Union., 2018)","plainCitation":"(European Commission. Statistical Office of the European Union., 2018)","noteIndex":0},"citationItems":[{"id":5920,"uris":["http://zotero.org/users/1226784/items/RZACRJ6S"],"itemData":{"id":5920,"type":"book","event-place":"LU","language":"en","publisher":"Publications Office","publisher-place":"LU","source":"DOI.org (CSL JSON)","title":"Economy-wide material flow accounts handbook: 2018 edition.","title-short":"Economy-wide material flow accounts handbook","URL":"https://data.europa.eu/doi/10.2785/158567","author":[{"literal":"European Commission. Statistical Office of the European Union."}],"accessed":{"date-parts":[["2020",11,17]]},"issued":{"date-parts":[["2018"]]}}}],"schema":"https://github.com/citation-style-language/schema/raw/master/csl-citation.json"} </w:instrText>
      </w:r>
      <w:r w:rsidR="00D82DBF" w:rsidRPr="6CE44234">
        <w:rPr>
          <w:lang w:val="en-US"/>
        </w:rPr>
        <w:fldChar w:fldCharType="separate"/>
      </w:r>
      <w:r w:rsidRPr="6CE44234">
        <w:rPr>
          <w:rFonts w:ascii="Calibri" w:hAnsi="Calibri" w:cs="Calibri"/>
        </w:rPr>
        <w:t>(European Commission. Statistical Office of the European Union., 2018)</w:t>
      </w:r>
      <w:r w:rsidR="00D82DBF" w:rsidRPr="6CE44234">
        <w:rPr>
          <w:lang w:val="en-US"/>
        </w:rPr>
        <w:fldChar w:fldCharType="end"/>
      </w:r>
      <w:r w:rsidRPr="6CE44234">
        <w:rPr>
          <w:lang w:val="en-US"/>
        </w:rPr>
        <w:t xml:space="preserve">. The differentiation between different moisture grades of biomass is an important one, since it is negatively correlated with the transportability and storability of biomass for any nutrient, material or energy purposes (see e.g., </w:t>
      </w:r>
      <w:r w:rsidR="00D82DBF" w:rsidRPr="6CE44234">
        <w:rPr>
          <w:lang w:val="en-US"/>
        </w:rPr>
        <w:fldChar w:fldCharType="begin"/>
      </w:r>
      <w:r w:rsidR="00D82DBF" w:rsidRPr="6CE44234">
        <w:rPr>
          <w:lang w:val="en-US"/>
        </w:rPr>
        <w:instrText xml:space="preserve"> ADDIN ZOTERO_ITEM CSL_CITATION {"citationID":"1LY8MjIu","properties":{"formattedCitation":"(Schipfer and Kranzl, 2019)","plainCitation":"(Schipfer and Kranzl, 2019)","noteIndex":0},"citationItems":[{"id":1744,"uris":["http://zotero.org/users/1226784/items/ZE2IUEMD"],"itemData":{"id":1744,"type":"article-journal","abstract":"The European Union plans to shift parts of its economy towards a biobased system commonly referred to as a bioeconomy in order to reduce emissions and fossil fuel dependence. Biomass exhibits lower carbon densities, higher moisture contents, and is more heterogeneous when compared to the feedstock basis of the current economy. In this paper, we simulate generic biomass-to-end-use chains to compare economic performances of the three technologically most advanced pre-treatment options for biogenic raw materials. Exemplary cellulosic biomass feedstocks are computed to be processed to pellets, torrefied pellets and pyrolysis oil based on current data from previous research and demonstration projects. Various distribution options are considered for the resulting densified bioenergy carriers to be finally converted to heat, electricity and liquid biofuels. We find that the discussed densified bioenergy carriers could compete in the existing residential heating market. Furthermore, large-scale conversion facilities like coal co-firing and gasification could profit from cost reductions for torrefied pellets when compared to conventional pellets. To reach commoditisation of these bioenergy carriers as well as full commercialisation of the respective technologies, upscaling would have to start now possibly by establishing a residential heating market based on torrefied pellets where framework conditions are most favourable.","container-title":"Applied Energy","DOI":"10.1016/j.apenergy.2019.01.219","ISSN":"0306-2619","journalAbbreviation":"Applied Energy","page":"715-724","source":"ScienceDirect","title":"Techno-economic evaluation of biomass-to-end-use chains based on densified bioenergy carriers (dBECs)","volume":"239","author":[{"family":"Schipfer","given":"Fabian"},{"family":"Kranzl","given":"Lukas"}],"issued":{"date-parts":[["2019",4,1]]}}}],"schema":"https://github.com/citation-style-language/schema/raw/master/csl-citation.json"} </w:instrText>
      </w:r>
      <w:r w:rsidR="00D82DBF" w:rsidRPr="6CE44234">
        <w:rPr>
          <w:lang w:val="en-US"/>
        </w:rPr>
        <w:fldChar w:fldCharType="separate"/>
      </w:r>
      <w:r w:rsidRPr="6CE44234">
        <w:rPr>
          <w:rFonts w:ascii="Calibri" w:hAnsi="Calibri" w:cs="Calibri"/>
        </w:rPr>
        <w:t>(Schipfer and Kranzl, 2019)</w:t>
      </w:r>
      <w:r w:rsidR="00D82DBF" w:rsidRPr="6CE44234">
        <w:rPr>
          <w:lang w:val="en-US"/>
        </w:rPr>
        <w:fldChar w:fldCharType="end"/>
      </w:r>
      <w:r w:rsidRPr="6CE44234">
        <w:rPr>
          <w:lang w:val="en-US"/>
        </w:rPr>
        <w:t xml:space="preserve">). </w:t>
      </w:r>
      <w:r w:rsidR="00E4360C">
        <w:rPr>
          <w:lang w:val="en-US"/>
        </w:rPr>
        <w:t>The</w:t>
      </w:r>
      <w:r w:rsidRPr="6CE44234">
        <w:rPr>
          <w:lang w:val="en-US"/>
        </w:rPr>
        <w:t xml:space="preserve"> inspiring Sankey </w:t>
      </w:r>
      <w:r w:rsidR="00E4360C">
        <w:rPr>
          <w:lang w:val="en-US"/>
        </w:rPr>
        <w:t>diagram</w:t>
      </w:r>
      <w:r w:rsidRPr="6CE44234">
        <w:rPr>
          <w:lang w:val="en-US"/>
        </w:rPr>
        <w:t xml:space="preserve"> </w:t>
      </w:r>
      <w:r w:rsidR="00D82DBF" w:rsidRPr="6CE44234">
        <w:rPr>
          <w:lang w:val="en-US"/>
        </w:rPr>
        <w:fldChar w:fldCharType="begin"/>
      </w:r>
      <w:r w:rsidR="00D82DBF" w:rsidRPr="6CE44234">
        <w:rPr>
          <w:lang w:val="en-US"/>
        </w:rPr>
        <w:instrText xml:space="preserve"> ADDIN ZOTERO_ITEM CSL_CITATION {"citationID":"I53KD0EU","properties":{"formattedCitation":"(Kalt, 2015)","plainCitation":"(Kalt, 2015)","noteIndex":0},"citationItems":[{"id":72,"uris":["http://zotero.org/users/1226784/items/UTW23T6A"],"itemData":{"id":72,"type":"article-journal","container-title":"Resources, Conservation and Recycling","DOI":"10.1016/j.resconrec.2014.12.006","ISSN":"09213449","language":"en","page":"100-111","source":"Crossref","title":"Biomass streams in Austria: Drawing a complete picture of biogenic material flows within the national economy","title-short":"Biomass streams in Austria","volume":"95","author":[{"family":"Kalt","given":"Gerald"}],"issued":{"date-parts":[["2015",2]]}}}],"schema":"https://github.com/citation-style-language/schema/raw/master/csl-citation.json"} </w:instrText>
      </w:r>
      <w:r w:rsidR="00D82DBF" w:rsidRPr="6CE44234">
        <w:rPr>
          <w:lang w:val="en-US"/>
        </w:rPr>
        <w:fldChar w:fldCharType="separate"/>
      </w:r>
      <w:r w:rsidRPr="6CE44234">
        <w:rPr>
          <w:rFonts w:ascii="Calibri" w:hAnsi="Calibri" w:cs="Calibri"/>
        </w:rPr>
        <w:t>(Kalt, 2015)</w:t>
      </w:r>
      <w:r w:rsidR="00D82DBF" w:rsidRPr="6CE44234">
        <w:rPr>
          <w:lang w:val="en-US"/>
        </w:rPr>
        <w:fldChar w:fldCharType="end"/>
      </w:r>
      <w:r w:rsidRPr="6CE44234">
        <w:rPr>
          <w:lang w:val="en-US"/>
        </w:rPr>
        <w:t xml:space="preserve"> for Austri</w:t>
      </w:r>
      <w:r w:rsidR="00E4360C">
        <w:rPr>
          <w:lang w:val="en-US"/>
        </w:rPr>
        <w:t xml:space="preserve">a can show </w:t>
      </w:r>
      <w:r w:rsidRPr="6CE44234">
        <w:rPr>
          <w:lang w:val="en-US"/>
        </w:rPr>
        <w:t xml:space="preserve">how significantly the weight distributions between forestry, agriculture and manure change when shifting from dry weight to wet weight of biomass. </w:t>
      </w:r>
    </w:p>
    <w:p w14:paraId="296BD9E0" w14:textId="53E266FD" w:rsidR="0057313A" w:rsidRDefault="6CE44234" w:rsidP="008C5B03">
      <w:pPr>
        <w:spacing w:after="120" w:line="360" w:lineRule="auto"/>
        <w:rPr>
          <w:lang w:val="en-US"/>
        </w:rPr>
      </w:pPr>
      <w:r w:rsidRPr="6CE44234">
        <w:rPr>
          <w:lang w:val="en-US"/>
        </w:rPr>
        <w:t>Furthermore, the Eurostat MFA does not include flows of</w:t>
      </w:r>
      <w:r w:rsidRPr="6CE44234">
        <w:rPr>
          <w:b/>
          <w:bCs/>
          <w:lang w:val="en-US"/>
        </w:rPr>
        <w:t xml:space="preserve"> bulk water</w:t>
      </w:r>
      <w:r w:rsidRPr="6CE44234">
        <w:rPr>
          <w:lang w:val="en-US"/>
        </w:rPr>
        <w:t xml:space="preserve"> other than the water content of the materials because these flows </w:t>
      </w:r>
      <w:r w:rsidR="00E4360C">
        <w:rPr>
          <w:lang w:val="en-US"/>
        </w:rPr>
        <w:t>"</w:t>
      </w:r>
      <w:r w:rsidRPr="6CE44234">
        <w:rPr>
          <w:lang w:val="en-US"/>
        </w:rPr>
        <w:t>represent enormous mass flows one order of magnitude bigger than other flows of all materials</w:t>
      </w:r>
      <w:r w:rsidR="00E4360C">
        <w:rPr>
          <w:lang w:val="en-US"/>
        </w:rPr>
        <w:t>"</w:t>
      </w:r>
      <w:r w:rsidRPr="6CE44234">
        <w:rPr>
          <w:lang w:val="en-US"/>
        </w:rPr>
        <w:t xml:space="preserve"> </w:t>
      </w:r>
      <w:r w:rsidR="0057313A" w:rsidRPr="6CE44234">
        <w:rPr>
          <w:lang w:val="en-US"/>
        </w:rPr>
        <w:fldChar w:fldCharType="begin"/>
      </w:r>
      <w:r w:rsidR="0057313A" w:rsidRPr="6CE44234">
        <w:rPr>
          <w:lang w:val="en-US"/>
        </w:rPr>
        <w:instrText xml:space="preserve"> ADDIN ZOTERO_ITEM CSL_CITATION {"citationID":"Hhf5UHds","properties":{"formattedCitation":"(European Commission. Statistical Office of the European Union., 2018)","plainCitation":"(European Commission. Statistical Office of the European Union., 2018)","noteIndex":0},"citationItems":[{"id":5920,"uris":["http://zotero.org/users/1226784/items/RZACRJ6S"],"itemData":{"id":5920,"type":"book","event-place":"LU","language":"en","publisher":"Publications Office","publisher-place":"LU","source":"DOI.org (CSL JSON)","title":"Economy-wide material flow accounts handbook: 2018 edition.","title-short":"Economy-wide material flow accounts handbook","URL":"https://data.europa.eu/doi/10.2785/158567","author":[{"literal":"European Commission. Statistical Office of the European Union."}],"accessed":{"date-parts":[["2020",11,17]]},"issued":{"date-parts":[["2018"]]}}}],"schema":"https://github.com/citation-style-language/schema/raw/master/csl-citation.json"} </w:instrText>
      </w:r>
      <w:r w:rsidR="0057313A" w:rsidRPr="6CE44234">
        <w:rPr>
          <w:lang w:val="en-US"/>
        </w:rPr>
        <w:fldChar w:fldCharType="separate"/>
      </w:r>
      <w:r w:rsidRPr="6CE44234">
        <w:rPr>
          <w:rFonts w:ascii="Calibri" w:hAnsi="Calibri" w:cs="Calibri"/>
        </w:rPr>
        <w:t>(European Commission. Statistical Office of the European Union., 2018)</w:t>
      </w:r>
      <w:r w:rsidR="0057313A" w:rsidRPr="6CE44234">
        <w:rPr>
          <w:lang w:val="en-US"/>
        </w:rPr>
        <w:fldChar w:fldCharType="end"/>
      </w:r>
      <w:r w:rsidRPr="6CE44234">
        <w:rPr>
          <w:lang w:val="en-US"/>
        </w:rPr>
        <w:t>.</w:t>
      </w:r>
      <w:r w:rsidR="00E4360C">
        <w:rPr>
          <w:lang w:val="en-US"/>
        </w:rPr>
        <w:t xml:space="preserve"> </w:t>
      </w:r>
      <w:r w:rsidRPr="00E4360C">
        <w:rPr>
          <w:lang w:val="en-US"/>
        </w:rPr>
        <w:t>A Sankey diagram explicitly show</w:t>
      </w:r>
      <w:r w:rsidR="00E4360C">
        <w:rPr>
          <w:lang w:val="en-US"/>
        </w:rPr>
        <w:t>s how water flows through the Canadian economic metabolism (Agrawal et al., 2021), differentiating between surface and ground water and mine dewatering being consumed or discharged in sectors including agriculture</w:t>
      </w:r>
      <w:r w:rsidRPr="00E4360C">
        <w:rPr>
          <w:lang w:val="en-US"/>
        </w:rPr>
        <w:t xml:space="preserve"> </w:t>
      </w:r>
      <w:r w:rsidR="00E4360C">
        <w:rPr>
          <w:lang w:val="en-US"/>
        </w:rPr>
        <w:t xml:space="preserve">and </w:t>
      </w:r>
      <w:r w:rsidRPr="00E4360C">
        <w:rPr>
          <w:lang w:val="en-US"/>
        </w:rPr>
        <w:t>residential use</w:t>
      </w:r>
      <w:r w:rsidR="00E4360C">
        <w:rPr>
          <w:lang w:val="en-US"/>
        </w:rPr>
        <w:t>,</w:t>
      </w:r>
      <w:r w:rsidRPr="00E4360C">
        <w:rPr>
          <w:lang w:val="en-US"/>
        </w:rPr>
        <w:t xml:space="preserve"> the power sector and manufacturing. </w:t>
      </w:r>
      <w:r w:rsidR="0057313A" w:rsidRPr="6CE44234">
        <w:rPr>
          <w:lang w:val="en-US"/>
        </w:rPr>
        <w:fldChar w:fldCharType="begin"/>
      </w:r>
      <w:r w:rsidR="0057313A" w:rsidRPr="6CE44234">
        <w:rPr>
          <w:lang w:val="en-US"/>
        </w:rPr>
        <w:instrText xml:space="preserve"> ADDIN ZOTERO_ITEM CSL_CITATION {"citationID":"0390xlO7","properties":{"formattedCitation":"(Lehrman, 2018)","plainCitation":"(Lehrman, 2018)","noteIndex":0},"citationItems":[{"id":52,"uris":["http://zotero.org/users/1226784/items/PFVLUDMD"],"itemData":{"id":52,"type":"article-journal","abstract":"Creating resilience for urban water supply systems requires innovative thematic visualizations of the interface between infrastructure, ecology, and culture to viscerally engage lay audiences in the policy making process. Sankey maps (a hybrid Sankey diagram/flow map) embed the systemic accounting of flows between sources and sinks into a spatial framework. This allows a hierarchy of visual variables to encode environmental conditions and historical data, providing a rich multivariate context supporting public discourse, policy making, and system operations. The article features a Sankey map of the Los Angeles Aqueduct system (California, USA) (not to scale).","container-title":"Journal of Maps","DOI":"10.1080/17445647.2018.1473815","ISSN":"null","issue":"1","page":"52-64","source":"Taylor and Francis+NEJM","title":"Visualizing water infrastructure with Sankey maps: a case study of mapping the Los Angeles Aqueduct, California","title-short":"Visualizing water infrastructure with Sankey maps","volume":"14","author":[{"family":"Lehrman","given":"Barry"}],"issued":{"date-parts":[["2018",1,1]]}}}],"schema":"https://github.com/citation-style-language/schema/raw/master/csl-citation.json"} </w:instrText>
      </w:r>
      <w:r w:rsidR="0057313A" w:rsidRPr="6CE44234">
        <w:rPr>
          <w:lang w:val="en-US"/>
        </w:rPr>
        <w:fldChar w:fldCharType="separate"/>
      </w:r>
      <w:r w:rsidRPr="6CE44234">
        <w:rPr>
          <w:rFonts w:ascii="Calibri" w:hAnsi="Calibri" w:cs="Calibri"/>
        </w:rPr>
        <w:t>(Lehrman, 2018)</w:t>
      </w:r>
      <w:r w:rsidR="0057313A" w:rsidRPr="6CE44234">
        <w:rPr>
          <w:lang w:val="en-US"/>
        </w:rPr>
        <w:fldChar w:fldCharType="end"/>
      </w:r>
      <w:r w:rsidRPr="00E4360C">
        <w:rPr>
          <w:lang w:val="en-US"/>
        </w:rPr>
        <w:t xml:space="preserve"> tackles the challenges to bridge the gap between geospatial, enviro-hydrological and economic metabolism data showing how complex a Sankey representation of water flows can get. </w:t>
      </w:r>
      <w:r w:rsidRPr="6CE44234">
        <w:rPr>
          <w:lang w:val="en-US"/>
        </w:rPr>
        <w:t>In contrast to approaches including available or environmental water flows, anthropocentric bulk water flows could consider</w:t>
      </w:r>
      <w:r w:rsidR="00E4360C">
        <w:rPr>
          <w:lang w:val="en-US"/>
        </w:rPr>
        <w:t xml:space="preserve"> narrower system boundaries</w:t>
      </w:r>
      <w:r w:rsidRPr="6CE44234">
        <w:rPr>
          <w:lang w:val="en-US"/>
        </w:rPr>
        <w:t xml:space="preserve">. Anthropocentric bulk water flows include public (or municipal) water supply, irrigation, industrial processes and cooling of electric power plants </w:t>
      </w:r>
      <w:r w:rsidR="00E4360C">
        <w:rPr>
          <w:lang w:val="en-US"/>
        </w:rPr>
        <w:fldChar w:fldCharType="begin"/>
      </w:r>
      <w:r w:rsidR="00E4360C">
        <w:rPr>
          <w:lang w:val="en-US"/>
        </w:rPr>
        <w:instrText xml:space="preserve"> ADDIN ZOTERO_ITEM CSL_CITATION {"citationID":"MwM4jRRQ","properties":{"formattedCitation":"(OECD, 2022)","plainCitation":"(OECD, 2022)","noteIndex":0},"citationItems":[{"id":7594,"uris":["http://zotero.org/users/1226784/items/AQY5JKI5"],"itemData":{"id":7594,"type":"webpage","abstract":"Find, compare and share OECD data by indicator.","container-title":"theOECD","language":"en","title":"Water - Water withdrawals - OECD Data","URL":"http://data.oecd.org/water/water-withdrawals.htm","author":[{"family":"OECD","given":""}],"accessed":{"date-parts":[["2022",4,1]]},"issued":{"date-parts":[["2022"]]}}}],"schema":"https://github.com/citation-style-language/schema/raw/master/csl-citation.json"} </w:instrText>
      </w:r>
      <w:r w:rsidR="00E4360C">
        <w:rPr>
          <w:lang w:val="en-US"/>
        </w:rPr>
        <w:fldChar w:fldCharType="separate"/>
      </w:r>
      <w:r w:rsidR="00E4360C" w:rsidRPr="00E4360C">
        <w:rPr>
          <w:rFonts w:ascii="Calibri" w:hAnsi="Calibri" w:cs="Calibri"/>
        </w:rPr>
        <w:t>(OECD, 2022)</w:t>
      </w:r>
      <w:r w:rsidR="00E4360C">
        <w:rPr>
          <w:lang w:val="en-US"/>
        </w:rPr>
        <w:fldChar w:fldCharType="end"/>
      </w:r>
      <w:r w:rsidRPr="6CE44234">
        <w:rPr>
          <w:lang w:val="en-US"/>
        </w:rPr>
        <w:t>, from withdrawal via uses, reclamation and reuses, losses and discharges.</w:t>
      </w:r>
      <w:r w:rsidR="00E4360C">
        <w:rPr>
          <w:lang w:val="en-US"/>
        </w:rPr>
        <w:t xml:space="preserve"> </w:t>
      </w:r>
      <w:r w:rsidRPr="6CE44234">
        <w:rPr>
          <w:lang w:val="en-US"/>
        </w:rPr>
        <w:t>Similarly, the WORLD BANK and FAOSTAT databases differentiate between domestic, agricultural and industrial water uses. Integrating these would include the human demand and the available wastewater flows, which represent a largely un-utili</w:t>
      </w:r>
      <w:r w:rsidR="0038503E">
        <w:rPr>
          <w:lang w:val="en-US"/>
        </w:rPr>
        <w:t>z</w:t>
      </w:r>
      <w:r w:rsidRPr="6CE44234">
        <w:rPr>
          <w:lang w:val="en-US"/>
        </w:rPr>
        <w:t xml:space="preserve">ed resource of secondary productive water and nutrients. </w:t>
      </w:r>
      <w:r w:rsidR="0038503E">
        <w:rPr>
          <w:lang w:val="en-US"/>
        </w:rPr>
        <w:t>W</w:t>
      </w:r>
      <w:r w:rsidRPr="6CE44234">
        <w:rPr>
          <w:lang w:val="en-US"/>
        </w:rPr>
        <w:t xml:space="preserve">astewater flows </w:t>
      </w:r>
      <w:r w:rsidR="0038503E">
        <w:rPr>
          <w:lang w:val="en-US"/>
        </w:rPr>
        <w:t xml:space="preserve">should be differentiated </w:t>
      </w:r>
      <w:r w:rsidRPr="6CE44234">
        <w:rPr>
          <w:lang w:val="en-US"/>
        </w:rPr>
        <w:t>by sector</w:t>
      </w:r>
      <w:r w:rsidR="0038503E">
        <w:rPr>
          <w:lang w:val="en-US"/>
        </w:rPr>
        <w:t xml:space="preserve">s including </w:t>
      </w:r>
      <w:r w:rsidRPr="6CE44234">
        <w:rPr>
          <w:lang w:val="en-US"/>
        </w:rPr>
        <w:t>municipal, agricultural</w:t>
      </w:r>
      <w:r w:rsidR="0038503E">
        <w:rPr>
          <w:lang w:val="en-US"/>
        </w:rPr>
        <w:t xml:space="preserve"> and industries </w:t>
      </w:r>
      <w:r w:rsidRPr="6CE44234">
        <w:rPr>
          <w:lang w:val="en-US"/>
        </w:rPr>
        <w:t xml:space="preserve">and </w:t>
      </w:r>
      <w:r w:rsidR="0038503E">
        <w:rPr>
          <w:lang w:val="en-US"/>
        </w:rPr>
        <w:t>should be allocated to individual</w:t>
      </w:r>
      <w:r w:rsidRPr="6CE44234">
        <w:rPr>
          <w:lang w:val="en-US"/>
        </w:rPr>
        <w:t xml:space="preserve"> industrial </w:t>
      </w:r>
      <w:r w:rsidRPr="6CE44234">
        <w:rPr>
          <w:lang w:val="en-US"/>
        </w:rPr>
        <w:lastRenderedPageBreak/>
        <w:t>processes</w:t>
      </w:r>
      <w:r w:rsidR="0038503E">
        <w:rPr>
          <w:lang w:val="en-US"/>
        </w:rPr>
        <w:t xml:space="preserve"> (including energy conversion). Such a representation could</w:t>
      </w:r>
      <w:r w:rsidRPr="6CE44234">
        <w:rPr>
          <w:lang w:val="en-US"/>
        </w:rPr>
        <w:t xml:space="preserve"> indicate secondary water availability for uses </w:t>
      </w:r>
      <w:r w:rsidR="0038503E">
        <w:rPr>
          <w:lang w:val="en-US"/>
        </w:rPr>
        <w:t>in</w:t>
      </w:r>
      <w:r w:rsidRPr="6CE44234">
        <w:rPr>
          <w:lang w:val="en-US"/>
        </w:rPr>
        <w:t xml:space="preserve"> agricultural irrigation</w:t>
      </w:r>
      <w:r w:rsidR="0038503E">
        <w:rPr>
          <w:lang w:val="en-US"/>
        </w:rPr>
        <w:t>. For example, nature-based solutions could recycle significant volumes of</w:t>
      </w:r>
      <w:r w:rsidRPr="6CE44234">
        <w:rPr>
          <w:lang w:val="en-US"/>
        </w:rPr>
        <w:t xml:space="preserve"> municipal wastewater</w:t>
      </w:r>
      <w:r w:rsidR="00E4360C">
        <w:rPr>
          <w:lang w:val="en-US"/>
        </w:rPr>
        <w:t xml:space="preserve"> </w:t>
      </w:r>
      <w:r w:rsidR="00E4360C">
        <w:rPr>
          <w:lang w:val="en-US"/>
        </w:rPr>
        <w:fldChar w:fldCharType="begin"/>
      </w:r>
      <w:r w:rsidR="00E4360C">
        <w:rPr>
          <w:lang w:val="en-US"/>
        </w:rPr>
        <w:instrText xml:space="preserve"> ADDIN ZOTERO_ITEM CSL_CITATION {"citationID":"g393OLSQ","properties":{"formattedCitation":"(Kisser et al., 2020)","plainCitation":"(Kisser et al., 2020)","noteIndex":0},"citationItems":[{"id":7596,"uris":["http://zotero.org/users/1226784/items/IFGVUHZJ"],"itemData":{"id":7596,"type":"article-journal","abstract":"Abstract\n            Our modern cities are resource sinks designed on the current linear economic model which recovers very little of the original input. As the current model is not sustainable, a viable solution is to recover and reuse parts of the input. In this context, resource recovery using nature-based solutions (NBS) is gaining popularity worldwide. In this specific review, we focus on NBS as technologies that bring nature into cities and those that are derived from nature, using (micro)organisms as principal agents, provided they enable resource recovery. The findings presented in this work are based on an extensive literature review, as well as on original results of recent innovation projects across Europe. The case studies were collected by participants of the COST Action Circular City, which includes a portfolio of more than 92 projects. The present review article focuses on urban wastewater, industrial wastewater, municipal solid waste and gaseous effluents, the recoverable products (e.g., nutrients, nanoparticles, energy), as well as the implications of source-separation and circularity by design. The analysis also includes assessment of the maturity of different technologies (technology readiness level) and the barriers that need to be overcome to accelerate the transition to resilient, self-sustainable cities of the future.","container-title":"Blue-Green Systems","DOI":"10.2166/bgs.2020.930","ISSN":"2617-4782","issue":"1","language":"en","page":"138-172","source":"DOI.org (Crossref)","title":"A review of nature-based solutions for resource recovery in cities","volume":"2","author":[{"family":"Kisser","given":"Johannes"},{"family":"Wirth","given":"Maria"},{"family":"De Gusseme","given":"Bart"},{"family":"Van Eekert","given":"Miriam"},{"family":"Zeeman","given":"Grietje"},{"family":"Schoenborn","given":"Andreas"},{"family":"Vinnerås","given":"Björn"},{"family":"Finger","given":"David C."},{"family":"Kolbl Repinc","given":"Sabina"},{"family":"Bulc","given":"Tjaša Griessler"},{"family":"Bani","given":"Aida"},{"family":"Pavlova","given":"Dolja"},{"family":"Staicu","given":"Lucian C."},{"family":"Atasoy","given":"Merve"},{"family":"Cetecioglu","given":"Zeynep"},{"family":"Kokko","given":"Marika"},{"family":"Haznedaroglu","given":"Berat Z."},{"family":"Hansen","given":"Joachim"},{"family":"Istenič","given":"Darja"},{"family":"Canga","given":"Eriona"},{"family":"Malamis","given":"Simos"},{"family":"Camilleri-Fenech","given":"Margaret"},{"family":"Beesley","given":"Luke"}],"issued":{"date-parts":[["2020",1,1]]}}}],"schema":"https://github.com/citation-style-language/schema/raw/master/csl-citation.json"} </w:instrText>
      </w:r>
      <w:r w:rsidR="00E4360C">
        <w:rPr>
          <w:lang w:val="en-US"/>
        </w:rPr>
        <w:fldChar w:fldCharType="separate"/>
      </w:r>
      <w:r w:rsidR="00E4360C" w:rsidRPr="00E4360C">
        <w:rPr>
          <w:rFonts w:ascii="Calibri" w:hAnsi="Calibri" w:cs="Calibri"/>
        </w:rPr>
        <w:t>(Kisser et al., 2020)</w:t>
      </w:r>
      <w:r w:rsidR="00E4360C">
        <w:rPr>
          <w:lang w:val="en-US"/>
        </w:rPr>
        <w:fldChar w:fldCharType="end"/>
      </w:r>
      <w:r w:rsidR="00E4360C">
        <w:rPr>
          <w:lang w:val="en-US"/>
        </w:rPr>
        <w:t>.</w:t>
      </w:r>
    </w:p>
    <w:p w14:paraId="2179D7E5" w14:textId="06B9CCCE" w:rsidR="0038503E" w:rsidRDefault="0038503E" w:rsidP="008C5B03">
      <w:pPr>
        <w:pStyle w:val="Listenabsatz"/>
        <w:spacing w:after="120" w:line="360" w:lineRule="auto"/>
        <w:ind w:left="0"/>
        <w:contextualSpacing w:val="0"/>
        <w:rPr>
          <w:lang w:val="en-US"/>
        </w:rPr>
      </w:pPr>
      <w:r>
        <w:rPr>
          <w:lang w:val="en-US"/>
        </w:rPr>
        <w:t xml:space="preserve">Furthermore, the current version of the Sankey </w:t>
      </w:r>
      <w:r w:rsidR="008C5B03">
        <w:rPr>
          <w:lang w:val="en-US"/>
        </w:rPr>
        <w:t>diagram</w:t>
      </w:r>
      <w:r>
        <w:rPr>
          <w:lang w:val="en-US"/>
        </w:rPr>
        <w:t xml:space="preserve"> only differentiates between biomass from agriculture, fishery,</w:t>
      </w:r>
      <w:r w:rsidR="6CE44234" w:rsidRPr="6CE44234">
        <w:rPr>
          <w:lang w:val="en-US"/>
        </w:rPr>
        <w:t xml:space="preserve"> and aquaculture for food purposes. </w:t>
      </w:r>
      <w:proofErr w:type="gramStart"/>
      <w:r>
        <w:rPr>
          <w:lang w:val="en-US"/>
        </w:rPr>
        <w:t>Especially</w:t>
      </w:r>
      <w:proofErr w:type="gramEnd"/>
      <w:r w:rsidR="6CE44234" w:rsidRPr="6CE44234">
        <w:rPr>
          <w:lang w:val="en-US"/>
        </w:rPr>
        <w:t xml:space="preserve"> </w:t>
      </w:r>
      <w:r>
        <w:rPr>
          <w:lang w:val="en-US"/>
        </w:rPr>
        <w:t xml:space="preserve">to inform anthropocentric transformation strategies based on circular bioeconomy measures, a more detailed representation of </w:t>
      </w:r>
    </w:p>
    <w:p w14:paraId="1AF0885A" w14:textId="46DFEC0C" w:rsidR="00585C00" w:rsidRPr="00E4360C" w:rsidRDefault="0038503E" w:rsidP="008C5B03">
      <w:pPr>
        <w:pStyle w:val="Listenabsatz"/>
        <w:spacing w:after="120" w:line="360" w:lineRule="auto"/>
        <w:ind w:left="0"/>
        <w:contextualSpacing w:val="0"/>
        <w:rPr>
          <w:rFonts w:ascii="Calibri" w:hAnsi="Calibri" w:cs="Calibri"/>
        </w:rPr>
      </w:pPr>
      <w:r>
        <w:rPr>
          <w:lang w:val="en-US"/>
        </w:rPr>
        <w:t xml:space="preserve">the flows of </w:t>
      </w:r>
      <w:r w:rsidR="6CE44234" w:rsidRPr="6CE44234">
        <w:rPr>
          <w:lang w:val="en-US"/>
        </w:rPr>
        <w:t>plant macronutrients</w:t>
      </w:r>
      <w:r>
        <w:rPr>
          <w:lang w:val="en-US"/>
        </w:rPr>
        <w:t xml:space="preserve"> including</w:t>
      </w:r>
      <w:r w:rsidR="6CE44234" w:rsidRPr="6CE44234">
        <w:rPr>
          <w:lang w:val="en-US"/>
        </w:rPr>
        <w:t xml:space="preserve"> nitrogen (N), phosphorus (P) and potassium (K), </w:t>
      </w:r>
      <w:r>
        <w:rPr>
          <w:lang w:val="en-US"/>
        </w:rPr>
        <w:t>or the basic building blocks</w:t>
      </w:r>
      <w:r w:rsidR="6CE44234" w:rsidRPr="6CE44234">
        <w:rPr>
          <w:lang w:val="en-US"/>
        </w:rPr>
        <w:t xml:space="preserve"> </w:t>
      </w:r>
      <w:r>
        <w:rPr>
          <w:lang w:val="en-US"/>
        </w:rPr>
        <w:t xml:space="preserve">including </w:t>
      </w:r>
      <w:r w:rsidR="6CE44234" w:rsidRPr="6CE44234">
        <w:rPr>
          <w:lang w:val="en-US"/>
        </w:rPr>
        <w:t xml:space="preserve">proteins, </w:t>
      </w:r>
      <w:r>
        <w:rPr>
          <w:lang w:val="en-US"/>
        </w:rPr>
        <w:t xml:space="preserve">fat, oils, </w:t>
      </w:r>
      <w:proofErr w:type="spellStart"/>
      <w:r>
        <w:rPr>
          <w:lang w:val="en-US"/>
        </w:rPr>
        <w:t>fibres</w:t>
      </w:r>
      <w:proofErr w:type="spellEnd"/>
      <w:r w:rsidR="6CE44234" w:rsidRPr="6CE44234">
        <w:rPr>
          <w:lang w:val="en-US"/>
        </w:rPr>
        <w:t xml:space="preserve"> and sugars</w:t>
      </w:r>
      <w:r>
        <w:rPr>
          <w:lang w:val="en-US"/>
        </w:rPr>
        <w:t xml:space="preserve"> would be beneficial</w:t>
      </w:r>
      <w:r w:rsidR="6CE44234" w:rsidRPr="6CE44234">
        <w:rPr>
          <w:lang w:val="en-US"/>
        </w:rPr>
        <w:t xml:space="preserve">. Sankey diagrams can provide insights </w:t>
      </w:r>
      <w:r>
        <w:rPr>
          <w:lang w:val="en-US"/>
        </w:rPr>
        <w:t>in</w:t>
      </w:r>
      <w:r w:rsidR="6CE44234" w:rsidRPr="6CE44234">
        <w:rPr>
          <w:lang w:val="en-US"/>
        </w:rPr>
        <w:t xml:space="preserve">to demands and primary and secondary nutrient sources </w:t>
      </w:r>
      <w:r>
        <w:rPr>
          <w:lang w:val="en-US"/>
        </w:rPr>
        <w:t>and</w:t>
      </w:r>
      <w:r w:rsidR="6CE44234" w:rsidRPr="6CE44234">
        <w:rPr>
          <w:lang w:val="en-US"/>
        </w:rPr>
        <w:t xml:space="preserve"> </w:t>
      </w:r>
      <w:r>
        <w:rPr>
          <w:lang w:val="en-US"/>
        </w:rPr>
        <w:t>potential nutrient cycles that must be closed</w:t>
      </w:r>
      <w:r w:rsidR="6CE44234" w:rsidRPr="6CE44234">
        <w:rPr>
          <w:lang w:val="en-US"/>
        </w:rPr>
        <w:t xml:space="preserve">. For example, the substance flow analysis and Sankey diagram </w:t>
      </w:r>
      <w:r>
        <w:rPr>
          <w:lang w:val="en-US"/>
        </w:rPr>
        <w:t>by</w:t>
      </w:r>
      <w:r w:rsidR="6CE44234" w:rsidRPr="6CE44234">
        <w:rPr>
          <w:lang w:val="en-US"/>
        </w:rPr>
        <w:t xml:space="preserve"> </w:t>
      </w:r>
      <w:r w:rsidR="0A0C4D98" w:rsidRPr="6CE44234">
        <w:rPr>
          <w:lang w:val="en-US"/>
        </w:rPr>
        <w:fldChar w:fldCharType="begin"/>
      </w:r>
      <w:r w:rsidR="0A0C4D98" w:rsidRPr="6CE44234">
        <w:rPr>
          <w:lang w:val="en-US"/>
        </w:rPr>
        <w:instrText xml:space="preserve"> ADDIN ZOTERO_ITEM CSL_CITATION {"citationID":"kJDObojU","properties":{"formattedCitation":"(Wirth et al., 2021)","plainCitation":"(Wirth et al., 2021)","noteIndex":0},"citationItems":[{"id":7404,"uris":["http://zotero.org/users/1226784/items/WVPZRU4G"],"itemData":{"id":7404,"type":"article-journal","abstract":"The present food system is characterized by a linear flow of resources from rural areas into cities, where most food is consumed and essential nutrients discharged as wastewater. Limited water and phosphorus resources and large carbon footprints of chemical fertilizers drive increased recovery of water and nutrients for reuse in agriculture. Alongside end-of-pipe technologies at conventional wastewater treatment plants, nature-based solutions provide a robust and low-energy alternative solution. This paper assesses the potential of treatment processes using NBS to close water and nutrient cycles in the urban food system. A Substance Flow Analysis approach is used to quantify the recoverable urban nutrient (nitrogen, phosphorus, potassium) budget contained in household wastewater and biodegradable kitchen waste, using the city of Vienna, Austria, as an example. The developed model reflects the metabolization of water and nutrients by treatment wetlands and biogas digesters into fertigation water and fertilizer. It differentiates between specific crop nutrient requirements and yields, and by greenhouse and outdoor farming conditions in a temperate climate. Results indicate that, using NBS, the wastewater and kitchen waste from 77,250 persons could fully cover the nitrogen and phosphorus fertilizer demand of the entire vegetable production in Vienna, which currently supplies one-third of Vienna’s vegetable consumption. Additional people connected to the system can supply significant excess nutrients to produce other crops within and beyond the city. The model can inform selection and design of NBS for nutrient recovery and reuse, and support integrated planning regarding use of secondary nutrient sources and optimization of secondary nutrient utilization.","container-title":"Circular Economy and Sustainability","DOI":"10.1007/s43615-021-00081-6","ISSN":"2730-5988","issue":"3","journalAbbreviation":"Circ.Econ.Sust.","language":"en","page":"1147-1164","source":"Springer Link","title":"Potential Nutrient Conversion Using Nature-Based Solutions in Cities and Utilization Concepts to Create Circular Urban Food Systems","volume":"1","author":[{"family":"Wirth","given":"Maria"},{"family":"Vobruba","given":"Tamara"},{"family":"Hartl","given":"Marco"},{"family":"Kisser","given":"Johannes"}],"issued":{"date-parts":[["2021",11,1]]}}}],"schema":"https://github.com/citation-style-language/schema/raw/master/csl-citation.json"} </w:instrText>
      </w:r>
      <w:r w:rsidR="0A0C4D98" w:rsidRPr="6CE44234">
        <w:rPr>
          <w:lang w:val="en-US"/>
        </w:rPr>
        <w:fldChar w:fldCharType="separate"/>
      </w:r>
      <w:r w:rsidR="6CE44234" w:rsidRPr="6CE44234">
        <w:rPr>
          <w:rFonts w:ascii="Calibri" w:hAnsi="Calibri" w:cs="Calibri"/>
        </w:rPr>
        <w:t>(Wirth et al., 2021)</w:t>
      </w:r>
      <w:r w:rsidR="0A0C4D98" w:rsidRPr="6CE44234">
        <w:rPr>
          <w:lang w:val="en-US"/>
        </w:rPr>
        <w:fldChar w:fldCharType="end"/>
      </w:r>
      <w:r w:rsidR="6CE44234" w:rsidRPr="6CE44234">
        <w:rPr>
          <w:rFonts w:ascii="Calibri" w:hAnsi="Calibri" w:cs="Calibri"/>
        </w:rPr>
        <w:t xml:space="preserve"> illustrate the </w:t>
      </w:r>
      <w:r>
        <w:rPr>
          <w:rFonts w:ascii="Calibri" w:hAnsi="Calibri" w:cs="Calibri"/>
        </w:rPr>
        <w:t>considerabl</w:t>
      </w:r>
      <w:r w:rsidR="6CE44234" w:rsidRPr="6CE44234">
        <w:rPr>
          <w:rFonts w:ascii="Calibri" w:hAnsi="Calibri" w:cs="Calibri"/>
        </w:rPr>
        <w:t>e potential of cities, which currently represent nutrient sinks, to recover nutrients and make them available for agricultural production</w:t>
      </w:r>
      <w:r>
        <w:rPr>
          <w:rFonts w:ascii="Calibri" w:hAnsi="Calibri" w:cs="Calibri"/>
        </w:rPr>
        <w:t>. Wastewater could be a significant source of inputs to food production. Therefore, Sankey diagrams on macroeconomic resource flows should include this resource flow to inform mainly circular Bioeconomy based transformation strategies.</w:t>
      </w:r>
    </w:p>
    <w:p w14:paraId="5A837AEE" w14:textId="24F6AB72" w:rsidR="00AD3063" w:rsidRDefault="00290155" w:rsidP="008C5B03">
      <w:pPr>
        <w:pStyle w:val="Listenabsatz"/>
        <w:spacing w:after="120" w:line="360" w:lineRule="auto"/>
        <w:ind w:left="0"/>
        <w:contextualSpacing w:val="0"/>
        <w:rPr>
          <w:lang w:val="en-US"/>
        </w:rPr>
      </w:pPr>
      <w:r w:rsidRPr="00F94C2A">
        <w:rPr>
          <w:lang w:val="en-US"/>
        </w:rPr>
        <w:t xml:space="preserve">Other resource flows and </w:t>
      </w:r>
      <w:r w:rsidR="00A567B0" w:rsidRPr="00F94C2A">
        <w:rPr>
          <w:lang w:val="en-US"/>
        </w:rPr>
        <w:t>measurement units</w:t>
      </w:r>
      <w:r w:rsidR="00A567B0">
        <w:rPr>
          <w:b/>
          <w:lang w:val="en-US"/>
        </w:rPr>
        <w:t xml:space="preserve"> </w:t>
      </w:r>
      <w:r w:rsidR="00A567B0">
        <w:rPr>
          <w:lang w:val="en-US"/>
        </w:rPr>
        <w:t>that can and have been used in Sankey illustrations include</w:t>
      </w:r>
      <w:r w:rsidR="0038503E">
        <w:rPr>
          <w:lang w:val="en-US"/>
        </w:rPr>
        <w:t>,</w:t>
      </w:r>
      <w:r w:rsidR="00A567B0">
        <w:rPr>
          <w:lang w:val="en-US"/>
        </w:rPr>
        <w:t xml:space="preserve"> first and foremost </w:t>
      </w:r>
      <w:r w:rsidR="00A567B0" w:rsidRPr="00F94C2A">
        <w:rPr>
          <w:b/>
          <w:lang w:val="en-US"/>
        </w:rPr>
        <w:t>monetary flows</w:t>
      </w:r>
      <w:r w:rsidR="00A567B0">
        <w:rPr>
          <w:lang w:val="en-US"/>
        </w:rPr>
        <w:t xml:space="preserve">. The </w:t>
      </w:r>
      <w:proofErr w:type="spellStart"/>
      <w:r w:rsidR="00A567B0">
        <w:rPr>
          <w:lang w:val="en-US"/>
        </w:rPr>
        <w:t>Exiobase</w:t>
      </w:r>
      <w:proofErr w:type="spellEnd"/>
      <w:r w:rsidR="00A567B0">
        <w:rPr>
          <w:lang w:val="en-US"/>
        </w:rPr>
        <w:t xml:space="preserve"> database is primarily constructed based on </w:t>
      </w:r>
      <w:r w:rsidR="0038503E">
        <w:rPr>
          <w:lang w:val="en-US"/>
        </w:rPr>
        <w:t>economic</w:t>
      </w:r>
      <w:r w:rsidR="00A567B0">
        <w:rPr>
          <w:lang w:val="en-US"/>
        </w:rPr>
        <w:t xml:space="preserve"> flows, mass and volume units are derived</w:t>
      </w:r>
      <w:r w:rsidR="00B468C9">
        <w:rPr>
          <w:lang w:val="en-US"/>
        </w:rPr>
        <w:t xml:space="preserve"> </w:t>
      </w:r>
      <w:r w:rsidR="00B468C9" w:rsidRPr="0019550A">
        <w:rPr>
          <w:lang w:val="en-US"/>
        </w:rPr>
        <w:fldChar w:fldCharType="begin"/>
      </w:r>
      <w:r w:rsidR="00B468C9" w:rsidRPr="0019550A">
        <w:rPr>
          <w:lang w:val="en-US"/>
        </w:rPr>
        <w:instrText xml:space="preserve"> ADDIN ZOTERO_ITEM CSL_CITATION {"citationID":"lbk7ToaU","properties":{"formattedCitation":"(Aguilar-Hernandez et al., 2019)","plainCitation":"(Aguilar-Hernandez et al., 2019)","noteIndex":0},"citationItems":[{"id":5622,"uris":["http://zotero.org/users/1226784/items/6VLXM8VP"],"itemData":{"id":5622,"type":"article-journal","abstract":"Due to increased policy attention on circular economy strategies, many studies have quantified material use and recovery at national and global scales. However, there has been no quantitative analysis of the unrecovered waste that can be potentially reintegrated into the economy as materials or products. This can be interpreted as the gap of material circularity. In this paper we define the circularity gap of a country as the generated waste, plus old materials removed from stocks and durable products disposed (i.e. stock depletion), minus recovered waste. We estimated the circularity gap of 43 nations and 5 rest of the world regions in 2011, using the global, multiregional hybrid-units input-output database EXIOBASE v3.3. Our results show the trends of circularity gap in accordance to each region. For example, the circularity gaps of Europe and North America were between 1.6–2.2 tonnes per capita (t/cap), which are more than twice the global average gap (0.8 t/cap). Although these regions presented the major amount of material recovery, their circularity gaps were mostly related to the levels of stock depletion. In Africa and Asia-Pacific regions, the circularity gap was characterized by a low degree of recovery and stock depletion, with high levels of generated waste. Moreover, we discuss which intervention types can be implemented to minimize the circularity gap of nations.","container-title":"Resources, Conservation and Recycling","DOI":"10.1016/j.resconrec.2019.104452","ISSN":"0921-3449","journalAbbreviation":"Resources, Conservation and Recycling","language":"en","page":"104452","source":"ScienceDirect","title":"The circularity gap of nations: A multiregional analysis of waste generation, recovery, and stock depletion in 2011","title-short":"The circularity gap of nations","volume":"151","author":[{"family":"Aguilar-Hernandez","given":"Glenn A."},{"family":"Sigüenza-Sanchez","given":"Carlos Pablo"},{"family":"Donati","given":"Franco"},{"family":"Merciai","given":"Stefano"},{"family":"Schmidt","given":"Jannick"},{"family":"Rodrigues","given":"João F. D."},{"family":"Tukker","given":"Arnold"}],"issued":{"date-parts":[["2019",12,1]]}}}],"schema":"https://github.com/citation-style-language/schema/raw/master/csl-citation.json"} </w:instrText>
      </w:r>
      <w:r w:rsidR="00B468C9" w:rsidRPr="0019550A">
        <w:rPr>
          <w:lang w:val="en-US"/>
        </w:rPr>
        <w:fldChar w:fldCharType="separate"/>
      </w:r>
      <w:r w:rsidR="00B468C9" w:rsidRPr="0019550A">
        <w:rPr>
          <w:rFonts w:ascii="Calibri" w:hAnsi="Calibri" w:cs="Calibri"/>
        </w:rPr>
        <w:t>(Aguilar-Hernandez et al., 2019)</w:t>
      </w:r>
      <w:r w:rsidR="00B468C9" w:rsidRPr="0019550A">
        <w:rPr>
          <w:lang w:val="en-US"/>
        </w:rPr>
        <w:fldChar w:fldCharType="end"/>
      </w:r>
      <w:r w:rsidR="00A567B0" w:rsidRPr="0019550A">
        <w:rPr>
          <w:lang w:val="en-US"/>
        </w:rPr>
        <w:t>. A</w:t>
      </w:r>
      <w:r w:rsidR="00A567B0">
        <w:rPr>
          <w:lang w:val="en-US"/>
        </w:rPr>
        <w:t xml:space="preserve"> </w:t>
      </w:r>
      <w:r w:rsidR="0038503E">
        <w:rPr>
          <w:lang w:val="en-US"/>
        </w:rPr>
        <w:t>financial</w:t>
      </w:r>
      <w:r w:rsidR="00A567B0">
        <w:rPr>
          <w:lang w:val="en-US"/>
        </w:rPr>
        <w:t xml:space="preserve"> perspective is of particular interest</w:t>
      </w:r>
      <w:r w:rsidR="0038503E">
        <w:rPr>
          <w:lang w:val="en-US"/>
        </w:rPr>
        <w:t>,</w:t>
      </w:r>
      <w:r w:rsidR="00A567B0">
        <w:rPr>
          <w:lang w:val="en-US"/>
        </w:rPr>
        <w:t xml:space="preserve"> e.g. for pharmaceutical products in the bio-based flows or for precious metals and rare earth, which might exhibit </w:t>
      </w:r>
      <w:r w:rsidR="00F94C2A">
        <w:rPr>
          <w:lang w:val="en-US"/>
        </w:rPr>
        <w:t xml:space="preserve">low volumetric or mass flows but considerable monetary flows. On the other hand, this perspective can only illustrate flows </w:t>
      </w:r>
      <w:r w:rsidR="0038503E">
        <w:rPr>
          <w:lang w:val="en-US"/>
        </w:rPr>
        <w:t>with a price tag and disregards significant streams of wood flows that</w:t>
      </w:r>
      <w:r w:rsidR="00F94C2A">
        <w:rPr>
          <w:lang w:val="en-US"/>
        </w:rPr>
        <w:t xml:space="preserve"> never enter any market</w:t>
      </w:r>
      <w:r w:rsidR="00D43E65">
        <w:rPr>
          <w:lang w:val="en-US"/>
        </w:rPr>
        <w:t xml:space="preserve"> </w:t>
      </w:r>
      <w:r w:rsidR="00D43E65" w:rsidRPr="00D43E65">
        <w:rPr>
          <w:lang w:val="en-US"/>
        </w:rPr>
        <w:fldChar w:fldCharType="begin"/>
      </w:r>
      <w:r w:rsidR="00E95283">
        <w:rPr>
          <w:lang w:val="en-US"/>
        </w:rPr>
        <w:instrText xml:space="preserve"> ADDIN ZOTERO_ITEM CSL_CITATION {"citationID":"JwIWUWxE","properties":{"formattedCitation":"(Mantau, 2015)","plainCitation":"(Mantau, 2015)","noteIndex":0},"citationItems":[{"id":5293,"uris":["http://zotero.org/users/1226784/items/C7Q25R4E"],"itemData":{"id":5293,"type":"article-journal","abstract":"Raw materials assume different forms during their use and thereby develop a multiplicity of effects upon the political environment. This article demonstrates the method of sectoral mass flow analysis using the example of the raw material wood. Under conditions of limited resources, market analysis methods must change from single flow analysis in an open (unlimited) system to interactive flow analysis in a closed (limited) system. The method of the wood resource balance is introduced, with its basic elements of resource monitoring, bottom-up approach, data counterchecking and conversion factors. The method is applicable for manifold research topics. This is shown in three examples. The wood flow analysis represents a total resource assessment including all wood products in all process steps from forest to disposal. Based on the wood flow analysis, calculation schemes show how cascading factors can be calculated on a constant basis. Finally the CO2 effects of total wood use are calculated on a continuous basis.","collection-title":"The 22nd European Biomass Conference and Exhibition held in Hamburg, June 2014","container-title":"Biomass and Bioenergy","DOI":"10.1016/j.biombioe.2014.08.013","ISSN":"0961-9534","journalAbbreviation":"Biomass and Bioenergy","language":"en","page":"28-38","source":"ScienceDirect","title":"Wood flow analysis: Quantification of resource potentials, cascades and carbon effects","title-short":"Wood flow analysis","volume":"79","author":[{"family":"Mantau","given":"Udo"}],"issued":{"date-parts":[["2015",8,1]]}}}],"schema":"https://github.com/citation-style-language/schema/raw/master/csl-citation.json"} </w:instrText>
      </w:r>
      <w:r w:rsidR="00D43E65" w:rsidRPr="00D43E65">
        <w:rPr>
          <w:lang w:val="en-US"/>
        </w:rPr>
        <w:fldChar w:fldCharType="separate"/>
      </w:r>
      <w:r w:rsidR="00D43E65" w:rsidRPr="00D43E65">
        <w:rPr>
          <w:rFonts w:ascii="Calibri" w:hAnsi="Calibri" w:cs="Calibri"/>
        </w:rPr>
        <w:t>(Mantau, 2015)</w:t>
      </w:r>
      <w:r w:rsidR="00D43E65" w:rsidRPr="00D43E65">
        <w:rPr>
          <w:lang w:val="en-US"/>
        </w:rPr>
        <w:fldChar w:fldCharType="end"/>
      </w:r>
      <w:r w:rsidR="00F94C2A" w:rsidRPr="00D43E65">
        <w:rPr>
          <w:lang w:val="en-US"/>
        </w:rPr>
        <w:t>.</w:t>
      </w:r>
      <w:r w:rsidR="00F94C2A">
        <w:rPr>
          <w:lang w:val="en-US"/>
        </w:rPr>
        <w:t xml:space="preserve"> </w:t>
      </w:r>
      <w:r w:rsidR="00D43E65">
        <w:rPr>
          <w:lang w:val="en-US"/>
        </w:rPr>
        <w:t>There are many more resource</w:t>
      </w:r>
      <w:r w:rsidR="0038503E">
        <w:rPr>
          <w:lang w:val="en-US"/>
        </w:rPr>
        <w:t>s</w:t>
      </w:r>
      <w:r w:rsidR="00D43E65">
        <w:rPr>
          <w:lang w:val="en-US"/>
        </w:rPr>
        <w:t xml:space="preserve"> flows </w:t>
      </w:r>
      <w:r w:rsidR="0038503E">
        <w:rPr>
          <w:lang w:val="en-US"/>
        </w:rPr>
        <w:t>that</w:t>
      </w:r>
      <w:r w:rsidR="00D43E65">
        <w:rPr>
          <w:lang w:val="en-US"/>
        </w:rPr>
        <w:t xml:space="preserve"> are not captured by economic accounting, e.g. water flows and many waste flows that do not result in monetary transactions. </w:t>
      </w:r>
      <w:r w:rsidR="00C41829">
        <w:rPr>
          <w:lang w:val="en-US"/>
        </w:rPr>
        <w:t xml:space="preserve">We urge the scientific community to critically assess case by case, where </w:t>
      </w:r>
      <w:r w:rsidR="003D66FC">
        <w:rPr>
          <w:lang w:val="en-US"/>
        </w:rPr>
        <w:t xml:space="preserve">price tags and </w:t>
      </w:r>
      <w:r w:rsidR="00C41829">
        <w:rPr>
          <w:lang w:val="en-US"/>
        </w:rPr>
        <w:t xml:space="preserve">commodification </w:t>
      </w:r>
      <w:r w:rsidR="003D66FC">
        <w:rPr>
          <w:lang w:val="en-US"/>
        </w:rPr>
        <w:t xml:space="preserve">are </w:t>
      </w:r>
      <w:r w:rsidR="0038503E">
        <w:rPr>
          <w:lang w:val="en-US"/>
        </w:rPr>
        <w:t>essential</w:t>
      </w:r>
      <w:r w:rsidR="003D66FC">
        <w:rPr>
          <w:lang w:val="en-US"/>
        </w:rPr>
        <w:t xml:space="preserve"> to </w:t>
      </w:r>
      <w:r w:rsidR="00F312EC">
        <w:rPr>
          <w:lang w:val="en-US"/>
        </w:rPr>
        <w:t>render</w:t>
      </w:r>
      <w:r w:rsidR="003D66FC">
        <w:rPr>
          <w:lang w:val="en-US"/>
        </w:rPr>
        <w:t xml:space="preserve"> transformation strategies</w:t>
      </w:r>
      <w:r w:rsidR="00F312EC">
        <w:rPr>
          <w:lang w:val="en-US"/>
        </w:rPr>
        <w:t xml:space="preserve"> feasible</w:t>
      </w:r>
      <w:r w:rsidR="003D66FC">
        <w:rPr>
          <w:lang w:val="en-US"/>
        </w:rPr>
        <w:t>.</w:t>
      </w:r>
    </w:p>
    <w:p w14:paraId="7A8D3484" w14:textId="0A551917" w:rsidR="004302CA" w:rsidRDefault="00CF36DD" w:rsidP="008C5B03">
      <w:pPr>
        <w:pStyle w:val="Listenabsatz"/>
        <w:spacing w:after="120" w:line="360" w:lineRule="auto"/>
        <w:ind w:left="0"/>
        <w:contextualSpacing w:val="0"/>
        <w:rPr>
          <w:lang w:val="en-US"/>
        </w:rPr>
      </w:pPr>
      <w:r>
        <w:rPr>
          <w:lang w:val="en-US"/>
        </w:rPr>
        <w:t xml:space="preserve">Also, the </w:t>
      </w:r>
      <w:r w:rsidR="004302CA">
        <w:rPr>
          <w:lang w:val="en-US"/>
        </w:rPr>
        <w:t xml:space="preserve">Eurostat MFA discuss how </w:t>
      </w:r>
      <w:r w:rsidR="004302CA" w:rsidRPr="0008369B">
        <w:rPr>
          <w:b/>
          <w:lang w:val="en-US"/>
        </w:rPr>
        <w:t>air flows</w:t>
      </w:r>
      <w:r w:rsidR="004302CA">
        <w:rPr>
          <w:lang w:val="en-US"/>
        </w:rPr>
        <w:t xml:space="preserve"> </w:t>
      </w:r>
      <w:r>
        <w:rPr>
          <w:lang w:val="en-US"/>
        </w:rPr>
        <w:t>through the</w:t>
      </w:r>
      <w:r w:rsidR="004302CA">
        <w:rPr>
          <w:lang w:val="en-US"/>
        </w:rPr>
        <w:t xml:space="preserve"> metabolism via</w:t>
      </w:r>
      <w:r w:rsidR="0038503E">
        <w:rPr>
          <w:lang w:val="en-US"/>
        </w:rPr>
        <w:t>,</w:t>
      </w:r>
      <w:r w:rsidR="004302CA">
        <w:rPr>
          <w:lang w:val="en-US"/>
        </w:rPr>
        <w:t xml:space="preserve"> </w:t>
      </w:r>
      <w:r>
        <w:rPr>
          <w:lang w:val="en-US"/>
        </w:rPr>
        <w:t xml:space="preserve">e.g. </w:t>
      </w:r>
      <w:r w:rsidR="004302CA">
        <w:rPr>
          <w:lang w:val="en-US"/>
        </w:rPr>
        <w:t>oxidation processe</w:t>
      </w:r>
      <w:r w:rsidR="00363AB2">
        <w:rPr>
          <w:lang w:val="en-US"/>
        </w:rPr>
        <w:t xml:space="preserve">s </w:t>
      </w:r>
      <w:r w:rsidR="00363AB2">
        <w:rPr>
          <w:lang w:val="en-US"/>
        </w:rPr>
        <w:fldChar w:fldCharType="begin"/>
      </w:r>
      <w:r w:rsidR="00E95283">
        <w:rPr>
          <w:lang w:val="en-US"/>
        </w:rPr>
        <w:instrText xml:space="preserve"> ADDIN ZOTERO_ITEM CSL_CITATION {"citationID":"qzY3FKnJ","properties":{"formattedCitation":"(European Commission. Statistical Office of the European Union., 2018)","plainCitation":"(European Commission. Statistical Office of the European Union., 2018)","noteIndex":0},"citationItems":[{"id":5920,"uris":["http://zotero.org/users/1226784/items/RZACRJ6S"],"itemData":{"id":5920,"type":"book","event-place":"LU","language":"en","publisher":"Publications Office","publisher-place":"LU","source":"DOI.org (CSL JSON)","title":"Economy-wide material flow accounts handbook: 2018 edition.","title-short":"Economy-wide material flow accounts handbook","URL":"https://data.europa.eu/doi/10.2785/158567","author":[{"literal":"European Commission. Statistical Office of the European Union."}],"accessed":{"date-parts":[["2020",11,17]]},"issued":{"date-parts":[["2018"]]}}}],"schema":"https://github.com/citation-style-language/schema/raw/master/csl-citation.json"} </w:instrText>
      </w:r>
      <w:r w:rsidR="00363AB2">
        <w:rPr>
          <w:lang w:val="en-US"/>
        </w:rPr>
        <w:fldChar w:fldCharType="separate"/>
      </w:r>
      <w:r w:rsidR="00363AB2" w:rsidRPr="00101005">
        <w:rPr>
          <w:rFonts w:ascii="Calibri" w:hAnsi="Calibri" w:cs="Calibri"/>
        </w:rPr>
        <w:t>(European Commission. Statistical Office of the European Union., 2018)</w:t>
      </w:r>
      <w:r w:rsidR="00363AB2">
        <w:rPr>
          <w:lang w:val="en-US"/>
        </w:rPr>
        <w:fldChar w:fldCharType="end"/>
      </w:r>
      <w:r w:rsidR="004302CA">
        <w:rPr>
          <w:lang w:val="en-US"/>
        </w:rPr>
        <w:t>. Differentiation between pure oxygen, fresh/breathable air, and contaminated air</w:t>
      </w:r>
      <w:r>
        <w:rPr>
          <w:lang w:val="en-US"/>
        </w:rPr>
        <w:t xml:space="preserve"> could </w:t>
      </w:r>
      <w:r w:rsidR="0034162D">
        <w:rPr>
          <w:lang w:val="en-US"/>
        </w:rPr>
        <w:t>provide systemic insight into</w:t>
      </w:r>
      <w:r w:rsidR="0038503E">
        <w:rPr>
          <w:lang w:val="en-US"/>
        </w:rPr>
        <w:t>,</w:t>
      </w:r>
      <w:r w:rsidR="0034162D">
        <w:rPr>
          <w:lang w:val="en-US"/>
        </w:rPr>
        <w:t xml:space="preserve"> e.g. the basic needs of an urban population that</w:t>
      </w:r>
      <w:r w:rsidR="0038503E">
        <w:rPr>
          <w:lang w:val="en-US"/>
        </w:rPr>
        <w:t>,</w:t>
      </w:r>
      <w:r w:rsidR="0034162D">
        <w:rPr>
          <w:lang w:val="en-US"/>
        </w:rPr>
        <w:t xml:space="preserve"> after all</w:t>
      </w:r>
      <w:r w:rsidR="0038503E">
        <w:rPr>
          <w:lang w:val="en-US"/>
        </w:rPr>
        <w:t>,</w:t>
      </w:r>
      <w:r w:rsidR="0034162D">
        <w:rPr>
          <w:lang w:val="en-US"/>
        </w:rPr>
        <w:t xml:space="preserve"> keeps the metabolism running and how air pollution decreases their capacity. No matching publications could be identified </w:t>
      </w:r>
      <w:r w:rsidR="0038503E">
        <w:rPr>
          <w:lang w:val="en-US"/>
        </w:rPr>
        <w:t>when</w:t>
      </w:r>
      <w:r w:rsidR="0034162D">
        <w:rPr>
          <w:lang w:val="en-US"/>
        </w:rPr>
        <w:t xml:space="preserve"> writing</w:t>
      </w:r>
      <w:r w:rsidR="0008369B">
        <w:rPr>
          <w:lang w:val="en-US"/>
        </w:rPr>
        <w:t xml:space="preserve"> illustrating air flows through the economic metabolism</w:t>
      </w:r>
      <w:r w:rsidR="0034162D">
        <w:rPr>
          <w:lang w:val="en-US"/>
        </w:rPr>
        <w:t>.</w:t>
      </w:r>
      <w:r w:rsidR="0099325E">
        <w:rPr>
          <w:lang w:val="en-US"/>
        </w:rPr>
        <w:t xml:space="preserve"> Similar to the resource bulk water</w:t>
      </w:r>
      <w:r w:rsidR="0038503E">
        <w:rPr>
          <w:lang w:val="en-US"/>
        </w:rPr>
        <w:t>, the complexity</w:t>
      </w:r>
      <w:r w:rsidR="0099325E">
        <w:rPr>
          <w:lang w:val="en-US"/>
        </w:rPr>
        <w:t xml:space="preserve"> expected for such a representation increases with the increasing system boundaries that </w:t>
      </w:r>
      <w:r w:rsidR="0099325E">
        <w:rPr>
          <w:lang w:val="en-US"/>
        </w:rPr>
        <w:lastRenderedPageBreak/>
        <w:t>have to be considered for a comprehensive illustration of air flows between the techno-sphere, atmosphere and biosphere, potentially with relevant temporal and geospatial variabilities.</w:t>
      </w:r>
    </w:p>
    <w:p w14:paraId="6352ABFE" w14:textId="17303A98" w:rsidR="0099325E" w:rsidRDefault="0099325E" w:rsidP="008C5B03">
      <w:pPr>
        <w:pStyle w:val="Listenabsatz"/>
        <w:spacing w:after="120" w:line="360" w:lineRule="auto"/>
        <w:ind w:left="0"/>
        <w:contextualSpacing w:val="0"/>
        <w:rPr>
          <w:lang w:val="en-US"/>
        </w:rPr>
      </w:pPr>
      <w:r>
        <w:rPr>
          <w:lang w:val="en-US"/>
        </w:rPr>
        <w:t xml:space="preserve">Notable resource flows include </w:t>
      </w:r>
      <w:r w:rsidR="0038503E">
        <w:rPr>
          <w:lang w:val="en-US"/>
        </w:rPr>
        <w:t>physical and cognitive labor, distinguishable in skill levels and demography, allocation of time and land resources, which are, for example, discussed in (</w:t>
      </w:r>
      <w:proofErr w:type="spellStart"/>
      <w:r w:rsidR="0038503E">
        <w:rPr>
          <w:lang w:val="en-US"/>
        </w:rPr>
        <w:t>Kardung</w:t>
      </w:r>
      <w:proofErr w:type="spellEnd"/>
      <w:r w:rsidR="0038503E">
        <w:rPr>
          <w:lang w:val="en-US"/>
        </w:rPr>
        <w:t xml:space="preserve"> et al., 2021), but</w:t>
      </w:r>
      <w:r w:rsidR="00F312EC">
        <w:rPr>
          <w:lang w:val="en-US"/>
        </w:rPr>
        <w:t xml:space="preserve"> without respective Sankey </w:t>
      </w:r>
      <w:r w:rsidR="008C5B03">
        <w:rPr>
          <w:lang w:val="en-US"/>
        </w:rPr>
        <w:t>diagram</w:t>
      </w:r>
      <w:r w:rsidR="00F312EC">
        <w:rPr>
          <w:lang w:val="en-US"/>
        </w:rPr>
        <w:t xml:space="preserve"> illustrations known to the authors at the point of writing.</w:t>
      </w:r>
    </w:p>
    <w:p w14:paraId="64B50D3D" w14:textId="5334AB09" w:rsidR="007575BF" w:rsidRPr="007575BF" w:rsidRDefault="00C101DE" w:rsidP="008C5B03">
      <w:pPr>
        <w:pStyle w:val="Listenabsatz"/>
        <w:numPr>
          <w:ilvl w:val="1"/>
          <w:numId w:val="2"/>
        </w:numPr>
        <w:spacing w:after="120" w:line="360" w:lineRule="auto"/>
        <w:contextualSpacing w:val="0"/>
        <w:rPr>
          <w:b/>
        </w:rPr>
      </w:pPr>
      <w:r>
        <w:rPr>
          <w:b/>
        </w:rPr>
        <w:t>Circularity and entropy</w:t>
      </w:r>
      <w:r w:rsidR="00BA56B3">
        <w:rPr>
          <w:b/>
        </w:rPr>
        <w:t xml:space="preserve"> indicators</w:t>
      </w:r>
    </w:p>
    <w:p w14:paraId="04CE8E08" w14:textId="0F50A354" w:rsidR="00C101DE" w:rsidRDefault="00C101DE" w:rsidP="008C5B03">
      <w:pPr>
        <w:spacing w:after="120" w:line="360" w:lineRule="auto"/>
        <w:rPr>
          <w:lang w:val="en-US"/>
        </w:rPr>
      </w:pPr>
      <w:r>
        <w:rPr>
          <w:lang w:val="en-US"/>
        </w:rPr>
        <w:fldChar w:fldCharType="begin"/>
      </w:r>
      <w:r>
        <w:rPr>
          <w:lang w:val="en-US"/>
        </w:rPr>
        <w:instrText xml:space="preserve"> ADDIN ZOTERO_ITEM CSL_CITATION {"citationID":"J23TgSPe","properties":{"formattedCitation":"(Stegmann et al., 2020)","plainCitation":"(Stegmann et al., 2020)","noteIndex":0},"citationItems":[{"id":7422,"uris":["http://zotero.org/users/1226784/items/CXFITUDJ"],"itemData":{"id":7422,"type":"article-journal","abstract":"Biomass is projected to play a key role in meeting global climate targets. To achieve a resource-efficient biomass use, European bioeconomy strategies increasingly consider the concept of a circular bioeconomy (CBE). We define the term CBE via a literature review and analyze the concept’s role in north-west European bioeconomy clusters through interviews. We identify strategies regarding the clusters’ feedstock and product focus, and investigate what role biorefineries, circular solutions, recycling and cascading play. Finally, we discuss gaps in CBE literature and the potential contributions of the CBE to sustainability. The analyzed bioeconomy clusters move towards a CBE by increasingly considering residues and wastes as a resource, developing integrated biorefineries and focusing more on material and high value applications of biomass. However, there is so far only little focus on the end-of-life of bio-based products, i.e. on circular product design, recycling and cascading. Key challenges for implementing circular strategies are policies and regulations, costs and the current small size of bio-based markets. Amongst the product sectors the interviewees identified as promising for the bioeconomy, plastics and construction &amp; building materials have most recycling and cascading potential. While the CBE could contribute to improving the sustainability of the bioeconomy, the concept is not inherently sustainable and its potential trade-offs need to be addressed. Especially social aspects, cascading, circular product design, and aspects related to product use seem to be underrepresented in CBE literature, while the topics biorefinery, wastes and residues as well as waste management are significantly covered.","container-title":"Resources, Conservation &amp; Recycling: X","DOI":"10.1016/j.rcrx.2019.100029","ISSN":"2590-289X","journalAbbreviation":"Resources, Conservation &amp; Recycling: X","language":"en","page":"100029","source":"ScienceDirect","title":"The circular bioeconomy: Its elements and role in European bioeconomy clusters","title-short":"The circular bioeconomy","volume":"6","author":[{"family":"Stegmann","given":"Paul"},{"family":"Londo","given":"Marc"},{"family":"Junginger","given":"Martin"}],"issued":{"date-parts":[["2020",5,1]]}}}],"schema":"https://github.com/citation-style-language/schema/raw/master/csl-citation.json"} </w:instrText>
      </w:r>
      <w:r>
        <w:rPr>
          <w:lang w:val="en-US"/>
        </w:rPr>
        <w:fldChar w:fldCharType="separate"/>
      </w:r>
      <w:r w:rsidRPr="00993153">
        <w:rPr>
          <w:rFonts w:ascii="Calibri" w:hAnsi="Calibri" w:cs="Calibri"/>
        </w:rPr>
        <w:t>(Stegmann et al., 2020)</w:t>
      </w:r>
      <w:r>
        <w:rPr>
          <w:lang w:val="en-US"/>
        </w:rPr>
        <w:fldChar w:fldCharType="end"/>
      </w:r>
      <w:r>
        <w:rPr>
          <w:lang w:val="en-US"/>
        </w:rPr>
        <w:t xml:space="preserve"> set the scene for a Circular Bioeconomy (CBE) definition based on stakeholder interviews, thus combining circularity and bioeconomy strategies. They find that only </w:t>
      </w:r>
      <w:r w:rsidR="0038503E">
        <w:rPr>
          <w:lang w:val="en-US"/>
        </w:rPr>
        <w:t xml:space="preserve">a </w:t>
      </w:r>
      <w:r>
        <w:rPr>
          <w:lang w:val="en-US"/>
        </w:rPr>
        <w:t xml:space="preserve">little attention has been given to the </w:t>
      </w:r>
      <w:r w:rsidR="00E4360C">
        <w:rPr>
          <w:lang w:val="en-US"/>
        </w:rPr>
        <w:t>"</w:t>
      </w:r>
      <w:r>
        <w:rPr>
          <w:lang w:val="en-US"/>
        </w:rPr>
        <w:t>end-of</w:t>
      </w:r>
      <w:r w:rsidR="0038503E">
        <w:rPr>
          <w:lang w:val="en-US"/>
        </w:rPr>
        <w:t>-</w:t>
      </w:r>
      <w:r>
        <w:rPr>
          <w:lang w:val="en-US"/>
        </w:rPr>
        <w:t>life of bio-based products.</w:t>
      </w:r>
      <w:r w:rsidR="00E4360C">
        <w:rPr>
          <w:lang w:val="en-US"/>
        </w:rPr>
        <w:t>"</w:t>
      </w:r>
      <w:r>
        <w:rPr>
          <w:lang w:val="en-US"/>
        </w:rPr>
        <w:t xml:space="preserve"> Post-consumption circular flows of materials per se have not been on the agenda. However, </w:t>
      </w:r>
      <w:r w:rsidR="0038503E">
        <w:rPr>
          <w:lang w:val="en-US"/>
        </w:rPr>
        <w:t xml:space="preserve">the </w:t>
      </w:r>
      <w:r>
        <w:rPr>
          <w:lang w:val="en-US"/>
        </w:rPr>
        <w:t>circularity of nutrients, cascadic use</w:t>
      </w:r>
      <w:r w:rsidR="0038503E">
        <w:rPr>
          <w:lang w:val="en-US"/>
        </w:rPr>
        <w:t>,</w:t>
      </w:r>
      <w:r>
        <w:rPr>
          <w:lang w:val="en-US"/>
        </w:rPr>
        <w:t xml:space="preserve"> e.g., through energy use of post-consumer wood and the synergy flows of residues between</w:t>
      </w:r>
      <w:r w:rsidR="0038503E">
        <w:rPr>
          <w:lang w:val="en-US"/>
        </w:rPr>
        <w:t>,</w:t>
      </w:r>
      <w:r>
        <w:rPr>
          <w:lang w:val="en-US"/>
        </w:rPr>
        <w:t xml:space="preserve"> e.g. wood processing industries</w:t>
      </w:r>
      <w:r w:rsidR="0038503E">
        <w:rPr>
          <w:lang w:val="en-US"/>
        </w:rPr>
        <w:t>,</w:t>
      </w:r>
      <w:r>
        <w:rPr>
          <w:lang w:val="en-US"/>
        </w:rPr>
        <w:t xml:space="preserve"> are </w:t>
      </w:r>
      <w:r w:rsidR="0038503E">
        <w:rPr>
          <w:lang w:val="en-US"/>
        </w:rPr>
        <w:t>essential</w:t>
      </w:r>
      <w:r>
        <w:rPr>
          <w:lang w:val="en-US"/>
        </w:rPr>
        <w:t xml:space="preserve"> drivers of the Bioeconomy already today, as illustrated in Sankey </w:t>
      </w:r>
      <w:r w:rsidR="00E4360C">
        <w:rPr>
          <w:lang w:val="en-US"/>
        </w:rPr>
        <w:t>diagrams</w:t>
      </w:r>
      <w:r w:rsidR="0038503E">
        <w:rPr>
          <w:lang w:val="en-US"/>
        </w:rPr>
        <w:t>,</w:t>
      </w:r>
      <w:r>
        <w:rPr>
          <w:lang w:val="en-US"/>
        </w:rPr>
        <w:t xml:space="preserve"> e.g., by </w:t>
      </w:r>
      <w:r>
        <w:rPr>
          <w:lang w:val="en-US"/>
        </w:rPr>
        <w:fldChar w:fldCharType="begin"/>
      </w:r>
      <w:r>
        <w:rPr>
          <w:lang w:val="en-US"/>
        </w:rPr>
        <w:instrText xml:space="preserve"> ADDIN ZOTERO_ITEM CSL_CITATION {"citationID":"bq7lpHSS","properties":{"formattedCitation":"(Mantau, 2015)","plainCitation":"(Mantau, 2015)","noteIndex":0},"citationItems":[{"id":5293,"uris":["http://zotero.org/users/1226784/items/C7Q25R4E"],"itemData":{"id":5293,"type":"article-journal","abstract":"Raw materials assume different forms during their use and thereby develop a multiplicity of effects upon the political environment. This article demonstrates the method of sectoral mass flow analysis using the example of the raw material wood. Under conditions of limited resources, market analysis methods must change from single flow analysis in an open (unlimited) system to interactive flow analysis in a closed (limited) system. The method of the wood resource balance is introduced, with its basic elements of resource monitoring, bottom-up approach, data counterchecking and conversion factors. The method is applicable for manifold research topics. This is shown in three examples. The wood flow analysis represents a total resource assessment including all wood products in all process steps from forest to disposal. Based on the wood flow analysis, calculation schemes show how cascading factors can be calculated on a constant basis. Finally the CO2 effects of total wood use are calculated on a continuous basis.","collection-title":"The 22nd European Biomass Conference and Exhibition held in Hamburg, June 2014","container-title":"Biomass and Bioenergy","DOI":"10.1016/j.biombioe.2014.08.013","ISSN":"0961-9534","journalAbbreviation":"Biomass and Bioenergy","language":"en","page":"28-38","source":"ScienceDirect","title":"Wood flow analysis: Quantification of resource potentials, cascades and carbon effects","title-short":"Wood flow analysis","volume":"79","author":[{"family":"Mantau","given":"Udo"}],"issued":{"date-parts":[["2015",8,1]]}}}],"schema":"https://github.com/citation-style-language/schema/raw/master/csl-citation.json"} </w:instrText>
      </w:r>
      <w:r>
        <w:rPr>
          <w:lang w:val="en-US"/>
        </w:rPr>
        <w:fldChar w:fldCharType="separate"/>
      </w:r>
      <w:r w:rsidRPr="00AD3063">
        <w:rPr>
          <w:rFonts w:ascii="Calibri" w:hAnsi="Calibri" w:cs="Calibri"/>
          <w:lang w:val="en-US"/>
        </w:rPr>
        <w:t>(Mantau, 2015)</w:t>
      </w:r>
      <w:r>
        <w:rPr>
          <w:lang w:val="en-US"/>
        </w:rPr>
        <w:fldChar w:fldCharType="end"/>
      </w:r>
      <w:r>
        <w:rPr>
          <w:lang w:val="en-US"/>
        </w:rPr>
        <w:t xml:space="preserve"> or </w:t>
      </w:r>
      <w:r>
        <w:rPr>
          <w:lang w:val="en-US"/>
        </w:rPr>
        <w:fldChar w:fldCharType="begin"/>
      </w:r>
      <w:r>
        <w:rPr>
          <w:lang w:val="en-US"/>
        </w:rPr>
        <w:instrText xml:space="preserve"> ADDIN ZOTERO_ITEM CSL_CITATION {"citationID":"HZtpLfOq","properties":{"formattedCitation":"(Gon\\uc0\\u231{}alves et al., 2021)","plainCitation":"(Gonçalves et al., 2021)","noteIndex":0},"citationItems":[{"id":7451,"uris":["http://zotero.org/users/1226784/items/EM8P97WZ"],"itemData":{"id":7451,"type":"article-journal","abstract":"A comprehensive understanding of how resources are utilized is required to support a circular bioeconomy. This article presents the first systematic assessment of forest biomass flows and stocks in Portugal and analyzes circularity and resource efficiency through a comprehensive set of indicators, while providing recommendations for their use and improvement in different contexts. A Material Flow Analysis was developed for 2015, including paper, wood panels, furniture, carpentry, packaging, other woodwork, and energy (firewood, pellets, charcoal, electricity, heat), addressing uncertainty. Material flow analysis indicators (e.g., domestic material consumption) and circularity/resource efficiency indicators (cascade factor, material circularity indicator, recycled input, recovery rate) were assessed. In 2015, 49% of forest biomass was used for energy and 51% for material production. The wood sector in Portugal is heterogeneous regarding circularity. Paper and wood packaging were the most recycled products (highest material circularity indicator: 0.49 and recovery rate: 54%), while the panels sector used the most industrial residues (highest cascade factor: 3.78). The indicators analyzed provided a complementary assessment of circularity, giving both system wide (cascade factor) and sector- (cascade factor, recycled input rate, recovery rate) or product-based (material circularity indicator) views. Cascade factor permits an analysis of the whole system and of separate sectors, and an assessment of post-consumer and industrial residues, and both material and energy use. Material circularity indicator considers closed- and open-loop recycling of post-consumer residues, being complementary to the cascade factor. Indicators providing complementary perspectives are important to capture multiple types of resource use and valorization within the bioeconomy system.","container-title":"Resources, Conservation and Recycling","DOI":"10.1016/j.resconrec.2021.105507","ISSN":"0921-3449","journalAbbreviation":"Resources, Conservation and Recycling","language":"en","page":"105507","source":"ScienceDirect","title":"Material flow analysis of forest biomass in Portugal to support a circular bioeconomy","volume":"169","author":[{"family":"Gonçalves","given":"Mariana"},{"family":"Freire","given":"Fausto"},{"family":"Garcia","given":"Rita"}],"issued":{"date-parts":[["2021",6,1]]}}}],"schema":"https://github.com/citation-style-language/schema/raw/master/csl-citation.json"} </w:instrText>
      </w:r>
      <w:r>
        <w:rPr>
          <w:lang w:val="en-US"/>
        </w:rPr>
        <w:fldChar w:fldCharType="separate"/>
      </w:r>
      <w:r w:rsidRPr="00D50B42">
        <w:rPr>
          <w:rFonts w:ascii="Calibri" w:hAnsi="Calibri" w:cs="Calibri"/>
          <w:szCs w:val="24"/>
        </w:rPr>
        <w:t>(Gonçalves et al., 2021)</w:t>
      </w:r>
      <w:r>
        <w:rPr>
          <w:lang w:val="en-US"/>
        </w:rPr>
        <w:fldChar w:fldCharType="end"/>
      </w:r>
      <w:r w:rsidRPr="00AD3063">
        <w:rPr>
          <w:lang w:val="en-US"/>
        </w:rPr>
        <w:t>).</w:t>
      </w:r>
      <w:r>
        <w:rPr>
          <w:lang w:val="en-US"/>
        </w:rPr>
        <w:t xml:space="preserve"> </w:t>
      </w:r>
      <w:r w:rsidR="0038503E">
        <w:rPr>
          <w:lang w:val="en-US"/>
        </w:rPr>
        <w:t>S</w:t>
      </w:r>
      <w:r>
        <w:rPr>
          <w:lang w:val="en-US"/>
        </w:rPr>
        <w:t>ynergies and dependencies between industries providing secondary feedstocks to each other can be highlighted</w:t>
      </w:r>
      <w:r w:rsidR="0038503E">
        <w:rPr>
          <w:lang w:val="en-US"/>
        </w:rPr>
        <w:t xml:space="preserve"> by including circular flows between all node levels.</w:t>
      </w:r>
    </w:p>
    <w:p w14:paraId="36A18CDB" w14:textId="7D5BA2B6" w:rsidR="007575BF" w:rsidRDefault="00126369" w:rsidP="008C5B03">
      <w:pPr>
        <w:spacing w:after="120" w:line="360" w:lineRule="auto"/>
        <w:rPr>
          <w:lang w:val="en-US"/>
        </w:rPr>
      </w:pPr>
      <w:r>
        <w:rPr>
          <w:lang w:val="en-US"/>
        </w:rPr>
        <w:t xml:space="preserve">In contrast to the Circular Bioeconomy discussion, </w:t>
      </w:r>
      <w:r w:rsidR="007575BF">
        <w:rPr>
          <w:lang w:val="en-US"/>
        </w:rPr>
        <w:fldChar w:fldCharType="begin"/>
      </w:r>
      <w:r w:rsidR="00E95283">
        <w:rPr>
          <w:lang w:val="en-US"/>
        </w:rPr>
        <w:instrText xml:space="preserve"> ADDIN ZOTERO_ITEM CSL_CITATION {"citationID":"ct8hRmum","properties":{"formattedCitation":"(Milios, 2018)","plainCitation":"(Milios, 2018)","noteIndex":0},"citationItems":[{"id":4416,"uris":["http://zotero.org/users/1226784/items/3DXY6LKY"],"itemData":{"id":4416,"type":"article-journal","abstract":"Material resources exploitation and the pressure on natural ecosystems have raised concerns over potential future resource risks and supply failures worldwide. Interest in the concept of Circular Economy has surged in recent years among policy makers and business actors. An increasing amount of literature touches upon the conceptualisation of Circular Economy, the development of ‘circular solutions’ and circular business models, and policies for a Circular Economy. However, relevant studies on resource efficiency policies mostly utilise a case-by-case or sector-by-sector approach and do not consider the systemic interdependencies of the underlying operational policy framework. In this contribution, a mapping of the existing resource policy framework in the European Union (EU) is undertaken, and used as a basis for identifying policy areas that have been less prominent in influencing material resource efficiency. Employing a life cycle approach, policies affecting material efficiency in the production and consumption stages of a product have been found to be poorly utilised so far in the EU. Taking this as a point of departure, three policy areas that can contribute to closing material loops and increasing resource efficiency are thoroughly discussed and their application challenges are highlighted. The three policy areas are: (1) policies for reuse, repair and remanufacturing; (2) green public procurement and innovation procurement; and (3) policies for improving secondary materials markets. Finally, a potential policy mix, including policy instruments from the three mentioned policy areas—together with policy mixing principles—is presented to outline a possible pathway for transitioning to Circular Economy policy making.","container-title":"Sustainability Science","DOI":"10.1007/s11625-017-0502-9","ISSN":"1862-4057","issue":"3","journalAbbreviation":"Sustain Sci","language":"en","page":"861-878","source":"Springer Link","title":"Advancing to a Circular Economy: three essential ingredients for a comprehensive policy mix","title-short":"Advancing to a Circular Economy","volume":"13","author":[{"family":"Milios","given":"Leonidas"}],"issued":{"date-parts":[["2018",5,1]]}}}],"schema":"https://github.com/citation-style-language/schema/raw/master/csl-citation.json"} </w:instrText>
      </w:r>
      <w:r w:rsidR="007575BF">
        <w:rPr>
          <w:lang w:val="en-US"/>
        </w:rPr>
        <w:fldChar w:fldCharType="separate"/>
      </w:r>
      <w:r w:rsidR="007575BF" w:rsidRPr="00CF0762">
        <w:rPr>
          <w:rFonts w:ascii="Calibri" w:hAnsi="Calibri" w:cs="Calibri"/>
        </w:rPr>
        <w:t>(Milios, 2018)</w:t>
      </w:r>
      <w:r w:rsidR="007575BF">
        <w:rPr>
          <w:lang w:val="en-US"/>
        </w:rPr>
        <w:fldChar w:fldCharType="end"/>
      </w:r>
      <w:r w:rsidR="007575BF">
        <w:rPr>
          <w:lang w:val="en-US"/>
        </w:rPr>
        <w:t xml:space="preserve"> finds that CE policy in Europe strongly focuses on the end-of</w:t>
      </w:r>
      <w:r w:rsidR="0038503E">
        <w:rPr>
          <w:lang w:val="en-US"/>
        </w:rPr>
        <w:t>-</w:t>
      </w:r>
      <w:r w:rsidR="007575BF">
        <w:rPr>
          <w:lang w:val="en-US"/>
        </w:rPr>
        <w:t>life, especially of metals with other life-cycle steps</w:t>
      </w:r>
      <w:r>
        <w:rPr>
          <w:lang w:val="en-US"/>
        </w:rPr>
        <w:t>. P</w:t>
      </w:r>
      <w:r w:rsidR="007575BF">
        <w:rPr>
          <w:lang w:val="en-US"/>
        </w:rPr>
        <w:t xml:space="preserve">roduction and product design and the use phases </w:t>
      </w:r>
      <w:r>
        <w:rPr>
          <w:lang w:val="en-US"/>
        </w:rPr>
        <w:t xml:space="preserve">have </w:t>
      </w:r>
      <w:r w:rsidR="007575BF">
        <w:rPr>
          <w:lang w:val="en-US"/>
        </w:rPr>
        <w:t>not been in the</w:t>
      </w:r>
      <w:r>
        <w:rPr>
          <w:lang w:val="en-US"/>
        </w:rPr>
        <w:t xml:space="preserve"> policy</w:t>
      </w:r>
      <w:r w:rsidR="007575BF">
        <w:rPr>
          <w:lang w:val="en-US"/>
        </w:rPr>
        <w:t xml:space="preserve"> focus at the time of publication. Since then, European strategies to improve this situation have been outlined</w:t>
      </w:r>
      <w:r w:rsidR="0038503E">
        <w:rPr>
          <w:lang w:val="en-US"/>
        </w:rPr>
        <w:t>, including</w:t>
      </w:r>
      <w:r w:rsidR="007575BF">
        <w:rPr>
          <w:lang w:val="en-US"/>
        </w:rPr>
        <w:t xml:space="preserve"> eco-design standards and the right-to-repair to prolong the use phase</w:t>
      </w:r>
      <w:r w:rsidR="0038503E">
        <w:rPr>
          <w:lang w:val="en-US"/>
        </w:rPr>
        <w:t>,</w:t>
      </w:r>
      <w:r w:rsidR="007575BF">
        <w:rPr>
          <w:lang w:val="en-US"/>
        </w:rPr>
        <w:t xml:space="preserve"> while </w:t>
      </w:r>
      <w:r w:rsidR="0038503E">
        <w:rPr>
          <w:lang w:val="en-US"/>
        </w:rPr>
        <w:t>stronger</w:t>
      </w:r>
      <w:r w:rsidR="007575BF">
        <w:rPr>
          <w:lang w:val="en-US"/>
        </w:rPr>
        <w:t xml:space="preserve"> focus </w:t>
      </w:r>
      <w:r w:rsidR="0038503E">
        <w:rPr>
          <w:lang w:val="en-US"/>
        </w:rPr>
        <w:t xml:space="preserve">is now put </w:t>
      </w:r>
      <w:r w:rsidR="007575BF">
        <w:rPr>
          <w:lang w:val="en-US"/>
        </w:rPr>
        <w:t xml:space="preserve">also </w:t>
      </w:r>
      <w:r w:rsidR="0038503E">
        <w:rPr>
          <w:lang w:val="en-US"/>
        </w:rPr>
        <w:t xml:space="preserve">on </w:t>
      </w:r>
      <w:r w:rsidR="007575BF">
        <w:rPr>
          <w:lang w:val="en-US"/>
        </w:rPr>
        <w:t xml:space="preserve">plastics and other materials </w:t>
      </w:r>
      <w:r w:rsidR="00BA56B3">
        <w:rPr>
          <w:lang w:val="en-US"/>
        </w:rPr>
        <w:fldChar w:fldCharType="begin"/>
      </w:r>
      <w:r w:rsidR="00E95283">
        <w:rPr>
          <w:lang w:val="en-US"/>
        </w:rPr>
        <w:instrText xml:space="preserve"> ADDIN ZOTERO_ITEM CSL_CITATION {"citationID":"Z4F0NlkK","properties":{"formattedCitation":"(EC, 2020, 2018)","plainCitation":"(EC, 2020, 2018)","noteIndex":0},"citationItems":[{"id":4779,"uris":["http://zotero.org/users/1226784/items/LMJRWRFE"],"itemData":{"id":4779,"type":"legislation","container-title":"COM(2020) 98 final","title":"A new Circular Economy Action Plan   For a cleaner and more competitive Europe","URL":"https://eur-lex.europa.eu/legal-content/EN/TXT/?qid=1583933814386&amp;uri=COM:2020:98:FIN","author":[{"family":"EC","given":""}],"accessed":{"date-parts":[["2020",3,18]]},"issued":{"date-parts":[["2020"]]}}},{"id":4469,"uris":["http://zotero.org/users/1226784/items/KJM32H6J"],"itemData":{"id":4469,"type":"bill","container-title":"SWD(2018) 16","title":"A European Strategy for Plastics in a Circular Economy","URL":"https://eur-lex.europa.eu/legal-content/EN/TXT/?qid=1516265440535&amp;uri=COM:2018:28:FIN","author":[{"family":"EC","given":""}],"accessed":{"date-parts":[["2020",1,31]]},"issued":{"date-parts":[["2018"]]}}}],"schema":"https://github.com/citation-style-language/schema/raw/master/csl-citation.json"} </w:instrText>
      </w:r>
      <w:r w:rsidR="00BA56B3">
        <w:rPr>
          <w:lang w:val="en-US"/>
        </w:rPr>
        <w:fldChar w:fldCharType="separate"/>
      </w:r>
      <w:r w:rsidR="00BA56B3" w:rsidRPr="00BA56B3">
        <w:rPr>
          <w:rFonts w:ascii="Calibri" w:hAnsi="Calibri" w:cs="Calibri"/>
        </w:rPr>
        <w:t>(EC, 2020, 2018)</w:t>
      </w:r>
      <w:r w:rsidR="00BA56B3">
        <w:rPr>
          <w:lang w:val="en-US"/>
        </w:rPr>
        <w:fldChar w:fldCharType="end"/>
      </w:r>
      <w:r w:rsidR="007575BF">
        <w:rPr>
          <w:lang w:val="en-US"/>
        </w:rPr>
        <w:t xml:space="preserve">. </w:t>
      </w:r>
      <w:r w:rsidR="007575BF" w:rsidRPr="00CC7E54">
        <w:rPr>
          <w:b/>
          <w:lang w:val="en-US"/>
        </w:rPr>
        <w:t>Circularity indicators</w:t>
      </w:r>
      <w:r w:rsidR="007575BF">
        <w:rPr>
          <w:lang w:val="en-US"/>
        </w:rPr>
        <w:t xml:space="preserve">, as used in the Circularity Gap Report </w:t>
      </w:r>
      <w:r w:rsidR="003950CF">
        <w:rPr>
          <w:lang w:val="en-US"/>
        </w:rPr>
        <w:fldChar w:fldCharType="begin"/>
      </w:r>
      <w:r w:rsidR="00E95283">
        <w:rPr>
          <w:lang w:val="en-US"/>
        </w:rPr>
        <w:instrText xml:space="preserve"> ADDIN ZOTERO_ITEM CSL_CITATION {"citationID":"FlkEshUk","properties":{"formattedCitation":"(Circle Economy, 2022)","plainCitation":"(Circle Economy, 2022)","noteIndex":0},"citationItems":[{"id":7400,"uris":["http://zotero.org/users/1226784/items/KCB8786X"],"itemData":{"id":7400,"type":"report","title":"The Circularity Gap Report 2022","title-short":"1. Report","URL":"https://drive.google.com/file/d/1NMAUtZcoSLwmHt_r5TLWwB28QJDghi6Q/view?usp=embed_facebook","author":[{"family":"Circle Economy","given":""}],"accessed":{"date-parts":[["2022",2,16]]},"issued":{"date-parts":[["2022"]]}}}],"schema":"https://github.com/citation-style-language/schema/raw/master/csl-citation.json"} </w:instrText>
      </w:r>
      <w:r w:rsidR="003950CF">
        <w:rPr>
          <w:lang w:val="en-US"/>
        </w:rPr>
        <w:fldChar w:fldCharType="separate"/>
      </w:r>
      <w:r w:rsidR="00BA56B3" w:rsidRPr="00BA56B3">
        <w:rPr>
          <w:rFonts w:ascii="Calibri" w:hAnsi="Calibri" w:cs="Calibri"/>
        </w:rPr>
        <w:t>(Circle Economy, 2022)</w:t>
      </w:r>
      <w:r w:rsidR="003950CF">
        <w:rPr>
          <w:lang w:val="en-US"/>
        </w:rPr>
        <w:fldChar w:fldCharType="end"/>
      </w:r>
      <w:r w:rsidR="0038503E">
        <w:rPr>
          <w:lang w:val="en-US"/>
        </w:rPr>
        <w:t>,</w:t>
      </w:r>
      <w:r w:rsidR="007575BF">
        <w:rPr>
          <w:lang w:val="en-US"/>
        </w:rPr>
        <w:t xml:space="preserve"> can only do so much to inform about the end-of</w:t>
      </w:r>
      <w:r w:rsidR="0038503E">
        <w:rPr>
          <w:lang w:val="en-US"/>
        </w:rPr>
        <w:t>-</w:t>
      </w:r>
      <w:r w:rsidR="007575BF">
        <w:rPr>
          <w:lang w:val="en-US"/>
        </w:rPr>
        <w:t>life and the cycling back of outputs to inputs, disregarding the importance of waste reduction</w:t>
      </w:r>
      <w:r w:rsidR="00B05D5A">
        <w:rPr>
          <w:lang w:val="en-US"/>
        </w:rPr>
        <w:t xml:space="preserve"> itself</w:t>
      </w:r>
      <w:r w:rsidR="007575BF">
        <w:rPr>
          <w:lang w:val="en-US"/>
        </w:rPr>
        <w:t>.</w:t>
      </w:r>
    </w:p>
    <w:p w14:paraId="30DD97C8" w14:textId="177AC098" w:rsidR="00BB0DC7" w:rsidRDefault="00B05D5A" w:rsidP="008C5B03">
      <w:pPr>
        <w:spacing w:after="120" w:line="360" w:lineRule="auto"/>
        <w:rPr>
          <w:lang w:val="en-US"/>
        </w:rPr>
      </w:pPr>
      <w:r>
        <w:rPr>
          <w:lang w:val="en-US"/>
        </w:rPr>
        <w:t>Alternatively, and i</w:t>
      </w:r>
      <w:r w:rsidR="007575BF">
        <w:rPr>
          <w:lang w:val="en-US"/>
        </w:rPr>
        <w:t xml:space="preserve">n a direct indicator comparison between </w:t>
      </w:r>
      <w:r w:rsidR="007575BF" w:rsidRPr="00B05D5A">
        <w:rPr>
          <w:b/>
          <w:lang w:val="en-US"/>
        </w:rPr>
        <w:t>Circularity</w:t>
      </w:r>
      <w:r w:rsidR="00BA56B3" w:rsidRPr="00B05D5A">
        <w:rPr>
          <w:b/>
          <w:lang w:val="en-US"/>
        </w:rPr>
        <w:t xml:space="preserve"> (C)</w:t>
      </w:r>
      <w:r w:rsidR="007575BF">
        <w:rPr>
          <w:lang w:val="en-US"/>
        </w:rPr>
        <w:t xml:space="preserve"> and </w:t>
      </w:r>
      <w:r w:rsidR="007575BF" w:rsidRPr="00CC7E54">
        <w:rPr>
          <w:b/>
          <w:lang w:val="en-US"/>
        </w:rPr>
        <w:t>Substance Concentration Efficiency</w:t>
      </w:r>
      <w:r w:rsidR="00BA56B3">
        <w:rPr>
          <w:lang w:val="en-US"/>
        </w:rPr>
        <w:t xml:space="preserve"> </w:t>
      </w:r>
      <w:r w:rsidR="00BA56B3" w:rsidRPr="00B05D5A">
        <w:rPr>
          <w:b/>
          <w:lang w:val="en-US"/>
        </w:rPr>
        <w:t>(SCE)</w:t>
      </w:r>
      <w:r w:rsidR="007575BF">
        <w:rPr>
          <w:lang w:val="en-US"/>
        </w:rPr>
        <w:t xml:space="preserve">, </w:t>
      </w:r>
      <w:r w:rsidR="007575BF">
        <w:rPr>
          <w:lang w:val="en-US"/>
        </w:rPr>
        <w:fldChar w:fldCharType="begin"/>
      </w:r>
      <w:r w:rsidR="00E95283">
        <w:rPr>
          <w:lang w:val="en-US"/>
        </w:rPr>
        <w:instrText xml:space="preserve"> ADDIN ZOTERO_ITEM CSL_CITATION {"citationID":"TNim2PBw","properties":{"formattedCitation":"(Tanzer and Rechberger, 2020)","plainCitation":"(Tanzer and Rechberger, 2020)","noteIndex":0},"citationItems":[{"id":6541,"uris":["http://zotero.org/users/1226784/items/WS6JYGCV"],"itemData":{"id":6541,"type":"article-journal","abstract":"The successful implementation of sustainable resource management strategies depends on the availability of indicators that are capable of reflecting system complexity adequately but can easily be computed and communicated. However, systematic assessment of the scope and limits of simple indicators is often lacking. In the present study two indicators that can readily be derived from a material flow analysis structure are applied to and evaluated in a large and complex system of phosphorus and nitrogen management in Austria. Circularity (C) is defined as the share of recycled materials in total system throughput, whereas the Substance Concentration Efficiency (SCE), an indicator based on statistical entropy, measures the extent to which a substance is concentrated or diluted while passing through the system. For comparison the indicators were normalized with respect to a best-case and worst-case scenario (C¯ and SCE¯). Although both indicators correspond well in their general statements, clear differences in the prioritization of different aspects of sustainability can be observed. While C¯ focuses on increasing recycling, emission reduction and system downsizing have stronger effects on SCE¯. SCE¯ therefore is considered more suitable for providing first indications on sustainability in Austrian nutrient management.","container-title":"Resources, Conservation and Recycling","DOI":"10.1016/j.resconrec.2020.104961","ISSN":"0921-3449","journalAbbreviation":"Resources, Conservation and Recycling","language":"en","page":"104961","source":"ScienceDirect","title":"Complex system, simple indicators: Evaluation of circularity and statistical entropy as indicators of sustainability in Austrian nutrient management","title-short":"Complex system, simple indicators","volume":"162","author":[{"family":"Tanzer","given":"Julia"},{"family":"Rechberger","given":"Helmut"}],"issued":{"date-parts":[["2020",11,1]]}}}],"schema":"https://github.com/citation-style-language/schema/raw/master/csl-citation.json"} </w:instrText>
      </w:r>
      <w:r w:rsidR="007575BF">
        <w:rPr>
          <w:lang w:val="en-US"/>
        </w:rPr>
        <w:fldChar w:fldCharType="separate"/>
      </w:r>
      <w:r w:rsidR="007575BF" w:rsidRPr="00121757">
        <w:rPr>
          <w:rFonts w:ascii="Calibri" w:hAnsi="Calibri" w:cs="Calibri"/>
        </w:rPr>
        <w:t>(Tanzer and Rechberger, 2020)</w:t>
      </w:r>
      <w:r w:rsidR="007575BF">
        <w:rPr>
          <w:lang w:val="en-US"/>
        </w:rPr>
        <w:fldChar w:fldCharType="end"/>
      </w:r>
      <w:r w:rsidR="007575BF">
        <w:rPr>
          <w:lang w:val="en-US"/>
        </w:rPr>
        <w:t xml:space="preserve"> show</w:t>
      </w:r>
      <w:r w:rsidR="00363AB2">
        <w:rPr>
          <w:lang w:val="en-US"/>
        </w:rPr>
        <w:t xml:space="preserve"> in their Sankey diagrams</w:t>
      </w:r>
      <w:r w:rsidR="007575BF">
        <w:rPr>
          <w:lang w:val="en-US"/>
        </w:rPr>
        <w:t xml:space="preserve"> how </w:t>
      </w:r>
      <w:r w:rsidR="00BA56B3">
        <w:rPr>
          <w:lang w:val="en-US"/>
        </w:rPr>
        <w:t xml:space="preserve">their </w:t>
      </w:r>
      <w:r w:rsidR="007575BF">
        <w:rPr>
          <w:lang w:val="en-US"/>
        </w:rPr>
        <w:t>statistical entropy</w:t>
      </w:r>
      <w:r w:rsidR="00BA56B3">
        <w:rPr>
          <w:lang w:val="en-US"/>
        </w:rPr>
        <w:t xml:space="preserve"> approach</w:t>
      </w:r>
      <w:r w:rsidR="007575BF">
        <w:rPr>
          <w:lang w:val="en-US"/>
        </w:rPr>
        <w:t xml:space="preserve"> </w:t>
      </w:r>
      <w:r w:rsidR="006B50EF">
        <w:rPr>
          <w:lang w:val="en-US"/>
        </w:rPr>
        <w:t>can provide</w:t>
      </w:r>
      <w:r w:rsidR="007575BF">
        <w:rPr>
          <w:lang w:val="en-US"/>
        </w:rPr>
        <w:t xml:space="preserve"> additional insight</w:t>
      </w:r>
      <w:r w:rsidR="00931EB4">
        <w:rPr>
          <w:lang w:val="en-US"/>
        </w:rPr>
        <w:t>s</w:t>
      </w:r>
      <w:r w:rsidR="00BA56B3">
        <w:rPr>
          <w:lang w:val="en-US"/>
        </w:rPr>
        <w:t>. They can show that SCE reveal</w:t>
      </w:r>
      <w:r w:rsidR="0038503E">
        <w:rPr>
          <w:lang w:val="en-US"/>
        </w:rPr>
        <w:t>s</w:t>
      </w:r>
      <w:r w:rsidR="00BA56B3">
        <w:rPr>
          <w:lang w:val="en-US"/>
        </w:rPr>
        <w:t xml:space="preserve"> how </w:t>
      </w:r>
      <w:r w:rsidR="007575BF">
        <w:rPr>
          <w:lang w:val="en-US"/>
        </w:rPr>
        <w:t xml:space="preserve">increased efficiency, system downsizing and </w:t>
      </w:r>
      <w:r w:rsidR="00BA56B3">
        <w:rPr>
          <w:lang w:val="en-US"/>
        </w:rPr>
        <w:t>waste</w:t>
      </w:r>
      <w:r w:rsidR="007575BF">
        <w:rPr>
          <w:lang w:val="en-US"/>
        </w:rPr>
        <w:t xml:space="preserve"> reduction can improve the performance of the metabolism throughout the supply chain. </w:t>
      </w:r>
      <w:r w:rsidR="00BB0DC7">
        <w:rPr>
          <w:lang w:val="en-US"/>
        </w:rPr>
        <w:t xml:space="preserve">This way, </w:t>
      </w:r>
      <w:r w:rsidR="00EC2D7F">
        <w:rPr>
          <w:lang w:val="en-US"/>
        </w:rPr>
        <w:t xml:space="preserve">information on </w:t>
      </w:r>
      <w:r w:rsidR="00BB0DC7">
        <w:rPr>
          <w:lang w:val="en-US"/>
        </w:rPr>
        <w:t xml:space="preserve">the </w:t>
      </w:r>
      <w:r w:rsidR="00E4360C">
        <w:rPr>
          <w:lang w:val="en-US"/>
        </w:rPr>
        <w:t>"</w:t>
      </w:r>
      <w:r w:rsidR="00BB0DC7">
        <w:rPr>
          <w:lang w:val="en-US"/>
        </w:rPr>
        <w:t>usefulness</w:t>
      </w:r>
      <w:r w:rsidR="00E4360C">
        <w:rPr>
          <w:lang w:val="en-US"/>
        </w:rPr>
        <w:t>"</w:t>
      </w:r>
      <w:r w:rsidR="00BB0DC7">
        <w:rPr>
          <w:lang w:val="en-US"/>
        </w:rPr>
        <w:t xml:space="preserve"> of the state the resources are in is </w:t>
      </w:r>
      <w:r w:rsidR="0038503E">
        <w:rPr>
          <w:lang w:val="en-US"/>
        </w:rPr>
        <w:t>prioritized</w:t>
      </w:r>
      <w:r w:rsidR="00BB0DC7">
        <w:rPr>
          <w:lang w:val="en-US"/>
        </w:rPr>
        <w:t xml:space="preserve">, </w:t>
      </w:r>
      <w:r w:rsidR="00EC2D7F">
        <w:rPr>
          <w:lang w:val="en-US"/>
        </w:rPr>
        <w:t xml:space="preserve">with more pure resource flows being more </w:t>
      </w:r>
      <w:r w:rsidR="0038503E">
        <w:rPr>
          <w:lang w:val="en-US"/>
        </w:rPr>
        <w:t>valuable</w:t>
      </w:r>
      <w:r w:rsidR="00EC2D7F">
        <w:rPr>
          <w:lang w:val="en-US"/>
        </w:rPr>
        <w:t xml:space="preserve"> than diluted ones.</w:t>
      </w:r>
    </w:p>
    <w:p w14:paraId="27B1D1A0" w14:textId="486503F7" w:rsidR="00BA56B3" w:rsidRDefault="00B05D5A" w:rsidP="008C5B03">
      <w:pPr>
        <w:spacing w:after="120" w:line="360" w:lineRule="auto"/>
        <w:rPr>
          <w:lang w:val="en-US"/>
        </w:rPr>
      </w:pPr>
      <w:r>
        <w:rPr>
          <w:lang w:val="en-US"/>
        </w:rPr>
        <w:t xml:space="preserve">Furthermore, </w:t>
      </w:r>
      <w:r w:rsidR="007575BF">
        <w:rPr>
          <w:lang w:val="en-US"/>
        </w:rPr>
        <w:fldChar w:fldCharType="begin"/>
      </w:r>
      <w:r w:rsidR="00E95283">
        <w:rPr>
          <w:lang w:val="en-US"/>
        </w:rPr>
        <w:instrText xml:space="preserve"> ADDIN ZOTERO_ITEM CSL_CITATION {"citationID":"ZEaIFe6N","properties":{"formattedCitation":"(Giampietro, 2019)","plainCitation":"(Giampietro, 2019)","noteIndex":0},"citationItems":[{"id":7424,"uris":["http://zotero.org/users/1226784/items/FXKSTEUV"],"itemData":{"id":7424,"type":"article-journal","abstract":"This paper explores the existing confusion around the conceptual definitions and interpretations of the term circular bioeconomy. The co-existence of diametrically opposite interpretations of the concept indicates lack of a serious discussion of its theoretical foundations. Two narratives on circular bioeconomy are explored in depth: (i) the new economic paradigm based on technological progress (the economics of technological promises) that seeks perpetual economic growth; (ii) an entropic (thermodynamic) narrative that reflects on the limits on economic growth imposed by nature. The latter narrative makes a distinction between primary, secondary and tertiary resource flows and helps to identify what can and cannot be re-circulated within the metabolic pattern of social-ecological systems. Adopting the biophysical view, it becomes clear that the industrial revolution represented a linearization of material and energy flows with the goal to overcome the low pace and density of biological transformations. The required level of productivity of production factors in contemporary developed economies (flows per hour of labor and per hectare of land use) is orders of magnitude larger than the pace and density of supply and sink capacity of natural processes. Relying on nature to ‘close the loop’ will simply slow down the economic process.","container-title":"Ecological Economics","DOI":"10.1016/j.ecolecon.2019.05.001","ISSN":"0921-8009","journalAbbreviation":"Ecological Economics","language":"en","page":"143-156","source":"ScienceDirect","title":"On the Circular Bioeconomy and Decoupling: Implications for Sustainable Growth","title-short":"On the Circular Bioeconomy and Decoupling","volume":"162","author":[{"family":"Giampietro","given":"Mario"}],"issued":{"date-parts":[["2019",8,1]]}}}],"schema":"https://github.com/citation-style-language/schema/raw/master/csl-citation.json"} </w:instrText>
      </w:r>
      <w:r w:rsidR="007575BF">
        <w:rPr>
          <w:lang w:val="en-US"/>
        </w:rPr>
        <w:fldChar w:fldCharType="separate"/>
      </w:r>
      <w:r w:rsidR="007575BF" w:rsidRPr="00683B80">
        <w:rPr>
          <w:rFonts w:ascii="Calibri" w:hAnsi="Calibri" w:cs="Calibri"/>
        </w:rPr>
        <w:t>(Giampietro, 2019)</w:t>
      </w:r>
      <w:r w:rsidR="007575BF">
        <w:rPr>
          <w:lang w:val="en-US"/>
        </w:rPr>
        <w:fldChar w:fldCharType="end"/>
      </w:r>
      <w:r w:rsidR="007575BF">
        <w:rPr>
          <w:lang w:val="en-US"/>
        </w:rPr>
        <w:t xml:space="preserve"> argue</w:t>
      </w:r>
      <w:r w:rsidR="0038503E">
        <w:rPr>
          <w:lang w:val="en-US"/>
        </w:rPr>
        <w:t>s</w:t>
      </w:r>
      <w:r w:rsidR="007575BF">
        <w:rPr>
          <w:lang w:val="en-US"/>
        </w:rPr>
        <w:t xml:space="preserve"> that for thoroughly implementing an entropy perspective</w:t>
      </w:r>
      <w:r w:rsidR="0038503E">
        <w:rPr>
          <w:lang w:val="en-US"/>
        </w:rPr>
        <w:t>,</w:t>
      </w:r>
      <w:r w:rsidR="007575BF">
        <w:rPr>
          <w:lang w:val="en-US"/>
        </w:rPr>
        <w:t xml:space="preserve"> especially in Bioeconomy metabolism analysis, a </w:t>
      </w:r>
      <w:r w:rsidR="007575BF" w:rsidRPr="00CC7E54">
        <w:rPr>
          <w:b/>
          <w:lang w:val="en-US"/>
        </w:rPr>
        <w:t>flow-stock-fund model</w:t>
      </w:r>
      <w:r w:rsidR="007575BF">
        <w:rPr>
          <w:lang w:val="en-US"/>
        </w:rPr>
        <w:t xml:space="preserve"> is necessary; Ecological </w:t>
      </w:r>
      <w:r w:rsidR="007575BF">
        <w:rPr>
          <w:lang w:val="en-US"/>
        </w:rPr>
        <w:lastRenderedPageBreak/>
        <w:t>funds include the ecosystems, atmosphere, soils and aquifers</w:t>
      </w:r>
      <w:r w:rsidR="0038503E">
        <w:rPr>
          <w:lang w:val="en-US"/>
        </w:rPr>
        <w:t>,</w:t>
      </w:r>
      <w:r w:rsidR="007575BF">
        <w:rPr>
          <w:lang w:val="en-US"/>
        </w:rPr>
        <w:t xml:space="preserve"> which </w:t>
      </w:r>
      <w:r w:rsidR="0038503E">
        <w:rPr>
          <w:lang w:val="en-US"/>
        </w:rPr>
        <w:t>can</w:t>
      </w:r>
      <w:r w:rsidR="007575BF">
        <w:rPr>
          <w:lang w:val="en-US"/>
        </w:rPr>
        <w:t xml:space="preserve"> reduce the entropy of wastes and generate primary resources in biochemical cycles. </w:t>
      </w:r>
      <w:r w:rsidR="001B2DA2">
        <w:rPr>
          <w:lang w:val="en-US"/>
        </w:rPr>
        <w:t>Ecological funds are the biosphere equivalent to</w:t>
      </w:r>
      <w:r w:rsidR="007575BF">
        <w:rPr>
          <w:lang w:val="en-US"/>
        </w:rPr>
        <w:t xml:space="preserve"> societal funds</w:t>
      </w:r>
      <w:r w:rsidR="001B2DA2">
        <w:rPr>
          <w:lang w:val="en-US"/>
        </w:rPr>
        <w:t xml:space="preserve"> of the techno</w:t>
      </w:r>
      <w:r w:rsidR="00134D3D">
        <w:rPr>
          <w:lang w:val="en-US"/>
        </w:rPr>
        <w:t>-</w:t>
      </w:r>
      <w:r w:rsidR="001B2DA2">
        <w:rPr>
          <w:lang w:val="en-US"/>
        </w:rPr>
        <w:t xml:space="preserve">sphere, </w:t>
      </w:r>
      <w:r w:rsidR="0038503E">
        <w:rPr>
          <w:lang w:val="en-US"/>
        </w:rPr>
        <w:t>including</w:t>
      </w:r>
      <w:r w:rsidR="007575BF">
        <w:rPr>
          <w:lang w:val="en-US"/>
        </w:rPr>
        <w:t xml:space="preserve"> </w:t>
      </w:r>
      <w:proofErr w:type="spellStart"/>
      <w:r w:rsidR="007575BF">
        <w:rPr>
          <w:lang w:val="en-US"/>
        </w:rPr>
        <w:t>labo</w:t>
      </w:r>
      <w:r w:rsidR="0038503E">
        <w:rPr>
          <w:lang w:val="en-US"/>
        </w:rPr>
        <w:t>u</w:t>
      </w:r>
      <w:r w:rsidR="007575BF">
        <w:rPr>
          <w:lang w:val="en-US"/>
        </w:rPr>
        <w:t>r</w:t>
      </w:r>
      <w:proofErr w:type="spellEnd"/>
      <w:r w:rsidR="007575BF">
        <w:rPr>
          <w:lang w:val="en-US"/>
        </w:rPr>
        <w:t xml:space="preserve">, land-use, technologies and infrastructure </w:t>
      </w:r>
      <w:r w:rsidR="00BA56B3">
        <w:rPr>
          <w:lang w:val="en-US"/>
        </w:rPr>
        <w:t>to</w:t>
      </w:r>
      <w:r w:rsidR="007575BF">
        <w:rPr>
          <w:lang w:val="en-US"/>
        </w:rPr>
        <w:t xml:space="preserve"> reduce specific entropy by reuse and recycling.</w:t>
      </w:r>
      <w:r w:rsidR="00EC2D7F">
        <w:rPr>
          <w:lang w:val="en-US"/>
        </w:rPr>
        <w:t xml:space="preserve"> Similarly, the biosphere </w:t>
      </w:r>
      <w:r w:rsidR="0038503E">
        <w:rPr>
          <w:lang w:val="en-US"/>
        </w:rPr>
        <w:t>can " recycle,</w:t>
      </w:r>
      <w:r w:rsidR="00E4360C">
        <w:rPr>
          <w:lang w:val="en-US"/>
        </w:rPr>
        <w:t>"</w:t>
      </w:r>
      <w:r w:rsidR="00C101DE">
        <w:rPr>
          <w:lang w:val="en-US"/>
        </w:rPr>
        <w:t xml:space="preserve"> e.g.,</w:t>
      </w:r>
      <w:r w:rsidR="00EC2D7F">
        <w:rPr>
          <w:lang w:val="en-US"/>
        </w:rPr>
        <w:t xml:space="preserve"> </w:t>
      </w:r>
      <w:r w:rsidR="00AE2950">
        <w:rPr>
          <w:lang w:val="en-US"/>
        </w:rPr>
        <w:t>nutrients</w:t>
      </w:r>
      <w:r w:rsidR="00C101DE">
        <w:rPr>
          <w:lang w:val="en-US"/>
        </w:rPr>
        <w:t xml:space="preserve"> and greenhouse gases.</w:t>
      </w:r>
    </w:p>
    <w:p w14:paraId="237E183C" w14:textId="66AA9DC2" w:rsidR="00EF7A22" w:rsidRDefault="00BA56B3" w:rsidP="008C5B03">
      <w:pPr>
        <w:spacing w:after="120" w:line="360" w:lineRule="auto"/>
        <w:rPr>
          <w:lang w:val="en-US"/>
        </w:rPr>
      </w:pPr>
      <w:r>
        <w:rPr>
          <w:lang w:val="en-US"/>
        </w:rPr>
        <w:t xml:space="preserve">How these new indicators and structures can be integrated into Sankey diagrams remains to be seen. </w:t>
      </w:r>
      <w:r w:rsidR="00F25F55">
        <w:rPr>
          <w:lang w:val="en-US"/>
        </w:rPr>
        <w:t xml:space="preserve">Rediscovering the non-equilibrium thermodynamic perspective for anthropocentric transformation strategies holds exciting opportunities </w:t>
      </w:r>
      <w:r w:rsidR="00967068">
        <w:rPr>
          <w:lang w:val="en-US"/>
        </w:rPr>
        <w:t xml:space="preserve">to improve </w:t>
      </w:r>
      <w:r w:rsidR="0038503E">
        <w:rPr>
          <w:lang w:val="en-US"/>
        </w:rPr>
        <w:t>resource flow efficiency</w:t>
      </w:r>
      <w:r w:rsidR="00967068">
        <w:rPr>
          <w:lang w:val="en-US"/>
        </w:rPr>
        <w:t xml:space="preserve"> throughout the economic metabolism under broadened system boundaries. For the Sankey illustration of respective </w:t>
      </w:r>
      <w:r w:rsidR="0038503E">
        <w:rPr>
          <w:lang w:val="en-US"/>
        </w:rPr>
        <w:t>view</w:t>
      </w:r>
      <w:r w:rsidR="00967068">
        <w:rPr>
          <w:lang w:val="en-US"/>
        </w:rPr>
        <w:t xml:space="preserve">s and for the illustration of transformation strategies in general, we have to address a remaining </w:t>
      </w:r>
      <w:r w:rsidR="0038503E">
        <w:rPr>
          <w:lang w:val="en-US"/>
        </w:rPr>
        <w:t>significant</w:t>
      </w:r>
      <w:r w:rsidR="00967068">
        <w:rPr>
          <w:lang w:val="en-US"/>
        </w:rPr>
        <w:t xml:space="preserve"> research gap, namely the capability to support dynamic scenario analysis</w:t>
      </w:r>
      <w:r w:rsidR="0038503E">
        <w:rPr>
          <w:lang w:val="en-US"/>
        </w:rPr>
        <w:t>:</w:t>
      </w:r>
    </w:p>
    <w:p w14:paraId="150BDA5D" w14:textId="07D19C24" w:rsidR="00967068" w:rsidRPr="00967068" w:rsidRDefault="00F312EC" w:rsidP="008C5B03">
      <w:pPr>
        <w:pStyle w:val="Listenabsatz"/>
        <w:numPr>
          <w:ilvl w:val="1"/>
          <w:numId w:val="2"/>
        </w:numPr>
        <w:spacing w:after="120" w:line="360" w:lineRule="auto"/>
        <w:contextualSpacing w:val="0"/>
        <w:rPr>
          <w:b/>
          <w:bCs/>
        </w:rPr>
      </w:pPr>
      <w:r w:rsidRPr="0A0C4D98">
        <w:rPr>
          <w:b/>
          <w:bCs/>
        </w:rPr>
        <w:t>Improving the Sankey representation for dynamic scenario analysis</w:t>
      </w:r>
    </w:p>
    <w:p w14:paraId="656A5296" w14:textId="735698B9" w:rsidR="00F312EC" w:rsidRDefault="00F312EC" w:rsidP="008C5B03">
      <w:pPr>
        <w:pStyle w:val="Listenabsatz"/>
        <w:spacing w:after="120" w:line="360" w:lineRule="auto"/>
        <w:ind w:left="0"/>
        <w:contextualSpacing w:val="0"/>
      </w:pPr>
      <w:r w:rsidRPr="000470DA">
        <w:t>Continuous advancements in computer processing power have enabled improvements in modelling longer-time horizons a</w:t>
      </w:r>
      <w:r w:rsidR="0038503E">
        <w:t>nd</w:t>
      </w:r>
      <w:r w:rsidRPr="000470DA">
        <w:t xml:space="preserve"> spatial, temporal and technological resolutions.</w:t>
      </w:r>
      <w:r>
        <w:t xml:space="preserve"> </w:t>
      </w:r>
      <w:r>
        <w:fldChar w:fldCharType="begin"/>
      </w:r>
      <w:r>
        <w:instrText xml:space="preserve"> ADDIN ZOTERO_ITEM CSL_CITATION {"citationID":"ugqo1JNQ","properties":{"formattedCitation":"(Lopion et al., 2018; Prina et al., 2020)","plainCitation":"(Lopion et al., 2018; Prina et al., 2020)","noteIndex":0},"citationItems":[{"id":6214,"uris":["http://zotero.org/users/1226784/items/RWB8BC4B"],"itemData":{"id":6214,"type":"article-journal","abstract":"The requirements made on energy system models have changed during the last few decades. New challenges have arisen with the implementation of high shares of Renewable Energies. Along with the climate goals of the Paris Agreement, the national greenhouse gas strategies of industrialized countries involve the total restructuring of their energy systems. In order to archive these climate goals, fitted and customized models are required. For that reason, this paper focuses on national energy system models that incorporate all energy sectors and can support governmental decision making processes. The reviewed models are evaluated in terms of their characteristics, like their underlying methodology, analytical approach, time horizon and transformation path analysis, spatial and temporal resolution, licensing and modeling language. These attributes are set in the context of the region and time in which they were developed in order to identify trends in modeling. Furthermore, the revealed trends are set in the context of current challenges in energy systems modeling. Combining specified research questions and specific greenhouse gas reduction strategies, this paper will help researchers and decision makers find appropriate energy system models.","container-title":"Renewable and Sustainable Energy Reviews","DOI":"10.1016/j.rser.2018.07.045","ISSN":"1364-0321","journalAbbreviation":"Renewable and Sustainable Energy Reviews","language":"en","page":"156-166","source":"ScienceDirect","title":"A review of current challenges and trends in energy systems modeling","volume":"96","author":[{"family":"Lopion","given":"Peter"},{"family":"Markewitz","given":"Peter"},{"family":"Robinius","given":"Martin"},{"family":"Stolten","given":"Detlef"}],"issued":{"date-parts":[["2018",11,1]]}}},{"id":5587,"uris":["http://zotero.org/users/1226784/items/DHLNUUWY"],"itemData":{"id":5587,"type":"article-journal","abstract":"This paper reviews the classification schemes used for bottom-up energy system modelling and proposes a novel one as re-elaboration of the previous schemes. Moreover, this paper identifies that the main challenges of this research field rotate around the concept of resolution. A matrix of challenges in which four main fields are identified: resolution in time, in space, in techno-economic detail and in sector-coupling. These main fields are divided into different levels of resolution: low, medium and high. The use of a low resolution introduces errors in the modelling as demonstrated by different studies. Several existing bottom-up energy system models are reviewed in order to classify them according to the proposed approach and map them through the proposed matrix. 13 different models are analyzed in the category of bottom-up short-term and 9 as bottom-up long-term energy system models. The following mapping shows how several models reach a high level of resolution in one or more than one area. However, the ultimate challenge is the simultaneous achievement of high resolution in all these fields. The literature review has shown how this final aim is not reached by any model at the current stage and it highlights the gap and weaknesses of this branch of research and the direction versus which is important to work to improve this type of modelling.","container-title":"Renewable and Sustainable Energy Reviews","DOI":"10.1016/j.rser.2020.109917","ISSN":"1364-0321","journalAbbreviation":"Renewable and Sustainable Energy Reviews","language":"en","page":"109917","source":"ScienceDirect","title":"Classification and challenges of bottom-up energy system models - A review","volume":"129","author":[{"family":"Prina","given":"Matteo Giacomo"},{"family":"Manzolini","given":"Giampaolo"},{"family":"Moser","given":"David"},{"family":"Nastasi","given":"Benedetto"},{"family":"Sparber","given":"Wolfram"}],"issued":{"date-parts":[["2020",9,1]]}}}],"schema":"https://github.com/citation-style-language/schema/raw/master/csl-citation.json"} </w:instrText>
      </w:r>
      <w:r>
        <w:fldChar w:fldCharType="separate"/>
      </w:r>
      <w:r w:rsidRPr="000470DA">
        <w:rPr>
          <w:rFonts w:ascii="Calibri" w:hAnsi="Calibri" w:cs="Calibri"/>
        </w:rPr>
        <w:t>(Lopion et al., 2018; Prina et al., 2020)</w:t>
      </w:r>
      <w:r>
        <w:fldChar w:fldCharType="end"/>
      </w:r>
      <w:r w:rsidRPr="000470DA">
        <w:t xml:space="preserve"> The trend in increasing temporal horizons and resolutions furthermore outpaces the application of </w:t>
      </w:r>
      <w:r w:rsidR="00E4360C">
        <w:t>'</w:t>
      </w:r>
      <w:r w:rsidRPr="000470DA">
        <w:t>single snapshot year</w:t>
      </w:r>
      <w:r w:rsidR="00E4360C">
        <w:t>'</w:t>
      </w:r>
      <w:r w:rsidRPr="000470DA">
        <w:t xml:space="preserve"> models favouring multi-year timeframe models capable of transformation path analysis</w:t>
      </w:r>
      <w:r>
        <w:t xml:space="preserve"> </w:t>
      </w:r>
      <w:r>
        <w:fldChar w:fldCharType="begin"/>
      </w:r>
      <w:r>
        <w:instrText xml:space="preserve"> ADDIN ZOTERO_ITEM CSL_CITATION {"citationID":"Kc9VKgyM","properties":{"formattedCitation":"(Lopion et al., 2018)","plainCitation":"(Lopion et al., 2018)","noteIndex":0},"citationItems":[{"id":6214,"uris":["http://zotero.org/users/1226784/items/RWB8BC4B"],"itemData":{"id":6214,"type":"article-journal","abstract":"The requirements made on energy system models have changed during the last few decades. New challenges have arisen with the implementation of high shares of Renewable Energies. Along with the climate goals of the Paris Agreement, the national greenhouse gas strategies of industrialized countries involve the total restructuring of their energy systems. In order to archive these climate goals, fitted and customized models are required. For that reason, this paper focuses on national energy system models that incorporate all energy sectors and can support governmental decision making processes. The reviewed models are evaluated in terms of their characteristics, like their underlying methodology, analytical approach, time horizon and transformation path analysis, spatial and temporal resolution, licensing and modeling language. These attributes are set in the context of the region and time in which they were developed in order to identify trends in modeling. Furthermore, the revealed trends are set in the context of current challenges in energy systems modeling. Combining specified research questions and specific greenhouse gas reduction strategies, this paper will help researchers and decision makers find appropriate energy system models.","container-title":"Renewable and Sustainable Energy Reviews","DOI":"10.1016/j.rser.2018.07.045","ISSN":"1364-0321","journalAbbreviation":"Renewable and Sustainable Energy Reviews","language":"en","page":"156-166","source":"ScienceDirect","title":"A review of current challenges and trends in energy systems modeling","volume":"96","author":[{"family":"Lopion","given":"Peter"},{"family":"Markewitz","given":"Peter"},{"family":"Robinius","given":"Martin"},{"family":"Stolten","given":"Detlef"}],"issued":{"date-parts":[["2018",11,1]]}}}],"schema":"https://github.com/citation-style-language/schema/raw/master/csl-citation.json"} </w:instrText>
      </w:r>
      <w:r>
        <w:fldChar w:fldCharType="separate"/>
      </w:r>
      <w:r w:rsidRPr="000470DA">
        <w:rPr>
          <w:rFonts w:ascii="Calibri" w:hAnsi="Calibri" w:cs="Calibri"/>
        </w:rPr>
        <w:t>(Lopion et al., 2018)</w:t>
      </w:r>
      <w:r>
        <w:fldChar w:fldCharType="end"/>
      </w:r>
      <w:r>
        <w:t>.</w:t>
      </w:r>
      <w:r w:rsidRPr="000470DA">
        <w:t xml:space="preserve"> Path analysis is especially relevant for long-time planning horizons as it allows us (a) to simulate trajectories from the status-quo towards a sustainable </w:t>
      </w:r>
      <w:r>
        <w:t>metabolism</w:t>
      </w:r>
      <w:r w:rsidRPr="000470DA">
        <w:t xml:space="preserve"> in the year 2050 or even 2100 and (b) to depict possible developments for a </w:t>
      </w:r>
      <w:r w:rsidR="00E4360C">
        <w:t>"</w:t>
      </w:r>
      <w:r w:rsidRPr="000470DA">
        <w:t>business-as-usual</w:t>
      </w:r>
      <w:r w:rsidR="00E4360C">
        <w:t>"</w:t>
      </w:r>
      <w:r w:rsidRPr="000470DA">
        <w:t xml:space="preserve">. Policy recommendations on </w:t>
      </w:r>
      <w:r w:rsidR="0038503E">
        <w:t>achieving</w:t>
      </w:r>
      <w:r w:rsidRPr="000470DA">
        <w:t xml:space="preserve"> intended dynamic developments can be derived from comparing our simulated scenarios with the counterfactual reference scenarios.</w:t>
      </w:r>
    </w:p>
    <w:p w14:paraId="54AD9DC1" w14:textId="49B1F083" w:rsidR="00967068" w:rsidRDefault="00F312EC" w:rsidP="008C5B03">
      <w:pPr>
        <w:pStyle w:val="Listenabsatz"/>
        <w:spacing w:after="120" w:line="360" w:lineRule="auto"/>
        <w:ind w:left="0"/>
        <w:contextualSpacing w:val="0"/>
      </w:pPr>
      <w:r>
        <w:t xml:space="preserve">Sankey diagrams could play an </w:t>
      </w:r>
      <w:r w:rsidR="0038503E">
        <w:t>essential</w:t>
      </w:r>
      <w:r>
        <w:t xml:space="preserve"> role in communicating </w:t>
      </w:r>
      <w:r w:rsidR="0038503E">
        <w:t>how modellers envision a sustainable metabolism and</w:t>
      </w:r>
      <w:r>
        <w:t xml:space="preserve"> how they intend to get there, i.e., the path. However, integrating dynamic developments into the Sankey diagram represents a non-trivial challenge. In the interactive version of our </w:t>
      </w:r>
      <w:r w:rsidR="00967068">
        <w:t xml:space="preserve">presented </w:t>
      </w:r>
      <w:r>
        <w:t>Sankey diagrams</w:t>
      </w:r>
      <w:r w:rsidR="0038503E">
        <w:t>, we offer a timeline to compare</w:t>
      </w:r>
      <w:r>
        <w:t xml:space="preserve"> historical data on the material and energy flow developments</w:t>
      </w:r>
      <w:r w:rsidR="00967068">
        <w:t xml:space="preserve"> between 2010-</w:t>
      </w:r>
      <w:r w:rsidR="0038503E">
        <w:t xml:space="preserve">and </w:t>
      </w:r>
      <w:r w:rsidR="00967068">
        <w:t>2017</w:t>
      </w:r>
      <w:r>
        <w:t xml:space="preserve">. Rigorously adopting the timeline approach for scenario data would be </w:t>
      </w:r>
      <w:r w:rsidR="0038503E">
        <w:t>the</w:t>
      </w:r>
      <w:r>
        <w:t xml:space="preserve"> first step</w:t>
      </w:r>
      <w:r w:rsidR="00967068">
        <w:t>.</w:t>
      </w:r>
    </w:p>
    <w:p w14:paraId="75987D3D" w14:textId="188247AE" w:rsidR="00F312EC" w:rsidRDefault="00967068" w:rsidP="008C5B03">
      <w:pPr>
        <w:pStyle w:val="Listenabsatz"/>
        <w:spacing w:after="120" w:line="360" w:lineRule="auto"/>
        <w:ind w:left="0"/>
        <w:contextualSpacing w:val="0"/>
      </w:pPr>
      <w:r>
        <w:t>H</w:t>
      </w:r>
      <w:r w:rsidR="00F312EC">
        <w:t xml:space="preserve">owever and in our opinion, </w:t>
      </w:r>
      <w:r>
        <w:t>the timeline approach</w:t>
      </w:r>
      <w:r w:rsidR="00F312EC">
        <w:t xml:space="preserve"> would have to be accompanied by a thermodynamically balanced representation of stocks, which are either depleting, filling or staying constant. </w:t>
      </w:r>
      <w:r w:rsidR="00F312EC">
        <w:fldChar w:fldCharType="begin"/>
      </w:r>
      <w:r w:rsidR="00F312EC">
        <w:instrText xml:space="preserve"> ADDIN ZOTERO_ITEM CSL_CITATION {"citationID":"djFVnlsW","properties":{"formattedCitation":"(Wiedenhofer et al., 2019)","plainCitation":"(Wiedenhofer et al., 2019)","noteIndex":0},"citationItems":[{"id":4891,"uris":["http://zotero.org/users/1226784/items/4E7YAH5H"],"itemData":{"id":4891,"type":"article-journal","abstract":"Assessing progress towards environmental sustainability requires a robust and systematic knowledge base. Economy-wide material flow accounting (ew-MFA) is an established method to monitor resource use across scales and its headline indicators are widely used in policy. However, ew-MFA is currently limited by its empirical focus on annual flows of material and energy, because it neglects the pivotal role of in-use material stocks of manufactured capital. Explicitly integrating in-use stocks enables new insights into a range of Ecological Economics' topics, such as the biophysical assessment of socio-economic systems, the circular economy and stock-flow consistent scenarios.","container-title":"Ecological Economics","DOI":"10.1016/j.ecolecon.2018.09.010","ISSN":"09218009","journalAbbreviation":"Ecological Economics","language":"en","page":"121-133","source":"DOI.org (Crossref)","title":"Integrating Material Stock Dynamics Into Economy-Wide Material Flow Accounting: Concepts, Modelling, and Global Application for 1900–2050","title-short":"Integrating Material Stock Dynamics Into Economy-Wide Material Flow Accounting","volume":"156","author":[{"family":"Wiedenhofer","given":"Dominik"},{"family":"Fishman","given":"Tomer"},{"family":"Lauk","given":"Christian"},{"family":"Haas","given":"Willi"},{"family":"Krausmann","given":"Fridolin"}],"issued":{"date-parts":[["2019",2]]}}}],"schema":"https://github.com/citation-style-language/schema/raw/master/csl-citation.json"} </w:instrText>
      </w:r>
      <w:r w:rsidR="00F312EC">
        <w:fldChar w:fldCharType="separate"/>
      </w:r>
      <w:r w:rsidR="00F312EC" w:rsidRPr="0008369B">
        <w:rPr>
          <w:rFonts w:ascii="Calibri" w:hAnsi="Calibri" w:cs="Calibri"/>
        </w:rPr>
        <w:t>(Wiedenhofer et al., 2019)</w:t>
      </w:r>
      <w:r w:rsidR="00F312EC">
        <w:fldChar w:fldCharType="end"/>
      </w:r>
      <w:r w:rsidR="00F312EC">
        <w:t xml:space="preserve"> proposes a Materials, Inputs, Stocks and Outputs (MISO) model for economy-wide material flow accounting. Although without Sankey</w:t>
      </w:r>
      <w:r w:rsidR="0038503E">
        <w:t>'s</w:t>
      </w:r>
      <w:r w:rsidR="00F312EC">
        <w:t xml:space="preserve"> representation, they clearly explain how global in-use stocks </w:t>
      </w:r>
      <w:r w:rsidR="0038503E">
        <w:t xml:space="preserve">have </w:t>
      </w:r>
      <w:r w:rsidR="00F312EC">
        <w:t xml:space="preserve">increased significantly since 1960. </w:t>
      </w:r>
      <w:r w:rsidR="0038503E">
        <w:t>Leading</w:t>
      </w:r>
      <w:r w:rsidR="00F312EC">
        <w:t xml:space="preserve"> in-use stocks include concrete, aggregates including sand and gravel, bricks, asphalt and iron and steel</w:t>
      </w:r>
      <w:r w:rsidR="0038503E">
        <w:t>,</w:t>
      </w:r>
      <w:r w:rsidR="00F312EC">
        <w:t xml:space="preserve"> adding up to about 1.000 </w:t>
      </w:r>
      <w:proofErr w:type="spellStart"/>
      <w:r w:rsidR="00F312EC">
        <w:t>Gigatonnes</w:t>
      </w:r>
      <w:proofErr w:type="spellEnd"/>
      <w:r w:rsidR="00F312EC">
        <w:t xml:space="preserve"> in 2014. Short-lived products </w:t>
      </w:r>
      <w:proofErr w:type="gramStart"/>
      <w:r w:rsidR="00F312EC">
        <w:t>flows</w:t>
      </w:r>
      <w:proofErr w:type="gramEnd"/>
      <w:r w:rsidR="00F312EC">
        <w:t xml:space="preserve"> from dissipative uses and processing wastes</w:t>
      </w:r>
      <w:r w:rsidR="0038503E">
        <w:t>,</w:t>
      </w:r>
      <w:r w:rsidR="00F312EC">
        <w:t xml:space="preserve"> </w:t>
      </w:r>
      <w:r w:rsidR="00F312EC">
        <w:lastRenderedPageBreak/>
        <w:t xml:space="preserve">and end-of-life wastes from the in-use stock mainly leave the economic metabolism. Future work could account for carbon stocks in the techno-sphere, e.g., based on carbon capture and storage or buildings and infrastructure based on biobased materials acting as carbon sinks </w:t>
      </w:r>
      <w:r w:rsidR="00F312EC">
        <w:fldChar w:fldCharType="begin"/>
      </w:r>
      <w:r w:rsidR="00F312EC">
        <w:instrText xml:space="preserve"> ADDIN ZOTERO_ITEM CSL_CITATION {"citationID":"cXBQrj01","properties":{"formattedCitation":"(Churkina et al., 2020)","plainCitation":"(Churkina et al., 2020)","noteIndex":0},"citationItems":[{"id":5652,"uris":["http://zotero.org/users/1226784/items/CAC2U6EU"],"itemData":{"id":5652,"type":"article-journal","abstract":"The anticipated growth and urbanization of the global population over the next several decades will create a vast demand for the construction of new housing, commercial buildings and accompanying infrastructure. The production of cement, steel and other building materials associated with this wave of construction will become a major source of greenhouse gas emissions. Might it be possible to transform this potential threat to the global climate system into a powerful means to mitigate climate change? To answer this provocative question, we explore the potential of mid-rise urban buildings designed with engineered timber to provide long-term storage of carbon and to avoid the carbon-intensive production of mineral-based construction materials.","container-title":"Nature Sustainability","DOI":"10.1038/s41893-019-0462-4","ISSN":"2398-9629","issue":"4","language":"en","note":"number: 4\npublisher: Nature Publishing Group","page":"269-276","source":"www.nature.com","title":"Buildings as a global carbon sink","volume":"3","author":[{"family":"Churkina","given":"Galina"},{"family":"Organschi","given":"Alan"},{"family":"Reyer","given":"Christopher P. O."},{"family":"Ruff","given":"Andrew"},{"family":"Vinke","given":"Kira"},{"family":"Liu","given":"Zhu"},{"family":"Reck","given":"Barbara K."},{"family":"Graedel","given":"T. E."},{"family":"Schellnhuber","given":"Hans Joachim"}],"issued":{"date-parts":[["2020",4]]}}}],"schema":"https://github.com/citation-style-language/schema/raw/master/csl-citation.json"} </w:instrText>
      </w:r>
      <w:r w:rsidR="00F312EC">
        <w:fldChar w:fldCharType="separate"/>
      </w:r>
      <w:r w:rsidR="00F312EC" w:rsidRPr="00C260ED">
        <w:rPr>
          <w:rFonts w:ascii="Calibri" w:hAnsi="Calibri" w:cs="Calibri"/>
        </w:rPr>
        <w:t>(Churkina et al., 2020)</w:t>
      </w:r>
      <w:r w:rsidR="00F312EC">
        <w:fldChar w:fldCharType="end"/>
      </w:r>
      <w:r w:rsidR="00F312EC">
        <w:t>. Once again, the question o</w:t>
      </w:r>
      <w:r w:rsidR="0038503E">
        <w:t>f</w:t>
      </w:r>
      <w:r w:rsidR="00F312EC">
        <w:t xml:space="preserve"> the system boundaries for respective Sankey representations emerge</w:t>
      </w:r>
      <w:r w:rsidR="0038503E">
        <w:t>s</w:t>
      </w:r>
      <w:r w:rsidR="00F312EC">
        <w:t xml:space="preserve"> if</w:t>
      </w:r>
      <w:r w:rsidR="0038503E">
        <w:t>,</w:t>
      </w:r>
      <w:r w:rsidR="00F312EC">
        <w:t xml:space="preserve"> e.g., the interaction between potential carbon stocks in the techno-sphere, biosphere (e.g., soil carbon and forests) and atmosphere are to be illustrated.</w:t>
      </w:r>
    </w:p>
    <w:p w14:paraId="730EC845" w14:textId="51A830E5" w:rsidR="00967068" w:rsidRPr="00F312EC" w:rsidRDefault="00F67E49" w:rsidP="008C5B03">
      <w:pPr>
        <w:pStyle w:val="Listenabsatz"/>
        <w:spacing w:after="120" w:line="360" w:lineRule="auto"/>
        <w:ind w:left="0"/>
        <w:contextualSpacing w:val="0"/>
      </w:pPr>
      <w:r>
        <w:t>T</w:t>
      </w:r>
      <w:r w:rsidR="00967068">
        <w:t xml:space="preserve">he </w:t>
      </w:r>
      <w:r w:rsidR="0038503E">
        <w:t>references mentioned above</w:t>
      </w:r>
      <w:r w:rsidR="00967068">
        <w:t xml:space="preserve"> focus on stock accumulation</w:t>
      </w:r>
      <w:r>
        <w:t>,</w:t>
      </w:r>
      <w:r w:rsidR="00967068">
        <w:t xml:space="preserve"> shortly</w:t>
      </w:r>
      <w:r>
        <w:t xml:space="preserve"> reflecting potential stock depletion in the biosphere. These dynamics could be integrated in</w:t>
      </w:r>
      <w:r w:rsidR="0038503E">
        <w:t>to</w:t>
      </w:r>
      <w:r>
        <w:t xml:space="preserve"> a dynamic Sankey </w:t>
      </w:r>
      <w:r w:rsidR="008C5B03">
        <w:t>diagram</w:t>
      </w:r>
      <w:r>
        <w:t xml:space="preserve"> with yearly or multi-yearly timesteps. </w:t>
      </w:r>
      <w:r w:rsidR="006544C3">
        <w:t xml:space="preserve">However, in </w:t>
      </w:r>
      <w:r w:rsidR="009A2239">
        <w:fldChar w:fldCharType="begin"/>
      </w:r>
      <w:r w:rsidR="009A2239">
        <w:instrText xml:space="preserve"> ADDIN ZOTERO_ITEM CSL_CITATION {"citationID":"Q1rp3ump","properties":{"formattedCitation":"(Schipfer et al., 2022)","plainCitation":"(Schipfer et al., 2022)","noteIndex":0},"citationItems":[{"id":7357,"uris":["http://zotero.org/users/1226784/items/LTZVW5DV"],"itemData":{"id":7357,"type":"article-journal","abstract":"We can expect a remarkable expansion and cross-sectoral deployment of PV and wind power in the current decade. The intermittent nature of these renewables, however, will evoke challenges regarding matching energy supply and demand. Studies and strategies that aim to solve this challenge tend to neglect the flexibility potential of modern and sustainable bioenergy, despite this being the leading renewable energy resource today. We explore the current status of, and stakeholder expectations for, bioenergy flexibility, drawing on recent questionnaire data gathered in the IEA Bioenergy TCP, including some of the authors of this study, to provide a technological and deployment status review for eleven countries. We present a wide range of commercially available bioenergy technologies that can offer flexibility services. We find that sustainable biomass can be deployed for multiple services and benefits to the energy system under varying operating conditions and loads, contributing to energy security beyond the power grid. Yet, practical deployment continues to be seen as little more than a niche innovation mainly due to limited ‘landscape pressure’ and considerable challenges in translating systemic, macro-economic and societal gains into an economic profit on a business level. Considering the large variety of flexibility services, we highlight that markets and frameworks have to be designed to sufficiently reflect the qualities and limitations of the different commodities or services. Therefore, we advocate for a heterodox energy economic debate to help settle fundamental questions about the effectiveness of different market designs based on empirical approaches, quantitative modelling, and basic analytical research.","container-title":"Renewable and Sustainable Energy Reviews","DOI":"https://doi.org/10.1016/j.rser.2022.112094","ISSN":"1364-0321","journalAbbreviation":"Renewable and Sustainable Energy Reviews","language":"en","page":"112094","source":"ScienceDirect","title":"Status of and expectations for flexible bioenergy to support resource efficiency and to accelerate the energy transition","volume":"158","author":[{"family":"Schipfer","given":"F."},{"family":"Mäki","given":"E."},{"family":"Schmieder","given":"U."},{"family":"Lange","given":"N."},{"family":"Schildhauer","given":"T."},{"family":"Hennig","given":"C."},{"family":"Thrän","given":"D."}],"issued":{"date-parts":[["2022",4,1]]}}}],"schema":"https://github.com/citation-style-language/schema/raw/master/csl-citation.json"} </w:instrText>
      </w:r>
      <w:r w:rsidR="009A2239">
        <w:fldChar w:fldCharType="separate"/>
      </w:r>
      <w:r w:rsidR="009A2239" w:rsidRPr="009A2239">
        <w:rPr>
          <w:rFonts w:ascii="Calibri" w:hAnsi="Calibri" w:cs="Calibri"/>
        </w:rPr>
        <w:t>(Schipfer et al., 2022)</w:t>
      </w:r>
      <w:r w:rsidR="009A2239">
        <w:fldChar w:fldCharType="end"/>
      </w:r>
      <w:r w:rsidR="007B5453">
        <w:t xml:space="preserve"> we </w:t>
      </w:r>
      <w:r w:rsidR="0038503E">
        <w:t xml:space="preserve">can </w:t>
      </w:r>
      <w:r w:rsidR="007B5453">
        <w:t xml:space="preserve">highlight the importance of stocks and storage capacity for equilibrating temporary resource surpluses and shortfalls. </w:t>
      </w:r>
      <w:r w:rsidR="00E02002">
        <w:t>Power, gas</w:t>
      </w:r>
      <w:r w:rsidR="0038503E">
        <w:t>, and biomass storage are</w:t>
      </w:r>
      <w:r w:rsidR="00E02002">
        <w:t xml:space="preserve"> </w:t>
      </w:r>
      <w:r w:rsidR="0038503E">
        <w:t>essential</w:t>
      </w:r>
      <w:r w:rsidR="00E02002">
        <w:t xml:space="preserve"> measures to induce flexibility in economic metabolism. </w:t>
      </w:r>
      <w:r w:rsidR="0038503E">
        <w:t>However, illustrating this functionality</w:t>
      </w:r>
      <w:r w:rsidR="00E02002">
        <w:t xml:space="preserve"> would require different time resolutions from hours to seasons, which we cannot envision </w:t>
      </w:r>
      <w:r w:rsidR="0038503E">
        <w:t>being</w:t>
      </w:r>
      <w:r w:rsidR="00E02002">
        <w:t xml:space="preserve"> reasonably implemented into Sankey </w:t>
      </w:r>
      <w:r w:rsidR="00E4360C">
        <w:t>diagrams</w:t>
      </w:r>
      <w:r w:rsidR="00E02002">
        <w:t xml:space="preserve"> today.</w:t>
      </w:r>
    </w:p>
    <w:p w14:paraId="142E27F8" w14:textId="476F9F59" w:rsidR="00A860DD" w:rsidRPr="00AF46CD" w:rsidRDefault="00A860DD" w:rsidP="008C5B03">
      <w:pPr>
        <w:pStyle w:val="Listenabsatz"/>
        <w:numPr>
          <w:ilvl w:val="1"/>
          <w:numId w:val="2"/>
        </w:numPr>
        <w:spacing w:after="120" w:line="360" w:lineRule="auto"/>
        <w:contextualSpacing w:val="0"/>
        <w:rPr>
          <w:b/>
        </w:rPr>
      </w:pPr>
      <w:r>
        <w:rPr>
          <w:b/>
        </w:rPr>
        <w:t xml:space="preserve">Programming </w:t>
      </w:r>
      <w:r w:rsidR="004A7769">
        <w:rPr>
          <w:b/>
        </w:rPr>
        <w:t xml:space="preserve">and other </w:t>
      </w:r>
      <w:r>
        <w:rPr>
          <w:b/>
        </w:rPr>
        <w:t>challenges</w:t>
      </w:r>
    </w:p>
    <w:p w14:paraId="4D60F781" w14:textId="23EE73BF" w:rsidR="00694020" w:rsidRDefault="00694020" w:rsidP="008C5B03">
      <w:pPr>
        <w:pStyle w:val="Listenabsatz"/>
        <w:spacing w:after="120" w:line="360" w:lineRule="auto"/>
        <w:ind w:left="0"/>
        <w:contextualSpacing w:val="0"/>
      </w:pPr>
      <w:r w:rsidRPr="00694020">
        <w:t xml:space="preserve">Recently, model collaboration and accessibility </w:t>
      </w:r>
      <w:r w:rsidR="0038503E">
        <w:t>have been</w:t>
      </w:r>
      <w:r w:rsidRPr="00694020">
        <w:t xml:space="preserve"> a priority for many policy-relevant modelling teams. More and more models subscribe to open-source principles and programming languages with low entry barriers</w:t>
      </w:r>
      <w:r w:rsidR="0038503E">
        <w:t>,</w:t>
      </w:r>
      <w:r w:rsidRPr="00694020">
        <w:t xml:space="preserve"> </w:t>
      </w:r>
      <w:r>
        <w:t>including the languages used in the presented paper (R</w:t>
      </w:r>
      <w:r w:rsidR="001D7E97">
        <w:t>Studio</w:t>
      </w:r>
      <w:r>
        <w:t xml:space="preserve"> and Python)</w:t>
      </w:r>
      <w:r w:rsidRPr="00694020">
        <w:t>, improving accessibility, transparency and reproducibility</w:t>
      </w:r>
      <w:r>
        <w:t xml:space="preserve"> </w:t>
      </w:r>
      <w:r>
        <w:fldChar w:fldCharType="begin"/>
      </w:r>
      <w:r w:rsidR="00E95283">
        <w:instrText xml:space="preserve"> ADDIN ZOTERO_ITEM CSL_CITATION {"citationID":"vmamIKAP","properties":{"formattedCitation":"(Ridha et al., 2020)","plainCitation":"(Ridha et al., 2020)","noteIndex":0},"citationItems":[{"id":7126,"uris":["http://zotero.org/users/1226784/items/SZAA5FWH"],"itemData":{"id":7126,"type":"article-journal","abstract":"Energy systems are becoming increasingly complex as developments such as sector coupling and decentral electricity generation increase their interconnectedness. At the same time, energy system models that are implemented to depict and predict energy systems are limited in their complexity due to computational constraints. Thus, a trade-off has to be made between high degrees of detail and model runtimes. As a first step towards efficiently managing the complexity of energy system models, we examine the relationship between the purpose of models and their complexity. Using fact sheets on 145 models, we manually cluster these models based on their purpose and underlying research questions. Further, we conduct mathematical clustering using several clustering methods to investigate the reproducibility of our results. For our study, we define the complexity of a model as the level of detail in which it represents reality. We distinguish the level of detail into the four dimensions of temporal, spatial, mathematical and modeling content complexity. The differences between the clusters found in these dimensions are verified statistically using confidence intervals. 112 out of 145 models can be allocated to one out of four major clusters possessing clearly distinguishable complexity profiles: unit commitment, electrical grids, policy assessment, and future energy systems. In each of these profiles, high complexity in one dimension or subdimension is compensated by low complexities in other dimensions. We therefore conclude that when creating a model, modelers allocate complexity in order of priority on those features and properties that are particularly important for fulfilling the model's purpose. Our results provide a necessary basis for the emerging field of complexity management in energy system modeling and are therefore of high interest for the scientific community and the interpreters of model results such as decision makers from policy and industry.","container-title":"Energy Strategy Reviews","DOI":"10.1016/j.esr.2020.100515","ISSN":"2211-467X","journalAbbreviation":"Energy Strategy Reviews","language":"en","page":"100515","source":"ScienceDirect","title":"Complexity profiles: A large-scale review of energy system models in terms of complexity","title-short":"Complexity profiles","volume":"30","author":[{"family":"Ridha","given":"Elias"},{"family":"Nolting","given":"Lars"},{"family":"Praktiknjo","given":"Aaron"}],"issued":{"date-parts":[["2020",7,1]]}}}],"schema":"https://github.com/citation-style-language/schema/raw/master/csl-citation.json"} </w:instrText>
      </w:r>
      <w:r>
        <w:fldChar w:fldCharType="separate"/>
      </w:r>
      <w:r w:rsidRPr="00694020">
        <w:rPr>
          <w:rFonts w:ascii="Calibri" w:hAnsi="Calibri" w:cs="Calibri"/>
        </w:rPr>
        <w:t>(Ridha et al., 2020)</w:t>
      </w:r>
      <w:r>
        <w:fldChar w:fldCharType="end"/>
      </w:r>
      <w:r w:rsidRPr="00694020">
        <w:t>. Joint analysis of ensembles of model runs and scenarios produced by different models and modelling teams (</w:t>
      </w:r>
      <w:r w:rsidR="00E4360C">
        <w:t>"</w:t>
      </w:r>
      <w:r w:rsidRPr="00694020">
        <w:t>multi-model ensembles</w:t>
      </w:r>
      <w:r w:rsidR="00E4360C">
        <w:t>"</w:t>
      </w:r>
      <w:r w:rsidRPr="00694020">
        <w:t>) is a key methodology for the Intergovernmental Panel on Climate Change (IPCC) and its Integrated Assessment Modeling Consortium.</w:t>
      </w:r>
      <w:r>
        <w:t xml:space="preserve"> T</w:t>
      </w:r>
      <w:r w:rsidRPr="00694020">
        <w:t xml:space="preserve">he Horizon 2020 European Climate Energy Modelling Forum (ECEMF) </w:t>
      </w:r>
      <w:r>
        <w:t xml:space="preserve">will perform </w:t>
      </w:r>
      <w:r w:rsidR="0038503E">
        <w:t xml:space="preserve">a </w:t>
      </w:r>
      <w:r>
        <w:t>m</w:t>
      </w:r>
      <w:r w:rsidRPr="00694020">
        <w:t xml:space="preserve">ulti-model ensemble comparison </w:t>
      </w:r>
      <w:r>
        <w:t xml:space="preserve">based on </w:t>
      </w:r>
      <w:r w:rsidRPr="00694020">
        <w:t xml:space="preserve">open data standards and </w:t>
      </w:r>
      <w:r>
        <w:t xml:space="preserve">in an openly accessible </w:t>
      </w:r>
      <w:r w:rsidRPr="00694020">
        <w:t>interactive online comparison tool</w:t>
      </w:r>
      <w:r>
        <w:t xml:space="preserve">, </w:t>
      </w:r>
      <w:r w:rsidRPr="00694020">
        <w:t xml:space="preserve">the IIASA </w:t>
      </w:r>
      <w:r w:rsidR="00163F18">
        <w:t>S</w:t>
      </w:r>
      <w:r w:rsidRPr="00694020">
        <w:t xml:space="preserve">cenario </w:t>
      </w:r>
      <w:r w:rsidR="00163F18">
        <w:t>E</w:t>
      </w:r>
      <w:r w:rsidRPr="00694020">
        <w:t>xplorer</w:t>
      </w:r>
      <w:r>
        <w:t xml:space="preserve"> </w:t>
      </w:r>
      <w:r>
        <w:fldChar w:fldCharType="begin"/>
      </w:r>
      <w:r w:rsidR="00E95283">
        <w:instrText xml:space="preserve"> ADDIN ZOTERO_ITEM CSL_CITATION {"citationID":"SNeYuoo1","properties":{"formattedCitation":"(Huppmann et al., 2018)","plainCitation":"(Huppmann et al., 2018)","noteIndex":0},"citationItems":[{"id":1819,"uris":["http://zotero.org/users/1226784/items/FK5E45VW"],"itemData":{"id":1819,"type":"article-journal","abstract":"Scenarios have supported assessments of the IPCC for decades. A new scenario ensemble and a suite of visualization and analysis tools is now made available alongside the IPCC 1.5 °C Special Report to improve transparency and re-use of scenario data across research communities.","container-title":"Nature Climate Change","DOI":"10.1038/s41558-018-0317-4","ISSN":"1758-6798","language":"en","page":"1","source":"www.nature.com","title":"A new scenario resource for integrated 1.5 °C research","author":[{"family":"Huppmann","given":"Daniel"},{"family":"Rogelj","given":"Joeri"},{"family":"Kriegler","given":"Elmar"},{"family":"Krey","given":"Volker"},{"family":"Riahi","given":"Keywan"}],"issued":{"date-parts":[["2018",10,15]]}}}],"schema":"https://github.com/citation-style-language/schema/raw/master/csl-citation.json"} </w:instrText>
      </w:r>
      <w:r>
        <w:fldChar w:fldCharType="separate"/>
      </w:r>
      <w:r w:rsidRPr="00694020">
        <w:rPr>
          <w:rFonts w:ascii="Calibri" w:hAnsi="Calibri" w:cs="Calibri"/>
        </w:rPr>
        <w:t>(Huppmann et al., 2018)</w:t>
      </w:r>
      <w:r>
        <w:fldChar w:fldCharType="end"/>
      </w:r>
      <w:r w:rsidRPr="00694020">
        <w:t>.</w:t>
      </w:r>
      <w:r>
        <w:t xml:space="preserve"> The code developed for the presented Sankey illustrations could</w:t>
      </w:r>
      <w:r w:rsidR="0038503E">
        <w:t>,</w:t>
      </w:r>
      <w:r>
        <w:t xml:space="preserve"> in a </w:t>
      </w:r>
      <w:r w:rsidR="0038503E">
        <w:t>subsequen</w:t>
      </w:r>
      <w:r>
        <w:t>t step</w:t>
      </w:r>
      <w:r w:rsidR="0038503E">
        <w:t>,</w:t>
      </w:r>
      <w:r>
        <w:t xml:space="preserve"> be integrated into the scenario explorer and its energy system models python-based software package called </w:t>
      </w:r>
      <w:proofErr w:type="spellStart"/>
      <w:r>
        <w:t>pyam</w:t>
      </w:r>
      <w:proofErr w:type="spellEnd"/>
      <w:r>
        <w:t xml:space="preserve"> </w:t>
      </w:r>
      <w:r>
        <w:fldChar w:fldCharType="begin"/>
      </w:r>
      <w:r w:rsidR="00E95283">
        <w:instrText xml:space="preserve"> ADDIN ZOTERO_ITEM CSL_CITATION {"citationID":"oomedDTX","properties":{"formattedCitation":"(Huppmann et al., 2021)","plainCitation":"(Huppmann et al., 2021)","noteIndex":0},"citationItems":[{"id":7444,"uris":["http://zotero.org/users/1226784/items/LI8TGBMN"],"itemData":{"id":7444,"type":"article-journal","abstract":"The open-source Python package pyam provides a suite of features and methods for the analysis, validation and visualization of reference data and scenario results generated by integrated assessment models, macro-energy tools and other frameworks in the domain of energy transition, climate change mitigation and sustainable development. It bridges the gap between scenario processing and visualisation solutions that are \"hard-wired\" to specific modelling frameworks and generic data analysis or plotting packages.\n            \n            The package aims to facilitate reproducibility and reliability of scenario processing, validation and analysis by providing well-tested and documented methods for working with timeseries data in the context of climate policy and energy systems. It supports various data formats, including sub-annual resolution using continuous time representation and \"representative timeslices\".\n            \n            The pyam package can be useful for modelers generating scenario results using their own tools as well as researchers and analysts working with existing scenario ensembles such as those supporting the IPCC reports or produced in research projects. It is structured in a way that it can be applied irrespective of a user's domain expertise or level of Python knowledge, supporting experts as well as novice users.\n            \n            The code base is implemented following best practices of collaborative scientific-software development. This manuscript describes the design principles of the package and the types of data which can be handled. The usefulness of pyam is illustrated by highlighting several recent applications.","container-title":"Open Research Europe","DOI":"10.12688/openreseurope.13633.2","ISSN":"2732-5121","journalAbbreviation":"Open Res Europe","language":"en","page":"74","source":"DOI.org (Crossref)","title":"pyam: Analysis and visualisation of integrated assessment and macro-energy scenarios","title-short":"pyam","volume":"1","author":[{"family":"Huppmann","given":"Daniel"},{"family":"Gidden","given":"Matthew J."},{"family":"Nicholls","given":"Zebedee"},{"family":"Hörsch","given":"Jonas"},{"family":"Lamboll","given":"Robin"},{"family":"Kishimoto","given":"Paul N."},{"family":"Burandt","given":"Thorsten"},{"family":"Fricko","given":"Oliver"},{"family":"Byers","given":"Edward"},{"family":"Kikstra","given":"Jarmo"},{"family":"Brinkerink","given":"Maarten"},{"family":"Budzinski","given":"Maik"},{"family":"Maczek","given":"Florian"},{"family":"Zwickl-Bernhard","given":"Sebastian"},{"family":"Welder","given":"Lara"},{"family":"Álvarez Quispe","given":"Erik Francisco"},{"family":"Smith","given":"Christopher J."}],"issued":{"date-parts":[["2021",9,1]]}}}],"schema":"https://github.com/citation-style-language/schema/raw/master/csl-citation.json"} </w:instrText>
      </w:r>
      <w:r>
        <w:fldChar w:fldCharType="separate"/>
      </w:r>
      <w:r w:rsidRPr="00694020">
        <w:rPr>
          <w:rFonts w:ascii="Calibri" w:hAnsi="Calibri" w:cs="Calibri"/>
        </w:rPr>
        <w:t>(</w:t>
      </w:r>
      <w:proofErr w:type="spellStart"/>
      <w:r w:rsidRPr="00694020">
        <w:rPr>
          <w:rFonts w:ascii="Calibri" w:hAnsi="Calibri" w:cs="Calibri"/>
        </w:rPr>
        <w:t>Huppmann</w:t>
      </w:r>
      <w:proofErr w:type="spellEnd"/>
      <w:r w:rsidRPr="00694020">
        <w:rPr>
          <w:rFonts w:ascii="Calibri" w:hAnsi="Calibri" w:cs="Calibri"/>
        </w:rPr>
        <w:t xml:space="preserve"> et al., 2021)</w:t>
      </w:r>
      <w:r>
        <w:fldChar w:fldCharType="end"/>
      </w:r>
      <w:r>
        <w:t>.</w:t>
      </w:r>
      <w:r w:rsidR="00EB6651">
        <w:t xml:space="preserve"> Preparatory work has been already initiated by designing the database after the scenario data format of the </w:t>
      </w:r>
      <w:proofErr w:type="spellStart"/>
      <w:r w:rsidR="00EB6651">
        <w:t>openENTRANCE</w:t>
      </w:r>
      <w:proofErr w:type="spellEnd"/>
      <w:r w:rsidR="00EB6651">
        <w:t xml:space="preserve"> project </w:t>
      </w:r>
      <w:r w:rsidR="006867B6" w:rsidRPr="00163F18">
        <w:fldChar w:fldCharType="begin"/>
      </w:r>
      <w:r w:rsidR="006867B6" w:rsidRPr="00163F18">
        <w:instrText xml:space="preserve"> ADDIN ZOTERO_ITEM CSL_CITATION {"citationID":"JnwCiH8S","properties":{"formattedCitation":"(Krey et al., 2019)","plainCitation":"(Krey et al., 2019)","noteIndex":0},"citationItems":[{"id":7546,"uris":["http://zotero.org/users/1226784/items/K3C2NPEC"],"itemData":{"id":7546,"type":"report","title":"openENTRANCE project deliverable no. 4.2: Data exchange format and template","URL":"https://openentrance.eu/wp-content/uploads/openENTRANCE_D4.2-for-web-2.pdf","author":[{"family":"Krey","given":"V."},{"family":"Huppmann","given":"D."},{"family":"Charousset","given":"S."},{"family":"Camacho","given":"L.O."},{"family":"Cohen","given":"J."},{"family":"Galan","given":"A.R."},{"family":"Pisciella","given":"P."},{"family":"Boonman","given":"H."},{"family":"Perger","given":"T."},{"family":"Haertel","given":"P."},{"family":"Graabak","given":"I"}],"accessed":{"date-parts":[["2022",3,28]]},"issued":{"date-parts":[["2019"]]}}}],"schema":"https://github.com/citation-style-language/schema/raw/master/csl-citation.json"} </w:instrText>
      </w:r>
      <w:r w:rsidR="006867B6" w:rsidRPr="00163F18">
        <w:fldChar w:fldCharType="separate"/>
      </w:r>
      <w:r w:rsidR="006867B6" w:rsidRPr="00163F18">
        <w:rPr>
          <w:rFonts w:ascii="Calibri" w:hAnsi="Calibri" w:cs="Calibri"/>
        </w:rPr>
        <w:t>(</w:t>
      </w:r>
      <w:proofErr w:type="spellStart"/>
      <w:r w:rsidR="006867B6" w:rsidRPr="00163F18">
        <w:rPr>
          <w:rFonts w:ascii="Calibri" w:hAnsi="Calibri" w:cs="Calibri"/>
        </w:rPr>
        <w:t>Krey</w:t>
      </w:r>
      <w:proofErr w:type="spellEnd"/>
      <w:r w:rsidR="006867B6" w:rsidRPr="00163F18">
        <w:rPr>
          <w:rFonts w:ascii="Calibri" w:hAnsi="Calibri" w:cs="Calibri"/>
        </w:rPr>
        <w:t xml:space="preserve"> et al., 2019)</w:t>
      </w:r>
      <w:r w:rsidR="006867B6" w:rsidRPr="00163F18">
        <w:fldChar w:fldCharType="end"/>
      </w:r>
      <w:r w:rsidR="0038503E">
        <w:t>,</w:t>
      </w:r>
      <w:r w:rsidR="00163F18" w:rsidRPr="00163F18">
        <w:t xml:space="preserve"> also</w:t>
      </w:r>
      <w:r w:rsidR="00EB6651" w:rsidRPr="00163F18">
        <w:t xml:space="preserve"> used in the Scenario Explorer.</w:t>
      </w:r>
    </w:p>
    <w:p w14:paraId="7FE5F0FD" w14:textId="387064DD" w:rsidR="00106DB9" w:rsidRDefault="00106DB9" w:rsidP="008C5B03">
      <w:pPr>
        <w:pStyle w:val="Listenabsatz"/>
        <w:spacing w:after="120" w:line="360" w:lineRule="auto"/>
        <w:ind w:left="0"/>
        <w:contextualSpacing w:val="0"/>
      </w:pPr>
      <w:r>
        <w:t xml:space="preserve">Finally, and </w:t>
      </w:r>
      <w:r w:rsidR="0038503E">
        <w:t>concerning</w:t>
      </w:r>
      <w:r>
        <w:t xml:space="preserve"> the underlying datasets</w:t>
      </w:r>
      <w:r w:rsidR="0038503E">
        <w:t>,</w:t>
      </w:r>
      <w:r>
        <w:t xml:space="preserve"> we want to highlight different options for the way forward:</w:t>
      </w:r>
    </w:p>
    <w:p w14:paraId="24D1CD7B" w14:textId="58112051" w:rsidR="00106DB9" w:rsidRDefault="00106DB9" w:rsidP="008C5B03">
      <w:pPr>
        <w:pStyle w:val="Listenabsatz"/>
        <w:numPr>
          <w:ilvl w:val="0"/>
          <w:numId w:val="25"/>
        </w:numPr>
        <w:spacing w:after="120" w:line="360" w:lineRule="auto"/>
        <w:contextualSpacing w:val="0"/>
      </w:pPr>
      <w:r>
        <w:t xml:space="preserve">The presented Sankey diagrams and </w:t>
      </w:r>
      <w:r w:rsidR="0038503E">
        <w:t>their database are</w:t>
      </w:r>
      <w:r>
        <w:t xml:space="preserve"> based on five different datasets openly accessible from Eurostat. Three out </w:t>
      </w:r>
      <w:r w:rsidR="0038503E">
        <w:t xml:space="preserve">of </w:t>
      </w:r>
      <w:r>
        <w:t xml:space="preserve">these five are already illustrated in </w:t>
      </w:r>
      <w:r w:rsidR="0038503E">
        <w:t>a</w:t>
      </w:r>
      <w:r>
        <w:t xml:space="preserve"> joint MFA Sankey from Eurostat</w:t>
      </w:r>
      <w:r w:rsidR="0038503E">
        <w:t>. In contrast,</w:t>
      </w:r>
      <w:r>
        <w:t xml:space="preserve"> </w:t>
      </w:r>
      <w:r w:rsidR="0038503E">
        <w:t>Eurostat illustrates the biomass flows in three different Sankey diagrams for flows from forestry, agriculture, and fisheries,</w:t>
      </w:r>
      <w:r>
        <w:t xml:space="preserve"> respectively. </w:t>
      </w:r>
      <w:r w:rsidR="0038503E">
        <w:t xml:space="preserve">An official combined </w:t>
      </w:r>
      <w:r w:rsidR="0038503E">
        <w:lastRenderedPageBreak/>
        <w:t>database (and illustration)</w:t>
      </w:r>
      <w:r w:rsidR="00EC16BD">
        <w:t xml:space="preserve"> could significantly improve the objective discussion and comparison basis of different transformation strategies</w:t>
      </w:r>
      <w:r w:rsidR="0038503E">
        <w:t>. W</w:t>
      </w:r>
      <w:r w:rsidR="00EC16BD">
        <w:t>e want to offer this work and our expertise for this endeavour.</w:t>
      </w:r>
    </w:p>
    <w:p w14:paraId="073FACAB" w14:textId="3AC3D70D" w:rsidR="00EC16BD" w:rsidRDefault="00EC16BD" w:rsidP="008C5B03">
      <w:pPr>
        <w:pStyle w:val="Listenabsatz"/>
        <w:numPr>
          <w:ilvl w:val="0"/>
          <w:numId w:val="25"/>
        </w:numPr>
        <w:spacing w:after="120" w:line="360" w:lineRule="auto"/>
        <w:contextualSpacing w:val="0"/>
      </w:pPr>
      <w:r>
        <w:t xml:space="preserve">Independent from </w:t>
      </w:r>
      <w:r w:rsidR="00CE39E5">
        <w:t xml:space="preserve">unification efforts, we urge further integration and </w:t>
      </w:r>
      <w:r w:rsidR="0038503E">
        <w:t>accessibility</w:t>
      </w:r>
      <w:r w:rsidR="00CE39E5">
        <w:t xml:space="preserve"> via and to the SDMX handle. </w:t>
      </w:r>
      <w:r w:rsidR="0038503E">
        <w:t>We could already download s</w:t>
      </w:r>
      <w:r w:rsidR="00CE39E5">
        <w:t>ome datasets using the RSDMX package, which significantly improves efficiency</w:t>
      </w:r>
      <w:r w:rsidR="0038503E">
        <w:t>, reduces error-proneness,</w:t>
      </w:r>
      <w:r w:rsidR="00CE39E5">
        <w:t xml:space="preserve"> and </w:t>
      </w:r>
      <w:r w:rsidR="0038503E">
        <w:t xml:space="preserve">ensures </w:t>
      </w:r>
      <w:r w:rsidR="00CE39E5">
        <w:t>reproducibility. Additionally, automatic yearly updates can be hard-coded if SDMX access to all datasets is enabled.</w:t>
      </w:r>
    </w:p>
    <w:p w14:paraId="0DDC2BF8" w14:textId="2EAF3E97" w:rsidR="00467B35" w:rsidRDefault="00CE39E5" w:rsidP="008C5B03">
      <w:pPr>
        <w:pStyle w:val="Listenabsatz"/>
        <w:numPr>
          <w:ilvl w:val="0"/>
          <w:numId w:val="25"/>
        </w:numPr>
        <w:spacing w:after="120" w:line="360" w:lineRule="auto"/>
        <w:contextualSpacing w:val="0"/>
      </w:pPr>
      <w:r>
        <w:t xml:space="preserve">The presented work relies on the modelling work of Eurostat for </w:t>
      </w:r>
      <w:r w:rsidR="0072365B">
        <w:t xml:space="preserve">ensuring </w:t>
      </w:r>
      <w:r w:rsidR="0038503E">
        <w:t xml:space="preserve">the </w:t>
      </w:r>
      <w:r w:rsidR="0072365B">
        <w:t xml:space="preserve">comprehensiveness of the underlying data. </w:t>
      </w:r>
      <w:r w:rsidR="00BA4C62">
        <w:t>However, this way</w:t>
      </w:r>
      <w:r w:rsidR="0038503E">
        <w:t>, we cannot provide a rigorous thermodynamic balance due to the unit conversion of relatively high aggregates</w:t>
      </w:r>
      <w:r w:rsidR="00BA4C62">
        <w:t>. Existing i</w:t>
      </w:r>
      <w:r w:rsidR="0072365B">
        <w:t xml:space="preserve">nput-output models </w:t>
      </w:r>
      <w:r w:rsidR="00BA4C62">
        <w:t>do a better job here, as</w:t>
      </w:r>
      <w:r w:rsidR="0072365B">
        <w:t xml:space="preserve"> discussed in th</w:t>
      </w:r>
      <w:r w:rsidR="00BA4C62">
        <w:t>e introduction of this</w:t>
      </w:r>
      <w:r w:rsidR="0072365B">
        <w:t xml:space="preserve"> publication</w:t>
      </w:r>
      <w:r w:rsidR="00BA4C62">
        <w:t>. Thus,</w:t>
      </w:r>
      <w:r w:rsidR="0072365B">
        <w:t xml:space="preserve"> </w:t>
      </w:r>
      <w:r w:rsidR="00407574">
        <w:t>future work could build upon</w:t>
      </w:r>
      <w:r w:rsidR="0038503E">
        <w:t>,</w:t>
      </w:r>
      <w:r w:rsidR="00407574">
        <w:t xml:space="preserve"> e.g., the EXIOBASE data</w:t>
      </w:r>
      <w:r w:rsidR="00BA4C62">
        <w:t xml:space="preserve"> or merge the Eurostat data sets into a similar modelling environment.</w:t>
      </w:r>
      <w:r w:rsidR="00407574">
        <w:t xml:space="preserve"> </w:t>
      </w:r>
      <w:r w:rsidR="00BA4C62">
        <w:t>Including, e.g.</w:t>
      </w:r>
      <w:r w:rsidR="0038503E">
        <w:t>, data from the International Energy Agency (IEA) and Food and Agriculture Organisation (FAO) would extend the work from the European to a global focus and</w:t>
      </w:r>
      <w:r w:rsidR="00BA4C62">
        <w:t xml:space="preserve"> integrate </w:t>
      </w:r>
      <w:r w:rsidR="00407574">
        <w:t>respective bilateral trade streams.</w:t>
      </w:r>
    </w:p>
    <w:p w14:paraId="6460C1E7" w14:textId="079F3B06" w:rsidR="00542670" w:rsidRDefault="0008369C" w:rsidP="008C5B03">
      <w:pPr>
        <w:spacing w:after="120" w:line="360" w:lineRule="auto"/>
      </w:pPr>
      <w:r>
        <w:br w:type="page"/>
      </w:r>
    </w:p>
    <w:p w14:paraId="78045BF3" w14:textId="3EB42EF1" w:rsidR="003638B2" w:rsidRPr="00AF46CD" w:rsidRDefault="003638B2" w:rsidP="00725753">
      <w:pPr>
        <w:pStyle w:val="Listenabsatz"/>
        <w:numPr>
          <w:ilvl w:val="0"/>
          <w:numId w:val="2"/>
        </w:numPr>
        <w:spacing w:after="0" w:line="240" w:lineRule="auto"/>
        <w:rPr>
          <w:b/>
        </w:rPr>
      </w:pPr>
      <w:r w:rsidRPr="00AF46CD">
        <w:rPr>
          <w:b/>
        </w:rPr>
        <w:lastRenderedPageBreak/>
        <w:t>Literature</w:t>
      </w:r>
    </w:p>
    <w:p w14:paraId="2859788B" w14:textId="77777777" w:rsidR="00E4360C" w:rsidRPr="00E4360C" w:rsidRDefault="009659A6" w:rsidP="00725753">
      <w:pPr>
        <w:pStyle w:val="Literaturverzeichnis"/>
        <w:contextualSpacing/>
        <w:rPr>
          <w:rFonts w:ascii="Calibri" w:hAnsi="Calibri" w:cs="Calibri"/>
        </w:rPr>
      </w:pPr>
      <w:r>
        <w:rPr>
          <w:color w:val="4F6228" w:themeColor="accent3" w:themeShade="80"/>
        </w:rPr>
        <w:fldChar w:fldCharType="begin"/>
      </w:r>
      <w:r w:rsidRPr="00E4360C">
        <w:rPr>
          <w:color w:val="4F6228" w:themeColor="accent3" w:themeShade="80"/>
        </w:rPr>
        <w:instrText xml:space="preserve"> ADDIN ZOTERO_BIBL {"uncited":[],"omitted":[],"custom":[]} CSL_BIBLIOGRAPHY </w:instrText>
      </w:r>
      <w:r>
        <w:rPr>
          <w:color w:val="4F6228" w:themeColor="accent3" w:themeShade="80"/>
        </w:rPr>
        <w:fldChar w:fldCharType="separate"/>
      </w:r>
      <w:r w:rsidR="00E4360C" w:rsidRPr="00E4360C">
        <w:rPr>
          <w:rFonts w:ascii="Calibri" w:hAnsi="Calibri" w:cs="Calibri"/>
        </w:rPr>
        <w:t>Aguilar-Hernandez, G.A., Sigüenza-Sanchez, C.P., Donati, F., Merciai, S., Schmidt, J., Rodrigues, J.F.D., Tukker, A., 2019. The circularity gap of nations: A multiregional analysis of waste generation, recovery, and stock depletion in 2011. Resources, Conservation and Recycling 151, 104452. https://doi.org/10.1016/j.resconrec.2019.104452</w:t>
      </w:r>
    </w:p>
    <w:p w14:paraId="0B7235DB"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Blondel, E., Stigler, M., Persson, E., 2018. rsdmx: Tools for Reading SDMX Data and Metadata.</w:t>
      </w:r>
    </w:p>
    <w:p w14:paraId="3788BF5E"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Churkina, G., Organschi, A., Reyer, C.P.O., Ruff, A., Vinke, K., Liu, Z., Reck, B.K., Graedel, T.E., Schellnhuber, H.J., 2020. Buildings as a global carbon sink. Nature Sustainability 3, 269–276. https://doi.org/10.1038/s41893-019-0462-4</w:t>
      </w:r>
    </w:p>
    <w:p w14:paraId="14224474"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Circle Economy, 2022. The Circularity Gap Report 2022.</w:t>
      </w:r>
    </w:p>
    <w:p w14:paraId="01A8DEA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D’Amato, D., Droste, N., Allen, B., Kettunen, M., Lähtinen, K., Korhonen, J., Leskinen, P., Matthies, B.D., Toppinen, A., 2017. </w:t>
      </w:r>
      <w:r w:rsidRPr="00E4360C">
        <w:rPr>
          <w:rFonts w:ascii="Calibri" w:hAnsi="Calibri" w:cs="Calibri"/>
        </w:rPr>
        <w:t>Green, circular, bio economy: A comparative analysis of sustainability avenues. Journal of Cleaner Production 168, 716–734. https://doi.org/10.1016/j.jclepro.2017.09.053</w:t>
      </w:r>
    </w:p>
    <w:p w14:paraId="46733FBB"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EC, 2020. A new Circular Economy Action Plan   For a cleaner and more competitive Europe, COM(2020) 98 final.</w:t>
      </w:r>
    </w:p>
    <w:p w14:paraId="4E60BB35"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EC, 2018. A European Strategy for Plastics in a Circular Economy, SWD(2018) 16.</w:t>
      </w:r>
    </w:p>
    <w:p w14:paraId="6FFAB020"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Estat, 2022. Sankey diagrams for energy balance. Statistics explained homepage. [WWW Document]. URL https://ec.europa.eu/eurostat/statistics-explained/index.php?title=Sankey_diagrams_for_energy_balance (accessed 3.28.22).</w:t>
      </w:r>
    </w:p>
    <w:p w14:paraId="7F43AD96"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Estat, 2018. Economy-wide material flow accounts handbook: 2018 edition. Publications Office, LU.</w:t>
      </w:r>
    </w:p>
    <w:p w14:paraId="62675E55"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European Commission. Statistical Office of the European Union., 2018. Economy-wide material flow accounts handbook: 2018 edition. Publications Office, LU.</w:t>
      </w:r>
    </w:p>
    <w:p w14:paraId="329AD30C"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Eurostat, 2019. Energy Balance Guide.</w:t>
      </w:r>
    </w:p>
    <w:p w14:paraId="789F49F9"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EUROSTAT, 2019. Eurostat, Energy balance guide - Methodology guide for the construction of energy balances &amp; Operational guide for the energy balance builder tool, 31 January 2019.</w:t>
      </w:r>
    </w:p>
    <w:p w14:paraId="11E5D4C3"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Frisvold, G.B., Moss, S.M., Hodgson, A., Maxon, M.E., 2021. Understanding the U.S. Bioeconomy: A New Definition and Landscape. Sustainability 13, 1627. https://doi.org/10.3390/su13041627</w:t>
      </w:r>
    </w:p>
    <w:p w14:paraId="392007B2"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García Martínez, J.B., Alvarado, K.A., Christodoulou, X., Denkenberger, D.C., 2021. Chemical synthesis of food from CO2 for space missions and food resilience. Journal of CO2 Utilization 53, 101726. https://doi.org/10.1016/j.jcou.2021.101726</w:t>
      </w:r>
    </w:p>
    <w:p w14:paraId="1CD3FCC0"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Giampietro, M., 2019. On the Circular Bioeconomy and Decoupling: Implications for Sustainable Growth. Ecological Economics 162, 143–156. https://doi.org/10.1016/j.ecolecon.2019.05.001</w:t>
      </w:r>
    </w:p>
    <w:p w14:paraId="0B94175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Gonçalves, M., Freire, F., Garcia, R., 2021. Material flow analysis of forest biomass in Portugal to support a circular bioeconomy. Resources, Conservation and Recycling 169, 105507. https://doi.org/10.1016/j.resconrec.2021.105507</w:t>
      </w:r>
    </w:p>
    <w:p w14:paraId="4B50F472" w14:textId="77777777" w:rsidR="00E4360C" w:rsidRPr="00E4360C" w:rsidRDefault="00E4360C" w:rsidP="00725753">
      <w:pPr>
        <w:pStyle w:val="Literaturverzeichnis"/>
        <w:contextualSpacing/>
        <w:rPr>
          <w:rFonts w:ascii="Calibri" w:hAnsi="Calibri" w:cs="Calibri"/>
          <w:lang w:val="de-DE"/>
        </w:rPr>
      </w:pPr>
      <w:r w:rsidRPr="00E4360C">
        <w:rPr>
          <w:rFonts w:ascii="Calibri" w:hAnsi="Calibri" w:cs="Calibri"/>
        </w:rPr>
        <w:t xml:space="preserve">Gurria, P., Gonzalez, H., Ronzon, T., Tamosiunas, S., Lopez, R., Garcia-Condado, S., Ronchetti, G., Guillen, J., Banja, M., Fiore, G., M’Barek, R., 2020. Biomass flows in the European Union: EU biomass flows tool, version 2020. </w:t>
      </w:r>
      <w:r w:rsidRPr="00E4360C">
        <w:rPr>
          <w:rFonts w:ascii="Calibri" w:hAnsi="Calibri" w:cs="Calibri"/>
          <w:lang w:val="de-DE"/>
        </w:rPr>
        <w:t>Publications Office, LU.</w:t>
      </w:r>
    </w:p>
    <w:p w14:paraId="7BBE92F3"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Haas, W., Krausmann, F., Wiedenhofer, D., Heinz, M., 2015. </w:t>
      </w:r>
      <w:r w:rsidRPr="00E4360C">
        <w:rPr>
          <w:rFonts w:ascii="Calibri" w:hAnsi="Calibri" w:cs="Calibri"/>
        </w:rPr>
        <w:t>How Circular is the Global Economy?: An Assessment of Material Flows, Waste Production, and Recycling in the European Union and the World in 2005. Journal of Industrial Ecology 19, 765–777. https://doi.org/10.1111/jiec.12244</w:t>
      </w:r>
    </w:p>
    <w:p w14:paraId="591876C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Hawkes, A.D., 2010. Estimating marginal CO2 emissions rates for national electricity systems. Energy Policy, The socio-economic transition towards a hydrogen economy - findings from European research, with regular papers 38, 5977–5987. https://doi.org/10.1016/j.enpol.2010.05.053</w:t>
      </w:r>
    </w:p>
    <w:p w14:paraId="1A928080" w14:textId="77777777" w:rsidR="00E4360C" w:rsidRPr="00E4360C" w:rsidRDefault="00E4360C" w:rsidP="00725753">
      <w:pPr>
        <w:pStyle w:val="Literaturverzeichnis"/>
        <w:contextualSpacing/>
        <w:rPr>
          <w:rFonts w:ascii="Calibri" w:hAnsi="Calibri" w:cs="Calibri"/>
          <w:lang w:val="de-DE"/>
        </w:rPr>
      </w:pPr>
      <w:r w:rsidRPr="00E4360C">
        <w:rPr>
          <w:rFonts w:ascii="Calibri" w:hAnsi="Calibri" w:cs="Calibri"/>
        </w:rPr>
        <w:t xml:space="preserve">Huppmann, D., Gidden, M.J., Nicholls, Z., Hörsch, J., Lamboll, R., Kishimoto, P.N., Burandt, T., Fricko, O., Byers, E., Kikstra, J., Brinkerink, M., Budzinski, M., Maczek, F., Zwickl-Bernhard, S., Welder, L., Álvarez Quispe, E.F., Smith, C.J., 2021. pyam: Analysis and visualisation of integrated assessment and macro-energy scenarios. </w:t>
      </w:r>
      <w:r w:rsidRPr="00E4360C">
        <w:rPr>
          <w:rFonts w:ascii="Calibri" w:hAnsi="Calibri" w:cs="Calibri"/>
          <w:lang w:val="de-DE"/>
        </w:rPr>
        <w:t>Open Res Europe 1, 74. https://doi.org/10.12688/openreseurope.13633.2</w:t>
      </w:r>
    </w:p>
    <w:p w14:paraId="015862CE"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lastRenderedPageBreak/>
        <w:t xml:space="preserve">Huppmann, D., Rogelj, J., Kriegler, E., Krey, V., Riahi, K., 2018. </w:t>
      </w:r>
      <w:r w:rsidRPr="00E4360C">
        <w:rPr>
          <w:rFonts w:ascii="Calibri" w:hAnsi="Calibri" w:cs="Calibri"/>
        </w:rPr>
        <w:t>A new scenario resource for integrated 1.5 °C research. Nature Climate Change 1. https://doi.org/10.1038/s41558-018-0317-4</w:t>
      </w:r>
    </w:p>
    <w:p w14:paraId="36D32412"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IEA, 2019. IEA Sankey Diagram. Energy Balance and Final Consumption for historic values until 2016 for different world regions. [WWW Document]. URL https://www.iea.org/Sankey/#?c=Austria&amp;s=Final%20consumption (accessed 2.4.19).</w:t>
      </w:r>
    </w:p>
    <w:p w14:paraId="5D1B98F6"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IPCC, 2021. Climate Change 2021: The Physical Science Basis. Contribution of Working Group I to the Sixth Assessment Report of the Intergovernmental Panel on Climate Change [Masson-Delmotte, V., P. Zhai, A. Pirani, S.L. Connors, C. Péan, S. Berger, N. Caud, Y. Chen, L. Goldfarb, M.I. Gomis, M. Huang, K. Leitzell, E. Lonnoy, J.B.R. Matthews, T.K. Maycock, T. Waterfield, O. Yelekçi, R. Yu, and B. Zhou (eds.)]., Cambridge University Press.</w:t>
      </w:r>
    </w:p>
    <w:p w14:paraId="06C7F32E"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Ishizaki, T., Chakrabortty, A., Imura, J.-I., 2018. Graph-Theoretic Analysis of Power Systems. Proceedings of the IEEE 106, 931–952. https://doi.org/10.1109/JPROC.2018.2812298</w:t>
      </w:r>
    </w:p>
    <w:p w14:paraId="3FC8EF12"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Jurich, K., 2016. CO2 Emission Factors for Fossil Fuels 48.</w:t>
      </w:r>
    </w:p>
    <w:p w14:paraId="1A886AB2"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Kalt, G., 2015. Biomass streams in Austria: Drawing a complete picture of biogenic material flows within the national economy. Resources, Conservation and Recycling 95, 100–111. https://doi.org/10.1016/j.resconrec.2014.12.006</w:t>
      </w:r>
    </w:p>
    <w:p w14:paraId="7E71EA61"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Kardung, M., Cingiz, K., Costenoble, O., Delahaye, R., Heijman, W., Lovrić, M., van Leeuwen, M., M’Barek, R., van Meijl, H., Piotrowski, S., Ronzon, T., Sauer, J., Verhoog, D., Verkerk, P.J., Vrachioli, M., Wesseler, J.H.H., Zhu, B.X., 2021. Development of the Circular Bioeconomy: Drivers and Indicators. Sustainability 13, 413. https://doi.org/10.3390/su13010413</w:t>
      </w:r>
    </w:p>
    <w:p w14:paraId="73398285"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Kisser, J., Wirth, M., De Gusseme, B., Van Eekert, M., Zeeman, G., Schoenborn, A., Vinnerås, B., Finger, D.C., Kolbl Repinc, S., Bulc, T.G., Bani, A., Pavlova, D., Staicu, L.C., Atasoy, M., Cetecioglu, Z., Kokko, M., Haznedaroglu, B.Z., Hansen, J., Istenič, D., Canga, E., Malamis, S., Camilleri-Fenech, M., Beesley, L., 2020. A review of nature-based solutions for resource recovery in cities. Blue-Green Systems 2, 138–172. https://doi.org/10.2166/bgs.2020.930</w:t>
      </w:r>
    </w:p>
    <w:p w14:paraId="00512F1E"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Krey, V., Huppmann, D., Charousset, S., Camacho, L.O., Cohen, J., Galan, A.R., Pisciella, P., Boonman, H., Perger, T., Haertel, P., Graabak, I., 2019. openENTRANCE project deliverable no. 4.2: Data exchange format and template.</w:t>
      </w:r>
    </w:p>
    <w:p w14:paraId="45893CAF"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Lanau, M., Liu, G., Kral, U., Wiedenhofer, D., Keijzer, E., Yu, C., Ehlert, C., 2019. </w:t>
      </w:r>
      <w:r w:rsidRPr="00E4360C">
        <w:rPr>
          <w:rFonts w:ascii="Calibri" w:hAnsi="Calibri" w:cs="Calibri"/>
        </w:rPr>
        <w:t>Taking Stock of Built Environment Stock Studies: Progress and Prospects. Environ. Sci. Technol. 53, 8499–8515. https://doi.org/10.1021/acs.est.8b06652</w:t>
      </w:r>
    </w:p>
    <w:p w14:paraId="3CE9D48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Lehrman, B., 2018. Visualizing water infrastructure with Sankey maps: a case study of mapping the Los Angeles Aqueduct, California. Journal of Maps 14, 52–64. https://doi.org/10.1080/17445647.2018.1473815</w:t>
      </w:r>
    </w:p>
    <w:p w14:paraId="718BF851"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Lopion, P., Markewitz, P., Robinius, M., Stolten, D., 2018. A review of current challenges and trends in energy systems modeling. Renewable and Sustainable Energy Reviews 96, 156–166. https://doi.org/10.1016/j.rser.2018.07.045</w:t>
      </w:r>
    </w:p>
    <w:p w14:paraId="21C22620"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Ma, L., Chong, C., Zhang, X., Liu, P., Li, W., Li, Z., Ni, W., 2018. </w:t>
      </w:r>
      <w:r w:rsidRPr="00E4360C">
        <w:rPr>
          <w:rFonts w:ascii="Calibri" w:hAnsi="Calibri" w:cs="Calibri"/>
        </w:rPr>
        <w:t>LMDI Decomposition of Energy-Related CO2 Emissions Based on Energy and CO2 Allocation Sankey Diagrams: The Method and an Application to China. Sustainability 10, 344. https://doi.org/10.3390/su10020344</w:t>
      </w:r>
    </w:p>
    <w:p w14:paraId="303D6647"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Mantau, U., 2015. Wood flow analysis: Quantification of resource potentials, cascades and carbon effects. Biomass and Bioenergy, The 22nd European Biomass Conference and Exhibition held in Hamburg, June 2014 79, 28–38. https://doi.org/10.1016/j.biombioe.2014.08.013</w:t>
      </w:r>
    </w:p>
    <w:p w14:paraId="3E8984AA"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Mayer, A., Haas, W., Wiedenhofer, D., Krausmann, F., Nuss, P., Blengini, G.A., 2019. </w:t>
      </w:r>
      <w:r w:rsidRPr="00E4360C">
        <w:rPr>
          <w:rFonts w:ascii="Calibri" w:hAnsi="Calibri" w:cs="Calibri"/>
        </w:rPr>
        <w:t>Measuring Progress towards a Circular Economy: A Monitoring Framework for Economy-wide Material Loop Closing in the EU28. Journal of Industrial Ecology 23, 62–76. https://doi.org/10.1111/jiec.12809</w:t>
      </w:r>
    </w:p>
    <w:p w14:paraId="3CB3438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Merciai, S., 2019. An input-output model in a balanced multi-layer framework. Resources, Conservation and Recycling 150, 104403. https://doi.org/10.1016/j.resconrec.2019.06.037</w:t>
      </w:r>
    </w:p>
    <w:p w14:paraId="4433513D"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Milios, L., 2018. Advancing to a Circular Economy: three essential ingredients for a comprehensive policy mix. Sustain Sci 13, 861–878. https://doi.org/10.1007/s11625-017-0502-9</w:t>
      </w:r>
    </w:p>
    <w:p w14:paraId="7FC062E7"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lastRenderedPageBreak/>
        <w:t>Nobel Prize Outreach AB, 1973. Wassily Leontif. Nobel Prize in Economics 1973. NobelPrize.org. [WWW Document]. NobelPrize.org. URL https://www.nobelprize.org/prizes/economic-sciences/1973/press-release/ (accessed 3.10.22).</w:t>
      </w:r>
    </w:p>
    <w:p w14:paraId="129F3EA4"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OECD, 2022. Water - Water withdrawals - OECD Data [WWW Document]. theOECD. URL http://data.oecd.org/water/water-withdrawals.htm (accessed 4.1.22).</w:t>
      </w:r>
    </w:p>
    <w:p w14:paraId="0232E3D6"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Prina, M.G., Manzolini, G., Moser, D., Nastasi, B., Sparber, W., 2020. </w:t>
      </w:r>
      <w:r w:rsidRPr="00E4360C">
        <w:rPr>
          <w:rFonts w:ascii="Calibri" w:hAnsi="Calibri" w:cs="Calibri"/>
        </w:rPr>
        <w:t>Classification and challenges of bottom-up energy system models - A review. Renewable and Sustainable Energy Reviews 129, 109917. https://doi.org/10.1016/j.rser.2020.109917</w:t>
      </w:r>
    </w:p>
    <w:p w14:paraId="755B3C71" w14:textId="77777777" w:rsidR="00E4360C" w:rsidRPr="00E4360C" w:rsidRDefault="00E4360C" w:rsidP="00725753">
      <w:pPr>
        <w:pStyle w:val="Literaturverzeichnis"/>
        <w:contextualSpacing/>
        <w:rPr>
          <w:rFonts w:ascii="Calibri" w:hAnsi="Calibri" w:cs="Calibri"/>
          <w:lang w:val="de-DE"/>
        </w:rPr>
      </w:pPr>
      <w:r w:rsidRPr="00E4360C">
        <w:rPr>
          <w:rFonts w:ascii="Calibri" w:hAnsi="Calibri" w:cs="Calibri"/>
        </w:rPr>
        <w:t xml:space="preserve">Ridha, E., Nolting, L., Praktiknjo, A., 2020. Complexity profiles: A large-scale review of energy system models in terms of complexity. </w:t>
      </w:r>
      <w:r w:rsidRPr="00E4360C">
        <w:rPr>
          <w:rFonts w:ascii="Calibri" w:hAnsi="Calibri" w:cs="Calibri"/>
          <w:lang w:val="de-DE"/>
        </w:rPr>
        <w:t>Energy Strategy Reviews 30, 100515. https://doi.org/10.1016/j.esr.2020.100515</w:t>
      </w:r>
    </w:p>
    <w:p w14:paraId="482AA1A1"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Schinko, T., Bachner, G., Schleicher, S.P., Steininger, K.W., 2017. </w:t>
      </w:r>
      <w:r w:rsidRPr="00E4360C">
        <w:rPr>
          <w:rFonts w:ascii="Calibri" w:hAnsi="Calibri" w:cs="Calibri"/>
        </w:rPr>
        <w:t>Modeling for insights not numbers: The long-term low-carbon transformation. Atmósfera 30, 137–161. https://doi.org/10.20937/ATM.2017.30.02.05</w:t>
      </w:r>
    </w:p>
    <w:p w14:paraId="26878185" w14:textId="77777777" w:rsidR="00E4360C" w:rsidRPr="00E4360C" w:rsidRDefault="00E4360C" w:rsidP="00725753">
      <w:pPr>
        <w:pStyle w:val="Literaturverzeichnis"/>
        <w:contextualSpacing/>
        <w:rPr>
          <w:rFonts w:ascii="Calibri" w:hAnsi="Calibri" w:cs="Calibri"/>
          <w:lang w:val="de-DE"/>
        </w:rPr>
      </w:pPr>
      <w:r w:rsidRPr="00E4360C">
        <w:rPr>
          <w:rFonts w:ascii="Calibri" w:hAnsi="Calibri" w:cs="Calibri"/>
        </w:rPr>
        <w:t xml:space="preserve">Schipfer, F., Kranzl, L., 2019. Techno-economic evaluation of biomass-to-end-use chains based on densified bioenergy carriers (dBECs). </w:t>
      </w:r>
      <w:r w:rsidRPr="00E4360C">
        <w:rPr>
          <w:rFonts w:ascii="Calibri" w:hAnsi="Calibri" w:cs="Calibri"/>
          <w:lang w:val="de-DE"/>
        </w:rPr>
        <w:t>Applied Energy 239, 715–724. https://doi.org/10.1016/j.apenergy.2019.01.219</w:t>
      </w:r>
    </w:p>
    <w:p w14:paraId="3780919A"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lang w:val="de-DE"/>
        </w:rPr>
        <w:t xml:space="preserve">Schipfer, F., Mäki, E., Schmieder, U., Lange, N., Schildhauer, T., Hennig, C., Thrän, D., 2022. </w:t>
      </w:r>
      <w:r w:rsidRPr="00E4360C">
        <w:rPr>
          <w:rFonts w:ascii="Calibri" w:hAnsi="Calibri" w:cs="Calibri"/>
        </w:rPr>
        <w:t>Status of and expectations for flexible bioenergy to support resource efficiency and to accelerate the energy transition. Renewable and Sustainable Energy Reviews 158, 112094. https://doi.org/10.1016/j.rser.2022.112094</w:t>
      </w:r>
    </w:p>
    <w:p w14:paraId="5A5E82F5"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Schmidt, M., 2008. The Sankey Diagram in Energy and Material Flow Management. Journal of Industrial Ecology 12, 82–94. https://doi.org/10.1111/j.1530-9290.2008.00004.x</w:t>
      </w:r>
    </w:p>
    <w:p w14:paraId="76D2CBD0"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Stegmann, P., Londo, M., Junginger, M., 2020. The circular bioeconomy: Its elements and role in European bioeconomy clusters. Resources, Conservation &amp; Recycling: X 6, 100029. https://doi.org/10.1016/j.rcrx.2019.100029</w:t>
      </w:r>
    </w:p>
    <w:p w14:paraId="0FE1F076"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Tanzer, J., Rechberger, H., 2020. Complex system, simple indicators: Evaluation of circularity and statistical entropy as indicators of sustainability in Austrian nutrient management. Resources, Conservation and Recycling 162, 104961. https://doi.org/10.1016/j.resconrec.2020.104961</w:t>
      </w:r>
    </w:p>
    <w:p w14:paraId="69D2A91E"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Wiedenhofer, D., Fishman, T., Lauk, C., Haas, W., Krausmann, F., 2019. Integrating Material Stock Dynamics Into Economy-Wide Material Flow Accounting: Concepts, Modelling, and Global Application for 1900–2050. Ecological Economics 156, 121–133. https://doi.org/10.1016/j.ecolecon.2018.09.010</w:t>
      </w:r>
    </w:p>
    <w:p w14:paraId="51AEE453" w14:textId="77777777" w:rsidR="00E4360C" w:rsidRPr="00E4360C" w:rsidRDefault="00E4360C" w:rsidP="00725753">
      <w:pPr>
        <w:pStyle w:val="Literaturverzeichnis"/>
        <w:contextualSpacing/>
        <w:rPr>
          <w:rFonts w:ascii="Calibri" w:hAnsi="Calibri" w:cs="Calibri"/>
        </w:rPr>
      </w:pPr>
      <w:r w:rsidRPr="00E4360C">
        <w:rPr>
          <w:rFonts w:ascii="Calibri" w:hAnsi="Calibri" w:cs="Calibri"/>
        </w:rPr>
        <w:t>Wirth, M., Vobruba, T., Hartl, M., Kisser, J., 2021. Potential Nutrient Conversion Using Nature-Based Solutions in Cities and Utilization Concepts to Create Circular Urban Food Systems. Circ.Econ.Sust. 1, 1147–1164. https://doi.org/10.1007/s43615-021-00081-6</w:t>
      </w:r>
    </w:p>
    <w:p w14:paraId="79976901" w14:textId="12C614F7" w:rsidR="009659A6" w:rsidRDefault="009659A6" w:rsidP="00725753">
      <w:pPr>
        <w:spacing w:after="0" w:line="240" w:lineRule="auto"/>
        <w:contextualSpacing/>
        <w:rPr>
          <w:color w:val="4F6228" w:themeColor="accent3" w:themeShade="80"/>
        </w:rPr>
      </w:pPr>
      <w:r>
        <w:rPr>
          <w:color w:val="4F6228" w:themeColor="accent3" w:themeShade="80"/>
        </w:rPr>
        <w:fldChar w:fldCharType="end"/>
      </w:r>
    </w:p>
    <w:p w14:paraId="767E7340" w14:textId="29FBE541" w:rsidR="009659A6" w:rsidRDefault="009659A6" w:rsidP="008C5B03">
      <w:pPr>
        <w:spacing w:after="120" w:line="360" w:lineRule="auto"/>
        <w:rPr>
          <w:color w:val="4F6228" w:themeColor="accent3" w:themeShade="80"/>
        </w:rPr>
      </w:pPr>
    </w:p>
    <w:sectPr w:rsidR="009659A6" w:rsidSect="00CE573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ECE1" w14:textId="77777777" w:rsidR="00922D2D" w:rsidRDefault="00922D2D" w:rsidP="001A588F">
      <w:pPr>
        <w:spacing w:after="0" w:line="240" w:lineRule="auto"/>
      </w:pPr>
      <w:r>
        <w:separator/>
      </w:r>
    </w:p>
  </w:endnote>
  <w:endnote w:type="continuationSeparator" w:id="0">
    <w:p w14:paraId="375E3260" w14:textId="77777777" w:rsidR="00922D2D" w:rsidRDefault="00922D2D" w:rsidP="001A588F">
      <w:pPr>
        <w:spacing w:after="0" w:line="240" w:lineRule="auto"/>
      </w:pPr>
      <w:r>
        <w:continuationSeparator/>
      </w:r>
    </w:p>
  </w:endnote>
  <w:endnote w:type="continuationNotice" w:id="1">
    <w:p w14:paraId="5180C464" w14:textId="77777777" w:rsidR="00922D2D" w:rsidRDefault="00922D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Bold">
    <w:altName w:val="Arial"/>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352087"/>
      <w:docPartObj>
        <w:docPartGallery w:val="Page Numbers (Bottom of Page)"/>
        <w:docPartUnique/>
      </w:docPartObj>
    </w:sdtPr>
    <w:sdtEndPr>
      <w:rPr>
        <w:noProof/>
      </w:rPr>
    </w:sdtEndPr>
    <w:sdtContent>
      <w:p w14:paraId="43879C35" w14:textId="76D0D476" w:rsidR="00D869EC" w:rsidRDefault="00D869EC">
        <w:pPr>
          <w:pStyle w:val="Fuzeile"/>
          <w:jc w:val="center"/>
        </w:pPr>
        <w:r>
          <w:fldChar w:fldCharType="begin"/>
        </w:r>
        <w:r>
          <w:instrText xml:space="preserve"> PAGE   \* MERGEFORMAT </w:instrText>
        </w:r>
        <w:r>
          <w:fldChar w:fldCharType="separate"/>
        </w:r>
        <w:r>
          <w:rPr>
            <w:noProof/>
          </w:rPr>
          <w:t>6</w:t>
        </w:r>
        <w:r>
          <w:rPr>
            <w:noProof/>
          </w:rPr>
          <w:fldChar w:fldCharType="end"/>
        </w:r>
      </w:p>
    </w:sdtContent>
  </w:sdt>
  <w:p w14:paraId="44807632" w14:textId="77777777" w:rsidR="00D869EC" w:rsidRDefault="00D869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291D1" w14:textId="77777777" w:rsidR="00922D2D" w:rsidRDefault="00922D2D" w:rsidP="001A588F">
      <w:pPr>
        <w:spacing w:after="0" w:line="240" w:lineRule="auto"/>
      </w:pPr>
      <w:r>
        <w:separator/>
      </w:r>
    </w:p>
  </w:footnote>
  <w:footnote w:type="continuationSeparator" w:id="0">
    <w:p w14:paraId="3200A099" w14:textId="77777777" w:rsidR="00922D2D" w:rsidRDefault="00922D2D" w:rsidP="001A588F">
      <w:pPr>
        <w:spacing w:after="0" w:line="240" w:lineRule="auto"/>
      </w:pPr>
      <w:r>
        <w:continuationSeparator/>
      </w:r>
    </w:p>
  </w:footnote>
  <w:footnote w:type="continuationNotice" w:id="1">
    <w:p w14:paraId="5FF06425" w14:textId="77777777" w:rsidR="00922D2D" w:rsidRDefault="00922D2D">
      <w:pPr>
        <w:spacing w:after="0" w:line="240" w:lineRule="auto"/>
      </w:pPr>
    </w:p>
  </w:footnote>
  <w:footnote w:id="2">
    <w:p w14:paraId="77552906" w14:textId="461FB296" w:rsidR="00D869EC" w:rsidRPr="00B60A0E" w:rsidRDefault="00D869EC">
      <w:pPr>
        <w:pStyle w:val="Funotentext"/>
      </w:pPr>
      <w:r w:rsidRPr="00E4360C">
        <w:rPr>
          <w:rStyle w:val="Funotenzeichen"/>
        </w:rPr>
        <w:footnoteRef/>
      </w:r>
      <w:r>
        <w:t xml:space="preserve"> Analysis in Scopus on March 8</w:t>
      </w:r>
      <w:r w:rsidRPr="00B60A0E">
        <w:rPr>
          <w:vertAlign w:val="superscript"/>
        </w:rPr>
        <w:t>th</w:t>
      </w:r>
      <w:r>
        <w:t xml:space="preserve">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D8B"/>
    <w:multiLevelType w:val="hybridMultilevel"/>
    <w:tmpl w:val="67D028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115C74"/>
    <w:multiLevelType w:val="hybridMultilevel"/>
    <w:tmpl w:val="3878D1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24438D"/>
    <w:multiLevelType w:val="hybridMultilevel"/>
    <w:tmpl w:val="7304C9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7164A5"/>
    <w:multiLevelType w:val="hybridMultilevel"/>
    <w:tmpl w:val="8BF230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2A0269"/>
    <w:multiLevelType w:val="hybridMultilevel"/>
    <w:tmpl w:val="2B7A6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42100"/>
    <w:multiLevelType w:val="hybridMultilevel"/>
    <w:tmpl w:val="80F4A956"/>
    <w:lvl w:ilvl="0" w:tplc="27DA58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C4598B"/>
    <w:multiLevelType w:val="hybridMultilevel"/>
    <w:tmpl w:val="D31C8A2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2112CA6"/>
    <w:multiLevelType w:val="hybridMultilevel"/>
    <w:tmpl w:val="94F88D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1C50E6"/>
    <w:multiLevelType w:val="hybridMultilevel"/>
    <w:tmpl w:val="8250B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AAD6E95"/>
    <w:multiLevelType w:val="multilevel"/>
    <w:tmpl w:val="63DC74D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2FBA1FCF"/>
    <w:multiLevelType w:val="hybridMultilevel"/>
    <w:tmpl w:val="A7C4A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7A4D59"/>
    <w:multiLevelType w:val="hybridMultilevel"/>
    <w:tmpl w:val="0B54D09A"/>
    <w:lvl w:ilvl="0" w:tplc="C7B043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1102AE"/>
    <w:multiLevelType w:val="hybridMultilevel"/>
    <w:tmpl w:val="1A161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2E78AC"/>
    <w:multiLevelType w:val="hybridMultilevel"/>
    <w:tmpl w:val="608E849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3FA1D29"/>
    <w:multiLevelType w:val="hybridMultilevel"/>
    <w:tmpl w:val="C24EDB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8C867BE"/>
    <w:multiLevelType w:val="multilevel"/>
    <w:tmpl w:val="093820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AC0348"/>
    <w:multiLevelType w:val="hybridMultilevel"/>
    <w:tmpl w:val="198C950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8B27C2B"/>
    <w:multiLevelType w:val="hybridMultilevel"/>
    <w:tmpl w:val="ED6266FC"/>
    <w:lvl w:ilvl="0" w:tplc="59DCC84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ED3ED6"/>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A04EB0"/>
    <w:multiLevelType w:val="hybridMultilevel"/>
    <w:tmpl w:val="167E39E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64CA6743"/>
    <w:multiLevelType w:val="hybridMultilevel"/>
    <w:tmpl w:val="AB323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36D88"/>
    <w:multiLevelType w:val="hybridMultilevel"/>
    <w:tmpl w:val="3C54DB2E"/>
    <w:lvl w:ilvl="0" w:tplc="8046A04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CB0977"/>
    <w:multiLevelType w:val="hybridMultilevel"/>
    <w:tmpl w:val="B1BE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783A39"/>
    <w:multiLevelType w:val="hybridMultilevel"/>
    <w:tmpl w:val="A7CEFD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3C9456B"/>
    <w:multiLevelType w:val="hybridMultilevel"/>
    <w:tmpl w:val="A230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A50C3B"/>
    <w:multiLevelType w:val="hybridMultilevel"/>
    <w:tmpl w:val="B866B16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FF0313"/>
    <w:multiLevelType w:val="hybridMultilevel"/>
    <w:tmpl w:val="DF1A796A"/>
    <w:lvl w:ilvl="0" w:tplc="CB78336A">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E6A6F5C"/>
    <w:multiLevelType w:val="hybridMultilevel"/>
    <w:tmpl w:val="F1303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9"/>
  </w:num>
  <w:num w:numId="3">
    <w:abstractNumId w:val="18"/>
  </w:num>
  <w:num w:numId="4">
    <w:abstractNumId w:val="19"/>
  </w:num>
  <w:num w:numId="5">
    <w:abstractNumId w:val="15"/>
  </w:num>
  <w:num w:numId="6">
    <w:abstractNumId w:val="16"/>
  </w:num>
  <w:num w:numId="7">
    <w:abstractNumId w:val="13"/>
  </w:num>
  <w:num w:numId="8">
    <w:abstractNumId w:val="22"/>
  </w:num>
  <w:num w:numId="9">
    <w:abstractNumId w:val="11"/>
  </w:num>
  <w:num w:numId="10">
    <w:abstractNumId w:val="5"/>
  </w:num>
  <w:num w:numId="11">
    <w:abstractNumId w:val="4"/>
  </w:num>
  <w:num w:numId="12">
    <w:abstractNumId w:val="26"/>
  </w:num>
  <w:num w:numId="13">
    <w:abstractNumId w:val="17"/>
  </w:num>
  <w:num w:numId="14">
    <w:abstractNumId w:val="20"/>
  </w:num>
  <w:num w:numId="15">
    <w:abstractNumId w:val="27"/>
  </w:num>
  <w:num w:numId="16">
    <w:abstractNumId w:val="10"/>
  </w:num>
  <w:num w:numId="17">
    <w:abstractNumId w:val="2"/>
  </w:num>
  <w:num w:numId="18">
    <w:abstractNumId w:val="0"/>
  </w:num>
  <w:num w:numId="19">
    <w:abstractNumId w:val="21"/>
  </w:num>
  <w:num w:numId="20">
    <w:abstractNumId w:val="3"/>
  </w:num>
  <w:num w:numId="21">
    <w:abstractNumId w:val="14"/>
  </w:num>
  <w:num w:numId="22">
    <w:abstractNumId w:val="7"/>
  </w:num>
  <w:num w:numId="23">
    <w:abstractNumId w:val="1"/>
  </w:num>
  <w:num w:numId="24">
    <w:abstractNumId w:val="23"/>
  </w:num>
  <w:num w:numId="25">
    <w:abstractNumId w:val="6"/>
  </w:num>
  <w:num w:numId="26">
    <w:abstractNumId w:val="24"/>
  </w:num>
  <w:num w:numId="27">
    <w:abstractNumId w:val="2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0MDYyMTQ3NTMxNDZR0lEKTi0uzszPAykwtKgFACc/ClMtAAAA"/>
  </w:docVars>
  <w:rsids>
    <w:rsidRoot w:val="00E449E9"/>
    <w:rsid w:val="0000044D"/>
    <w:rsid w:val="00000797"/>
    <w:rsid w:val="00000E43"/>
    <w:rsid w:val="00001629"/>
    <w:rsid w:val="00002367"/>
    <w:rsid w:val="00002DF7"/>
    <w:rsid w:val="00003A44"/>
    <w:rsid w:val="00004234"/>
    <w:rsid w:val="00007787"/>
    <w:rsid w:val="0001068D"/>
    <w:rsid w:val="000117AE"/>
    <w:rsid w:val="000129C3"/>
    <w:rsid w:val="00013682"/>
    <w:rsid w:val="00015003"/>
    <w:rsid w:val="00015701"/>
    <w:rsid w:val="00016E13"/>
    <w:rsid w:val="0001719B"/>
    <w:rsid w:val="00017715"/>
    <w:rsid w:val="00017817"/>
    <w:rsid w:val="00017D18"/>
    <w:rsid w:val="0002094A"/>
    <w:rsid w:val="00021983"/>
    <w:rsid w:val="00021FB9"/>
    <w:rsid w:val="00022D69"/>
    <w:rsid w:val="00026578"/>
    <w:rsid w:val="000270CE"/>
    <w:rsid w:val="000273AF"/>
    <w:rsid w:val="00032ABC"/>
    <w:rsid w:val="000345CC"/>
    <w:rsid w:val="0003571D"/>
    <w:rsid w:val="0003628B"/>
    <w:rsid w:val="00036319"/>
    <w:rsid w:val="000365FC"/>
    <w:rsid w:val="00037692"/>
    <w:rsid w:val="000408C6"/>
    <w:rsid w:val="00041693"/>
    <w:rsid w:val="00041ED6"/>
    <w:rsid w:val="00041F41"/>
    <w:rsid w:val="000429D0"/>
    <w:rsid w:val="00042B36"/>
    <w:rsid w:val="00042D64"/>
    <w:rsid w:val="00042E8F"/>
    <w:rsid w:val="00043F29"/>
    <w:rsid w:val="000441B5"/>
    <w:rsid w:val="000445F6"/>
    <w:rsid w:val="000470DA"/>
    <w:rsid w:val="00047E89"/>
    <w:rsid w:val="0005015D"/>
    <w:rsid w:val="00050498"/>
    <w:rsid w:val="000516B0"/>
    <w:rsid w:val="00055494"/>
    <w:rsid w:val="00056C8B"/>
    <w:rsid w:val="00057C64"/>
    <w:rsid w:val="00060C88"/>
    <w:rsid w:val="00061CA6"/>
    <w:rsid w:val="00061F7E"/>
    <w:rsid w:val="00061FBE"/>
    <w:rsid w:val="00062E39"/>
    <w:rsid w:val="000645C9"/>
    <w:rsid w:val="00064665"/>
    <w:rsid w:val="00066749"/>
    <w:rsid w:val="000678CA"/>
    <w:rsid w:val="00071DE9"/>
    <w:rsid w:val="00072692"/>
    <w:rsid w:val="00073A7A"/>
    <w:rsid w:val="00075B77"/>
    <w:rsid w:val="00075D6B"/>
    <w:rsid w:val="00076C0F"/>
    <w:rsid w:val="00080265"/>
    <w:rsid w:val="000808D5"/>
    <w:rsid w:val="0008147B"/>
    <w:rsid w:val="00081691"/>
    <w:rsid w:val="0008369B"/>
    <w:rsid w:val="0008369C"/>
    <w:rsid w:val="00084479"/>
    <w:rsid w:val="000854A4"/>
    <w:rsid w:val="00085E03"/>
    <w:rsid w:val="00086799"/>
    <w:rsid w:val="000874A6"/>
    <w:rsid w:val="000875E6"/>
    <w:rsid w:val="000908B1"/>
    <w:rsid w:val="000908EC"/>
    <w:rsid w:val="00090C29"/>
    <w:rsid w:val="00092F45"/>
    <w:rsid w:val="00093E46"/>
    <w:rsid w:val="0009636F"/>
    <w:rsid w:val="000969B8"/>
    <w:rsid w:val="000A1354"/>
    <w:rsid w:val="000A1503"/>
    <w:rsid w:val="000A18E1"/>
    <w:rsid w:val="000A2B85"/>
    <w:rsid w:val="000A30CC"/>
    <w:rsid w:val="000A4064"/>
    <w:rsid w:val="000A4074"/>
    <w:rsid w:val="000A422C"/>
    <w:rsid w:val="000A571C"/>
    <w:rsid w:val="000A79DF"/>
    <w:rsid w:val="000B0CC7"/>
    <w:rsid w:val="000B38AC"/>
    <w:rsid w:val="000B3DF5"/>
    <w:rsid w:val="000B4B35"/>
    <w:rsid w:val="000B63A8"/>
    <w:rsid w:val="000B645C"/>
    <w:rsid w:val="000B6AD8"/>
    <w:rsid w:val="000B76C8"/>
    <w:rsid w:val="000C10B4"/>
    <w:rsid w:val="000C2270"/>
    <w:rsid w:val="000C2FEB"/>
    <w:rsid w:val="000C3752"/>
    <w:rsid w:val="000C44C6"/>
    <w:rsid w:val="000C45BF"/>
    <w:rsid w:val="000C555C"/>
    <w:rsid w:val="000C6434"/>
    <w:rsid w:val="000C6EB6"/>
    <w:rsid w:val="000D1B57"/>
    <w:rsid w:val="000D36F6"/>
    <w:rsid w:val="000D37E0"/>
    <w:rsid w:val="000D473C"/>
    <w:rsid w:val="000E02BA"/>
    <w:rsid w:val="000E14E5"/>
    <w:rsid w:val="000E20C3"/>
    <w:rsid w:val="000E2368"/>
    <w:rsid w:val="000E38C1"/>
    <w:rsid w:val="000E4A23"/>
    <w:rsid w:val="000E4D91"/>
    <w:rsid w:val="000E4E75"/>
    <w:rsid w:val="000F03D0"/>
    <w:rsid w:val="000F17B1"/>
    <w:rsid w:val="000F34D0"/>
    <w:rsid w:val="000F4724"/>
    <w:rsid w:val="000F4DAD"/>
    <w:rsid w:val="000F5290"/>
    <w:rsid w:val="000F5374"/>
    <w:rsid w:val="000F6447"/>
    <w:rsid w:val="00101005"/>
    <w:rsid w:val="00101D2B"/>
    <w:rsid w:val="00102880"/>
    <w:rsid w:val="001034E3"/>
    <w:rsid w:val="00105C38"/>
    <w:rsid w:val="00106B88"/>
    <w:rsid w:val="00106D3E"/>
    <w:rsid w:val="00106DB9"/>
    <w:rsid w:val="0010744F"/>
    <w:rsid w:val="00107E8D"/>
    <w:rsid w:val="00110431"/>
    <w:rsid w:val="0011187A"/>
    <w:rsid w:val="00111F12"/>
    <w:rsid w:val="0011348C"/>
    <w:rsid w:val="00114ED9"/>
    <w:rsid w:val="00115A8F"/>
    <w:rsid w:val="00116038"/>
    <w:rsid w:val="00116976"/>
    <w:rsid w:val="001207A0"/>
    <w:rsid w:val="00121706"/>
    <w:rsid w:val="00121757"/>
    <w:rsid w:val="00122EDC"/>
    <w:rsid w:val="0012317C"/>
    <w:rsid w:val="0012444A"/>
    <w:rsid w:val="0012487B"/>
    <w:rsid w:val="00126369"/>
    <w:rsid w:val="00130B28"/>
    <w:rsid w:val="00130F6F"/>
    <w:rsid w:val="00134D3D"/>
    <w:rsid w:val="00134D8B"/>
    <w:rsid w:val="001358CC"/>
    <w:rsid w:val="0013631E"/>
    <w:rsid w:val="001368AB"/>
    <w:rsid w:val="001372F4"/>
    <w:rsid w:val="00137AD4"/>
    <w:rsid w:val="00137F82"/>
    <w:rsid w:val="00140512"/>
    <w:rsid w:val="00140566"/>
    <w:rsid w:val="001418C6"/>
    <w:rsid w:val="00141C9E"/>
    <w:rsid w:val="00141F45"/>
    <w:rsid w:val="001429D0"/>
    <w:rsid w:val="00144FAF"/>
    <w:rsid w:val="00145A4B"/>
    <w:rsid w:val="001470BF"/>
    <w:rsid w:val="001478CC"/>
    <w:rsid w:val="00147F87"/>
    <w:rsid w:val="00150063"/>
    <w:rsid w:val="00151142"/>
    <w:rsid w:val="0015176A"/>
    <w:rsid w:val="001527E8"/>
    <w:rsid w:val="00154BCC"/>
    <w:rsid w:val="001559B1"/>
    <w:rsid w:val="001559C7"/>
    <w:rsid w:val="00157446"/>
    <w:rsid w:val="00160256"/>
    <w:rsid w:val="00161CA4"/>
    <w:rsid w:val="00162ED4"/>
    <w:rsid w:val="00163F18"/>
    <w:rsid w:val="00166800"/>
    <w:rsid w:val="00166919"/>
    <w:rsid w:val="001674F0"/>
    <w:rsid w:val="00167EA6"/>
    <w:rsid w:val="00170344"/>
    <w:rsid w:val="00172688"/>
    <w:rsid w:val="0017278C"/>
    <w:rsid w:val="00173543"/>
    <w:rsid w:val="001829A0"/>
    <w:rsid w:val="001833FB"/>
    <w:rsid w:val="00184270"/>
    <w:rsid w:val="0018490C"/>
    <w:rsid w:val="00186918"/>
    <w:rsid w:val="00186AFD"/>
    <w:rsid w:val="00187F2A"/>
    <w:rsid w:val="001901CE"/>
    <w:rsid w:val="00190DBD"/>
    <w:rsid w:val="00191D2A"/>
    <w:rsid w:val="001935EA"/>
    <w:rsid w:val="001944DA"/>
    <w:rsid w:val="00194CC1"/>
    <w:rsid w:val="001952B2"/>
    <w:rsid w:val="0019550A"/>
    <w:rsid w:val="00195C86"/>
    <w:rsid w:val="0019667B"/>
    <w:rsid w:val="001A02BD"/>
    <w:rsid w:val="001A2D96"/>
    <w:rsid w:val="001A38CC"/>
    <w:rsid w:val="001A4D9D"/>
    <w:rsid w:val="001A588F"/>
    <w:rsid w:val="001B2DA2"/>
    <w:rsid w:val="001B2DE8"/>
    <w:rsid w:val="001B4F0D"/>
    <w:rsid w:val="001B4F3A"/>
    <w:rsid w:val="001C1836"/>
    <w:rsid w:val="001C28A5"/>
    <w:rsid w:val="001C60DC"/>
    <w:rsid w:val="001C6143"/>
    <w:rsid w:val="001C7A1E"/>
    <w:rsid w:val="001D0E42"/>
    <w:rsid w:val="001D1572"/>
    <w:rsid w:val="001D7E97"/>
    <w:rsid w:val="001D7EBB"/>
    <w:rsid w:val="001E17E2"/>
    <w:rsid w:val="001E1AD4"/>
    <w:rsid w:val="001E2AFA"/>
    <w:rsid w:val="001E2E37"/>
    <w:rsid w:val="001E4D6D"/>
    <w:rsid w:val="001E650E"/>
    <w:rsid w:val="001E6E24"/>
    <w:rsid w:val="001E6F23"/>
    <w:rsid w:val="001E7104"/>
    <w:rsid w:val="001F0C1E"/>
    <w:rsid w:val="001F1438"/>
    <w:rsid w:val="001F18AD"/>
    <w:rsid w:val="001F1C10"/>
    <w:rsid w:val="001F2F37"/>
    <w:rsid w:val="001F37FE"/>
    <w:rsid w:val="001F5530"/>
    <w:rsid w:val="001F5FAE"/>
    <w:rsid w:val="001F6C6F"/>
    <w:rsid w:val="001F7319"/>
    <w:rsid w:val="00200339"/>
    <w:rsid w:val="00200750"/>
    <w:rsid w:val="00200A65"/>
    <w:rsid w:val="00201CCA"/>
    <w:rsid w:val="00201F9D"/>
    <w:rsid w:val="00202A95"/>
    <w:rsid w:val="00203C63"/>
    <w:rsid w:val="00203CE0"/>
    <w:rsid w:val="00204B1C"/>
    <w:rsid w:val="00205878"/>
    <w:rsid w:val="0020596A"/>
    <w:rsid w:val="00207888"/>
    <w:rsid w:val="00210D65"/>
    <w:rsid w:val="00212E80"/>
    <w:rsid w:val="0021344D"/>
    <w:rsid w:val="002141ED"/>
    <w:rsid w:val="0021532B"/>
    <w:rsid w:val="002167F4"/>
    <w:rsid w:val="00220BCA"/>
    <w:rsid w:val="00221461"/>
    <w:rsid w:val="00223C76"/>
    <w:rsid w:val="00223EED"/>
    <w:rsid w:val="00224B1D"/>
    <w:rsid w:val="00224F3C"/>
    <w:rsid w:val="00225496"/>
    <w:rsid w:val="0022683D"/>
    <w:rsid w:val="00226981"/>
    <w:rsid w:val="00230A4E"/>
    <w:rsid w:val="0023101B"/>
    <w:rsid w:val="00233D55"/>
    <w:rsid w:val="00234003"/>
    <w:rsid w:val="00234410"/>
    <w:rsid w:val="00235107"/>
    <w:rsid w:val="002354A7"/>
    <w:rsid w:val="002359B5"/>
    <w:rsid w:val="002369F5"/>
    <w:rsid w:val="002374C9"/>
    <w:rsid w:val="002376BC"/>
    <w:rsid w:val="00240AB6"/>
    <w:rsid w:val="00241523"/>
    <w:rsid w:val="00241BE7"/>
    <w:rsid w:val="00241EA4"/>
    <w:rsid w:val="00242BE3"/>
    <w:rsid w:val="00242DD0"/>
    <w:rsid w:val="002441AE"/>
    <w:rsid w:val="002445A7"/>
    <w:rsid w:val="00245962"/>
    <w:rsid w:val="00254E87"/>
    <w:rsid w:val="002550F3"/>
    <w:rsid w:val="00255107"/>
    <w:rsid w:val="00255613"/>
    <w:rsid w:val="0025695D"/>
    <w:rsid w:val="002573F6"/>
    <w:rsid w:val="002574EA"/>
    <w:rsid w:val="002604D0"/>
    <w:rsid w:val="0026109E"/>
    <w:rsid w:val="00261136"/>
    <w:rsid w:val="00261179"/>
    <w:rsid w:val="00261AD0"/>
    <w:rsid w:val="0026306B"/>
    <w:rsid w:val="002631E0"/>
    <w:rsid w:val="00263508"/>
    <w:rsid w:val="0026401E"/>
    <w:rsid w:val="002642E2"/>
    <w:rsid w:val="00265439"/>
    <w:rsid w:val="002659DC"/>
    <w:rsid w:val="00265BD8"/>
    <w:rsid w:val="00265E32"/>
    <w:rsid w:val="00270A94"/>
    <w:rsid w:val="00270B22"/>
    <w:rsid w:val="0027133B"/>
    <w:rsid w:val="00272796"/>
    <w:rsid w:val="00272FE7"/>
    <w:rsid w:val="0027352E"/>
    <w:rsid w:val="00273612"/>
    <w:rsid w:val="0027613F"/>
    <w:rsid w:val="002803F1"/>
    <w:rsid w:val="00280676"/>
    <w:rsid w:val="00282A16"/>
    <w:rsid w:val="0028304B"/>
    <w:rsid w:val="002838FA"/>
    <w:rsid w:val="00284257"/>
    <w:rsid w:val="00284367"/>
    <w:rsid w:val="0028643D"/>
    <w:rsid w:val="00287635"/>
    <w:rsid w:val="0028770F"/>
    <w:rsid w:val="00290155"/>
    <w:rsid w:val="00292623"/>
    <w:rsid w:val="00292F1D"/>
    <w:rsid w:val="0029352B"/>
    <w:rsid w:val="00294E07"/>
    <w:rsid w:val="00295527"/>
    <w:rsid w:val="002A01E3"/>
    <w:rsid w:val="002A08E4"/>
    <w:rsid w:val="002A1DD7"/>
    <w:rsid w:val="002A1F0D"/>
    <w:rsid w:val="002A20D6"/>
    <w:rsid w:val="002A52FB"/>
    <w:rsid w:val="002B09CF"/>
    <w:rsid w:val="002B1625"/>
    <w:rsid w:val="002B1C39"/>
    <w:rsid w:val="002B2E4D"/>
    <w:rsid w:val="002B46FE"/>
    <w:rsid w:val="002B5BE8"/>
    <w:rsid w:val="002B62D9"/>
    <w:rsid w:val="002B7081"/>
    <w:rsid w:val="002B7D46"/>
    <w:rsid w:val="002C0A63"/>
    <w:rsid w:val="002C15B6"/>
    <w:rsid w:val="002C2121"/>
    <w:rsid w:val="002C2781"/>
    <w:rsid w:val="002C28F6"/>
    <w:rsid w:val="002C2A0C"/>
    <w:rsid w:val="002C31AE"/>
    <w:rsid w:val="002C31C9"/>
    <w:rsid w:val="002C574D"/>
    <w:rsid w:val="002C61AF"/>
    <w:rsid w:val="002C792F"/>
    <w:rsid w:val="002D0CF6"/>
    <w:rsid w:val="002D1776"/>
    <w:rsid w:val="002D2055"/>
    <w:rsid w:val="002D394D"/>
    <w:rsid w:val="002D4352"/>
    <w:rsid w:val="002D4C2E"/>
    <w:rsid w:val="002D51DF"/>
    <w:rsid w:val="002D5F6F"/>
    <w:rsid w:val="002D68D2"/>
    <w:rsid w:val="002D6E1C"/>
    <w:rsid w:val="002D6F28"/>
    <w:rsid w:val="002D7F60"/>
    <w:rsid w:val="002E1365"/>
    <w:rsid w:val="002E305D"/>
    <w:rsid w:val="002E3493"/>
    <w:rsid w:val="002E3D04"/>
    <w:rsid w:val="002E41EE"/>
    <w:rsid w:val="002E4FDC"/>
    <w:rsid w:val="002E546D"/>
    <w:rsid w:val="002E6C5B"/>
    <w:rsid w:val="002E759B"/>
    <w:rsid w:val="002F14FF"/>
    <w:rsid w:val="002F4E8C"/>
    <w:rsid w:val="002F5672"/>
    <w:rsid w:val="002F56ED"/>
    <w:rsid w:val="002F6942"/>
    <w:rsid w:val="002F7DC3"/>
    <w:rsid w:val="003025C9"/>
    <w:rsid w:val="003025D5"/>
    <w:rsid w:val="0030268D"/>
    <w:rsid w:val="00303556"/>
    <w:rsid w:val="00304117"/>
    <w:rsid w:val="00304985"/>
    <w:rsid w:val="003100AC"/>
    <w:rsid w:val="003101FE"/>
    <w:rsid w:val="0031094A"/>
    <w:rsid w:val="003120E1"/>
    <w:rsid w:val="003147E3"/>
    <w:rsid w:val="003151EE"/>
    <w:rsid w:val="00316E51"/>
    <w:rsid w:val="003170FF"/>
    <w:rsid w:val="00321417"/>
    <w:rsid w:val="00321B63"/>
    <w:rsid w:val="00321DD2"/>
    <w:rsid w:val="00324564"/>
    <w:rsid w:val="00324EEB"/>
    <w:rsid w:val="0032713E"/>
    <w:rsid w:val="003302C1"/>
    <w:rsid w:val="00330C21"/>
    <w:rsid w:val="003340A2"/>
    <w:rsid w:val="003345AF"/>
    <w:rsid w:val="00335212"/>
    <w:rsid w:val="00335432"/>
    <w:rsid w:val="00335AB2"/>
    <w:rsid w:val="00336E15"/>
    <w:rsid w:val="00340A69"/>
    <w:rsid w:val="0034162D"/>
    <w:rsid w:val="00341A7F"/>
    <w:rsid w:val="00343864"/>
    <w:rsid w:val="00343BF0"/>
    <w:rsid w:val="00343FBA"/>
    <w:rsid w:val="003451A0"/>
    <w:rsid w:val="00347B9B"/>
    <w:rsid w:val="00347F6F"/>
    <w:rsid w:val="0035020B"/>
    <w:rsid w:val="00350D7A"/>
    <w:rsid w:val="00351F5D"/>
    <w:rsid w:val="003536F2"/>
    <w:rsid w:val="00353FDF"/>
    <w:rsid w:val="0035596C"/>
    <w:rsid w:val="00355DD6"/>
    <w:rsid w:val="0035657F"/>
    <w:rsid w:val="00357A78"/>
    <w:rsid w:val="00357F9E"/>
    <w:rsid w:val="00360AE8"/>
    <w:rsid w:val="003615C7"/>
    <w:rsid w:val="00361D43"/>
    <w:rsid w:val="003629BA"/>
    <w:rsid w:val="00362FB8"/>
    <w:rsid w:val="003638B2"/>
    <w:rsid w:val="00363AB2"/>
    <w:rsid w:val="00364688"/>
    <w:rsid w:val="0036593F"/>
    <w:rsid w:val="00370609"/>
    <w:rsid w:val="003716EC"/>
    <w:rsid w:val="003744AC"/>
    <w:rsid w:val="00375CEF"/>
    <w:rsid w:val="00380C6A"/>
    <w:rsid w:val="0038102F"/>
    <w:rsid w:val="00381294"/>
    <w:rsid w:val="003816EB"/>
    <w:rsid w:val="00381770"/>
    <w:rsid w:val="003818A5"/>
    <w:rsid w:val="003839F4"/>
    <w:rsid w:val="003844B3"/>
    <w:rsid w:val="0038503E"/>
    <w:rsid w:val="00385656"/>
    <w:rsid w:val="00387652"/>
    <w:rsid w:val="00387C97"/>
    <w:rsid w:val="00390A3B"/>
    <w:rsid w:val="00390A4A"/>
    <w:rsid w:val="00390B67"/>
    <w:rsid w:val="003928B2"/>
    <w:rsid w:val="003942E6"/>
    <w:rsid w:val="003950CF"/>
    <w:rsid w:val="003A04A8"/>
    <w:rsid w:val="003A1F39"/>
    <w:rsid w:val="003A2A85"/>
    <w:rsid w:val="003A3823"/>
    <w:rsid w:val="003A3B23"/>
    <w:rsid w:val="003A50F6"/>
    <w:rsid w:val="003A5727"/>
    <w:rsid w:val="003A71DC"/>
    <w:rsid w:val="003A7B53"/>
    <w:rsid w:val="003B002E"/>
    <w:rsid w:val="003B0854"/>
    <w:rsid w:val="003B0E1B"/>
    <w:rsid w:val="003B483A"/>
    <w:rsid w:val="003B486D"/>
    <w:rsid w:val="003B6723"/>
    <w:rsid w:val="003B698C"/>
    <w:rsid w:val="003B74B1"/>
    <w:rsid w:val="003C0056"/>
    <w:rsid w:val="003C0417"/>
    <w:rsid w:val="003C2447"/>
    <w:rsid w:val="003C2B3A"/>
    <w:rsid w:val="003C3C49"/>
    <w:rsid w:val="003C45D9"/>
    <w:rsid w:val="003C5A40"/>
    <w:rsid w:val="003C5FF3"/>
    <w:rsid w:val="003C6483"/>
    <w:rsid w:val="003C7A7C"/>
    <w:rsid w:val="003D0424"/>
    <w:rsid w:val="003D0871"/>
    <w:rsid w:val="003D269D"/>
    <w:rsid w:val="003D3808"/>
    <w:rsid w:val="003D390F"/>
    <w:rsid w:val="003D66FC"/>
    <w:rsid w:val="003D68E8"/>
    <w:rsid w:val="003D78EC"/>
    <w:rsid w:val="003E059D"/>
    <w:rsid w:val="003E1B7E"/>
    <w:rsid w:val="003E4591"/>
    <w:rsid w:val="003E4627"/>
    <w:rsid w:val="003E4919"/>
    <w:rsid w:val="003E593E"/>
    <w:rsid w:val="003E60B5"/>
    <w:rsid w:val="003E6370"/>
    <w:rsid w:val="003E76C6"/>
    <w:rsid w:val="003F0324"/>
    <w:rsid w:val="003F3074"/>
    <w:rsid w:val="003F4948"/>
    <w:rsid w:val="003F70CB"/>
    <w:rsid w:val="00400B5A"/>
    <w:rsid w:val="004015C5"/>
    <w:rsid w:val="004029FB"/>
    <w:rsid w:val="00404CB0"/>
    <w:rsid w:val="00404DE0"/>
    <w:rsid w:val="00406057"/>
    <w:rsid w:val="004066D2"/>
    <w:rsid w:val="00407574"/>
    <w:rsid w:val="0040774C"/>
    <w:rsid w:val="004103F0"/>
    <w:rsid w:val="00410ADE"/>
    <w:rsid w:val="00412A00"/>
    <w:rsid w:val="00413E64"/>
    <w:rsid w:val="004145EC"/>
    <w:rsid w:val="00414C8D"/>
    <w:rsid w:val="00415F66"/>
    <w:rsid w:val="00416410"/>
    <w:rsid w:val="004165D5"/>
    <w:rsid w:val="0041669D"/>
    <w:rsid w:val="00420970"/>
    <w:rsid w:val="00422615"/>
    <w:rsid w:val="00423A60"/>
    <w:rsid w:val="004247AA"/>
    <w:rsid w:val="004249CE"/>
    <w:rsid w:val="0042660D"/>
    <w:rsid w:val="0042722B"/>
    <w:rsid w:val="00427454"/>
    <w:rsid w:val="004302CA"/>
    <w:rsid w:val="0043114E"/>
    <w:rsid w:val="00431B7F"/>
    <w:rsid w:val="00433C15"/>
    <w:rsid w:val="00434641"/>
    <w:rsid w:val="00434B11"/>
    <w:rsid w:val="00434CE8"/>
    <w:rsid w:val="00436173"/>
    <w:rsid w:val="00440E0E"/>
    <w:rsid w:val="004418F0"/>
    <w:rsid w:val="00441C22"/>
    <w:rsid w:val="004423FF"/>
    <w:rsid w:val="004424EB"/>
    <w:rsid w:val="00442B8A"/>
    <w:rsid w:val="0044395C"/>
    <w:rsid w:val="004443A1"/>
    <w:rsid w:val="00444455"/>
    <w:rsid w:val="00444E86"/>
    <w:rsid w:val="0044691F"/>
    <w:rsid w:val="0044777B"/>
    <w:rsid w:val="004478F3"/>
    <w:rsid w:val="00451287"/>
    <w:rsid w:val="00452A25"/>
    <w:rsid w:val="00453CF1"/>
    <w:rsid w:val="0045676D"/>
    <w:rsid w:val="00456D25"/>
    <w:rsid w:val="00460EF8"/>
    <w:rsid w:val="004620A5"/>
    <w:rsid w:val="00464A35"/>
    <w:rsid w:val="00465405"/>
    <w:rsid w:val="00466ED8"/>
    <w:rsid w:val="00467B35"/>
    <w:rsid w:val="00467DCD"/>
    <w:rsid w:val="00470C8D"/>
    <w:rsid w:val="00471C4B"/>
    <w:rsid w:val="00474E22"/>
    <w:rsid w:val="00474E53"/>
    <w:rsid w:val="00477001"/>
    <w:rsid w:val="004810F5"/>
    <w:rsid w:val="00484609"/>
    <w:rsid w:val="00486F69"/>
    <w:rsid w:val="004873C7"/>
    <w:rsid w:val="0049182E"/>
    <w:rsid w:val="00492FA7"/>
    <w:rsid w:val="00493913"/>
    <w:rsid w:val="00494528"/>
    <w:rsid w:val="00495B6C"/>
    <w:rsid w:val="004A07D1"/>
    <w:rsid w:val="004A121B"/>
    <w:rsid w:val="004A28E7"/>
    <w:rsid w:val="004A3195"/>
    <w:rsid w:val="004A3C8D"/>
    <w:rsid w:val="004A485B"/>
    <w:rsid w:val="004A7769"/>
    <w:rsid w:val="004B0375"/>
    <w:rsid w:val="004B38EA"/>
    <w:rsid w:val="004B4830"/>
    <w:rsid w:val="004B64BB"/>
    <w:rsid w:val="004B7B3E"/>
    <w:rsid w:val="004C0316"/>
    <w:rsid w:val="004C0AD5"/>
    <w:rsid w:val="004C1AFA"/>
    <w:rsid w:val="004C31DD"/>
    <w:rsid w:val="004C342F"/>
    <w:rsid w:val="004C3C27"/>
    <w:rsid w:val="004C3F80"/>
    <w:rsid w:val="004C46DC"/>
    <w:rsid w:val="004C4D0C"/>
    <w:rsid w:val="004C5BC6"/>
    <w:rsid w:val="004C7F9F"/>
    <w:rsid w:val="004D1AF0"/>
    <w:rsid w:val="004D1F01"/>
    <w:rsid w:val="004D30CE"/>
    <w:rsid w:val="004D3713"/>
    <w:rsid w:val="004D3A9F"/>
    <w:rsid w:val="004D416D"/>
    <w:rsid w:val="004D4257"/>
    <w:rsid w:val="004D4F01"/>
    <w:rsid w:val="004D5BCE"/>
    <w:rsid w:val="004D69AB"/>
    <w:rsid w:val="004D77D5"/>
    <w:rsid w:val="004E3B0B"/>
    <w:rsid w:val="004E3BDF"/>
    <w:rsid w:val="004E429C"/>
    <w:rsid w:val="004E45A8"/>
    <w:rsid w:val="004E67C3"/>
    <w:rsid w:val="004E6B7A"/>
    <w:rsid w:val="004F0AFA"/>
    <w:rsid w:val="004F1DD5"/>
    <w:rsid w:val="004F2E96"/>
    <w:rsid w:val="004F547D"/>
    <w:rsid w:val="004F5C81"/>
    <w:rsid w:val="004F782F"/>
    <w:rsid w:val="004F7914"/>
    <w:rsid w:val="004F7B3D"/>
    <w:rsid w:val="00501E72"/>
    <w:rsid w:val="005034A2"/>
    <w:rsid w:val="0050353A"/>
    <w:rsid w:val="00503589"/>
    <w:rsid w:val="00504365"/>
    <w:rsid w:val="005050EA"/>
    <w:rsid w:val="00505E5D"/>
    <w:rsid w:val="00506286"/>
    <w:rsid w:val="005106F7"/>
    <w:rsid w:val="00512707"/>
    <w:rsid w:val="00513E7C"/>
    <w:rsid w:val="005144A4"/>
    <w:rsid w:val="00514A31"/>
    <w:rsid w:val="00514F3B"/>
    <w:rsid w:val="00516369"/>
    <w:rsid w:val="00521239"/>
    <w:rsid w:val="005249CD"/>
    <w:rsid w:val="00524ACB"/>
    <w:rsid w:val="0052766A"/>
    <w:rsid w:val="0053338F"/>
    <w:rsid w:val="00535AFF"/>
    <w:rsid w:val="005367E5"/>
    <w:rsid w:val="005371CC"/>
    <w:rsid w:val="005372CC"/>
    <w:rsid w:val="00540A54"/>
    <w:rsid w:val="0054124F"/>
    <w:rsid w:val="00542670"/>
    <w:rsid w:val="00542E66"/>
    <w:rsid w:val="00550826"/>
    <w:rsid w:val="00551040"/>
    <w:rsid w:val="00551343"/>
    <w:rsid w:val="00553A2F"/>
    <w:rsid w:val="00553EEC"/>
    <w:rsid w:val="00554120"/>
    <w:rsid w:val="00554876"/>
    <w:rsid w:val="00556661"/>
    <w:rsid w:val="00556949"/>
    <w:rsid w:val="00556F5F"/>
    <w:rsid w:val="0055798E"/>
    <w:rsid w:val="005619B2"/>
    <w:rsid w:val="00561C42"/>
    <w:rsid w:val="005626C8"/>
    <w:rsid w:val="0056320C"/>
    <w:rsid w:val="0056366E"/>
    <w:rsid w:val="00563C53"/>
    <w:rsid w:val="0056463D"/>
    <w:rsid w:val="00565294"/>
    <w:rsid w:val="00570008"/>
    <w:rsid w:val="00571047"/>
    <w:rsid w:val="00571F9F"/>
    <w:rsid w:val="0057313A"/>
    <w:rsid w:val="00573C47"/>
    <w:rsid w:val="00573C53"/>
    <w:rsid w:val="0057698D"/>
    <w:rsid w:val="005811EF"/>
    <w:rsid w:val="00582508"/>
    <w:rsid w:val="00582A5A"/>
    <w:rsid w:val="0058307B"/>
    <w:rsid w:val="005847C8"/>
    <w:rsid w:val="00584C6F"/>
    <w:rsid w:val="00585C00"/>
    <w:rsid w:val="00586948"/>
    <w:rsid w:val="005869FE"/>
    <w:rsid w:val="00592936"/>
    <w:rsid w:val="00593792"/>
    <w:rsid w:val="005954EA"/>
    <w:rsid w:val="00595AE0"/>
    <w:rsid w:val="005A054D"/>
    <w:rsid w:val="005A0C2C"/>
    <w:rsid w:val="005A0C48"/>
    <w:rsid w:val="005A115F"/>
    <w:rsid w:val="005A1567"/>
    <w:rsid w:val="005A17DF"/>
    <w:rsid w:val="005A29B5"/>
    <w:rsid w:val="005A315B"/>
    <w:rsid w:val="005A3171"/>
    <w:rsid w:val="005A3D6A"/>
    <w:rsid w:val="005A63C2"/>
    <w:rsid w:val="005A6DE0"/>
    <w:rsid w:val="005A6E87"/>
    <w:rsid w:val="005B16B8"/>
    <w:rsid w:val="005B31CC"/>
    <w:rsid w:val="005B41E5"/>
    <w:rsid w:val="005B52A0"/>
    <w:rsid w:val="005B790F"/>
    <w:rsid w:val="005C021D"/>
    <w:rsid w:val="005C06EB"/>
    <w:rsid w:val="005C0916"/>
    <w:rsid w:val="005C1CC4"/>
    <w:rsid w:val="005C2AC1"/>
    <w:rsid w:val="005C3B3F"/>
    <w:rsid w:val="005C4D92"/>
    <w:rsid w:val="005C7BDA"/>
    <w:rsid w:val="005C7D7E"/>
    <w:rsid w:val="005D0488"/>
    <w:rsid w:val="005D21DB"/>
    <w:rsid w:val="005D26A4"/>
    <w:rsid w:val="005D570F"/>
    <w:rsid w:val="005D5F8F"/>
    <w:rsid w:val="005D7371"/>
    <w:rsid w:val="005E044D"/>
    <w:rsid w:val="005E07C0"/>
    <w:rsid w:val="005E0A41"/>
    <w:rsid w:val="005E10E6"/>
    <w:rsid w:val="005E1B63"/>
    <w:rsid w:val="005E2A02"/>
    <w:rsid w:val="005E2A4B"/>
    <w:rsid w:val="005E4A17"/>
    <w:rsid w:val="005E60BE"/>
    <w:rsid w:val="005E7BD6"/>
    <w:rsid w:val="005F06BA"/>
    <w:rsid w:val="005F2673"/>
    <w:rsid w:val="005F4549"/>
    <w:rsid w:val="005F4A81"/>
    <w:rsid w:val="005F54B6"/>
    <w:rsid w:val="005F59CF"/>
    <w:rsid w:val="00600EEB"/>
    <w:rsid w:val="006022AC"/>
    <w:rsid w:val="0060245D"/>
    <w:rsid w:val="006033ED"/>
    <w:rsid w:val="00607E3A"/>
    <w:rsid w:val="00610EA5"/>
    <w:rsid w:val="00611693"/>
    <w:rsid w:val="00611A45"/>
    <w:rsid w:val="00612779"/>
    <w:rsid w:val="00612B1A"/>
    <w:rsid w:val="00614ACB"/>
    <w:rsid w:val="00614D57"/>
    <w:rsid w:val="006151DB"/>
    <w:rsid w:val="006157D6"/>
    <w:rsid w:val="00615D7B"/>
    <w:rsid w:val="0061649B"/>
    <w:rsid w:val="00616553"/>
    <w:rsid w:val="00616B1C"/>
    <w:rsid w:val="00616E8A"/>
    <w:rsid w:val="00617811"/>
    <w:rsid w:val="00620BE2"/>
    <w:rsid w:val="00623456"/>
    <w:rsid w:val="00624341"/>
    <w:rsid w:val="00624D6B"/>
    <w:rsid w:val="00624DA8"/>
    <w:rsid w:val="00624E87"/>
    <w:rsid w:val="006250C0"/>
    <w:rsid w:val="00626695"/>
    <w:rsid w:val="00626F3D"/>
    <w:rsid w:val="00630560"/>
    <w:rsid w:val="00631AA5"/>
    <w:rsid w:val="00632060"/>
    <w:rsid w:val="0063250D"/>
    <w:rsid w:val="0063378A"/>
    <w:rsid w:val="00633B7A"/>
    <w:rsid w:val="00635466"/>
    <w:rsid w:val="00635F40"/>
    <w:rsid w:val="00636E04"/>
    <w:rsid w:val="00636E13"/>
    <w:rsid w:val="006446EB"/>
    <w:rsid w:val="00644F98"/>
    <w:rsid w:val="00645A94"/>
    <w:rsid w:val="006500EE"/>
    <w:rsid w:val="006519D8"/>
    <w:rsid w:val="00652E38"/>
    <w:rsid w:val="00653D28"/>
    <w:rsid w:val="00653EA8"/>
    <w:rsid w:val="006544C3"/>
    <w:rsid w:val="00660C92"/>
    <w:rsid w:val="00661529"/>
    <w:rsid w:val="00664218"/>
    <w:rsid w:val="0066532B"/>
    <w:rsid w:val="00666086"/>
    <w:rsid w:val="00666264"/>
    <w:rsid w:val="00666E92"/>
    <w:rsid w:val="00672F34"/>
    <w:rsid w:val="006752CD"/>
    <w:rsid w:val="00676246"/>
    <w:rsid w:val="006775F3"/>
    <w:rsid w:val="00681CEA"/>
    <w:rsid w:val="006828CF"/>
    <w:rsid w:val="00683B80"/>
    <w:rsid w:val="00685117"/>
    <w:rsid w:val="00685A80"/>
    <w:rsid w:val="006867B6"/>
    <w:rsid w:val="00687ED4"/>
    <w:rsid w:val="00690629"/>
    <w:rsid w:val="00690B3F"/>
    <w:rsid w:val="006915DF"/>
    <w:rsid w:val="0069321C"/>
    <w:rsid w:val="006934B6"/>
    <w:rsid w:val="006937C5"/>
    <w:rsid w:val="00693B49"/>
    <w:rsid w:val="00694020"/>
    <w:rsid w:val="006940B3"/>
    <w:rsid w:val="00694DDC"/>
    <w:rsid w:val="00694FB2"/>
    <w:rsid w:val="006952E8"/>
    <w:rsid w:val="006952F8"/>
    <w:rsid w:val="006959B6"/>
    <w:rsid w:val="00696754"/>
    <w:rsid w:val="00696C13"/>
    <w:rsid w:val="0069704F"/>
    <w:rsid w:val="006973C1"/>
    <w:rsid w:val="006A01F9"/>
    <w:rsid w:val="006A038B"/>
    <w:rsid w:val="006A1203"/>
    <w:rsid w:val="006A13CA"/>
    <w:rsid w:val="006A1D09"/>
    <w:rsid w:val="006A2EA8"/>
    <w:rsid w:val="006A31F1"/>
    <w:rsid w:val="006A4DDB"/>
    <w:rsid w:val="006A5771"/>
    <w:rsid w:val="006A7A8C"/>
    <w:rsid w:val="006B1233"/>
    <w:rsid w:val="006B2369"/>
    <w:rsid w:val="006B29F0"/>
    <w:rsid w:val="006B50EF"/>
    <w:rsid w:val="006B5244"/>
    <w:rsid w:val="006B568A"/>
    <w:rsid w:val="006B69DA"/>
    <w:rsid w:val="006B7A9C"/>
    <w:rsid w:val="006C0950"/>
    <w:rsid w:val="006C1653"/>
    <w:rsid w:val="006C192D"/>
    <w:rsid w:val="006C1960"/>
    <w:rsid w:val="006C1E36"/>
    <w:rsid w:val="006C3CA1"/>
    <w:rsid w:val="006C4A8A"/>
    <w:rsid w:val="006C534B"/>
    <w:rsid w:val="006D2875"/>
    <w:rsid w:val="006D2DDF"/>
    <w:rsid w:val="006D3364"/>
    <w:rsid w:val="006D4A83"/>
    <w:rsid w:val="006D6CC9"/>
    <w:rsid w:val="006D787B"/>
    <w:rsid w:val="006E1F55"/>
    <w:rsid w:val="006E3C78"/>
    <w:rsid w:val="006E6EBE"/>
    <w:rsid w:val="006E71A2"/>
    <w:rsid w:val="006F0758"/>
    <w:rsid w:val="006F0B77"/>
    <w:rsid w:val="006F35BC"/>
    <w:rsid w:val="006F47F1"/>
    <w:rsid w:val="006F6FB5"/>
    <w:rsid w:val="006F7865"/>
    <w:rsid w:val="0070147D"/>
    <w:rsid w:val="007021F6"/>
    <w:rsid w:val="007037E8"/>
    <w:rsid w:val="00703F29"/>
    <w:rsid w:val="00705C61"/>
    <w:rsid w:val="00705D58"/>
    <w:rsid w:val="00707A02"/>
    <w:rsid w:val="00707F4B"/>
    <w:rsid w:val="007112E4"/>
    <w:rsid w:val="007119C5"/>
    <w:rsid w:val="007143CA"/>
    <w:rsid w:val="0071610F"/>
    <w:rsid w:val="00716304"/>
    <w:rsid w:val="00717402"/>
    <w:rsid w:val="00720F87"/>
    <w:rsid w:val="0072189F"/>
    <w:rsid w:val="007232E5"/>
    <w:rsid w:val="0072365B"/>
    <w:rsid w:val="00723E35"/>
    <w:rsid w:val="00725753"/>
    <w:rsid w:val="007262D1"/>
    <w:rsid w:val="00727900"/>
    <w:rsid w:val="00730D01"/>
    <w:rsid w:val="00731B2E"/>
    <w:rsid w:val="00732E9C"/>
    <w:rsid w:val="00733177"/>
    <w:rsid w:val="00733BCA"/>
    <w:rsid w:val="00733C9C"/>
    <w:rsid w:val="007359E5"/>
    <w:rsid w:val="007363AA"/>
    <w:rsid w:val="0073784C"/>
    <w:rsid w:val="00737FEB"/>
    <w:rsid w:val="0074105F"/>
    <w:rsid w:val="0074146D"/>
    <w:rsid w:val="00741664"/>
    <w:rsid w:val="00741AEB"/>
    <w:rsid w:val="007430B7"/>
    <w:rsid w:val="00743492"/>
    <w:rsid w:val="00743933"/>
    <w:rsid w:val="00744DB2"/>
    <w:rsid w:val="0074559F"/>
    <w:rsid w:val="00747348"/>
    <w:rsid w:val="0074799C"/>
    <w:rsid w:val="00747FCE"/>
    <w:rsid w:val="007502A1"/>
    <w:rsid w:val="007503C9"/>
    <w:rsid w:val="00750726"/>
    <w:rsid w:val="00751A8D"/>
    <w:rsid w:val="00751CD3"/>
    <w:rsid w:val="00751ED3"/>
    <w:rsid w:val="00752837"/>
    <w:rsid w:val="007535B3"/>
    <w:rsid w:val="00754810"/>
    <w:rsid w:val="00755B56"/>
    <w:rsid w:val="00756A93"/>
    <w:rsid w:val="007575BF"/>
    <w:rsid w:val="00757C33"/>
    <w:rsid w:val="00757C98"/>
    <w:rsid w:val="007625A7"/>
    <w:rsid w:val="00762A31"/>
    <w:rsid w:val="00762FC8"/>
    <w:rsid w:val="00764287"/>
    <w:rsid w:val="00765B71"/>
    <w:rsid w:val="00765E55"/>
    <w:rsid w:val="00770991"/>
    <w:rsid w:val="00771B91"/>
    <w:rsid w:val="007728E8"/>
    <w:rsid w:val="00772960"/>
    <w:rsid w:val="00781859"/>
    <w:rsid w:val="007822DF"/>
    <w:rsid w:val="00784C2A"/>
    <w:rsid w:val="0078515B"/>
    <w:rsid w:val="00785471"/>
    <w:rsid w:val="007856F4"/>
    <w:rsid w:val="00786B1F"/>
    <w:rsid w:val="007870C8"/>
    <w:rsid w:val="007875AC"/>
    <w:rsid w:val="007900CF"/>
    <w:rsid w:val="007922E4"/>
    <w:rsid w:val="00792725"/>
    <w:rsid w:val="007935EF"/>
    <w:rsid w:val="00795ECE"/>
    <w:rsid w:val="00795F0F"/>
    <w:rsid w:val="00797A74"/>
    <w:rsid w:val="00797AB6"/>
    <w:rsid w:val="007A1142"/>
    <w:rsid w:val="007A1215"/>
    <w:rsid w:val="007A166D"/>
    <w:rsid w:val="007A2EE8"/>
    <w:rsid w:val="007A34FD"/>
    <w:rsid w:val="007A5641"/>
    <w:rsid w:val="007A63BB"/>
    <w:rsid w:val="007A7456"/>
    <w:rsid w:val="007A78C6"/>
    <w:rsid w:val="007B083B"/>
    <w:rsid w:val="007B174A"/>
    <w:rsid w:val="007B3CA1"/>
    <w:rsid w:val="007B4245"/>
    <w:rsid w:val="007B4DD8"/>
    <w:rsid w:val="007B5453"/>
    <w:rsid w:val="007B5C17"/>
    <w:rsid w:val="007C0376"/>
    <w:rsid w:val="007C07C8"/>
    <w:rsid w:val="007C2093"/>
    <w:rsid w:val="007C223C"/>
    <w:rsid w:val="007C3526"/>
    <w:rsid w:val="007C35F0"/>
    <w:rsid w:val="007C4471"/>
    <w:rsid w:val="007C5E29"/>
    <w:rsid w:val="007C6BC6"/>
    <w:rsid w:val="007C76C8"/>
    <w:rsid w:val="007D06EE"/>
    <w:rsid w:val="007D12A3"/>
    <w:rsid w:val="007D1B3F"/>
    <w:rsid w:val="007D205F"/>
    <w:rsid w:val="007D315E"/>
    <w:rsid w:val="007D3E0F"/>
    <w:rsid w:val="007D52D3"/>
    <w:rsid w:val="007E23AA"/>
    <w:rsid w:val="007E5DA8"/>
    <w:rsid w:val="007E69A7"/>
    <w:rsid w:val="007E7089"/>
    <w:rsid w:val="007F02CC"/>
    <w:rsid w:val="007F0674"/>
    <w:rsid w:val="007F24C8"/>
    <w:rsid w:val="007F3B87"/>
    <w:rsid w:val="007F6587"/>
    <w:rsid w:val="007F6A80"/>
    <w:rsid w:val="008014FD"/>
    <w:rsid w:val="008035FA"/>
    <w:rsid w:val="0080496A"/>
    <w:rsid w:val="00806001"/>
    <w:rsid w:val="0080721F"/>
    <w:rsid w:val="0080746B"/>
    <w:rsid w:val="00807A30"/>
    <w:rsid w:val="00810963"/>
    <w:rsid w:val="00811B5D"/>
    <w:rsid w:val="008140D7"/>
    <w:rsid w:val="00814856"/>
    <w:rsid w:val="008149D2"/>
    <w:rsid w:val="008149DA"/>
    <w:rsid w:val="00814CCE"/>
    <w:rsid w:val="00814FD6"/>
    <w:rsid w:val="0081531B"/>
    <w:rsid w:val="008166A9"/>
    <w:rsid w:val="00817211"/>
    <w:rsid w:val="008176F1"/>
    <w:rsid w:val="00821810"/>
    <w:rsid w:val="008226F5"/>
    <w:rsid w:val="00822CAB"/>
    <w:rsid w:val="00822EE7"/>
    <w:rsid w:val="008231C7"/>
    <w:rsid w:val="008261B9"/>
    <w:rsid w:val="008264AD"/>
    <w:rsid w:val="00826C0C"/>
    <w:rsid w:val="0083066E"/>
    <w:rsid w:val="008306F0"/>
    <w:rsid w:val="00830B04"/>
    <w:rsid w:val="008319A8"/>
    <w:rsid w:val="00833201"/>
    <w:rsid w:val="0083472D"/>
    <w:rsid w:val="008348BD"/>
    <w:rsid w:val="00835CAA"/>
    <w:rsid w:val="008365EB"/>
    <w:rsid w:val="0083765F"/>
    <w:rsid w:val="008408EC"/>
    <w:rsid w:val="00840ECD"/>
    <w:rsid w:val="00841348"/>
    <w:rsid w:val="00841D7C"/>
    <w:rsid w:val="00842458"/>
    <w:rsid w:val="00842569"/>
    <w:rsid w:val="0084301E"/>
    <w:rsid w:val="00843202"/>
    <w:rsid w:val="008432AD"/>
    <w:rsid w:val="008436A6"/>
    <w:rsid w:val="00843962"/>
    <w:rsid w:val="0084450B"/>
    <w:rsid w:val="00844D44"/>
    <w:rsid w:val="008455F5"/>
    <w:rsid w:val="00846910"/>
    <w:rsid w:val="00847648"/>
    <w:rsid w:val="0085010D"/>
    <w:rsid w:val="0085104E"/>
    <w:rsid w:val="00851B8A"/>
    <w:rsid w:val="00851B8D"/>
    <w:rsid w:val="00854C2C"/>
    <w:rsid w:val="00856758"/>
    <w:rsid w:val="00857628"/>
    <w:rsid w:val="00857B44"/>
    <w:rsid w:val="00857E09"/>
    <w:rsid w:val="008638DA"/>
    <w:rsid w:val="00865B49"/>
    <w:rsid w:val="00865FF3"/>
    <w:rsid w:val="00866276"/>
    <w:rsid w:val="008667A2"/>
    <w:rsid w:val="008709CD"/>
    <w:rsid w:val="00870AAF"/>
    <w:rsid w:val="00870B65"/>
    <w:rsid w:val="00871CDB"/>
    <w:rsid w:val="00872561"/>
    <w:rsid w:val="00872B9F"/>
    <w:rsid w:val="00873AB8"/>
    <w:rsid w:val="00873B1D"/>
    <w:rsid w:val="00873FC2"/>
    <w:rsid w:val="00881DB8"/>
    <w:rsid w:val="0088376E"/>
    <w:rsid w:val="00883F15"/>
    <w:rsid w:val="0088402A"/>
    <w:rsid w:val="00885D87"/>
    <w:rsid w:val="00887F08"/>
    <w:rsid w:val="00892572"/>
    <w:rsid w:val="0089298C"/>
    <w:rsid w:val="00892C44"/>
    <w:rsid w:val="00893CE5"/>
    <w:rsid w:val="00894305"/>
    <w:rsid w:val="00894A23"/>
    <w:rsid w:val="008953C5"/>
    <w:rsid w:val="008958BD"/>
    <w:rsid w:val="00895C24"/>
    <w:rsid w:val="008962BA"/>
    <w:rsid w:val="008A3A57"/>
    <w:rsid w:val="008A4CAF"/>
    <w:rsid w:val="008A519D"/>
    <w:rsid w:val="008A52D2"/>
    <w:rsid w:val="008A78BD"/>
    <w:rsid w:val="008A7BF6"/>
    <w:rsid w:val="008A7CE5"/>
    <w:rsid w:val="008B0A87"/>
    <w:rsid w:val="008B0D1D"/>
    <w:rsid w:val="008B1F00"/>
    <w:rsid w:val="008B20B0"/>
    <w:rsid w:val="008B25E9"/>
    <w:rsid w:val="008B292C"/>
    <w:rsid w:val="008B54A8"/>
    <w:rsid w:val="008B560A"/>
    <w:rsid w:val="008B5AFA"/>
    <w:rsid w:val="008B6755"/>
    <w:rsid w:val="008B6B05"/>
    <w:rsid w:val="008B7BF3"/>
    <w:rsid w:val="008C0182"/>
    <w:rsid w:val="008C1E9E"/>
    <w:rsid w:val="008C2C91"/>
    <w:rsid w:val="008C4B0B"/>
    <w:rsid w:val="008C5B03"/>
    <w:rsid w:val="008C69AB"/>
    <w:rsid w:val="008D63BC"/>
    <w:rsid w:val="008D6EB5"/>
    <w:rsid w:val="008E0C09"/>
    <w:rsid w:val="008E1C88"/>
    <w:rsid w:val="008E31A7"/>
    <w:rsid w:val="008E48BE"/>
    <w:rsid w:val="008E7123"/>
    <w:rsid w:val="008E793B"/>
    <w:rsid w:val="008F30C9"/>
    <w:rsid w:val="008F4827"/>
    <w:rsid w:val="008F6FE1"/>
    <w:rsid w:val="008F7448"/>
    <w:rsid w:val="008F7897"/>
    <w:rsid w:val="00900661"/>
    <w:rsid w:val="00900725"/>
    <w:rsid w:val="009008FA"/>
    <w:rsid w:val="00900FBB"/>
    <w:rsid w:val="00901A11"/>
    <w:rsid w:val="00901B44"/>
    <w:rsid w:val="00902FD4"/>
    <w:rsid w:val="00906220"/>
    <w:rsid w:val="00906EF2"/>
    <w:rsid w:val="009074C6"/>
    <w:rsid w:val="00912025"/>
    <w:rsid w:val="009137C3"/>
    <w:rsid w:val="00913C91"/>
    <w:rsid w:val="0091486E"/>
    <w:rsid w:val="00914DB5"/>
    <w:rsid w:val="00914E19"/>
    <w:rsid w:val="0091651E"/>
    <w:rsid w:val="00916E63"/>
    <w:rsid w:val="0092048C"/>
    <w:rsid w:val="00920E4D"/>
    <w:rsid w:val="009221B2"/>
    <w:rsid w:val="00922D2D"/>
    <w:rsid w:val="0092345A"/>
    <w:rsid w:val="00924602"/>
    <w:rsid w:val="00930C26"/>
    <w:rsid w:val="00930D75"/>
    <w:rsid w:val="00931EB4"/>
    <w:rsid w:val="009330E5"/>
    <w:rsid w:val="00933A5E"/>
    <w:rsid w:val="00935832"/>
    <w:rsid w:val="009363F4"/>
    <w:rsid w:val="009401F5"/>
    <w:rsid w:val="009417D3"/>
    <w:rsid w:val="00942215"/>
    <w:rsid w:val="0094361B"/>
    <w:rsid w:val="009442C1"/>
    <w:rsid w:val="00944CCC"/>
    <w:rsid w:val="009453A5"/>
    <w:rsid w:val="009453A9"/>
    <w:rsid w:val="009457D0"/>
    <w:rsid w:val="00945CEF"/>
    <w:rsid w:val="00945FEB"/>
    <w:rsid w:val="009503E2"/>
    <w:rsid w:val="009525BF"/>
    <w:rsid w:val="00952D8C"/>
    <w:rsid w:val="00953B90"/>
    <w:rsid w:val="00953F6F"/>
    <w:rsid w:val="00957482"/>
    <w:rsid w:val="00957527"/>
    <w:rsid w:val="00960127"/>
    <w:rsid w:val="00960215"/>
    <w:rsid w:val="00960CD6"/>
    <w:rsid w:val="00960CE9"/>
    <w:rsid w:val="00964A5C"/>
    <w:rsid w:val="00964E6F"/>
    <w:rsid w:val="009659A6"/>
    <w:rsid w:val="009665C7"/>
    <w:rsid w:val="00966F12"/>
    <w:rsid w:val="00967068"/>
    <w:rsid w:val="0096736A"/>
    <w:rsid w:val="009717E7"/>
    <w:rsid w:val="00972C22"/>
    <w:rsid w:val="00974393"/>
    <w:rsid w:val="0097628E"/>
    <w:rsid w:val="00976C06"/>
    <w:rsid w:val="009773BD"/>
    <w:rsid w:val="00977CC0"/>
    <w:rsid w:val="00980F3B"/>
    <w:rsid w:val="00985509"/>
    <w:rsid w:val="00990894"/>
    <w:rsid w:val="00993153"/>
    <w:rsid w:val="0099325E"/>
    <w:rsid w:val="0099353F"/>
    <w:rsid w:val="00993933"/>
    <w:rsid w:val="00994446"/>
    <w:rsid w:val="00994F39"/>
    <w:rsid w:val="009A2239"/>
    <w:rsid w:val="009A3AE5"/>
    <w:rsid w:val="009A3BCB"/>
    <w:rsid w:val="009A5584"/>
    <w:rsid w:val="009A5C51"/>
    <w:rsid w:val="009A5D1C"/>
    <w:rsid w:val="009A78E4"/>
    <w:rsid w:val="009B011A"/>
    <w:rsid w:val="009B0D40"/>
    <w:rsid w:val="009B1F3E"/>
    <w:rsid w:val="009B24E3"/>
    <w:rsid w:val="009B2914"/>
    <w:rsid w:val="009B313A"/>
    <w:rsid w:val="009B566A"/>
    <w:rsid w:val="009B57C9"/>
    <w:rsid w:val="009B691B"/>
    <w:rsid w:val="009B7B2D"/>
    <w:rsid w:val="009C0376"/>
    <w:rsid w:val="009C1D00"/>
    <w:rsid w:val="009C4568"/>
    <w:rsid w:val="009C51D9"/>
    <w:rsid w:val="009C5A91"/>
    <w:rsid w:val="009C6C45"/>
    <w:rsid w:val="009C703B"/>
    <w:rsid w:val="009D000A"/>
    <w:rsid w:val="009D06D0"/>
    <w:rsid w:val="009D10F7"/>
    <w:rsid w:val="009D19B7"/>
    <w:rsid w:val="009D3438"/>
    <w:rsid w:val="009D54E3"/>
    <w:rsid w:val="009D55EF"/>
    <w:rsid w:val="009D5B66"/>
    <w:rsid w:val="009D626A"/>
    <w:rsid w:val="009D6ADA"/>
    <w:rsid w:val="009D6CF0"/>
    <w:rsid w:val="009D6F6F"/>
    <w:rsid w:val="009D7E1A"/>
    <w:rsid w:val="009D7F18"/>
    <w:rsid w:val="009E1B22"/>
    <w:rsid w:val="009E344B"/>
    <w:rsid w:val="009E35D9"/>
    <w:rsid w:val="009E5618"/>
    <w:rsid w:val="009E6C3D"/>
    <w:rsid w:val="009E731D"/>
    <w:rsid w:val="009F0270"/>
    <w:rsid w:val="009F06A5"/>
    <w:rsid w:val="009F1F06"/>
    <w:rsid w:val="009F4C04"/>
    <w:rsid w:val="009F4CD5"/>
    <w:rsid w:val="009F4D92"/>
    <w:rsid w:val="009F51A0"/>
    <w:rsid w:val="009F5E06"/>
    <w:rsid w:val="009F60C8"/>
    <w:rsid w:val="009F7906"/>
    <w:rsid w:val="00A00182"/>
    <w:rsid w:val="00A001D4"/>
    <w:rsid w:val="00A02F5E"/>
    <w:rsid w:val="00A05EF4"/>
    <w:rsid w:val="00A07A59"/>
    <w:rsid w:val="00A11A69"/>
    <w:rsid w:val="00A11D15"/>
    <w:rsid w:val="00A12B74"/>
    <w:rsid w:val="00A13151"/>
    <w:rsid w:val="00A13809"/>
    <w:rsid w:val="00A13E5D"/>
    <w:rsid w:val="00A14449"/>
    <w:rsid w:val="00A16769"/>
    <w:rsid w:val="00A16970"/>
    <w:rsid w:val="00A17A34"/>
    <w:rsid w:val="00A20E14"/>
    <w:rsid w:val="00A228F2"/>
    <w:rsid w:val="00A23FF7"/>
    <w:rsid w:val="00A25329"/>
    <w:rsid w:val="00A27A79"/>
    <w:rsid w:val="00A27E00"/>
    <w:rsid w:val="00A301AE"/>
    <w:rsid w:val="00A303BC"/>
    <w:rsid w:val="00A30F3B"/>
    <w:rsid w:val="00A33013"/>
    <w:rsid w:val="00A33442"/>
    <w:rsid w:val="00A33655"/>
    <w:rsid w:val="00A3436B"/>
    <w:rsid w:val="00A34684"/>
    <w:rsid w:val="00A36718"/>
    <w:rsid w:val="00A4161A"/>
    <w:rsid w:val="00A426B0"/>
    <w:rsid w:val="00A44481"/>
    <w:rsid w:val="00A45839"/>
    <w:rsid w:val="00A475E0"/>
    <w:rsid w:val="00A47641"/>
    <w:rsid w:val="00A52240"/>
    <w:rsid w:val="00A5224A"/>
    <w:rsid w:val="00A52613"/>
    <w:rsid w:val="00A554F0"/>
    <w:rsid w:val="00A55BD9"/>
    <w:rsid w:val="00A567B0"/>
    <w:rsid w:val="00A57ED9"/>
    <w:rsid w:val="00A605D6"/>
    <w:rsid w:val="00A624F1"/>
    <w:rsid w:val="00A63F15"/>
    <w:rsid w:val="00A655F0"/>
    <w:rsid w:val="00A6603A"/>
    <w:rsid w:val="00A666A7"/>
    <w:rsid w:val="00A6780A"/>
    <w:rsid w:val="00A70588"/>
    <w:rsid w:val="00A71563"/>
    <w:rsid w:val="00A71FE4"/>
    <w:rsid w:val="00A7314B"/>
    <w:rsid w:val="00A73475"/>
    <w:rsid w:val="00A7374D"/>
    <w:rsid w:val="00A7555C"/>
    <w:rsid w:val="00A75E8F"/>
    <w:rsid w:val="00A7661B"/>
    <w:rsid w:val="00A76D5E"/>
    <w:rsid w:val="00A77239"/>
    <w:rsid w:val="00A82C5F"/>
    <w:rsid w:val="00A836CB"/>
    <w:rsid w:val="00A855BC"/>
    <w:rsid w:val="00A85791"/>
    <w:rsid w:val="00A860DD"/>
    <w:rsid w:val="00A875FD"/>
    <w:rsid w:val="00A87C1C"/>
    <w:rsid w:val="00A902F1"/>
    <w:rsid w:val="00A91635"/>
    <w:rsid w:val="00A9212C"/>
    <w:rsid w:val="00A938F5"/>
    <w:rsid w:val="00A93A64"/>
    <w:rsid w:val="00A93ED6"/>
    <w:rsid w:val="00A95A16"/>
    <w:rsid w:val="00A971F4"/>
    <w:rsid w:val="00AA0461"/>
    <w:rsid w:val="00AA0A6A"/>
    <w:rsid w:val="00AA31B1"/>
    <w:rsid w:val="00AA4586"/>
    <w:rsid w:val="00AA49FA"/>
    <w:rsid w:val="00AA508C"/>
    <w:rsid w:val="00AA562F"/>
    <w:rsid w:val="00AA76C3"/>
    <w:rsid w:val="00AA786A"/>
    <w:rsid w:val="00AB0CA5"/>
    <w:rsid w:val="00AB1AD1"/>
    <w:rsid w:val="00AB2BD8"/>
    <w:rsid w:val="00AB3F39"/>
    <w:rsid w:val="00AB46E7"/>
    <w:rsid w:val="00AB5949"/>
    <w:rsid w:val="00AB64D1"/>
    <w:rsid w:val="00AB7C3C"/>
    <w:rsid w:val="00AC028D"/>
    <w:rsid w:val="00AC07A8"/>
    <w:rsid w:val="00AC0A27"/>
    <w:rsid w:val="00AC41A7"/>
    <w:rsid w:val="00AC4747"/>
    <w:rsid w:val="00AC611F"/>
    <w:rsid w:val="00AD0EA5"/>
    <w:rsid w:val="00AD3063"/>
    <w:rsid w:val="00AD5CB5"/>
    <w:rsid w:val="00AD60D7"/>
    <w:rsid w:val="00AE07E7"/>
    <w:rsid w:val="00AE1952"/>
    <w:rsid w:val="00AE1AF6"/>
    <w:rsid w:val="00AE2343"/>
    <w:rsid w:val="00AE2950"/>
    <w:rsid w:val="00AE5B9E"/>
    <w:rsid w:val="00AE76F1"/>
    <w:rsid w:val="00AF46CD"/>
    <w:rsid w:val="00AF47BB"/>
    <w:rsid w:val="00AF54FC"/>
    <w:rsid w:val="00AF74E6"/>
    <w:rsid w:val="00B0034F"/>
    <w:rsid w:val="00B027FE"/>
    <w:rsid w:val="00B03006"/>
    <w:rsid w:val="00B03263"/>
    <w:rsid w:val="00B05D5A"/>
    <w:rsid w:val="00B05E67"/>
    <w:rsid w:val="00B064C5"/>
    <w:rsid w:val="00B06B1A"/>
    <w:rsid w:val="00B07453"/>
    <w:rsid w:val="00B10BBA"/>
    <w:rsid w:val="00B13074"/>
    <w:rsid w:val="00B1307E"/>
    <w:rsid w:val="00B17A4B"/>
    <w:rsid w:val="00B219A3"/>
    <w:rsid w:val="00B23330"/>
    <w:rsid w:val="00B23B3C"/>
    <w:rsid w:val="00B23DBF"/>
    <w:rsid w:val="00B2548C"/>
    <w:rsid w:val="00B26295"/>
    <w:rsid w:val="00B27001"/>
    <w:rsid w:val="00B2736E"/>
    <w:rsid w:val="00B308D3"/>
    <w:rsid w:val="00B32445"/>
    <w:rsid w:val="00B354F7"/>
    <w:rsid w:val="00B36908"/>
    <w:rsid w:val="00B370FF"/>
    <w:rsid w:val="00B403FA"/>
    <w:rsid w:val="00B40C8E"/>
    <w:rsid w:val="00B41456"/>
    <w:rsid w:val="00B421E9"/>
    <w:rsid w:val="00B42715"/>
    <w:rsid w:val="00B427CE"/>
    <w:rsid w:val="00B433A4"/>
    <w:rsid w:val="00B43613"/>
    <w:rsid w:val="00B4362B"/>
    <w:rsid w:val="00B439EA"/>
    <w:rsid w:val="00B4478B"/>
    <w:rsid w:val="00B45C1E"/>
    <w:rsid w:val="00B45D48"/>
    <w:rsid w:val="00B468C9"/>
    <w:rsid w:val="00B46B56"/>
    <w:rsid w:val="00B47D7C"/>
    <w:rsid w:val="00B501CE"/>
    <w:rsid w:val="00B54D9F"/>
    <w:rsid w:val="00B554AB"/>
    <w:rsid w:val="00B56ACB"/>
    <w:rsid w:val="00B56AF0"/>
    <w:rsid w:val="00B572AC"/>
    <w:rsid w:val="00B57924"/>
    <w:rsid w:val="00B57A75"/>
    <w:rsid w:val="00B60A0E"/>
    <w:rsid w:val="00B624EC"/>
    <w:rsid w:val="00B63736"/>
    <w:rsid w:val="00B640CB"/>
    <w:rsid w:val="00B70675"/>
    <w:rsid w:val="00B70C50"/>
    <w:rsid w:val="00B730C1"/>
    <w:rsid w:val="00B73BFC"/>
    <w:rsid w:val="00B761D7"/>
    <w:rsid w:val="00B76BC9"/>
    <w:rsid w:val="00B77EDF"/>
    <w:rsid w:val="00B80569"/>
    <w:rsid w:val="00B80CD6"/>
    <w:rsid w:val="00B82A02"/>
    <w:rsid w:val="00B83677"/>
    <w:rsid w:val="00B83AAE"/>
    <w:rsid w:val="00B83EDE"/>
    <w:rsid w:val="00B8402C"/>
    <w:rsid w:val="00B85073"/>
    <w:rsid w:val="00B85B5F"/>
    <w:rsid w:val="00B87366"/>
    <w:rsid w:val="00B874F9"/>
    <w:rsid w:val="00B8791E"/>
    <w:rsid w:val="00B87AA2"/>
    <w:rsid w:val="00B87ADC"/>
    <w:rsid w:val="00B87C46"/>
    <w:rsid w:val="00B905F1"/>
    <w:rsid w:val="00B90CA7"/>
    <w:rsid w:val="00B91EFF"/>
    <w:rsid w:val="00B92586"/>
    <w:rsid w:val="00B9273E"/>
    <w:rsid w:val="00B951CF"/>
    <w:rsid w:val="00B9793E"/>
    <w:rsid w:val="00BA0728"/>
    <w:rsid w:val="00BA0B3A"/>
    <w:rsid w:val="00BA19A0"/>
    <w:rsid w:val="00BA1CCF"/>
    <w:rsid w:val="00BA281E"/>
    <w:rsid w:val="00BA2AD6"/>
    <w:rsid w:val="00BA2AF1"/>
    <w:rsid w:val="00BA3243"/>
    <w:rsid w:val="00BA4A5D"/>
    <w:rsid w:val="00BA4C62"/>
    <w:rsid w:val="00BA56B3"/>
    <w:rsid w:val="00BA5BFB"/>
    <w:rsid w:val="00BA6E72"/>
    <w:rsid w:val="00BA7251"/>
    <w:rsid w:val="00BA739B"/>
    <w:rsid w:val="00BA7C0E"/>
    <w:rsid w:val="00BB0DC7"/>
    <w:rsid w:val="00BB1C75"/>
    <w:rsid w:val="00BB1D73"/>
    <w:rsid w:val="00BB1EED"/>
    <w:rsid w:val="00BB2D98"/>
    <w:rsid w:val="00BB2DA9"/>
    <w:rsid w:val="00BB3A7A"/>
    <w:rsid w:val="00BB491D"/>
    <w:rsid w:val="00BB5301"/>
    <w:rsid w:val="00BB560D"/>
    <w:rsid w:val="00BB5701"/>
    <w:rsid w:val="00BB5DB2"/>
    <w:rsid w:val="00BB614B"/>
    <w:rsid w:val="00BB6F78"/>
    <w:rsid w:val="00BB73CC"/>
    <w:rsid w:val="00BC1071"/>
    <w:rsid w:val="00BC124D"/>
    <w:rsid w:val="00BC1EB9"/>
    <w:rsid w:val="00BC485B"/>
    <w:rsid w:val="00BC69C6"/>
    <w:rsid w:val="00BD0A85"/>
    <w:rsid w:val="00BD2A20"/>
    <w:rsid w:val="00BD2F05"/>
    <w:rsid w:val="00BD33CE"/>
    <w:rsid w:val="00BD3460"/>
    <w:rsid w:val="00BD5035"/>
    <w:rsid w:val="00BD61CF"/>
    <w:rsid w:val="00BD73FC"/>
    <w:rsid w:val="00BD7690"/>
    <w:rsid w:val="00BE027E"/>
    <w:rsid w:val="00BE10EB"/>
    <w:rsid w:val="00BE1393"/>
    <w:rsid w:val="00BE1C8B"/>
    <w:rsid w:val="00BE1DF2"/>
    <w:rsid w:val="00BE1F62"/>
    <w:rsid w:val="00BE2DB2"/>
    <w:rsid w:val="00BE5886"/>
    <w:rsid w:val="00BE6E49"/>
    <w:rsid w:val="00BE74A8"/>
    <w:rsid w:val="00BE7C65"/>
    <w:rsid w:val="00BF09B3"/>
    <w:rsid w:val="00BF10B5"/>
    <w:rsid w:val="00BF4784"/>
    <w:rsid w:val="00BF7091"/>
    <w:rsid w:val="00C00AAF"/>
    <w:rsid w:val="00C00C0D"/>
    <w:rsid w:val="00C01F11"/>
    <w:rsid w:val="00C025DF"/>
    <w:rsid w:val="00C02AF1"/>
    <w:rsid w:val="00C0523F"/>
    <w:rsid w:val="00C054AB"/>
    <w:rsid w:val="00C06F91"/>
    <w:rsid w:val="00C07144"/>
    <w:rsid w:val="00C07429"/>
    <w:rsid w:val="00C07BA3"/>
    <w:rsid w:val="00C07EE6"/>
    <w:rsid w:val="00C101DE"/>
    <w:rsid w:val="00C10D04"/>
    <w:rsid w:val="00C10D26"/>
    <w:rsid w:val="00C1101F"/>
    <w:rsid w:val="00C11896"/>
    <w:rsid w:val="00C13A75"/>
    <w:rsid w:val="00C13D8D"/>
    <w:rsid w:val="00C14454"/>
    <w:rsid w:val="00C15144"/>
    <w:rsid w:val="00C1553C"/>
    <w:rsid w:val="00C1649B"/>
    <w:rsid w:val="00C16EAC"/>
    <w:rsid w:val="00C17156"/>
    <w:rsid w:val="00C1756D"/>
    <w:rsid w:val="00C17628"/>
    <w:rsid w:val="00C17663"/>
    <w:rsid w:val="00C17883"/>
    <w:rsid w:val="00C179F4"/>
    <w:rsid w:val="00C20D80"/>
    <w:rsid w:val="00C225E4"/>
    <w:rsid w:val="00C23039"/>
    <w:rsid w:val="00C242D0"/>
    <w:rsid w:val="00C260ED"/>
    <w:rsid w:val="00C274B8"/>
    <w:rsid w:val="00C3144F"/>
    <w:rsid w:val="00C322C9"/>
    <w:rsid w:val="00C34251"/>
    <w:rsid w:val="00C3533E"/>
    <w:rsid w:val="00C366D7"/>
    <w:rsid w:val="00C36854"/>
    <w:rsid w:val="00C36AE4"/>
    <w:rsid w:val="00C41829"/>
    <w:rsid w:val="00C421FD"/>
    <w:rsid w:val="00C43797"/>
    <w:rsid w:val="00C4413A"/>
    <w:rsid w:val="00C442D4"/>
    <w:rsid w:val="00C459D9"/>
    <w:rsid w:val="00C45E8D"/>
    <w:rsid w:val="00C50112"/>
    <w:rsid w:val="00C53E92"/>
    <w:rsid w:val="00C54081"/>
    <w:rsid w:val="00C55BFE"/>
    <w:rsid w:val="00C55DFF"/>
    <w:rsid w:val="00C55E12"/>
    <w:rsid w:val="00C574F4"/>
    <w:rsid w:val="00C612A1"/>
    <w:rsid w:val="00C620C1"/>
    <w:rsid w:val="00C62A73"/>
    <w:rsid w:val="00C633C1"/>
    <w:rsid w:val="00C64194"/>
    <w:rsid w:val="00C74BD5"/>
    <w:rsid w:val="00C751D8"/>
    <w:rsid w:val="00C80B71"/>
    <w:rsid w:val="00C83407"/>
    <w:rsid w:val="00C85981"/>
    <w:rsid w:val="00C86DD6"/>
    <w:rsid w:val="00C8763D"/>
    <w:rsid w:val="00C87656"/>
    <w:rsid w:val="00C93570"/>
    <w:rsid w:val="00C94B74"/>
    <w:rsid w:val="00CA019C"/>
    <w:rsid w:val="00CA03F2"/>
    <w:rsid w:val="00CA1931"/>
    <w:rsid w:val="00CA2A59"/>
    <w:rsid w:val="00CA2CA1"/>
    <w:rsid w:val="00CA2E02"/>
    <w:rsid w:val="00CA5A02"/>
    <w:rsid w:val="00CB0971"/>
    <w:rsid w:val="00CB183C"/>
    <w:rsid w:val="00CB1DC2"/>
    <w:rsid w:val="00CB372D"/>
    <w:rsid w:val="00CB3EF6"/>
    <w:rsid w:val="00CB49D6"/>
    <w:rsid w:val="00CB4E7F"/>
    <w:rsid w:val="00CB5523"/>
    <w:rsid w:val="00CB56F5"/>
    <w:rsid w:val="00CB605A"/>
    <w:rsid w:val="00CB681E"/>
    <w:rsid w:val="00CC27D8"/>
    <w:rsid w:val="00CC2A16"/>
    <w:rsid w:val="00CC47A6"/>
    <w:rsid w:val="00CC7E54"/>
    <w:rsid w:val="00CD01EC"/>
    <w:rsid w:val="00CD0A6B"/>
    <w:rsid w:val="00CD17B9"/>
    <w:rsid w:val="00CD1DEC"/>
    <w:rsid w:val="00CD32F7"/>
    <w:rsid w:val="00CD358D"/>
    <w:rsid w:val="00CD6149"/>
    <w:rsid w:val="00CD7969"/>
    <w:rsid w:val="00CE39E5"/>
    <w:rsid w:val="00CE3A23"/>
    <w:rsid w:val="00CE5128"/>
    <w:rsid w:val="00CE53E0"/>
    <w:rsid w:val="00CE5731"/>
    <w:rsid w:val="00CE59E9"/>
    <w:rsid w:val="00CE6BF7"/>
    <w:rsid w:val="00CE71B0"/>
    <w:rsid w:val="00CE7ADD"/>
    <w:rsid w:val="00CF06A2"/>
    <w:rsid w:val="00CF0762"/>
    <w:rsid w:val="00CF1B5E"/>
    <w:rsid w:val="00CF1E6A"/>
    <w:rsid w:val="00CF2F72"/>
    <w:rsid w:val="00CF3069"/>
    <w:rsid w:val="00CF36DD"/>
    <w:rsid w:val="00CF3F70"/>
    <w:rsid w:val="00CF51F9"/>
    <w:rsid w:val="00CF54F7"/>
    <w:rsid w:val="00D015D4"/>
    <w:rsid w:val="00D01783"/>
    <w:rsid w:val="00D02070"/>
    <w:rsid w:val="00D02376"/>
    <w:rsid w:val="00D028EB"/>
    <w:rsid w:val="00D11EFE"/>
    <w:rsid w:val="00D12CF4"/>
    <w:rsid w:val="00D13DBE"/>
    <w:rsid w:val="00D14889"/>
    <w:rsid w:val="00D14A02"/>
    <w:rsid w:val="00D14A62"/>
    <w:rsid w:val="00D15DAF"/>
    <w:rsid w:val="00D17995"/>
    <w:rsid w:val="00D214E5"/>
    <w:rsid w:val="00D23077"/>
    <w:rsid w:val="00D242A9"/>
    <w:rsid w:val="00D248C6"/>
    <w:rsid w:val="00D258F3"/>
    <w:rsid w:val="00D265B4"/>
    <w:rsid w:val="00D27D37"/>
    <w:rsid w:val="00D313FD"/>
    <w:rsid w:val="00D326DC"/>
    <w:rsid w:val="00D32EDB"/>
    <w:rsid w:val="00D333E9"/>
    <w:rsid w:val="00D33CDB"/>
    <w:rsid w:val="00D3466E"/>
    <w:rsid w:val="00D34A1F"/>
    <w:rsid w:val="00D34FC4"/>
    <w:rsid w:val="00D3627D"/>
    <w:rsid w:val="00D43699"/>
    <w:rsid w:val="00D43E65"/>
    <w:rsid w:val="00D457E6"/>
    <w:rsid w:val="00D4706C"/>
    <w:rsid w:val="00D50B42"/>
    <w:rsid w:val="00D515C0"/>
    <w:rsid w:val="00D527DF"/>
    <w:rsid w:val="00D539FF"/>
    <w:rsid w:val="00D54640"/>
    <w:rsid w:val="00D566F2"/>
    <w:rsid w:val="00D57E1E"/>
    <w:rsid w:val="00D60BE8"/>
    <w:rsid w:val="00D624B2"/>
    <w:rsid w:val="00D629C9"/>
    <w:rsid w:val="00D675F4"/>
    <w:rsid w:val="00D70365"/>
    <w:rsid w:val="00D70EF3"/>
    <w:rsid w:val="00D715FB"/>
    <w:rsid w:val="00D71E83"/>
    <w:rsid w:val="00D72256"/>
    <w:rsid w:val="00D72337"/>
    <w:rsid w:val="00D7265E"/>
    <w:rsid w:val="00D73092"/>
    <w:rsid w:val="00D742B9"/>
    <w:rsid w:val="00D748C8"/>
    <w:rsid w:val="00D759EA"/>
    <w:rsid w:val="00D75FB5"/>
    <w:rsid w:val="00D8011C"/>
    <w:rsid w:val="00D80128"/>
    <w:rsid w:val="00D822BE"/>
    <w:rsid w:val="00D82DBF"/>
    <w:rsid w:val="00D839C9"/>
    <w:rsid w:val="00D86242"/>
    <w:rsid w:val="00D86779"/>
    <w:rsid w:val="00D869EC"/>
    <w:rsid w:val="00D86B4F"/>
    <w:rsid w:val="00D86C6B"/>
    <w:rsid w:val="00D90E3C"/>
    <w:rsid w:val="00D9123B"/>
    <w:rsid w:val="00D91D69"/>
    <w:rsid w:val="00D923CE"/>
    <w:rsid w:val="00D92865"/>
    <w:rsid w:val="00D928D3"/>
    <w:rsid w:val="00D938E3"/>
    <w:rsid w:val="00D94074"/>
    <w:rsid w:val="00D9409B"/>
    <w:rsid w:val="00D948F7"/>
    <w:rsid w:val="00D959F4"/>
    <w:rsid w:val="00D971A1"/>
    <w:rsid w:val="00DA4011"/>
    <w:rsid w:val="00DA5536"/>
    <w:rsid w:val="00DB101C"/>
    <w:rsid w:val="00DB142D"/>
    <w:rsid w:val="00DB23F2"/>
    <w:rsid w:val="00DB3DB8"/>
    <w:rsid w:val="00DB6142"/>
    <w:rsid w:val="00DB63CD"/>
    <w:rsid w:val="00DB69DD"/>
    <w:rsid w:val="00DB7604"/>
    <w:rsid w:val="00DB78B9"/>
    <w:rsid w:val="00DB7E9E"/>
    <w:rsid w:val="00DC0706"/>
    <w:rsid w:val="00DC0BFD"/>
    <w:rsid w:val="00DC405E"/>
    <w:rsid w:val="00DC47D0"/>
    <w:rsid w:val="00DC49C1"/>
    <w:rsid w:val="00DC4F4B"/>
    <w:rsid w:val="00DC4FF0"/>
    <w:rsid w:val="00DC5EC5"/>
    <w:rsid w:val="00DC6826"/>
    <w:rsid w:val="00DC735B"/>
    <w:rsid w:val="00DD0BFA"/>
    <w:rsid w:val="00DD3682"/>
    <w:rsid w:val="00DD3CAD"/>
    <w:rsid w:val="00DD4372"/>
    <w:rsid w:val="00DD4C5D"/>
    <w:rsid w:val="00DD59DA"/>
    <w:rsid w:val="00DE071F"/>
    <w:rsid w:val="00DE17CE"/>
    <w:rsid w:val="00DE1CD7"/>
    <w:rsid w:val="00DE2208"/>
    <w:rsid w:val="00DE3E84"/>
    <w:rsid w:val="00DE4FCC"/>
    <w:rsid w:val="00DE5117"/>
    <w:rsid w:val="00DE5225"/>
    <w:rsid w:val="00DE5952"/>
    <w:rsid w:val="00DE66CB"/>
    <w:rsid w:val="00DF26A4"/>
    <w:rsid w:val="00DF3EC0"/>
    <w:rsid w:val="00DF5F02"/>
    <w:rsid w:val="00DF6188"/>
    <w:rsid w:val="00DF6282"/>
    <w:rsid w:val="00E0012C"/>
    <w:rsid w:val="00E00A73"/>
    <w:rsid w:val="00E01442"/>
    <w:rsid w:val="00E02002"/>
    <w:rsid w:val="00E04E1F"/>
    <w:rsid w:val="00E070BB"/>
    <w:rsid w:val="00E1239B"/>
    <w:rsid w:val="00E12CC0"/>
    <w:rsid w:val="00E1793B"/>
    <w:rsid w:val="00E20BE8"/>
    <w:rsid w:val="00E20D4F"/>
    <w:rsid w:val="00E21D90"/>
    <w:rsid w:val="00E24EF5"/>
    <w:rsid w:val="00E25CAB"/>
    <w:rsid w:val="00E261E3"/>
    <w:rsid w:val="00E2679A"/>
    <w:rsid w:val="00E27936"/>
    <w:rsid w:val="00E27F8D"/>
    <w:rsid w:val="00E307D0"/>
    <w:rsid w:val="00E310F0"/>
    <w:rsid w:val="00E31DC1"/>
    <w:rsid w:val="00E320B9"/>
    <w:rsid w:val="00E34EE5"/>
    <w:rsid w:val="00E35878"/>
    <w:rsid w:val="00E37BF3"/>
    <w:rsid w:val="00E4027C"/>
    <w:rsid w:val="00E4078A"/>
    <w:rsid w:val="00E40AB8"/>
    <w:rsid w:val="00E4360C"/>
    <w:rsid w:val="00E43831"/>
    <w:rsid w:val="00E449E9"/>
    <w:rsid w:val="00E4576A"/>
    <w:rsid w:val="00E47324"/>
    <w:rsid w:val="00E5024E"/>
    <w:rsid w:val="00E50A59"/>
    <w:rsid w:val="00E51EA0"/>
    <w:rsid w:val="00E56792"/>
    <w:rsid w:val="00E56FE0"/>
    <w:rsid w:val="00E57432"/>
    <w:rsid w:val="00E627E5"/>
    <w:rsid w:val="00E63E55"/>
    <w:rsid w:val="00E64FD2"/>
    <w:rsid w:val="00E70FEB"/>
    <w:rsid w:val="00E71B77"/>
    <w:rsid w:val="00E72127"/>
    <w:rsid w:val="00E7251D"/>
    <w:rsid w:val="00E72B96"/>
    <w:rsid w:val="00E72FCA"/>
    <w:rsid w:val="00E75FAA"/>
    <w:rsid w:val="00E776C8"/>
    <w:rsid w:val="00E81867"/>
    <w:rsid w:val="00E837F3"/>
    <w:rsid w:val="00E84B0B"/>
    <w:rsid w:val="00E85127"/>
    <w:rsid w:val="00E8670F"/>
    <w:rsid w:val="00E87EAE"/>
    <w:rsid w:val="00E91133"/>
    <w:rsid w:val="00E94B3A"/>
    <w:rsid w:val="00E95283"/>
    <w:rsid w:val="00E96D5F"/>
    <w:rsid w:val="00E97AB0"/>
    <w:rsid w:val="00EA00D9"/>
    <w:rsid w:val="00EA038A"/>
    <w:rsid w:val="00EA0463"/>
    <w:rsid w:val="00EA0591"/>
    <w:rsid w:val="00EA08E1"/>
    <w:rsid w:val="00EA0F74"/>
    <w:rsid w:val="00EA1A8B"/>
    <w:rsid w:val="00EA2BE1"/>
    <w:rsid w:val="00EA4216"/>
    <w:rsid w:val="00EA4894"/>
    <w:rsid w:val="00EA5C6E"/>
    <w:rsid w:val="00EA5EFD"/>
    <w:rsid w:val="00EA6549"/>
    <w:rsid w:val="00EA74F6"/>
    <w:rsid w:val="00EB124F"/>
    <w:rsid w:val="00EB3246"/>
    <w:rsid w:val="00EB4DFA"/>
    <w:rsid w:val="00EB5ED6"/>
    <w:rsid w:val="00EB6651"/>
    <w:rsid w:val="00EB6E36"/>
    <w:rsid w:val="00EC16BD"/>
    <w:rsid w:val="00EC275A"/>
    <w:rsid w:val="00EC2BC9"/>
    <w:rsid w:val="00EC2D7F"/>
    <w:rsid w:val="00EC5D67"/>
    <w:rsid w:val="00EC632F"/>
    <w:rsid w:val="00EC7CB1"/>
    <w:rsid w:val="00ED1C1F"/>
    <w:rsid w:val="00ED5876"/>
    <w:rsid w:val="00ED75ED"/>
    <w:rsid w:val="00ED7F51"/>
    <w:rsid w:val="00EE19E7"/>
    <w:rsid w:val="00EE2F71"/>
    <w:rsid w:val="00EE3CA5"/>
    <w:rsid w:val="00EE6085"/>
    <w:rsid w:val="00EE65A2"/>
    <w:rsid w:val="00EE6CF4"/>
    <w:rsid w:val="00EF0E1B"/>
    <w:rsid w:val="00EF1262"/>
    <w:rsid w:val="00EF3E05"/>
    <w:rsid w:val="00EF5C6D"/>
    <w:rsid w:val="00EF7A22"/>
    <w:rsid w:val="00EF7CAD"/>
    <w:rsid w:val="00F016F6"/>
    <w:rsid w:val="00F02BB9"/>
    <w:rsid w:val="00F03796"/>
    <w:rsid w:val="00F04D1F"/>
    <w:rsid w:val="00F05C69"/>
    <w:rsid w:val="00F074EC"/>
    <w:rsid w:val="00F10845"/>
    <w:rsid w:val="00F11559"/>
    <w:rsid w:val="00F116A9"/>
    <w:rsid w:val="00F11EDD"/>
    <w:rsid w:val="00F13187"/>
    <w:rsid w:val="00F13599"/>
    <w:rsid w:val="00F13B99"/>
    <w:rsid w:val="00F13D58"/>
    <w:rsid w:val="00F14960"/>
    <w:rsid w:val="00F149AC"/>
    <w:rsid w:val="00F155B2"/>
    <w:rsid w:val="00F16FED"/>
    <w:rsid w:val="00F1793B"/>
    <w:rsid w:val="00F17A58"/>
    <w:rsid w:val="00F23840"/>
    <w:rsid w:val="00F24FC1"/>
    <w:rsid w:val="00F25F17"/>
    <w:rsid w:val="00F25F55"/>
    <w:rsid w:val="00F264C0"/>
    <w:rsid w:val="00F3044B"/>
    <w:rsid w:val="00F312EC"/>
    <w:rsid w:val="00F31675"/>
    <w:rsid w:val="00F31735"/>
    <w:rsid w:val="00F33EB3"/>
    <w:rsid w:val="00F34B49"/>
    <w:rsid w:val="00F35B98"/>
    <w:rsid w:val="00F3614F"/>
    <w:rsid w:val="00F37805"/>
    <w:rsid w:val="00F4110F"/>
    <w:rsid w:val="00F425F0"/>
    <w:rsid w:val="00F441D4"/>
    <w:rsid w:val="00F45060"/>
    <w:rsid w:val="00F458CC"/>
    <w:rsid w:val="00F4637A"/>
    <w:rsid w:val="00F46484"/>
    <w:rsid w:val="00F4685C"/>
    <w:rsid w:val="00F46E16"/>
    <w:rsid w:val="00F518F4"/>
    <w:rsid w:val="00F51BC4"/>
    <w:rsid w:val="00F51FED"/>
    <w:rsid w:val="00F53C86"/>
    <w:rsid w:val="00F555E7"/>
    <w:rsid w:val="00F5571B"/>
    <w:rsid w:val="00F55BB0"/>
    <w:rsid w:val="00F57C84"/>
    <w:rsid w:val="00F6127A"/>
    <w:rsid w:val="00F619BE"/>
    <w:rsid w:val="00F638F1"/>
    <w:rsid w:val="00F63B3A"/>
    <w:rsid w:val="00F63B5D"/>
    <w:rsid w:val="00F66974"/>
    <w:rsid w:val="00F6771C"/>
    <w:rsid w:val="00F67E49"/>
    <w:rsid w:val="00F70CC1"/>
    <w:rsid w:val="00F71F72"/>
    <w:rsid w:val="00F72296"/>
    <w:rsid w:val="00F72AE5"/>
    <w:rsid w:val="00F72CE6"/>
    <w:rsid w:val="00F73591"/>
    <w:rsid w:val="00F73F4E"/>
    <w:rsid w:val="00F752A7"/>
    <w:rsid w:val="00F758B3"/>
    <w:rsid w:val="00F75CB3"/>
    <w:rsid w:val="00F75DC4"/>
    <w:rsid w:val="00F7609D"/>
    <w:rsid w:val="00F76401"/>
    <w:rsid w:val="00F804DC"/>
    <w:rsid w:val="00F80D8D"/>
    <w:rsid w:val="00F80F02"/>
    <w:rsid w:val="00F824E0"/>
    <w:rsid w:val="00F83AEA"/>
    <w:rsid w:val="00F849D1"/>
    <w:rsid w:val="00F84D72"/>
    <w:rsid w:val="00F86070"/>
    <w:rsid w:val="00F927C1"/>
    <w:rsid w:val="00F93EED"/>
    <w:rsid w:val="00F94C2A"/>
    <w:rsid w:val="00F94F3D"/>
    <w:rsid w:val="00F95948"/>
    <w:rsid w:val="00F96B56"/>
    <w:rsid w:val="00FA4048"/>
    <w:rsid w:val="00FA45D5"/>
    <w:rsid w:val="00FA52EC"/>
    <w:rsid w:val="00FA54B7"/>
    <w:rsid w:val="00FA5D8F"/>
    <w:rsid w:val="00FA638C"/>
    <w:rsid w:val="00FA7F16"/>
    <w:rsid w:val="00FB019B"/>
    <w:rsid w:val="00FB07E1"/>
    <w:rsid w:val="00FB1603"/>
    <w:rsid w:val="00FB1760"/>
    <w:rsid w:val="00FB1F55"/>
    <w:rsid w:val="00FB42C9"/>
    <w:rsid w:val="00FB470E"/>
    <w:rsid w:val="00FB50A0"/>
    <w:rsid w:val="00FB6BC9"/>
    <w:rsid w:val="00FC2913"/>
    <w:rsid w:val="00FC7BA3"/>
    <w:rsid w:val="00FD00F0"/>
    <w:rsid w:val="00FD22CE"/>
    <w:rsid w:val="00FD316A"/>
    <w:rsid w:val="00FD346A"/>
    <w:rsid w:val="00FD43BE"/>
    <w:rsid w:val="00FD44C5"/>
    <w:rsid w:val="00FD543F"/>
    <w:rsid w:val="00FD5AC3"/>
    <w:rsid w:val="00FE0021"/>
    <w:rsid w:val="00FE002B"/>
    <w:rsid w:val="00FE2CD9"/>
    <w:rsid w:val="00FE3107"/>
    <w:rsid w:val="00FE35A3"/>
    <w:rsid w:val="00FE3856"/>
    <w:rsid w:val="00FE5BCB"/>
    <w:rsid w:val="00FE5DD1"/>
    <w:rsid w:val="00FE5FFA"/>
    <w:rsid w:val="00FF1288"/>
    <w:rsid w:val="00FF323B"/>
    <w:rsid w:val="00FF4165"/>
    <w:rsid w:val="00FF6620"/>
    <w:rsid w:val="00FF69B4"/>
    <w:rsid w:val="00FF7AA0"/>
    <w:rsid w:val="0A0C4D98"/>
    <w:rsid w:val="0ABB682E"/>
    <w:rsid w:val="0EF87DB2"/>
    <w:rsid w:val="13D36563"/>
    <w:rsid w:val="1A297E8A"/>
    <w:rsid w:val="1A42A6E7"/>
    <w:rsid w:val="1BDE7748"/>
    <w:rsid w:val="31A2A6CB"/>
    <w:rsid w:val="3388140A"/>
    <w:rsid w:val="34C11F30"/>
    <w:rsid w:val="35DBB0D6"/>
    <w:rsid w:val="365CEF91"/>
    <w:rsid w:val="3BF131D8"/>
    <w:rsid w:val="4902A6AF"/>
    <w:rsid w:val="5F68ABCB"/>
    <w:rsid w:val="687C1699"/>
    <w:rsid w:val="6CE44234"/>
    <w:rsid w:val="6E34EC8E"/>
    <w:rsid w:val="775B6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6223BC"/>
  <w15:docId w15:val="{BF7EE82E-680B-4120-9652-2954B996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F78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6B12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449E9"/>
    <w:rPr>
      <w:color w:val="0000FF" w:themeColor="hyperlink"/>
      <w:u w:val="single"/>
    </w:rPr>
  </w:style>
  <w:style w:type="paragraph" w:styleId="Listenabsatz">
    <w:name w:val="List Paragraph"/>
    <w:basedOn w:val="Standard"/>
    <w:uiPriority w:val="34"/>
    <w:qFormat/>
    <w:rsid w:val="00E449E9"/>
    <w:pPr>
      <w:ind w:left="720"/>
      <w:contextualSpacing/>
    </w:pPr>
  </w:style>
  <w:style w:type="paragraph" w:styleId="Kommentartext">
    <w:name w:val="annotation text"/>
    <w:basedOn w:val="Standard"/>
    <w:link w:val="KommentartextZchn"/>
    <w:uiPriority w:val="99"/>
    <w:unhideWhenUsed/>
    <w:rsid w:val="000645C9"/>
    <w:pPr>
      <w:spacing w:line="240" w:lineRule="auto"/>
    </w:pPr>
    <w:rPr>
      <w:sz w:val="20"/>
      <w:szCs w:val="20"/>
    </w:rPr>
  </w:style>
  <w:style w:type="character" w:customStyle="1" w:styleId="KommentartextZchn">
    <w:name w:val="Kommentartext Zchn"/>
    <w:basedOn w:val="Absatz-Standardschriftart"/>
    <w:link w:val="Kommentartext"/>
    <w:uiPriority w:val="99"/>
    <w:rsid w:val="000645C9"/>
    <w:rPr>
      <w:sz w:val="20"/>
      <w:szCs w:val="20"/>
    </w:rPr>
  </w:style>
  <w:style w:type="character" w:styleId="Kommentarzeichen">
    <w:name w:val="annotation reference"/>
    <w:basedOn w:val="Absatz-Standardschriftart"/>
    <w:uiPriority w:val="99"/>
    <w:semiHidden/>
    <w:unhideWhenUsed/>
    <w:rsid w:val="000645C9"/>
    <w:rPr>
      <w:sz w:val="16"/>
      <w:szCs w:val="16"/>
    </w:rPr>
  </w:style>
  <w:style w:type="paragraph" w:styleId="Sprechblasentext">
    <w:name w:val="Balloon Text"/>
    <w:basedOn w:val="Standard"/>
    <w:link w:val="SprechblasentextZchn"/>
    <w:uiPriority w:val="99"/>
    <w:semiHidden/>
    <w:unhideWhenUsed/>
    <w:rsid w:val="000645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45C9"/>
    <w:rPr>
      <w:rFonts w:ascii="Tahoma" w:hAnsi="Tahoma" w:cs="Tahoma"/>
      <w:sz w:val="16"/>
      <w:szCs w:val="16"/>
    </w:rPr>
  </w:style>
  <w:style w:type="paragraph" w:styleId="Kopfzeile">
    <w:name w:val="header"/>
    <w:basedOn w:val="Standard"/>
    <w:link w:val="KopfzeileZchn"/>
    <w:uiPriority w:val="99"/>
    <w:unhideWhenUsed/>
    <w:rsid w:val="001A58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588F"/>
  </w:style>
  <w:style w:type="paragraph" w:styleId="Fuzeile">
    <w:name w:val="footer"/>
    <w:basedOn w:val="Standard"/>
    <w:link w:val="FuzeileZchn"/>
    <w:uiPriority w:val="99"/>
    <w:unhideWhenUsed/>
    <w:rsid w:val="001A58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588F"/>
  </w:style>
  <w:style w:type="paragraph" w:styleId="Funotentext">
    <w:name w:val="footnote text"/>
    <w:aliases w:val="Fußnotentext Char,Fußnotentext Char1 Char1,Fußnotentext Char Char Char Char,Fußnotentext Char1 Char Char Char,Fußnotentext Char Char,Fußnotentext Char1 Char Char Char Char,Fußnotentext Char Char Char Char Char Char,Fußnotentext Char1"/>
    <w:basedOn w:val="Standard"/>
    <w:link w:val="FunotentextZchn"/>
    <w:unhideWhenUsed/>
    <w:qFormat/>
    <w:rsid w:val="005A17DF"/>
    <w:pPr>
      <w:spacing w:after="0" w:line="240" w:lineRule="auto"/>
    </w:pPr>
    <w:rPr>
      <w:rFonts w:ascii="Times New Roman" w:eastAsia="Times New Roman" w:hAnsi="Times New Roman" w:cs="Times New Roman"/>
      <w:sz w:val="20"/>
      <w:szCs w:val="20"/>
      <w:lang w:val="en-US"/>
    </w:rPr>
  </w:style>
  <w:style w:type="character" w:customStyle="1" w:styleId="FunotentextZchn">
    <w:name w:val="Fußnotentext Zchn"/>
    <w:aliases w:val="Fußnotentext Char Zchn,Fußnotentext Char1 Char1 Zchn,Fußnotentext Char Char Char Char Zchn,Fußnotentext Char1 Char Char Char Zchn,Fußnotentext Char Char Zchn,Fußnotentext Char1 Char Char Char Char Zchn,Fußnotentext Char1 Zchn"/>
    <w:basedOn w:val="Absatz-Standardschriftart"/>
    <w:link w:val="Funotentext"/>
    <w:rsid w:val="005A17DF"/>
    <w:rPr>
      <w:rFonts w:ascii="Times New Roman" w:eastAsia="Times New Roman" w:hAnsi="Times New Roman" w:cs="Times New Roman"/>
      <w:sz w:val="20"/>
      <w:szCs w:val="20"/>
      <w:lang w:val="en-US"/>
    </w:rPr>
  </w:style>
  <w:style w:type="paragraph" w:styleId="Beschriftung">
    <w:name w:val="caption"/>
    <w:aliases w:val="Beschriftung Char1,Beschriftung Char Char,Beschriftung Char,caption for tables,figures"/>
    <w:basedOn w:val="Standard"/>
    <w:next w:val="Standard"/>
    <w:link w:val="BeschriftungZchn"/>
    <w:uiPriority w:val="35"/>
    <w:unhideWhenUsed/>
    <w:qFormat/>
    <w:rsid w:val="005A17DF"/>
    <w:pPr>
      <w:spacing w:line="240" w:lineRule="auto"/>
    </w:pPr>
    <w:rPr>
      <w:rFonts w:ascii="Times New Roman" w:eastAsia="Times New Roman" w:hAnsi="Times New Roman" w:cs="Times New Roman"/>
      <w:i/>
      <w:iCs/>
      <w:color w:val="1F497D" w:themeColor="text2"/>
      <w:sz w:val="18"/>
      <w:szCs w:val="18"/>
      <w:lang w:val="en-US"/>
    </w:rPr>
  </w:style>
  <w:style w:type="character" w:styleId="Funotenzeichen">
    <w:name w:val="footnote reference"/>
    <w:basedOn w:val="Absatz-Standardschriftart"/>
    <w:uiPriority w:val="99"/>
    <w:semiHidden/>
    <w:unhideWhenUsed/>
    <w:rsid w:val="005A17DF"/>
    <w:rPr>
      <w:vertAlign w:val="superscript"/>
    </w:rPr>
  </w:style>
  <w:style w:type="table" w:styleId="Tabellenraster">
    <w:name w:val="Table Grid"/>
    <w:basedOn w:val="NormaleTabelle"/>
    <w:rsid w:val="005A17DF"/>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6F7865"/>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6F7865"/>
    <w:pPr>
      <w:outlineLvl w:val="9"/>
    </w:pPr>
    <w:rPr>
      <w:lang w:eastAsia="en-GB"/>
    </w:rPr>
  </w:style>
  <w:style w:type="paragraph" w:styleId="Kommentarthema">
    <w:name w:val="annotation subject"/>
    <w:basedOn w:val="Kommentartext"/>
    <w:next w:val="Kommentartext"/>
    <w:link w:val="KommentarthemaZchn"/>
    <w:uiPriority w:val="99"/>
    <w:semiHidden/>
    <w:unhideWhenUsed/>
    <w:rsid w:val="00F02BB9"/>
    <w:rPr>
      <w:b/>
      <w:bCs/>
    </w:rPr>
  </w:style>
  <w:style w:type="character" w:customStyle="1" w:styleId="KommentarthemaZchn">
    <w:name w:val="Kommentarthema Zchn"/>
    <w:basedOn w:val="KommentartextZchn"/>
    <w:link w:val="Kommentarthema"/>
    <w:uiPriority w:val="99"/>
    <w:semiHidden/>
    <w:rsid w:val="00F02BB9"/>
    <w:rPr>
      <w:b/>
      <w:bCs/>
      <w:sz w:val="20"/>
      <w:szCs w:val="20"/>
    </w:rPr>
  </w:style>
  <w:style w:type="character" w:styleId="Platzhaltertext">
    <w:name w:val="Placeholder Text"/>
    <w:basedOn w:val="Absatz-Standardschriftart"/>
    <w:uiPriority w:val="99"/>
    <w:semiHidden/>
    <w:rsid w:val="00750726"/>
    <w:rPr>
      <w:color w:val="808080"/>
    </w:rPr>
  </w:style>
  <w:style w:type="paragraph" w:styleId="Literaturverzeichnis">
    <w:name w:val="Bibliography"/>
    <w:basedOn w:val="Standard"/>
    <w:next w:val="Standard"/>
    <w:uiPriority w:val="37"/>
    <w:unhideWhenUsed/>
    <w:rsid w:val="00047E89"/>
    <w:pPr>
      <w:spacing w:after="0" w:line="240" w:lineRule="auto"/>
      <w:ind w:left="720" w:hanging="720"/>
    </w:pPr>
  </w:style>
  <w:style w:type="paragraph" w:styleId="berarbeitung">
    <w:name w:val="Revision"/>
    <w:hidden/>
    <w:uiPriority w:val="99"/>
    <w:semiHidden/>
    <w:rsid w:val="00E01442"/>
    <w:pPr>
      <w:spacing w:after="0" w:line="240" w:lineRule="auto"/>
    </w:pPr>
  </w:style>
  <w:style w:type="character" w:styleId="Endnotenzeichen">
    <w:name w:val="endnote reference"/>
    <w:basedOn w:val="Absatz-Standardschriftart"/>
    <w:uiPriority w:val="99"/>
    <w:semiHidden/>
    <w:unhideWhenUsed/>
    <w:rsid w:val="009F51A0"/>
    <w:rPr>
      <w:vertAlign w:val="superscript"/>
    </w:rPr>
  </w:style>
  <w:style w:type="character" w:styleId="Zeilennummer">
    <w:name w:val="line number"/>
    <w:basedOn w:val="Absatz-Standardschriftart"/>
    <w:uiPriority w:val="99"/>
    <w:semiHidden/>
    <w:unhideWhenUsed/>
    <w:rsid w:val="002E3D04"/>
  </w:style>
  <w:style w:type="character" w:customStyle="1" w:styleId="berschrift2Zchn">
    <w:name w:val="Überschrift 2 Zchn"/>
    <w:basedOn w:val="Absatz-Standardschriftart"/>
    <w:link w:val="berschrift2"/>
    <w:rsid w:val="006B1233"/>
    <w:rPr>
      <w:rFonts w:asciiTheme="majorHAnsi" w:eastAsiaTheme="majorEastAsia" w:hAnsiTheme="majorHAnsi" w:cstheme="majorBidi"/>
      <w:b/>
      <w:bCs/>
      <w:color w:val="4F81BD" w:themeColor="accent1"/>
      <w:sz w:val="26"/>
      <w:szCs w:val="26"/>
    </w:rPr>
  </w:style>
  <w:style w:type="paragraph" w:customStyle="1" w:styleId="IEAB-Head3">
    <w:name w:val="IEAB-Head3"/>
    <w:basedOn w:val="Standard"/>
    <w:uiPriority w:val="99"/>
    <w:qFormat/>
    <w:rsid w:val="000E02BA"/>
    <w:pPr>
      <w:widowControl w:val="0"/>
      <w:suppressAutoHyphens/>
      <w:autoSpaceDE w:val="0"/>
      <w:autoSpaceDN w:val="0"/>
      <w:adjustRightInd w:val="0"/>
      <w:spacing w:before="113" w:after="57" w:line="240" w:lineRule="atLeast"/>
      <w:textAlignment w:val="center"/>
    </w:pPr>
    <w:rPr>
      <w:rFonts w:ascii="Verdana" w:eastAsia="MS Mincho" w:hAnsi="Verdana" w:cs="Verdana-Bold"/>
      <w:b/>
      <w:bCs/>
      <w:color w:val="164194"/>
      <w:sz w:val="19"/>
      <w:szCs w:val="19"/>
    </w:rPr>
  </w:style>
  <w:style w:type="character" w:customStyle="1" w:styleId="BeschriftungZchn">
    <w:name w:val="Beschriftung Zchn"/>
    <w:aliases w:val="Beschriftung Char1 Zchn,Beschriftung Char Char Zchn,Beschriftung Char Zchn,caption for tables Zchn,figures Zchn"/>
    <w:basedOn w:val="Absatz-Standardschriftart"/>
    <w:link w:val="Beschriftung"/>
    <w:uiPriority w:val="35"/>
    <w:rsid w:val="000E02BA"/>
    <w:rPr>
      <w:rFonts w:ascii="Times New Roman" w:eastAsia="Times New Roman" w:hAnsi="Times New Roman" w:cs="Times New Roman"/>
      <w:i/>
      <w:iCs/>
      <w:color w:val="1F497D" w:themeColor="text2"/>
      <w:sz w:val="18"/>
      <w:szCs w:val="18"/>
      <w:lang w:val="en-US"/>
    </w:rPr>
  </w:style>
  <w:style w:type="character" w:customStyle="1" w:styleId="UnresolvedMention1">
    <w:name w:val="Unresolved Mention1"/>
    <w:basedOn w:val="Absatz-Standardschriftart"/>
    <w:uiPriority w:val="99"/>
    <w:semiHidden/>
    <w:unhideWhenUsed/>
    <w:rsid w:val="00EB4DFA"/>
    <w:rPr>
      <w:color w:val="605E5C"/>
      <w:shd w:val="clear" w:color="auto" w:fill="E1DFDD"/>
    </w:rPr>
  </w:style>
  <w:style w:type="character" w:styleId="NichtaufgelsteErwhnung">
    <w:name w:val="Unresolved Mention"/>
    <w:basedOn w:val="Absatz-Standardschriftart"/>
    <w:uiPriority w:val="99"/>
    <w:semiHidden/>
    <w:unhideWhenUsed/>
    <w:rsid w:val="006C1960"/>
    <w:rPr>
      <w:color w:val="605E5C"/>
      <w:shd w:val="clear" w:color="auto" w:fill="E1DFDD"/>
    </w:rPr>
  </w:style>
  <w:style w:type="character" w:styleId="BesuchterLink">
    <w:name w:val="FollowedHyperlink"/>
    <w:basedOn w:val="Absatz-Standardschriftart"/>
    <w:uiPriority w:val="99"/>
    <w:semiHidden/>
    <w:unhideWhenUsed/>
    <w:rsid w:val="003100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2344">
      <w:bodyDiv w:val="1"/>
      <w:marLeft w:val="0"/>
      <w:marRight w:val="0"/>
      <w:marTop w:val="0"/>
      <w:marBottom w:val="0"/>
      <w:divBdr>
        <w:top w:val="none" w:sz="0" w:space="0" w:color="auto"/>
        <w:left w:val="none" w:sz="0" w:space="0" w:color="auto"/>
        <w:bottom w:val="none" w:sz="0" w:space="0" w:color="auto"/>
        <w:right w:val="none" w:sz="0" w:space="0" w:color="auto"/>
      </w:divBdr>
    </w:div>
    <w:div w:id="27411537">
      <w:bodyDiv w:val="1"/>
      <w:marLeft w:val="0"/>
      <w:marRight w:val="0"/>
      <w:marTop w:val="0"/>
      <w:marBottom w:val="0"/>
      <w:divBdr>
        <w:top w:val="none" w:sz="0" w:space="0" w:color="auto"/>
        <w:left w:val="none" w:sz="0" w:space="0" w:color="auto"/>
        <w:bottom w:val="none" w:sz="0" w:space="0" w:color="auto"/>
        <w:right w:val="none" w:sz="0" w:space="0" w:color="auto"/>
      </w:divBdr>
    </w:div>
    <w:div w:id="37514948">
      <w:bodyDiv w:val="1"/>
      <w:marLeft w:val="0"/>
      <w:marRight w:val="0"/>
      <w:marTop w:val="0"/>
      <w:marBottom w:val="0"/>
      <w:divBdr>
        <w:top w:val="none" w:sz="0" w:space="0" w:color="auto"/>
        <w:left w:val="none" w:sz="0" w:space="0" w:color="auto"/>
        <w:bottom w:val="none" w:sz="0" w:space="0" w:color="auto"/>
        <w:right w:val="none" w:sz="0" w:space="0" w:color="auto"/>
      </w:divBdr>
      <w:divsChild>
        <w:div w:id="1974939534">
          <w:marLeft w:val="480"/>
          <w:marRight w:val="0"/>
          <w:marTop w:val="0"/>
          <w:marBottom w:val="0"/>
          <w:divBdr>
            <w:top w:val="none" w:sz="0" w:space="0" w:color="auto"/>
            <w:left w:val="none" w:sz="0" w:space="0" w:color="auto"/>
            <w:bottom w:val="none" w:sz="0" w:space="0" w:color="auto"/>
            <w:right w:val="none" w:sz="0" w:space="0" w:color="auto"/>
          </w:divBdr>
          <w:divsChild>
            <w:div w:id="16860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9301">
      <w:bodyDiv w:val="1"/>
      <w:marLeft w:val="0"/>
      <w:marRight w:val="0"/>
      <w:marTop w:val="0"/>
      <w:marBottom w:val="0"/>
      <w:divBdr>
        <w:top w:val="none" w:sz="0" w:space="0" w:color="auto"/>
        <w:left w:val="none" w:sz="0" w:space="0" w:color="auto"/>
        <w:bottom w:val="none" w:sz="0" w:space="0" w:color="auto"/>
        <w:right w:val="none" w:sz="0" w:space="0" w:color="auto"/>
      </w:divBdr>
    </w:div>
    <w:div w:id="74936173">
      <w:bodyDiv w:val="1"/>
      <w:marLeft w:val="0"/>
      <w:marRight w:val="0"/>
      <w:marTop w:val="0"/>
      <w:marBottom w:val="0"/>
      <w:divBdr>
        <w:top w:val="none" w:sz="0" w:space="0" w:color="auto"/>
        <w:left w:val="none" w:sz="0" w:space="0" w:color="auto"/>
        <w:bottom w:val="none" w:sz="0" w:space="0" w:color="auto"/>
        <w:right w:val="none" w:sz="0" w:space="0" w:color="auto"/>
      </w:divBdr>
    </w:div>
    <w:div w:id="83848192">
      <w:bodyDiv w:val="1"/>
      <w:marLeft w:val="0"/>
      <w:marRight w:val="0"/>
      <w:marTop w:val="0"/>
      <w:marBottom w:val="0"/>
      <w:divBdr>
        <w:top w:val="none" w:sz="0" w:space="0" w:color="auto"/>
        <w:left w:val="none" w:sz="0" w:space="0" w:color="auto"/>
        <w:bottom w:val="none" w:sz="0" w:space="0" w:color="auto"/>
        <w:right w:val="none" w:sz="0" w:space="0" w:color="auto"/>
      </w:divBdr>
    </w:div>
    <w:div w:id="98333104">
      <w:bodyDiv w:val="1"/>
      <w:marLeft w:val="0"/>
      <w:marRight w:val="0"/>
      <w:marTop w:val="0"/>
      <w:marBottom w:val="0"/>
      <w:divBdr>
        <w:top w:val="none" w:sz="0" w:space="0" w:color="auto"/>
        <w:left w:val="none" w:sz="0" w:space="0" w:color="auto"/>
        <w:bottom w:val="none" w:sz="0" w:space="0" w:color="auto"/>
        <w:right w:val="none" w:sz="0" w:space="0" w:color="auto"/>
      </w:divBdr>
    </w:div>
    <w:div w:id="102573800">
      <w:bodyDiv w:val="1"/>
      <w:marLeft w:val="0"/>
      <w:marRight w:val="0"/>
      <w:marTop w:val="0"/>
      <w:marBottom w:val="0"/>
      <w:divBdr>
        <w:top w:val="none" w:sz="0" w:space="0" w:color="auto"/>
        <w:left w:val="none" w:sz="0" w:space="0" w:color="auto"/>
        <w:bottom w:val="none" w:sz="0" w:space="0" w:color="auto"/>
        <w:right w:val="none" w:sz="0" w:space="0" w:color="auto"/>
      </w:divBdr>
    </w:div>
    <w:div w:id="172457796">
      <w:bodyDiv w:val="1"/>
      <w:marLeft w:val="0"/>
      <w:marRight w:val="0"/>
      <w:marTop w:val="0"/>
      <w:marBottom w:val="0"/>
      <w:divBdr>
        <w:top w:val="none" w:sz="0" w:space="0" w:color="auto"/>
        <w:left w:val="none" w:sz="0" w:space="0" w:color="auto"/>
        <w:bottom w:val="none" w:sz="0" w:space="0" w:color="auto"/>
        <w:right w:val="none" w:sz="0" w:space="0" w:color="auto"/>
      </w:divBdr>
    </w:div>
    <w:div w:id="238831172">
      <w:bodyDiv w:val="1"/>
      <w:marLeft w:val="0"/>
      <w:marRight w:val="0"/>
      <w:marTop w:val="0"/>
      <w:marBottom w:val="0"/>
      <w:divBdr>
        <w:top w:val="none" w:sz="0" w:space="0" w:color="auto"/>
        <w:left w:val="none" w:sz="0" w:space="0" w:color="auto"/>
        <w:bottom w:val="none" w:sz="0" w:space="0" w:color="auto"/>
        <w:right w:val="none" w:sz="0" w:space="0" w:color="auto"/>
      </w:divBdr>
    </w:div>
    <w:div w:id="357511979">
      <w:bodyDiv w:val="1"/>
      <w:marLeft w:val="0"/>
      <w:marRight w:val="0"/>
      <w:marTop w:val="0"/>
      <w:marBottom w:val="0"/>
      <w:divBdr>
        <w:top w:val="none" w:sz="0" w:space="0" w:color="auto"/>
        <w:left w:val="none" w:sz="0" w:space="0" w:color="auto"/>
        <w:bottom w:val="none" w:sz="0" w:space="0" w:color="auto"/>
        <w:right w:val="none" w:sz="0" w:space="0" w:color="auto"/>
      </w:divBdr>
    </w:div>
    <w:div w:id="408038248">
      <w:bodyDiv w:val="1"/>
      <w:marLeft w:val="0"/>
      <w:marRight w:val="0"/>
      <w:marTop w:val="0"/>
      <w:marBottom w:val="0"/>
      <w:divBdr>
        <w:top w:val="none" w:sz="0" w:space="0" w:color="auto"/>
        <w:left w:val="none" w:sz="0" w:space="0" w:color="auto"/>
        <w:bottom w:val="none" w:sz="0" w:space="0" w:color="auto"/>
        <w:right w:val="none" w:sz="0" w:space="0" w:color="auto"/>
      </w:divBdr>
    </w:div>
    <w:div w:id="426779599">
      <w:bodyDiv w:val="1"/>
      <w:marLeft w:val="0"/>
      <w:marRight w:val="0"/>
      <w:marTop w:val="0"/>
      <w:marBottom w:val="0"/>
      <w:divBdr>
        <w:top w:val="none" w:sz="0" w:space="0" w:color="auto"/>
        <w:left w:val="none" w:sz="0" w:space="0" w:color="auto"/>
        <w:bottom w:val="none" w:sz="0" w:space="0" w:color="auto"/>
        <w:right w:val="none" w:sz="0" w:space="0" w:color="auto"/>
      </w:divBdr>
    </w:div>
    <w:div w:id="468785480">
      <w:bodyDiv w:val="1"/>
      <w:marLeft w:val="0"/>
      <w:marRight w:val="0"/>
      <w:marTop w:val="0"/>
      <w:marBottom w:val="0"/>
      <w:divBdr>
        <w:top w:val="none" w:sz="0" w:space="0" w:color="auto"/>
        <w:left w:val="none" w:sz="0" w:space="0" w:color="auto"/>
        <w:bottom w:val="none" w:sz="0" w:space="0" w:color="auto"/>
        <w:right w:val="none" w:sz="0" w:space="0" w:color="auto"/>
      </w:divBdr>
    </w:div>
    <w:div w:id="488406490">
      <w:bodyDiv w:val="1"/>
      <w:marLeft w:val="0"/>
      <w:marRight w:val="0"/>
      <w:marTop w:val="0"/>
      <w:marBottom w:val="0"/>
      <w:divBdr>
        <w:top w:val="none" w:sz="0" w:space="0" w:color="auto"/>
        <w:left w:val="none" w:sz="0" w:space="0" w:color="auto"/>
        <w:bottom w:val="none" w:sz="0" w:space="0" w:color="auto"/>
        <w:right w:val="none" w:sz="0" w:space="0" w:color="auto"/>
      </w:divBdr>
    </w:div>
    <w:div w:id="503253014">
      <w:bodyDiv w:val="1"/>
      <w:marLeft w:val="0"/>
      <w:marRight w:val="0"/>
      <w:marTop w:val="0"/>
      <w:marBottom w:val="0"/>
      <w:divBdr>
        <w:top w:val="none" w:sz="0" w:space="0" w:color="auto"/>
        <w:left w:val="none" w:sz="0" w:space="0" w:color="auto"/>
        <w:bottom w:val="none" w:sz="0" w:space="0" w:color="auto"/>
        <w:right w:val="none" w:sz="0" w:space="0" w:color="auto"/>
      </w:divBdr>
    </w:div>
    <w:div w:id="509178356">
      <w:bodyDiv w:val="1"/>
      <w:marLeft w:val="0"/>
      <w:marRight w:val="0"/>
      <w:marTop w:val="0"/>
      <w:marBottom w:val="0"/>
      <w:divBdr>
        <w:top w:val="none" w:sz="0" w:space="0" w:color="auto"/>
        <w:left w:val="none" w:sz="0" w:space="0" w:color="auto"/>
        <w:bottom w:val="none" w:sz="0" w:space="0" w:color="auto"/>
        <w:right w:val="none" w:sz="0" w:space="0" w:color="auto"/>
      </w:divBdr>
    </w:div>
    <w:div w:id="542444074">
      <w:bodyDiv w:val="1"/>
      <w:marLeft w:val="0"/>
      <w:marRight w:val="0"/>
      <w:marTop w:val="0"/>
      <w:marBottom w:val="0"/>
      <w:divBdr>
        <w:top w:val="none" w:sz="0" w:space="0" w:color="auto"/>
        <w:left w:val="none" w:sz="0" w:space="0" w:color="auto"/>
        <w:bottom w:val="none" w:sz="0" w:space="0" w:color="auto"/>
        <w:right w:val="none" w:sz="0" w:space="0" w:color="auto"/>
      </w:divBdr>
    </w:div>
    <w:div w:id="545458351">
      <w:bodyDiv w:val="1"/>
      <w:marLeft w:val="0"/>
      <w:marRight w:val="0"/>
      <w:marTop w:val="0"/>
      <w:marBottom w:val="0"/>
      <w:divBdr>
        <w:top w:val="none" w:sz="0" w:space="0" w:color="auto"/>
        <w:left w:val="none" w:sz="0" w:space="0" w:color="auto"/>
        <w:bottom w:val="none" w:sz="0" w:space="0" w:color="auto"/>
        <w:right w:val="none" w:sz="0" w:space="0" w:color="auto"/>
      </w:divBdr>
    </w:div>
    <w:div w:id="550272048">
      <w:bodyDiv w:val="1"/>
      <w:marLeft w:val="0"/>
      <w:marRight w:val="0"/>
      <w:marTop w:val="0"/>
      <w:marBottom w:val="0"/>
      <w:divBdr>
        <w:top w:val="none" w:sz="0" w:space="0" w:color="auto"/>
        <w:left w:val="none" w:sz="0" w:space="0" w:color="auto"/>
        <w:bottom w:val="none" w:sz="0" w:space="0" w:color="auto"/>
        <w:right w:val="none" w:sz="0" w:space="0" w:color="auto"/>
      </w:divBdr>
    </w:div>
    <w:div w:id="562259027">
      <w:bodyDiv w:val="1"/>
      <w:marLeft w:val="0"/>
      <w:marRight w:val="0"/>
      <w:marTop w:val="0"/>
      <w:marBottom w:val="0"/>
      <w:divBdr>
        <w:top w:val="none" w:sz="0" w:space="0" w:color="auto"/>
        <w:left w:val="none" w:sz="0" w:space="0" w:color="auto"/>
        <w:bottom w:val="none" w:sz="0" w:space="0" w:color="auto"/>
        <w:right w:val="none" w:sz="0" w:space="0" w:color="auto"/>
      </w:divBdr>
    </w:div>
    <w:div w:id="713626514">
      <w:bodyDiv w:val="1"/>
      <w:marLeft w:val="0"/>
      <w:marRight w:val="0"/>
      <w:marTop w:val="0"/>
      <w:marBottom w:val="0"/>
      <w:divBdr>
        <w:top w:val="none" w:sz="0" w:space="0" w:color="auto"/>
        <w:left w:val="none" w:sz="0" w:space="0" w:color="auto"/>
        <w:bottom w:val="none" w:sz="0" w:space="0" w:color="auto"/>
        <w:right w:val="none" w:sz="0" w:space="0" w:color="auto"/>
      </w:divBdr>
    </w:div>
    <w:div w:id="796025677">
      <w:bodyDiv w:val="1"/>
      <w:marLeft w:val="0"/>
      <w:marRight w:val="0"/>
      <w:marTop w:val="0"/>
      <w:marBottom w:val="0"/>
      <w:divBdr>
        <w:top w:val="none" w:sz="0" w:space="0" w:color="auto"/>
        <w:left w:val="none" w:sz="0" w:space="0" w:color="auto"/>
        <w:bottom w:val="none" w:sz="0" w:space="0" w:color="auto"/>
        <w:right w:val="none" w:sz="0" w:space="0" w:color="auto"/>
      </w:divBdr>
    </w:div>
    <w:div w:id="796607552">
      <w:bodyDiv w:val="1"/>
      <w:marLeft w:val="0"/>
      <w:marRight w:val="0"/>
      <w:marTop w:val="0"/>
      <w:marBottom w:val="0"/>
      <w:divBdr>
        <w:top w:val="none" w:sz="0" w:space="0" w:color="auto"/>
        <w:left w:val="none" w:sz="0" w:space="0" w:color="auto"/>
        <w:bottom w:val="none" w:sz="0" w:space="0" w:color="auto"/>
        <w:right w:val="none" w:sz="0" w:space="0" w:color="auto"/>
      </w:divBdr>
    </w:div>
    <w:div w:id="804543796">
      <w:bodyDiv w:val="1"/>
      <w:marLeft w:val="0"/>
      <w:marRight w:val="0"/>
      <w:marTop w:val="0"/>
      <w:marBottom w:val="0"/>
      <w:divBdr>
        <w:top w:val="none" w:sz="0" w:space="0" w:color="auto"/>
        <w:left w:val="none" w:sz="0" w:space="0" w:color="auto"/>
        <w:bottom w:val="none" w:sz="0" w:space="0" w:color="auto"/>
        <w:right w:val="none" w:sz="0" w:space="0" w:color="auto"/>
      </w:divBdr>
    </w:div>
    <w:div w:id="817264869">
      <w:bodyDiv w:val="1"/>
      <w:marLeft w:val="0"/>
      <w:marRight w:val="0"/>
      <w:marTop w:val="0"/>
      <w:marBottom w:val="0"/>
      <w:divBdr>
        <w:top w:val="none" w:sz="0" w:space="0" w:color="auto"/>
        <w:left w:val="none" w:sz="0" w:space="0" w:color="auto"/>
        <w:bottom w:val="none" w:sz="0" w:space="0" w:color="auto"/>
        <w:right w:val="none" w:sz="0" w:space="0" w:color="auto"/>
      </w:divBdr>
    </w:div>
    <w:div w:id="823282347">
      <w:bodyDiv w:val="1"/>
      <w:marLeft w:val="0"/>
      <w:marRight w:val="0"/>
      <w:marTop w:val="0"/>
      <w:marBottom w:val="0"/>
      <w:divBdr>
        <w:top w:val="none" w:sz="0" w:space="0" w:color="auto"/>
        <w:left w:val="none" w:sz="0" w:space="0" w:color="auto"/>
        <w:bottom w:val="none" w:sz="0" w:space="0" w:color="auto"/>
        <w:right w:val="none" w:sz="0" w:space="0" w:color="auto"/>
      </w:divBdr>
    </w:div>
    <w:div w:id="858397802">
      <w:bodyDiv w:val="1"/>
      <w:marLeft w:val="0"/>
      <w:marRight w:val="0"/>
      <w:marTop w:val="0"/>
      <w:marBottom w:val="0"/>
      <w:divBdr>
        <w:top w:val="none" w:sz="0" w:space="0" w:color="auto"/>
        <w:left w:val="none" w:sz="0" w:space="0" w:color="auto"/>
        <w:bottom w:val="none" w:sz="0" w:space="0" w:color="auto"/>
        <w:right w:val="none" w:sz="0" w:space="0" w:color="auto"/>
      </w:divBdr>
    </w:div>
    <w:div w:id="872496160">
      <w:bodyDiv w:val="1"/>
      <w:marLeft w:val="0"/>
      <w:marRight w:val="0"/>
      <w:marTop w:val="0"/>
      <w:marBottom w:val="0"/>
      <w:divBdr>
        <w:top w:val="none" w:sz="0" w:space="0" w:color="auto"/>
        <w:left w:val="none" w:sz="0" w:space="0" w:color="auto"/>
        <w:bottom w:val="none" w:sz="0" w:space="0" w:color="auto"/>
        <w:right w:val="none" w:sz="0" w:space="0" w:color="auto"/>
      </w:divBdr>
    </w:div>
    <w:div w:id="896744280">
      <w:bodyDiv w:val="1"/>
      <w:marLeft w:val="0"/>
      <w:marRight w:val="0"/>
      <w:marTop w:val="0"/>
      <w:marBottom w:val="0"/>
      <w:divBdr>
        <w:top w:val="none" w:sz="0" w:space="0" w:color="auto"/>
        <w:left w:val="none" w:sz="0" w:space="0" w:color="auto"/>
        <w:bottom w:val="none" w:sz="0" w:space="0" w:color="auto"/>
        <w:right w:val="none" w:sz="0" w:space="0" w:color="auto"/>
      </w:divBdr>
    </w:div>
    <w:div w:id="934674648">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41836018">
      <w:bodyDiv w:val="1"/>
      <w:marLeft w:val="0"/>
      <w:marRight w:val="0"/>
      <w:marTop w:val="0"/>
      <w:marBottom w:val="0"/>
      <w:divBdr>
        <w:top w:val="none" w:sz="0" w:space="0" w:color="auto"/>
        <w:left w:val="none" w:sz="0" w:space="0" w:color="auto"/>
        <w:bottom w:val="none" w:sz="0" w:space="0" w:color="auto"/>
        <w:right w:val="none" w:sz="0" w:space="0" w:color="auto"/>
      </w:divBdr>
      <w:divsChild>
        <w:div w:id="843712644">
          <w:marLeft w:val="480"/>
          <w:marRight w:val="0"/>
          <w:marTop w:val="0"/>
          <w:marBottom w:val="0"/>
          <w:divBdr>
            <w:top w:val="none" w:sz="0" w:space="0" w:color="auto"/>
            <w:left w:val="none" w:sz="0" w:space="0" w:color="auto"/>
            <w:bottom w:val="none" w:sz="0" w:space="0" w:color="auto"/>
            <w:right w:val="none" w:sz="0" w:space="0" w:color="auto"/>
          </w:divBdr>
          <w:divsChild>
            <w:div w:id="11490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4115">
      <w:bodyDiv w:val="1"/>
      <w:marLeft w:val="0"/>
      <w:marRight w:val="0"/>
      <w:marTop w:val="0"/>
      <w:marBottom w:val="0"/>
      <w:divBdr>
        <w:top w:val="none" w:sz="0" w:space="0" w:color="auto"/>
        <w:left w:val="none" w:sz="0" w:space="0" w:color="auto"/>
        <w:bottom w:val="none" w:sz="0" w:space="0" w:color="auto"/>
        <w:right w:val="none" w:sz="0" w:space="0" w:color="auto"/>
      </w:divBdr>
    </w:div>
    <w:div w:id="980573913">
      <w:bodyDiv w:val="1"/>
      <w:marLeft w:val="0"/>
      <w:marRight w:val="0"/>
      <w:marTop w:val="0"/>
      <w:marBottom w:val="0"/>
      <w:divBdr>
        <w:top w:val="none" w:sz="0" w:space="0" w:color="auto"/>
        <w:left w:val="none" w:sz="0" w:space="0" w:color="auto"/>
        <w:bottom w:val="none" w:sz="0" w:space="0" w:color="auto"/>
        <w:right w:val="none" w:sz="0" w:space="0" w:color="auto"/>
      </w:divBdr>
    </w:div>
    <w:div w:id="1005399493">
      <w:bodyDiv w:val="1"/>
      <w:marLeft w:val="0"/>
      <w:marRight w:val="0"/>
      <w:marTop w:val="0"/>
      <w:marBottom w:val="0"/>
      <w:divBdr>
        <w:top w:val="none" w:sz="0" w:space="0" w:color="auto"/>
        <w:left w:val="none" w:sz="0" w:space="0" w:color="auto"/>
        <w:bottom w:val="none" w:sz="0" w:space="0" w:color="auto"/>
        <w:right w:val="none" w:sz="0" w:space="0" w:color="auto"/>
      </w:divBdr>
    </w:div>
    <w:div w:id="1021586188">
      <w:bodyDiv w:val="1"/>
      <w:marLeft w:val="0"/>
      <w:marRight w:val="0"/>
      <w:marTop w:val="0"/>
      <w:marBottom w:val="0"/>
      <w:divBdr>
        <w:top w:val="none" w:sz="0" w:space="0" w:color="auto"/>
        <w:left w:val="none" w:sz="0" w:space="0" w:color="auto"/>
        <w:bottom w:val="none" w:sz="0" w:space="0" w:color="auto"/>
        <w:right w:val="none" w:sz="0" w:space="0" w:color="auto"/>
      </w:divBdr>
    </w:div>
    <w:div w:id="1092358110">
      <w:bodyDiv w:val="1"/>
      <w:marLeft w:val="0"/>
      <w:marRight w:val="0"/>
      <w:marTop w:val="0"/>
      <w:marBottom w:val="0"/>
      <w:divBdr>
        <w:top w:val="none" w:sz="0" w:space="0" w:color="auto"/>
        <w:left w:val="none" w:sz="0" w:space="0" w:color="auto"/>
        <w:bottom w:val="none" w:sz="0" w:space="0" w:color="auto"/>
        <w:right w:val="none" w:sz="0" w:space="0" w:color="auto"/>
      </w:divBdr>
    </w:div>
    <w:div w:id="1120028151">
      <w:bodyDiv w:val="1"/>
      <w:marLeft w:val="0"/>
      <w:marRight w:val="0"/>
      <w:marTop w:val="0"/>
      <w:marBottom w:val="0"/>
      <w:divBdr>
        <w:top w:val="none" w:sz="0" w:space="0" w:color="auto"/>
        <w:left w:val="none" w:sz="0" w:space="0" w:color="auto"/>
        <w:bottom w:val="none" w:sz="0" w:space="0" w:color="auto"/>
        <w:right w:val="none" w:sz="0" w:space="0" w:color="auto"/>
      </w:divBdr>
    </w:div>
    <w:div w:id="1134713584">
      <w:bodyDiv w:val="1"/>
      <w:marLeft w:val="0"/>
      <w:marRight w:val="0"/>
      <w:marTop w:val="0"/>
      <w:marBottom w:val="0"/>
      <w:divBdr>
        <w:top w:val="none" w:sz="0" w:space="0" w:color="auto"/>
        <w:left w:val="none" w:sz="0" w:space="0" w:color="auto"/>
        <w:bottom w:val="none" w:sz="0" w:space="0" w:color="auto"/>
        <w:right w:val="none" w:sz="0" w:space="0" w:color="auto"/>
      </w:divBdr>
    </w:div>
    <w:div w:id="1146631885">
      <w:bodyDiv w:val="1"/>
      <w:marLeft w:val="0"/>
      <w:marRight w:val="0"/>
      <w:marTop w:val="0"/>
      <w:marBottom w:val="0"/>
      <w:divBdr>
        <w:top w:val="none" w:sz="0" w:space="0" w:color="auto"/>
        <w:left w:val="none" w:sz="0" w:space="0" w:color="auto"/>
        <w:bottom w:val="none" w:sz="0" w:space="0" w:color="auto"/>
        <w:right w:val="none" w:sz="0" w:space="0" w:color="auto"/>
      </w:divBdr>
    </w:div>
    <w:div w:id="1191184389">
      <w:bodyDiv w:val="1"/>
      <w:marLeft w:val="0"/>
      <w:marRight w:val="0"/>
      <w:marTop w:val="0"/>
      <w:marBottom w:val="0"/>
      <w:divBdr>
        <w:top w:val="none" w:sz="0" w:space="0" w:color="auto"/>
        <w:left w:val="none" w:sz="0" w:space="0" w:color="auto"/>
        <w:bottom w:val="none" w:sz="0" w:space="0" w:color="auto"/>
        <w:right w:val="none" w:sz="0" w:space="0" w:color="auto"/>
      </w:divBdr>
    </w:div>
    <w:div w:id="1197817743">
      <w:bodyDiv w:val="1"/>
      <w:marLeft w:val="0"/>
      <w:marRight w:val="0"/>
      <w:marTop w:val="0"/>
      <w:marBottom w:val="0"/>
      <w:divBdr>
        <w:top w:val="none" w:sz="0" w:space="0" w:color="auto"/>
        <w:left w:val="none" w:sz="0" w:space="0" w:color="auto"/>
        <w:bottom w:val="none" w:sz="0" w:space="0" w:color="auto"/>
        <w:right w:val="none" w:sz="0" w:space="0" w:color="auto"/>
      </w:divBdr>
    </w:div>
    <w:div w:id="1230917840">
      <w:bodyDiv w:val="1"/>
      <w:marLeft w:val="0"/>
      <w:marRight w:val="0"/>
      <w:marTop w:val="0"/>
      <w:marBottom w:val="0"/>
      <w:divBdr>
        <w:top w:val="none" w:sz="0" w:space="0" w:color="auto"/>
        <w:left w:val="none" w:sz="0" w:space="0" w:color="auto"/>
        <w:bottom w:val="none" w:sz="0" w:space="0" w:color="auto"/>
        <w:right w:val="none" w:sz="0" w:space="0" w:color="auto"/>
      </w:divBdr>
    </w:div>
    <w:div w:id="1262448052">
      <w:bodyDiv w:val="1"/>
      <w:marLeft w:val="0"/>
      <w:marRight w:val="0"/>
      <w:marTop w:val="0"/>
      <w:marBottom w:val="0"/>
      <w:divBdr>
        <w:top w:val="none" w:sz="0" w:space="0" w:color="auto"/>
        <w:left w:val="none" w:sz="0" w:space="0" w:color="auto"/>
        <w:bottom w:val="none" w:sz="0" w:space="0" w:color="auto"/>
        <w:right w:val="none" w:sz="0" w:space="0" w:color="auto"/>
      </w:divBdr>
    </w:div>
    <w:div w:id="1281647567">
      <w:bodyDiv w:val="1"/>
      <w:marLeft w:val="0"/>
      <w:marRight w:val="0"/>
      <w:marTop w:val="0"/>
      <w:marBottom w:val="0"/>
      <w:divBdr>
        <w:top w:val="none" w:sz="0" w:space="0" w:color="auto"/>
        <w:left w:val="none" w:sz="0" w:space="0" w:color="auto"/>
        <w:bottom w:val="none" w:sz="0" w:space="0" w:color="auto"/>
        <w:right w:val="none" w:sz="0" w:space="0" w:color="auto"/>
      </w:divBdr>
    </w:div>
    <w:div w:id="1314987110">
      <w:bodyDiv w:val="1"/>
      <w:marLeft w:val="0"/>
      <w:marRight w:val="0"/>
      <w:marTop w:val="0"/>
      <w:marBottom w:val="0"/>
      <w:divBdr>
        <w:top w:val="none" w:sz="0" w:space="0" w:color="auto"/>
        <w:left w:val="none" w:sz="0" w:space="0" w:color="auto"/>
        <w:bottom w:val="none" w:sz="0" w:space="0" w:color="auto"/>
        <w:right w:val="none" w:sz="0" w:space="0" w:color="auto"/>
      </w:divBdr>
    </w:div>
    <w:div w:id="1352873157">
      <w:bodyDiv w:val="1"/>
      <w:marLeft w:val="0"/>
      <w:marRight w:val="0"/>
      <w:marTop w:val="0"/>
      <w:marBottom w:val="0"/>
      <w:divBdr>
        <w:top w:val="none" w:sz="0" w:space="0" w:color="auto"/>
        <w:left w:val="none" w:sz="0" w:space="0" w:color="auto"/>
        <w:bottom w:val="none" w:sz="0" w:space="0" w:color="auto"/>
        <w:right w:val="none" w:sz="0" w:space="0" w:color="auto"/>
      </w:divBdr>
    </w:div>
    <w:div w:id="1363289551">
      <w:bodyDiv w:val="1"/>
      <w:marLeft w:val="0"/>
      <w:marRight w:val="0"/>
      <w:marTop w:val="0"/>
      <w:marBottom w:val="0"/>
      <w:divBdr>
        <w:top w:val="none" w:sz="0" w:space="0" w:color="auto"/>
        <w:left w:val="none" w:sz="0" w:space="0" w:color="auto"/>
        <w:bottom w:val="none" w:sz="0" w:space="0" w:color="auto"/>
        <w:right w:val="none" w:sz="0" w:space="0" w:color="auto"/>
      </w:divBdr>
    </w:div>
    <w:div w:id="1390421359">
      <w:bodyDiv w:val="1"/>
      <w:marLeft w:val="0"/>
      <w:marRight w:val="0"/>
      <w:marTop w:val="0"/>
      <w:marBottom w:val="0"/>
      <w:divBdr>
        <w:top w:val="none" w:sz="0" w:space="0" w:color="auto"/>
        <w:left w:val="none" w:sz="0" w:space="0" w:color="auto"/>
        <w:bottom w:val="none" w:sz="0" w:space="0" w:color="auto"/>
        <w:right w:val="none" w:sz="0" w:space="0" w:color="auto"/>
      </w:divBdr>
    </w:div>
    <w:div w:id="1431122767">
      <w:bodyDiv w:val="1"/>
      <w:marLeft w:val="0"/>
      <w:marRight w:val="0"/>
      <w:marTop w:val="0"/>
      <w:marBottom w:val="0"/>
      <w:divBdr>
        <w:top w:val="none" w:sz="0" w:space="0" w:color="auto"/>
        <w:left w:val="none" w:sz="0" w:space="0" w:color="auto"/>
        <w:bottom w:val="none" w:sz="0" w:space="0" w:color="auto"/>
        <w:right w:val="none" w:sz="0" w:space="0" w:color="auto"/>
      </w:divBdr>
    </w:div>
    <w:div w:id="1434397358">
      <w:bodyDiv w:val="1"/>
      <w:marLeft w:val="0"/>
      <w:marRight w:val="0"/>
      <w:marTop w:val="0"/>
      <w:marBottom w:val="0"/>
      <w:divBdr>
        <w:top w:val="none" w:sz="0" w:space="0" w:color="auto"/>
        <w:left w:val="none" w:sz="0" w:space="0" w:color="auto"/>
        <w:bottom w:val="none" w:sz="0" w:space="0" w:color="auto"/>
        <w:right w:val="none" w:sz="0" w:space="0" w:color="auto"/>
      </w:divBdr>
    </w:div>
    <w:div w:id="1441030530">
      <w:bodyDiv w:val="1"/>
      <w:marLeft w:val="0"/>
      <w:marRight w:val="0"/>
      <w:marTop w:val="0"/>
      <w:marBottom w:val="0"/>
      <w:divBdr>
        <w:top w:val="none" w:sz="0" w:space="0" w:color="auto"/>
        <w:left w:val="none" w:sz="0" w:space="0" w:color="auto"/>
        <w:bottom w:val="none" w:sz="0" w:space="0" w:color="auto"/>
        <w:right w:val="none" w:sz="0" w:space="0" w:color="auto"/>
      </w:divBdr>
    </w:div>
    <w:div w:id="1446193411">
      <w:bodyDiv w:val="1"/>
      <w:marLeft w:val="0"/>
      <w:marRight w:val="0"/>
      <w:marTop w:val="0"/>
      <w:marBottom w:val="0"/>
      <w:divBdr>
        <w:top w:val="none" w:sz="0" w:space="0" w:color="auto"/>
        <w:left w:val="none" w:sz="0" w:space="0" w:color="auto"/>
        <w:bottom w:val="none" w:sz="0" w:space="0" w:color="auto"/>
        <w:right w:val="none" w:sz="0" w:space="0" w:color="auto"/>
      </w:divBdr>
    </w:div>
    <w:div w:id="1470317071">
      <w:bodyDiv w:val="1"/>
      <w:marLeft w:val="0"/>
      <w:marRight w:val="0"/>
      <w:marTop w:val="0"/>
      <w:marBottom w:val="0"/>
      <w:divBdr>
        <w:top w:val="none" w:sz="0" w:space="0" w:color="auto"/>
        <w:left w:val="none" w:sz="0" w:space="0" w:color="auto"/>
        <w:bottom w:val="none" w:sz="0" w:space="0" w:color="auto"/>
        <w:right w:val="none" w:sz="0" w:space="0" w:color="auto"/>
      </w:divBdr>
    </w:div>
    <w:div w:id="1477844694">
      <w:bodyDiv w:val="1"/>
      <w:marLeft w:val="0"/>
      <w:marRight w:val="0"/>
      <w:marTop w:val="0"/>
      <w:marBottom w:val="0"/>
      <w:divBdr>
        <w:top w:val="none" w:sz="0" w:space="0" w:color="auto"/>
        <w:left w:val="none" w:sz="0" w:space="0" w:color="auto"/>
        <w:bottom w:val="none" w:sz="0" w:space="0" w:color="auto"/>
        <w:right w:val="none" w:sz="0" w:space="0" w:color="auto"/>
      </w:divBdr>
    </w:div>
    <w:div w:id="1499618731">
      <w:bodyDiv w:val="1"/>
      <w:marLeft w:val="0"/>
      <w:marRight w:val="0"/>
      <w:marTop w:val="0"/>
      <w:marBottom w:val="0"/>
      <w:divBdr>
        <w:top w:val="none" w:sz="0" w:space="0" w:color="auto"/>
        <w:left w:val="none" w:sz="0" w:space="0" w:color="auto"/>
        <w:bottom w:val="none" w:sz="0" w:space="0" w:color="auto"/>
        <w:right w:val="none" w:sz="0" w:space="0" w:color="auto"/>
      </w:divBdr>
    </w:div>
    <w:div w:id="1504852802">
      <w:bodyDiv w:val="1"/>
      <w:marLeft w:val="0"/>
      <w:marRight w:val="0"/>
      <w:marTop w:val="0"/>
      <w:marBottom w:val="0"/>
      <w:divBdr>
        <w:top w:val="none" w:sz="0" w:space="0" w:color="auto"/>
        <w:left w:val="none" w:sz="0" w:space="0" w:color="auto"/>
        <w:bottom w:val="none" w:sz="0" w:space="0" w:color="auto"/>
        <w:right w:val="none" w:sz="0" w:space="0" w:color="auto"/>
      </w:divBdr>
    </w:div>
    <w:div w:id="1549730654">
      <w:bodyDiv w:val="1"/>
      <w:marLeft w:val="0"/>
      <w:marRight w:val="0"/>
      <w:marTop w:val="0"/>
      <w:marBottom w:val="0"/>
      <w:divBdr>
        <w:top w:val="none" w:sz="0" w:space="0" w:color="auto"/>
        <w:left w:val="none" w:sz="0" w:space="0" w:color="auto"/>
        <w:bottom w:val="none" w:sz="0" w:space="0" w:color="auto"/>
        <w:right w:val="none" w:sz="0" w:space="0" w:color="auto"/>
      </w:divBdr>
    </w:div>
    <w:div w:id="1559126966">
      <w:bodyDiv w:val="1"/>
      <w:marLeft w:val="0"/>
      <w:marRight w:val="0"/>
      <w:marTop w:val="0"/>
      <w:marBottom w:val="0"/>
      <w:divBdr>
        <w:top w:val="none" w:sz="0" w:space="0" w:color="auto"/>
        <w:left w:val="none" w:sz="0" w:space="0" w:color="auto"/>
        <w:bottom w:val="none" w:sz="0" w:space="0" w:color="auto"/>
        <w:right w:val="none" w:sz="0" w:space="0" w:color="auto"/>
      </w:divBdr>
    </w:div>
    <w:div w:id="1577085998">
      <w:bodyDiv w:val="1"/>
      <w:marLeft w:val="0"/>
      <w:marRight w:val="0"/>
      <w:marTop w:val="0"/>
      <w:marBottom w:val="0"/>
      <w:divBdr>
        <w:top w:val="none" w:sz="0" w:space="0" w:color="auto"/>
        <w:left w:val="none" w:sz="0" w:space="0" w:color="auto"/>
        <w:bottom w:val="none" w:sz="0" w:space="0" w:color="auto"/>
        <w:right w:val="none" w:sz="0" w:space="0" w:color="auto"/>
      </w:divBdr>
    </w:div>
    <w:div w:id="1581671398">
      <w:bodyDiv w:val="1"/>
      <w:marLeft w:val="0"/>
      <w:marRight w:val="0"/>
      <w:marTop w:val="0"/>
      <w:marBottom w:val="0"/>
      <w:divBdr>
        <w:top w:val="none" w:sz="0" w:space="0" w:color="auto"/>
        <w:left w:val="none" w:sz="0" w:space="0" w:color="auto"/>
        <w:bottom w:val="none" w:sz="0" w:space="0" w:color="auto"/>
        <w:right w:val="none" w:sz="0" w:space="0" w:color="auto"/>
      </w:divBdr>
    </w:div>
    <w:div w:id="1611084286">
      <w:bodyDiv w:val="1"/>
      <w:marLeft w:val="0"/>
      <w:marRight w:val="0"/>
      <w:marTop w:val="0"/>
      <w:marBottom w:val="0"/>
      <w:divBdr>
        <w:top w:val="none" w:sz="0" w:space="0" w:color="auto"/>
        <w:left w:val="none" w:sz="0" w:space="0" w:color="auto"/>
        <w:bottom w:val="none" w:sz="0" w:space="0" w:color="auto"/>
        <w:right w:val="none" w:sz="0" w:space="0" w:color="auto"/>
      </w:divBdr>
    </w:div>
    <w:div w:id="1620063776">
      <w:bodyDiv w:val="1"/>
      <w:marLeft w:val="0"/>
      <w:marRight w:val="0"/>
      <w:marTop w:val="0"/>
      <w:marBottom w:val="0"/>
      <w:divBdr>
        <w:top w:val="none" w:sz="0" w:space="0" w:color="auto"/>
        <w:left w:val="none" w:sz="0" w:space="0" w:color="auto"/>
        <w:bottom w:val="none" w:sz="0" w:space="0" w:color="auto"/>
        <w:right w:val="none" w:sz="0" w:space="0" w:color="auto"/>
      </w:divBdr>
    </w:div>
    <w:div w:id="1627664464">
      <w:bodyDiv w:val="1"/>
      <w:marLeft w:val="0"/>
      <w:marRight w:val="0"/>
      <w:marTop w:val="0"/>
      <w:marBottom w:val="0"/>
      <w:divBdr>
        <w:top w:val="none" w:sz="0" w:space="0" w:color="auto"/>
        <w:left w:val="none" w:sz="0" w:space="0" w:color="auto"/>
        <w:bottom w:val="none" w:sz="0" w:space="0" w:color="auto"/>
        <w:right w:val="none" w:sz="0" w:space="0" w:color="auto"/>
      </w:divBdr>
    </w:div>
    <w:div w:id="1630358844">
      <w:bodyDiv w:val="1"/>
      <w:marLeft w:val="0"/>
      <w:marRight w:val="0"/>
      <w:marTop w:val="0"/>
      <w:marBottom w:val="0"/>
      <w:divBdr>
        <w:top w:val="none" w:sz="0" w:space="0" w:color="auto"/>
        <w:left w:val="none" w:sz="0" w:space="0" w:color="auto"/>
        <w:bottom w:val="none" w:sz="0" w:space="0" w:color="auto"/>
        <w:right w:val="none" w:sz="0" w:space="0" w:color="auto"/>
      </w:divBdr>
    </w:div>
    <w:div w:id="1651253775">
      <w:bodyDiv w:val="1"/>
      <w:marLeft w:val="0"/>
      <w:marRight w:val="0"/>
      <w:marTop w:val="0"/>
      <w:marBottom w:val="0"/>
      <w:divBdr>
        <w:top w:val="none" w:sz="0" w:space="0" w:color="auto"/>
        <w:left w:val="none" w:sz="0" w:space="0" w:color="auto"/>
        <w:bottom w:val="none" w:sz="0" w:space="0" w:color="auto"/>
        <w:right w:val="none" w:sz="0" w:space="0" w:color="auto"/>
      </w:divBdr>
    </w:div>
    <w:div w:id="1659460154">
      <w:bodyDiv w:val="1"/>
      <w:marLeft w:val="0"/>
      <w:marRight w:val="0"/>
      <w:marTop w:val="0"/>
      <w:marBottom w:val="0"/>
      <w:divBdr>
        <w:top w:val="none" w:sz="0" w:space="0" w:color="auto"/>
        <w:left w:val="none" w:sz="0" w:space="0" w:color="auto"/>
        <w:bottom w:val="none" w:sz="0" w:space="0" w:color="auto"/>
        <w:right w:val="none" w:sz="0" w:space="0" w:color="auto"/>
      </w:divBdr>
    </w:div>
    <w:div w:id="1660958624">
      <w:bodyDiv w:val="1"/>
      <w:marLeft w:val="0"/>
      <w:marRight w:val="0"/>
      <w:marTop w:val="0"/>
      <w:marBottom w:val="0"/>
      <w:divBdr>
        <w:top w:val="none" w:sz="0" w:space="0" w:color="auto"/>
        <w:left w:val="none" w:sz="0" w:space="0" w:color="auto"/>
        <w:bottom w:val="none" w:sz="0" w:space="0" w:color="auto"/>
        <w:right w:val="none" w:sz="0" w:space="0" w:color="auto"/>
      </w:divBdr>
    </w:div>
    <w:div w:id="1661805977">
      <w:bodyDiv w:val="1"/>
      <w:marLeft w:val="0"/>
      <w:marRight w:val="0"/>
      <w:marTop w:val="0"/>
      <w:marBottom w:val="0"/>
      <w:divBdr>
        <w:top w:val="none" w:sz="0" w:space="0" w:color="auto"/>
        <w:left w:val="none" w:sz="0" w:space="0" w:color="auto"/>
        <w:bottom w:val="none" w:sz="0" w:space="0" w:color="auto"/>
        <w:right w:val="none" w:sz="0" w:space="0" w:color="auto"/>
      </w:divBdr>
    </w:div>
    <w:div w:id="1702707282">
      <w:bodyDiv w:val="1"/>
      <w:marLeft w:val="0"/>
      <w:marRight w:val="0"/>
      <w:marTop w:val="0"/>
      <w:marBottom w:val="0"/>
      <w:divBdr>
        <w:top w:val="none" w:sz="0" w:space="0" w:color="auto"/>
        <w:left w:val="none" w:sz="0" w:space="0" w:color="auto"/>
        <w:bottom w:val="none" w:sz="0" w:space="0" w:color="auto"/>
        <w:right w:val="none" w:sz="0" w:space="0" w:color="auto"/>
      </w:divBdr>
    </w:div>
    <w:div w:id="1709335562">
      <w:bodyDiv w:val="1"/>
      <w:marLeft w:val="0"/>
      <w:marRight w:val="0"/>
      <w:marTop w:val="0"/>
      <w:marBottom w:val="0"/>
      <w:divBdr>
        <w:top w:val="none" w:sz="0" w:space="0" w:color="auto"/>
        <w:left w:val="none" w:sz="0" w:space="0" w:color="auto"/>
        <w:bottom w:val="none" w:sz="0" w:space="0" w:color="auto"/>
        <w:right w:val="none" w:sz="0" w:space="0" w:color="auto"/>
      </w:divBdr>
    </w:div>
    <w:div w:id="1727214246">
      <w:bodyDiv w:val="1"/>
      <w:marLeft w:val="0"/>
      <w:marRight w:val="0"/>
      <w:marTop w:val="0"/>
      <w:marBottom w:val="0"/>
      <w:divBdr>
        <w:top w:val="none" w:sz="0" w:space="0" w:color="auto"/>
        <w:left w:val="none" w:sz="0" w:space="0" w:color="auto"/>
        <w:bottom w:val="none" w:sz="0" w:space="0" w:color="auto"/>
        <w:right w:val="none" w:sz="0" w:space="0" w:color="auto"/>
      </w:divBdr>
    </w:div>
    <w:div w:id="1733500331">
      <w:bodyDiv w:val="1"/>
      <w:marLeft w:val="0"/>
      <w:marRight w:val="0"/>
      <w:marTop w:val="0"/>
      <w:marBottom w:val="0"/>
      <w:divBdr>
        <w:top w:val="none" w:sz="0" w:space="0" w:color="auto"/>
        <w:left w:val="none" w:sz="0" w:space="0" w:color="auto"/>
        <w:bottom w:val="none" w:sz="0" w:space="0" w:color="auto"/>
        <w:right w:val="none" w:sz="0" w:space="0" w:color="auto"/>
      </w:divBdr>
    </w:div>
    <w:div w:id="1790275496">
      <w:bodyDiv w:val="1"/>
      <w:marLeft w:val="0"/>
      <w:marRight w:val="0"/>
      <w:marTop w:val="0"/>
      <w:marBottom w:val="0"/>
      <w:divBdr>
        <w:top w:val="none" w:sz="0" w:space="0" w:color="auto"/>
        <w:left w:val="none" w:sz="0" w:space="0" w:color="auto"/>
        <w:bottom w:val="none" w:sz="0" w:space="0" w:color="auto"/>
        <w:right w:val="none" w:sz="0" w:space="0" w:color="auto"/>
      </w:divBdr>
    </w:div>
    <w:div w:id="1805999260">
      <w:bodyDiv w:val="1"/>
      <w:marLeft w:val="0"/>
      <w:marRight w:val="0"/>
      <w:marTop w:val="0"/>
      <w:marBottom w:val="0"/>
      <w:divBdr>
        <w:top w:val="none" w:sz="0" w:space="0" w:color="auto"/>
        <w:left w:val="none" w:sz="0" w:space="0" w:color="auto"/>
        <w:bottom w:val="none" w:sz="0" w:space="0" w:color="auto"/>
        <w:right w:val="none" w:sz="0" w:space="0" w:color="auto"/>
      </w:divBdr>
    </w:div>
    <w:div w:id="1826775239">
      <w:bodyDiv w:val="1"/>
      <w:marLeft w:val="0"/>
      <w:marRight w:val="0"/>
      <w:marTop w:val="0"/>
      <w:marBottom w:val="0"/>
      <w:divBdr>
        <w:top w:val="none" w:sz="0" w:space="0" w:color="auto"/>
        <w:left w:val="none" w:sz="0" w:space="0" w:color="auto"/>
        <w:bottom w:val="none" w:sz="0" w:space="0" w:color="auto"/>
        <w:right w:val="none" w:sz="0" w:space="0" w:color="auto"/>
      </w:divBdr>
    </w:div>
    <w:div w:id="1873762687">
      <w:bodyDiv w:val="1"/>
      <w:marLeft w:val="0"/>
      <w:marRight w:val="0"/>
      <w:marTop w:val="0"/>
      <w:marBottom w:val="0"/>
      <w:divBdr>
        <w:top w:val="none" w:sz="0" w:space="0" w:color="auto"/>
        <w:left w:val="none" w:sz="0" w:space="0" w:color="auto"/>
        <w:bottom w:val="none" w:sz="0" w:space="0" w:color="auto"/>
        <w:right w:val="none" w:sz="0" w:space="0" w:color="auto"/>
      </w:divBdr>
    </w:div>
    <w:div w:id="1880430225">
      <w:bodyDiv w:val="1"/>
      <w:marLeft w:val="0"/>
      <w:marRight w:val="0"/>
      <w:marTop w:val="0"/>
      <w:marBottom w:val="0"/>
      <w:divBdr>
        <w:top w:val="none" w:sz="0" w:space="0" w:color="auto"/>
        <w:left w:val="none" w:sz="0" w:space="0" w:color="auto"/>
        <w:bottom w:val="none" w:sz="0" w:space="0" w:color="auto"/>
        <w:right w:val="none" w:sz="0" w:space="0" w:color="auto"/>
      </w:divBdr>
    </w:div>
    <w:div w:id="1895653859">
      <w:bodyDiv w:val="1"/>
      <w:marLeft w:val="0"/>
      <w:marRight w:val="0"/>
      <w:marTop w:val="0"/>
      <w:marBottom w:val="0"/>
      <w:divBdr>
        <w:top w:val="none" w:sz="0" w:space="0" w:color="auto"/>
        <w:left w:val="none" w:sz="0" w:space="0" w:color="auto"/>
        <w:bottom w:val="none" w:sz="0" w:space="0" w:color="auto"/>
        <w:right w:val="none" w:sz="0" w:space="0" w:color="auto"/>
      </w:divBdr>
    </w:div>
    <w:div w:id="1970015961">
      <w:bodyDiv w:val="1"/>
      <w:marLeft w:val="0"/>
      <w:marRight w:val="0"/>
      <w:marTop w:val="0"/>
      <w:marBottom w:val="0"/>
      <w:divBdr>
        <w:top w:val="none" w:sz="0" w:space="0" w:color="auto"/>
        <w:left w:val="none" w:sz="0" w:space="0" w:color="auto"/>
        <w:bottom w:val="none" w:sz="0" w:space="0" w:color="auto"/>
        <w:right w:val="none" w:sz="0" w:space="0" w:color="auto"/>
      </w:divBdr>
    </w:div>
    <w:div w:id="1996034457">
      <w:bodyDiv w:val="1"/>
      <w:marLeft w:val="0"/>
      <w:marRight w:val="0"/>
      <w:marTop w:val="0"/>
      <w:marBottom w:val="0"/>
      <w:divBdr>
        <w:top w:val="none" w:sz="0" w:space="0" w:color="auto"/>
        <w:left w:val="none" w:sz="0" w:space="0" w:color="auto"/>
        <w:bottom w:val="none" w:sz="0" w:space="0" w:color="auto"/>
        <w:right w:val="none" w:sz="0" w:space="0" w:color="auto"/>
      </w:divBdr>
      <w:divsChild>
        <w:div w:id="1771126284">
          <w:marLeft w:val="480"/>
          <w:marRight w:val="0"/>
          <w:marTop w:val="0"/>
          <w:marBottom w:val="0"/>
          <w:divBdr>
            <w:top w:val="none" w:sz="0" w:space="0" w:color="auto"/>
            <w:left w:val="none" w:sz="0" w:space="0" w:color="auto"/>
            <w:bottom w:val="none" w:sz="0" w:space="0" w:color="auto"/>
            <w:right w:val="none" w:sz="0" w:space="0" w:color="auto"/>
          </w:divBdr>
          <w:divsChild>
            <w:div w:id="10140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39899">
      <w:bodyDiv w:val="1"/>
      <w:marLeft w:val="0"/>
      <w:marRight w:val="0"/>
      <w:marTop w:val="0"/>
      <w:marBottom w:val="0"/>
      <w:divBdr>
        <w:top w:val="none" w:sz="0" w:space="0" w:color="auto"/>
        <w:left w:val="none" w:sz="0" w:space="0" w:color="auto"/>
        <w:bottom w:val="none" w:sz="0" w:space="0" w:color="auto"/>
        <w:right w:val="none" w:sz="0" w:space="0" w:color="auto"/>
      </w:divBdr>
      <w:divsChild>
        <w:div w:id="842208984">
          <w:marLeft w:val="480"/>
          <w:marRight w:val="0"/>
          <w:marTop w:val="0"/>
          <w:marBottom w:val="0"/>
          <w:divBdr>
            <w:top w:val="none" w:sz="0" w:space="0" w:color="auto"/>
            <w:left w:val="none" w:sz="0" w:space="0" w:color="auto"/>
            <w:bottom w:val="none" w:sz="0" w:space="0" w:color="auto"/>
            <w:right w:val="none" w:sz="0" w:space="0" w:color="auto"/>
          </w:divBdr>
          <w:divsChild>
            <w:div w:id="10690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2059">
      <w:bodyDiv w:val="1"/>
      <w:marLeft w:val="0"/>
      <w:marRight w:val="0"/>
      <w:marTop w:val="0"/>
      <w:marBottom w:val="0"/>
      <w:divBdr>
        <w:top w:val="none" w:sz="0" w:space="0" w:color="auto"/>
        <w:left w:val="none" w:sz="0" w:space="0" w:color="auto"/>
        <w:bottom w:val="none" w:sz="0" w:space="0" w:color="auto"/>
        <w:right w:val="none" w:sz="0" w:space="0" w:color="auto"/>
      </w:divBdr>
    </w:div>
    <w:div w:id="2035298895">
      <w:bodyDiv w:val="1"/>
      <w:marLeft w:val="0"/>
      <w:marRight w:val="0"/>
      <w:marTop w:val="0"/>
      <w:marBottom w:val="0"/>
      <w:divBdr>
        <w:top w:val="none" w:sz="0" w:space="0" w:color="auto"/>
        <w:left w:val="none" w:sz="0" w:space="0" w:color="auto"/>
        <w:bottom w:val="none" w:sz="0" w:space="0" w:color="auto"/>
        <w:right w:val="none" w:sz="0" w:space="0" w:color="auto"/>
      </w:divBdr>
    </w:div>
    <w:div w:id="2048991897">
      <w:bodyDiv w:val="1"/>
      <w:marLeft w:val="0"/>
      <w:marRight w:val="0"/>
      <w:marTop w:val="0"/>
      <w:marBottom w:val="0"/>
      <w:divBdr>
        <w:top w:val="none" w:sz="0" w:space="0" w:color="auto"/>
        <w:left w:val="none" w:sz="0" w:space="0" w:color="auto"/>
        <w:bottom w:val="none" w:sz="0" w:space="0" w:color="auto"/>
        <w:right w:val="none" w:sz="0" w:space="0" w:color="auto"/>
      </w:divBdr>
    </w:div>
    <w:div w:id="2058507367">
      <w:bodyDiv w:val="1"/>
      <w:marLeft w:val="0"/>
      <w:marRight w:val="0"/>
      <w:marTop w:val="0"/>
      <w:marBottom w:val="0"/>
      <w:divBdr>
        <w:top w:val="none" w:sz="0" w:space="0" w:color="auto"/>
        <w:left w:val="none" w:sz="0" w:space="0" w:color="auto"/>
        <w:bottom w:val="none" w:sz="0" w:space="0" w:color="auto"/>
        <w:right w:val="none" w:sz="0" w:space="0" w:color="auto"/>
      </w:divBdr>
    </w:div>
    <w:div w:id="2120026480">
      <w:bodyDiv w:val="1"/>
      <w:marLeft w:val="0"/>
      <w:marRight w:val="0"/>
      <w:marTop w:val="0"/>
      <w:marBottom w:val="0"/>
      <w:divBdr>
        <w:top w:val="none" w:sz="0" w:space="0" w:color="auto"/>
        <w:left w:val="none" w:sz="0" w:space="0" w:color="auto"/>
        <w:bottom w:val="none" w:sz="0" w:space="0" w:color="auto"/>
        <w:right w:val="none" w:sz="0" w:space="0" w:color="auto"/>
      </w:divBdr>
      <w:divsChild>
        <w:div w:id="1806966429">
          <w:marLeft w:val="480"/>
          <w:marRight w:val="0"/>
          <w:marTop w:val="0"/>
          <w:marBottom w:val="0"/>
          <w:divBdr>
            <w:top w:val="none" w:sz="0" w:space="0" w:color="auto"/>
            <w:left w:val="none" w:sz="0" w:space="0" w:color="auto"/>
            <w:bottom w:val="none" w:sz="0" w:space="0" w:color="auto"/>
            <w:right w:val="none" w:sz="0" w:space="0" w:color="auto"/>
          </w:divBdr>
          <w:divsChild>
            <w:div w:id="19266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4535">
      <w:bodyDiv w:val="1"/>
      <w:marLeft w:val="0"/>
      <w:marRight w:val="0"/>
      <w:marTop w:val="0"/>
      <w:marBottom w:val="0"/>
      <w:divBdr>
        <w:top w:val="none" w:sz="0" w:space="0" w:color="auto"/>
        <w:left w:val="none" w:sz="0" w:space="0" w:color="auto"/>
        <w:bottom w:val="none" w:sz="0" w:space="0" w:color="auto"/>
        <w:right w:val="none" w:sz="0" w:space="0" w:color="auto"/>
      </w:divBdr>
    </w:div>
    <w:div w:id="214704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chipfer.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atam.jrc.ec.europa.eu/datam/mashup/BIOMASS_FLOW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bian.schipfer@tuwien.ac.at" TargetMode="External"/><Relationship Id="rId5" Type="http://schemas.openxmlformats.org/officeDocument/2006/relationships/numbering" Target="numbering.xml"/><Relationship Id="rId15" Type="http://schemas.openxmlformats.org/officeDocument/2006/relationships/hyperlink" Target="https://ec.europa.eu/eurostat/web/circular-economy/material-flow-diagram"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urostat/web/energy/energy-flow-diagram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31E18F262D51847B2A2D7216EBFA91D" ma:contentTypeVersion="16" ma:contentTypeDescription="Ein neues Dokument erstellen." ma:contentTypeScope="" ma:versionID="8ed001c046462635151d25e9a91f43d3">
  <xsd:schema xmlns:xsd="http://www.w3.org/2001/XMLSchema" xmlns:xs="http://www.w3.org/2001/XMLSchema" xmlns:p="http://schemas.microsoft.com/office/2006/metadata/properties" xmlns:ns1="http://schemas.microsoft.com/sharepoint/v3" xmlns:ns3="f412b2a5-6eba-42db-9771-f8fbdc6d2762" xmlns:ns4="a81de634-2d58-424a-9ba3-daa59c7e9faf" targetNamespace="http://schemas.microsoft.com/office/2006/metadata/properties" ma:root="true" ma:fieldsID="bbb6b33bca68c0c6615921e4482d274d" ns1:_="" ns3:_="" ns4:_="">
    <xsd:import namespace="http://schemas.microsoft.com/sharepoint/v3"/>
    <xsd:import namespace="f412b2a5-6eba-42db-9771-f8fbdc6d2762"/>
    <xsd:import namespace="a81de634-2d58-424a-9ba3-daa59c7e9f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ften der einheitlichen Compliancerichtlinie" ma:hidden="true" ma:internalName="_ip_UnifiedCompliancePolicyProperties">
      <xsd:simpleType>
        <xsd:restriction base="dms:Note"/>
      </xsd:simpleType>
    </xsd:element>
    <xsd:element name="_ip_UnifiedCompliancePolicyUIAction" ma:index="22"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12b2a5-6eba-42db-9771-f8fbdc6d2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1de634-2d58-424a-9ba3-daa59c7e9fa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1ED45-A27C-4D8A-9777-00D8F5A030D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9F3B47-422D-4359-A7A3-EF441CC4FE51}">
  <ds:schemaRefs>
    <ds:schemaRef ds:uri="http://schemas.openxmlformats.org/officeDocument/2006/bibliography"/>
  </ds:schemaRefs>
</ds:datastoreItem>
</file>

<file path=customXml/itemProps3.xml><?xml version="1.0" encoding="utf-8"?>
<ds:datastoreItem xmlns:ds="http://schemas.openxmlformats.org/officeDocument/2006/customXml" ds:itemID="{5C87018F-E255-49B0-841A-33ED090B9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12b2a5-6eba-42db-9771-f8fbdc6d2762"/>
    <ds:schemaRef ds:uri="a81de634-2d58-424a-9ba3-daa59c7e9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270A98-593E-47CC-8C7D-EE5B62780E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7644</Words>
  <Characters>137470</Characters>
  <Application>Microsoft Office Word</Application>
  <DocSecurity>0</DocSecurity>
  <Lines>1909</Lines>
  <Paragraphs>437</Paragraphs>
  <ScaleCrop>false</ScaleCrop>
  <HeadingPairs>
    <vt:vector size="2" baseType="variant">
      <vt:variant>
        <vt:lpstr>Titel</vt:lpstr>
      </vt:variant>
      <vt:variant>
        <vt:i4>1</vt:i4>
      </vt:variant>
    </vt:vector>
  </HeadingPairs>
  <TitlesOfParts>
    <vt:vector size="1" baseType="lpstr">
      <vt:lpstr/>
    </vt:vector>
  </TitlesOfParts>
  <Company>TU Wien - Campusversion</Company>
  <LinksUpToDate>false</LinksUpToDate>
  <CharactersWithSpaces>144677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schipfer</dc:creator>
  <cp:lastModifiedBy>Schipfer, Fabian</cp:lastModifiedBy>
  <cp:revision>4</cp:revision>
  <cp:lastPrinted>2020-06-30T14:46:00Z</cp:lastPrinted>
  <dcterms:created xsi:type="dcterms:W3CDTF">2023-02-06T10:49:00Z</dcterms:created>
  <dcterms:modified xsi:type="dcterms:W3CDTF">2024-01-31T14:20:00Z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id="P32cNC3P"/&gt;&lt;style id="http://www.zotero.org/styles/elsevier-harvard" hasBibliography="1" bibliographyStyleHasBeenSet="1"/&gt;&lt;prefs&gt;&lt;pref name="fieldType" value="Field"/&gt;&lt;pref name="storeReferences" </vt:lpwstr>
  </property>
  <property fmtid="{D5CDD505-2E9C-101B-9397-08002B2CF9AE}" pid="3" name="ZOTERO_PREF_2">
    <vt:lpwstr>value="true"/&gt;&lt;/prefs&gt;&lt;/data&gt;</vt:lpwstr>
  </property>
  <property fmtid="{D5CDD505-2E9C-101B-9397-08002B2CF9AE}" pid="4" name="Mendeley Document_1">
    <vt:lpwstr>True</vt:lpwstr>
  </property>
  <property fmtid="{D5CDD505-2E9C-101B-9397-08002B2CF9AE}" pid="5" name="Mendeley User Name_1">
    <vt:lpwstr>david.leclere@wanadoo.fr@www.mendeley.com</vt:lpwstr>
  </property>
  <property fmtid="{D5CDD505-2E9C-101B-9397-08002B2CF9AE}" pid="6" name="ContentTypeId">
    <vt:lpwstr>0x010100F31E18F262D51847B2A2D7216EBFA91D</vt:lpwstr>
  </property>
  <property fmtid="{D5CDD505-2E9C-101B-9397-08002B2CF9AE}" pid="7" name="GrammarlyDocumentId">
    <vt:lpwstr>542fa574375cdf3b7570c6fd0e2d1a8df12c0e9f8f59774a6467bca18df4684d</vt:lpwstr>
  </property>
</Properties>
</file>