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6C2807" w14:textId="779DE5E7" w:rsidR="000C3472" w:rsidRPr="00E73159" w:rsidRDefault="00E73159" w:rsidP="000C3472">
      <w:pPr>
        <w:rPr>
          <w:rFonts w:ascii="Calibri" w:eastAsia="Times New Roman" w:hAnsi="Calibri" w:cs="Calibri"/>
          <w:b/>
          <w:color w:val="000000" w:themeColor="text1"/>
          <w:lang w:val="en-US"/>
        </w:rPr>
      </w:pPr>
      <w:r>
        <w:rPr>
          <w:b/>
          <w:color w:val="000000" w:themeColor="text1"/>
        </w:rPr>
        <w:t xml:space="preserve">Additional file 1: </w:t>
      </w:r>
      <w:r w:rsidR="000C3472" w:rsidRPr="00E73159">
        <w:rPr>
          <w:b/>
          <w:color w:val="000000" w:themeColor="text1"/>
        </w:rPr>
        <w:t xml:space="preserve">Table 1: </w:t>
      </w:r>
      <w:r w:rsidR="000C3472" w:rsidRPr="00E73159">
        <w:rPr>
          <w:rFonts w:ascii="Calibri" w:eastAsia="Times New Roman" w:hAnsi="Calibri" w:cs="Calibri"/>
          <w:b/>
          <w:color w:val="000000" w:themeColor="text1"/>
          <w:lang w:val="en-US"/>
        </w:rPr>
        <w:t>Preferred Reporting Items of Systematic Reviews and Meta-Analyses for Scoping Review (PRISMA-</w:t>
      </w:r>
      <w:proofErr w:type="spellStart"/>
      <w:r w:rsidR="000C3472" w:rsidRPr="00E73159">
        <w:rPr>
          <w:rFonts w:ascii="Calibri" w:eastAsia="Times New Roman" w:hAnsi="Calibri" w:cs="Calibri"/>
          <w:b/>
          <w:color w:val="000000" w:themeColor="text1"/>
          <w:lang w:val="en-US"/>
        </w:rPr>
        <w:t>ScR</w:t>
      </w:r>
      <w:proofErr w:type="spellEnd"/>
      <w:r w:rsidR="000C3472" w:rsidRPr="00E73159">
        <w:rPr>
          <w:rFonts w:ascii="Calibri" w:eastAsia="Times New Roman" w:hAnsi="Calibri" w:cs="Calibri"/>
          <w:b/>
          <w:color w:val="000000" w:themeColor="text1"/>
          <w:lang w:val="en-US"/>
        </w:rPr>
        <w:t>) checklist</w:t>
      </w:r>
    </w:p>
    <w:tbl>
      <w:tblPr>
        <w:tblStyle w:val="TableGridLight1"/>
        <w:tblW w:w="0" w:type="auto"/>
        <w:tblLook w:val="04A0" w:firstRow="1" w:lastRow="0" w:firstColumn="1" w:lastColumn="0" w:noHBand="0" w:noVBand="1"/>
      </w:tblPr>
      <w:tblGrid>
        <w:gridCol w:w="2237"/>
        <w:gridCol w:w="694"/>
        <w:gridCol w:w="6001"/>
        <w:gridCol w:w="1512"/>
      </w:tblGrid>
      <w:tr w:rsidR="00E73159" w:rsidRPr="00E73159" w14:paraId="0019490F" w14:textId="77777777" w:rsidTr="00A01ED0">
        <w:trPr>
          <w:tblHeader/>
        </w:trPr>
        <w:tc>
          <w:tcPr>
            <w:tcW w:w="0" w:type="auto"/>
            <w:shd w:val="clear" w:color="auto" w:fill="5B9BD5" w:themeFill="accent1"/>
            <w:vAlign w:val="center"/>
          </w:tcPr>
          <w:p w14:paraId="23488EE7" w14:textId="77777777" w:rsidR="000C3472" w:rsidRPr="00E73159" w:rsidRDefault="000C3472" w:rsidP="00A01ED0">
            <w:pPr>
              <w:rPr>
                <w:rFonts w:ascii="Arial" w:hAnsi="Arial" w:cs="Arial"/>
                <w:b/>
                <w:color w:val="000000" w:themeColor="text1"/>
                <w:sz w:val="20"/>
                <w:szCs w:val="20"/>
              </w:rPr>
            </w:pPr>
            <w:r w:rsidRPr="00E73159">
              <w:rPr>
                <w:rFonts w:ascii="Arial" w:hAnsi="Arial" w:cs="Arial"/>
                <w:b/>
                <w:bCs/>
                <w:color w:val="000000" w:themeColor="text1"/>
                <w:sz w:val="20"/>
                <w:szCs w:val="20"/>
              </w:rPr>
              <w:t>SECTION</w:t>
            </w:r>
          </w:p>
        </w:tc>
        <w:tc>
          <w:tcPr>
            <w:tcW w:w="0" w:type="auto"/>
            <w:shd w:val="clear" w:color="auto" w:fill="5B9BD5" w:themeFill="accent1"/>
            <w:vAlign w:val="center"/>
          </w:tcPr>
          <w:p w14:paraId="319EFF39" w14:textId="77777777" w:rsidR="000C3472" w:rsidRPr="00E73159" w:rsidRDefault="000C3472" w:rsidP="00A01ED0">
            <w:pPr>
              <w:autoSpaceDE w:val="0"/>
              <w:autoSpaceDN w:val="0"/>
              <w:adjustRightInd w:val="0"/>
              <w:jc w:val="center"/>
              <w:rPr>
                <w:rFonts w:ascii="Arial" w:hAnsi="Arial" w:cs="Arial"/>
                <w:b/>
                <w:color w:val="000000" w:themeColor="text1"/>
                <w:sz w:val="20"/>
                <w:szCs w:val="20"/>
              </w:rPr>
            </w:pPr>
            <w:r w:rsidRPr="00E73159">
              <w:rPr>
                <w:rFonts w:ascii="Arial" w:hAnsi="Arial" w:cs="Arial"/>
                <w:b/>
                <w:bCs/>
                <w:color w:val="000000" w:themeColor="text1"/>
                <w:sz w:val="20"/>
                <w:szCs w:val="20"/>
              </w:rPr>
              <w:t>ITEM</w:t>
            </w:r>
          </w:p>
        </w:tc>
        <w:tc>
          <w:tcPr>
            <w:tcW w:w="0" w:type="auto"/>
            <w:shd w:val="clear" w:color="auto" w:fill="5B9BD5" w:themeFill="accent1"/>
            <w:vAlign w:val="center"/>
          </w:tcPr>
          <w:p w14:paraId="3BB1F63D" w14:textId="77777777" w:rsidR="000C3472" w:rsidRPr="00E73159" w:rsidRDefault="000C3472" w:rsidP="00A01ED0">
            <w:pPr>
              <w:rPr>
                <w:rFonts w:ascii="Arial" w:hAnsi="Arial" w:cs="Arial"/>
                <w:b/>
                <w:color w:val="000000" w:themeColor="text1"/>
                <w:sz w:val="20"/>
                <w:szCs w:val="20"/>
              </w:rPr>
            </w:pPr>
            <w:r w:rsidRPr="00E73159">
              <w:rPr>
                <w:rFonts w:ascii="Arial" w:hAnsi="Arial" w:cs="Arial"/>
                <w:b/>
                <w:color w:val="000000" w:themeColor="text1"/>
                <w:sz w:val="20"/>
                <w:szCs w:val="20"/>
              </w:rPr>
              <w:t>PRISMA-</w:t>
            </w:r>
            <w:proofErr w:type="spellStart"/>
            <w:r w:rsidRPr="00E73159">
              <w:rPr>
                <w:rFonts w:ascii="Arial" w:hAnsi="Arial" w:cs="Arial"/>
                <w:b/>
                <w:color w:val="000000" w:themeColor="text1"/>
                <w:sz w:val="20"/>
                <w:szCs w:val="20"/>
              </w:rPr>
              <w:t>ScR</w:t>
            </w:r>
            <w:proofErr w:type="spellEnd"/>
            <w:r w:rsidRPr="00E73159">
              <w:rPr>
                <w:rFonts w:ascii="Arial" w:hAnsi="Arial" w:cs="Arial"/>
                <w:b/>
                <w:color w:val="000000" w:themeColor="text1"/>
                <w:sz w:val="20"/>
                <w:szCs w:val="20"/>
              </w:rPr>
              <w:t xml:space="preserve"> CHECKLIST ITEM</w:t>
            </w:r>
          </w:p>
        </w:tc>
        <w:tc>
          <w:tcPr>
            <w:tcW w:w="0" w:type="auto"/>
            <w:shd w:val="clear" w:color="auto" w:fill="5B9BD5" w:themeFill="accent1"/>
            <w:vAlign w:val="center"/>
          </w:tcPr>
          <w:p w14:paraId="35405568" w14:textId="77777777" w:rsidR="000C3472" w:rsidRPr="00E73159" w:rsidRDefault="000C3472" w:rsidP="00A01ED0">
            <w:pPr>
              <w:rPr>
                <w:rFonts w:ascii="Arial" w:hAnsi="Arial" w:cs="Arial"/>
                <w:b/>
                <w:color w:val="000000" w:themeColor="text1"/>
                <w:sz w:val="20"/>
                <w:szCs w:val="20"/>
              </w:rPr>
            </w:pPr>
            <w:r w:rsidRPr="00E73159">
              <w:rPr>
                <w:rFonts w:ascii="Arial" w:hAnsi="Arial" w:cs="Arial"/>
                <w:b/>
                <w:color w:val="000000" w:themeColor="text1"/>
                <w:sz w:val="20"/>
                <w:szCs w:val="20"/>
              </w:rPr>
              <w:t>REPORTED ON PAGE #</w:t>
            </w:r>
          </w:p>
        </w:tc>
      </w:tr>
      <w:tr w:rsidR="00E73159" w:rsidRPr="00E73159" w14:paraId="5A1375C2" w14:textId="77777777" w:rsidTr="00A01ED0">
        <w:tc>
          <w:tcPr>
            <w:tcW w:w="0" w:type="auto"/>
            <w:gridSpan w:val="4"/>
            <w:shd w:val="clear" w:color="auto" w:fill="DEEAF6" w:themeFill="accent1" w:themeFillTint="33"/>
            <w:vAlign w:val="center"/>
          </w:tcPr>
          <w:p w14:paraId="6514627E" w14:textId="77777777" w:rsidR="000C3472" w:rsidRPr="00E73159" w:rsidRDefault="000C3472" w:rsidP="00A01ED0">
            <w:pPr>
              <w:rPr>
                <w:rFonts w:ascii="Arial" w:hAnsi="Arial" w:cs="Arial"/>
                <w:b/>
                <w:color w:val="000000" w:themeColor="text1"/>
                <w:sz w:val="20"/>
                <w:szCs w:val="20"/>
              </w:rPr>
            </w:pPr>
            <w:r w:rsidRPr="00E73159">
              <w:rPr>
                <w:rFonts w:ascii="Arial" w:hAnsi="Arial" w:cs="Arial"/>
                <w:b/>
                <w:color w:val="000000" w:themeColor="text1"/>
                <w:sz w:val="20"/>
                <w:szCs w:val="20"/>
              </w:rPr>
              <w:t>TITLE</w:t>
            </w:r>
          </w:p>
        </w:tc>
      </w:tr>
      <w:tr w:rsidR="00E73159" w:rsidRPr="00E73159" w14:paraId="0B8EBF60" w14:textId="77777777" w:rsidTr="00A01ED0">
        <w:tc>
          <w:tcPr>
            <w:tcW w:w="0" w:type="auto"/>
            <w:vAlign w:val="center"/>
          </w:tcPr>
          <w:p w14:paraId="37996FDD"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Title</w:t>
            </w:r>
          </w:p>
        </w:tc>
        <w:tc>
          <w:tcPr>
            <w:tcW w:w="0" w:type="auto"/>
            <w:vAlign w:val="center"/>
          </w:tcPr>
          <w:p w14:paraId="146549B4"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w:t>
            </w:r>
          </w:p>
        </w:tc>
        <w:tc>
          <w:tcPr>
            <w:tcW w:w="0" w:type="auto"/>
            <w:vAlign w:val="center"/>
          </w:tcPr>
          <w:p w14:paraId="0CC93EC2"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Identify the report as a scoping review.</w:t>
            </w:r>
          </w:p>
        </w:tc>
        <w:sdt>
          <w:sdtPr>
            <w:rPr>
              <w:rFonts w:ascii="Arial" w:hAnsi="Arial" w:cs="Arial"/>
              <w:color w:val="000000" w:themeColor="text1"/>
              <w:sz w:val="20"/>
              <w:szCs w:val="20"/>
            </w:rPr>
            <w:id w:val="-1886790070"/>
            <w:placeholder>
              <w:docPart w:val="AB8C1847CE324171BB3E26C57074AE4B"/>
            </w:placeholder>
          </w:sdtPr>
          <w:sdtEndPr/>
          <w:sdtContent>
            <w:tc>
              <w:tcPr>
                <w:tcW w:w="0" w:type="auto"/>
                <w:vAlign w:val="center"/>
              </w:tcPr>
              <w:p w14:paraId="1F794D14"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1</w:t>
                </w:r>
              </w:p>
            </w:tc>
          </w:sdtContent>
        </w:sdt>
      </w:tr>
      <w:tr w:rsidR="00E73159" w:rsidRPr="00E73159" w14:paraId="72770A68" w14:textId="77777777" w:rsidTr="00A01ED0">
        <w:tc>
          <w:tcPr>
            <w:tcW w:w="0" w:type="auto"/>
            <w:gridSpan w:val="4"/>
            <w:shd w:val="clear" w:color="auto" w:fill="DEEAF6" w:themeFill="accent1" w:themeFillTint="33"/>
            <w:vAlign w:val="center"/>
          </w:tcPr>
          <w:p w14:paraId="7E5087CF" w14:textId="77777777" w:rsidR="000C3472" w:rsidRPr="00E73159" w:rsidRDefault="000C3472" w:rsidP="00A01ED0">
            <w:pPr>
              <w:rPr>
                <w:rFonts w:ascii="Arial" w:hAnsi="Arial" w:cs="Arial"/>
                <w:b/>
                <w:color w:val="000000" w:themeColor="text1"/>
                <w:sz w:val="20"/>
                <w:szCs w:val="20"/>
              </w:rPr>
            </w:pPr>
            <w:r w:rsidRPr="00E73159">
              <w:rPr>
                <w:rFonts w:ascii="Arial" w:hAnsi="Arial" w:cs="Arial"/>
                <w:b/>
                <w:color w:val="000000" w:themeColor="text1"/>
                <w:sz w:val="20"/>
                <w:szCs w:val="20"/>
              </w:rPr>
              <w:t>ABSTRACT</w:t>
            </w:r>
          </w:p>
        </w:tc>
      </w:tr>
      <w:tr w:rsidR="00E73159" w:rsidRPr="00E73159" w14:paraId="7C9C076A" w14:textId="77777777" w:rsidTr="00A01ED0">
        <w:tc>
          <w:tcPr>
            <w:tcW w:w="0" w:type="auto"/>
            <w:vAlign w:val="center"/>
          </w:tcPr>
          <w:p w14:paraId="5BD71B82"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Structured summary</w:t>
            </w:r>
          </w:p>
        </w:tc>
        <w:tc>
          <w:tcPr>
            <w:tcW w:w="0" w:type="auto"/>
            <w:vAlign w:val="center"/>
          </w:tcPr>
          <w:p w14:paraId="6647416F"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2</w:t>
            </w:r>
          </w:p>
        </w:tc>
        <w:tc>
          <w:tcPr>
            <w:tcW w:w="0" w:type="auto"/>
            <w:vAlign w:val="center"/>
          </w:tcPr>
          <w:p w14:paraId="56A63F27"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color w:val="000000" w:themeColor="text1"/>
              <w:sz w:val="20"/>
              <w:szCs w:val="20"/>
            </w:rPr>
            <w:id w:val="1190178197"/>
            <w:placeholder>
              <w:docPart w:val="AB8C1847CE324171BB3E26C57074AE4B"/>
            </w:placeholder>
          </w:sdtPr>
          <w:sdtEndPr/>
          <w:sdtContent>
            <w:tc>
              <w:tcPr>
                <w:tcW w:w="0" w:type="auto"/>
                <w:vAlign w:val="center"/>
              </w:tcPr>
              <w:p w14:paraId="42D1905D"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2</w:t>
                </w:r>
              </w:p>
            </w:tc>
          </w:sdtContent>
        </w:sdt>
      </w:tr>
      <w:tr w:rsidR="00E73159" w:rsidRPr="00E73159" w14:paraId="7CD94824" w14:textId="77777777" w:rsidTr="00A01ED0">
        <w:tc>
          <w:tcPr>
            <w:tcW w:w="0" w:type="auto"/>
            <w:gridSpan w:val="4"/>
            <w:shd w:val="clear" w:color="auto" w:fill="DEEAF6" w:themeFill="accent1" w:themeFillTint="33"/>
            <w:vAlign w:val="center"/>
          </w:tcPr>
          <w:p w14:paraId="08D5603A" w14:textId="77777777" w:rsidR="000C3472" w:rsidRPr="00E73159" w:rsidRDefault="000C3472" w:rsidP="00A01ED0">
            <w:pPr>
              <w:tabs>
                <w:tab w:val="left" w:pos="1774"/>
              </w:tabs>
              <w:rPr>
                <w:rFonts w:ascii="Arial" w:hAnsi="Arial" w:cs="Arial"/>
                <w:b/>
                <w:color w:val="000000" w:themeColor="text1"/>
                <w:sz w:val="20"/>
                <w:szCs w:val="20"/>
              </w:rPr>
            </w:pPr>
            <w:r w:rsidRPr="00E73159">
              <w:rPr>
                <w:rFonts w:ascii="Arial" w:hAnsi="Arial" w:cs="Arial"/>
                <w:b/>
                <w:color w:val="000000" w:themeColor="text1"/>
                <w:sz w:val="20"/>
                <w:szCs w:val="20"/>
              </w:rPr>
              <w:t>INTRODUCTION</w:t>
            </w:r>
          </w:p>
        </w:tc>
      </w:tr>
      <w:tr w:rsidR="00E73159" w:rsidRPr="00E73159" w14:paraId="3DC46687" w14:textId="77777777" w:rsidTr="00A01ED0">
        <w:trPr>
          <w:trHeight w:val="530"/>
        </w:trPr>
        <w:tc>
          <w:tcPr>
            <w:tcW w:w="0" w:type="auto"/>
            <w:vAlign w:val="center"/>
          </w:tcPr>
          <w:p w14:paraId="36B17A53"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Rationale</w:t>
            </w:r>
          </w:p>
        </w:tc>
        <w:tc>
          <w:tcPr>
            <w:tcW w:w="0" w:type="auto"/>
            <w:vAlign w:val="center"/>
          </w:tcPr>
          <w:p w14:paraId="51AE95B2"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3</w:t>
            </w:r>
          </w:p>
        </w:tc>
        <w:tc>
          <w:tcPr>
            <w:tcW w:w="0" w:type="auto"/>
            <w:vAlign w:val="center"/>
          </w:tcPr>
          <w:p w14:paraId="31B1BBCF"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Describe the rationale for the review in the context of what is already known. Explain why the review questions/objectives lend themselves to a scoping review approach.</w:t>
            </w:r>
          </w:p>
        </w:tc>
        <w:sdt>
          <w:sdtPr>
            <w:rPr>
              <w:rFonts w:ascii="Arial" w:hAnsi="Arial" w:cs="Arial"/>
              <w:color w:val="000000" w:themeColor="text1"/>
              <w:sz w:val="20"/>
              <w:szCs w:val="20"/>
            </w:rPr>
            <w:id w:val="56057269"/>
            <w:placeholder>
              <w:docPart w:val="AB8C1847CE324171BB3E26C57074AE4B"/>
            </w:placeholder>
          </w:sdtPr>
          <w:sdtEndPr/>
          <w:sdtContent>
            <w:tc>
              <w:tcPr>
                <w:tcW w:w="0" w:type="auto"/>
                <w:vAlign w:val="center"/>
              </w:tcPr>
              <w:p w14:paraId="0A7ECE7E"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4</w:t>
                </w:r>
              </w:p>
            </w:tc>
          </w:sdtContent>
        </w:sdt>
      </w:tr>
      <w:tr w:rsidR="00E73159" w:rsidRPr="00E73159" w14:paraId="1F4EA806" w14:textId="77777777" w:rsidTr="00A01ED0">
        <w:trPr>
          <w:trHeight w:val="800"/>
        </w:trPr>
        <w:tc>
          <w:tcPr>
            <w:tcW w:w="0" w:type="auto"/>
            <w:vAlign w:val="center"/>
          </w:tcPr>
          <w:p w14:paraId="329E3012"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Objectives</w:t>
            </w:r>
          </w:p>
        </w:tc>
        <w:tc>
          <w:tcPr>
            <w:tcW w:w="0" w:type="auto"/>
            <w:vAlign w:val="center"/>
          </w:tcPr>
          <w:p w14:paraId="79A6F302"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4</w:t>
            </w:r>
          </w:p>
        </w:tc>
        <w:tc>
          <w:tcPr>
            <w:tcW w:w="0" w:type="auto"/>
            <w:vAlign w:val="center"/>
          </w:tcPr>
          <w:p w14:paraId="14C59714"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color w:val="000000" w:themeColor="text1"/>
              <w:sz w:val="20"/>
              <w:szCs w:val="20"/>
            </w:rPr>
            <w:id w:val="-1797599034"/>
            <w:placeholder>
              <w:docPart w:val="AB8C1847CE324171BB3E26C57074AE4B"/>
            </w:placeholder>
          </w:sdtPr>
          <w:sdtEndPr/>
          <w:sdtContent>
            <w:tc>
              <w:tcPr>
                <w:tcW w:w="0" w:type="auto"/>
                <w:vAlign w:val="center"/>
              </w:tcPr>
              <w:p w14:paraId="7B419DC6"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5</w:t>
                </w:r>
              </w:p>
            </w:tc>
          </w:sdtContent>
        </w:sdt>
      </w:tr>
      <w:tr w:rsidR="00E73159" w:rsidRPr="00E73159" w14:paraId="72967BB3" w14:textId="77777777" w:rsidTr="00A01ED0">
        <w:tc>
          <w:tcPr>
            <w:tcW w:w="0" w:type="auto"/>
            <w:gridSpan w:val="4"/>
            <w:shd w:val="clear" w:color="auto" w:fill="DEEAF6" w:themeFill="accent1" w:themeFillTint="33"/>
            <w:vAlign w:val="center"/>
          </w:tcPr>
          <w:p w14:paraId="2790A1A8" w14:textId="77777777" w:rsidR="000C3472" w:rsidRPr="00E73159" w:rsidRDefault="000C3472" w:rsidP="00A01ED0">
            <w:pPr>
              <w:rPr>
                <w:rFonts w:ascii="Arial" w:hAnsi="Arial" w:cs="Arial"/>
                <w:b/>
                <w:color w:val="000000" w:themeColor="text1"/>
                <w:sz w:val="20"/>
                <w:szCs w:val="20"/>
              </w:rPr>
            </w:pPr>
            <w:r w:rsidRPr="00E73159">
              <w:rPr>
                <w:rFonts w:ascii="Arial" w:hAnsi="Arial" w:cs="Arial"/>
                <w:b/>
                <w:color w:val="000000" w:themeColor="text1"/>
                <w:sz w:val="20"/>
                <w:szCs w:val="20"/>
              </w:rPr>
              <w:t>METHODS</w:t>
            </w:r>
          </w:p>
        </w:tc>
      </w:tr>
      <w:tr w:rsidR="00E73159" w:rsidRPr="00E73159" w14:paraId="6BDFA1DA" w14:textId="77777777" w:rsidTr="00A01ED0">
        <w:tc>
          <w:tcPr>
            <w:tcW w:w="0" w:type="auto"/>
            <w:vAlign w:val="center"/>
          </w:tcPr>
          <w:p w14:paraId="121481C9"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Protocol and registration</w:t>
            </w:r>
          </w:p>
        </w:tc>
        <w:tc>
          <w:tcPr>
            <w:tcW w:w="0" w:type="auto"/>
            <w:vAlign w:val="center"/>
          </w:tcPr>
          <w:p w14:paraId="37C3A3F5"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5</w:t>
            </w:r>
          </w:p>
        </w:tc>
        <w:tc>
          <w:tcPr>
            <w:tcW w:w="0" w:type="auto"/>
            <w:vAlign w:val="center"/>
          </w:tcPr>
          <w:p w14:paraId="6775C0B9"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color w:val="000000" w:themeColor="text1"/>
              <w:sz w:val="20"/>
              <w:szCs w:val="20"/>
            </w:rPr>
            <w:id w:val="-1888323895"/>
            <w:placeholder>
              <w:docPart w:val="AB8C1847CE324171BB3E26C57074AE4B"/>
            </w:placeholder>
          </w:sdtPr>
          <w:sdtEndPr/>
          <w:sdtContent>
            <w:tc>
              <w:tcPr>
                <w:tcW w:w="0" w:type="auto"/>
                <w:vAlign w:val="center"/>
              </w:tcPr>
              <w:p w14:paraId="2B6F676E"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n/a</w:t>
                </w:r>
              </w:p>
            </w:tc>
          </w:sdtContent>
        </w:sdt>
      </w:tr>
      <w:tr w:rsidR="00E73159" w:rsidRPr="00E73159" w14:paraId="4A06C886" w14:textId="77777777" w:rsidTr="00A01ED0">
        <w:tc>
          <w:tcPr>
            <w:tcW w:w="0" w:type="auto"/>
            <w:vAlign w:val="center"/>
          </w:tcPr>
          <w:p w14:paraId="7D511F8D"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Eligibility criteria</w:t>
            </w:r>
          </w:p>
        </w:tc>
        <w:tc>
          <w:tcPr>
            <w:tcW w:w="0" w:type="auto"/>
            <w:vAlign w:val="center"/>
          </w:tcPr>
          <w:p w14:paraId="2C347210"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6</w:t>
            </w:r>
          </w:p>
        </w:tc>
        <w:tc>
          <w:tcPr>
            <w:tcW w:w="0" w:type="auto"/>
            <w:vAlign w:val="center"/>
          </w:tcPr>
          <w:p w14:paraId="7308A3CE"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Specify characteristics of the sources of evidence used as eligibility criteria (e.g., years considered, language, and publication status), and provide a rationale.</w:t>
            </w:r>
          </w:p>
        </w:tc>
        <w:sdt>
          <w:sdtPr>
            <w:rPr>
              <w:rFonts w:ascii="Arial" w:hAnsi="Arial" w:cs="Arial"/>
              <w:color w:val="000000" w:themeColor="text1"/>
              <w:sz w:val="20"/>
              <w:szCs w:val="20"/>
            </w:rPr>
            <w:id w:val="623510431"/>
            <w:placeholder>
              <w:docPart w:val="AB8C1847CE324171BB3E26C57074AE4B"/>
            </w:placeholder>
          </w:sdtPr>
          <w:sdtEndPr/>
          <w:sdtContent>
            <w:tc>
              <w:tcPr>
                <w:tcW w:w="0" w:type="auto"/>
                <w:vAlign w:val="center"/>
              </w:tcPr>
              <w:p w14:paraId="2D81076E"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6</w:t>
                </w:r>
              </w:p>
            </w:tc>
          </w:sdtContent>
        </w:sdt>
      </w:tr>
      <w:tr w:rsidR="00E73159" w:rsidRPr="00E73159" w14:paraId="2B732D4A" w14:textId="77777777" w:rsidTr="00A01ED0">
        <w:trPr>
          <w:trHeight w:val="260"/>
        </w:trPr>
        <w:tc>
          <w:tcPr>
            <w:tcW w:w="0" w:type="auto"/>
            <w:vAlign w:val="center"/>
          </w:tcPr>
          <w:p w14:paraId="0147940D"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Information sources*</w:t>
            </w:r>
          </w:p>
        </w:tc>
        <w:tc>
          <w:tcPr>
            <w:tcW w:w="0" w:type="auto"/>
            <w:vAlign w:val="center"/>
          </w:tcPr>
          <w:p w14:paraId="32076242"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7</w:t>
            </w:r>
          </w:p>
        </w:tc>
        <w:tc>
          <w:tcPr>
            <w:tcW w:w="0" w:type="auto"/>
            <w:vAlign w:val="center"/>
          </w:tcPr>
          <w:p w14:paraId="605145E8"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color w:val="000000" w:themeColor="text1"/>
              <w:sz w:val="20"/>
              <w:szCs w:val="20"/>
            </w:rPr>
            <w:id w:val="1510949160"/>
            <w:placeholder>
              <w:docPart w:val="AB8C1847CE324171BB3E26C57074AE4B"/>
            </w:placeholder>
          </w:sdtPr>
          <w:sdtEndPr/>
          <w:sdtContent>
            <w:tc>
              <w:tcPr>
                <w:tcW w:w="0" w:type="auto"/>
                <w:vAlign w:val="center"/>
              </w:tcPr>
              <w:p w14:paraId="28F3C902"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5</w:t>
                </w:r>
              </w:p>
            </w:tc>
          </w:sdtContent>
        </w:sdt>
      </w:tr>
      <w:tr w:rsidR="00E73159" w:rsidRPr="00E73159" w14:paraId="19B7C918" w14:textId="77777777" w:rsidTr="00A01ED0">
        <w:tc>
          <w:tcPr>
            <w:tcW w:w="0" w:type="auto"/>
            <w:vAlign w:val="center"/>
          </w:tcPr>
          <w:p w14:paraId="7C9D485F"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Search</w:t>
            </w:r>
          </w:p>
        </w:tc>
        <w:tc>
          <w:tcPr>
            <w:tcW w:w="0" w:type="auto"/>
            <w:vAlign w:val="center"/>
          </w:tcPr>
          <w:p w14:paraId="38EE5235"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8</w:t>
            </w:r>
          </w:p>
        </w:tc>
        <w:tc>
          <w:tcPr>
            <w:tcW w:w="0" w:type="auto"/>
            <w:vAlign w:val="center"/>
          </w:tcPr>
          <w:p w14:paraId="29D49219"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Present the full electronic search strategy for at least 1 database, including any limits used, such that it could be repeated.</w:t>
            </w:r>
          </w:p>
        </w:tc>
        <w:sdt>
          <w:sdtPr>
            <w:rPr>
              <w:rFonts w:ascii="Arial" w:hAnsi="Arial" w:cs="Arial"/>
              <w:color w:val="000000" w:themeColor="text1"/>
              <w:sz w:val="20"/>
              <w:szCs w:val="20"/>
            </w:rPr>
            <w:id w:val="964171142"/>
            <w:placeholder>
              <w:docPart w:val="AB8C1847CE324171BB3E26C57074AE4B"/>
            </w:placeholder>
          </w:sdtPr>
          <w:sdtEndPr/>
          <w:sdtContent>
            <w:tc>
              <w:tcPr>
                <w:tcW w:w="0" w:type="auto"/>
                <w:vAlign w:val="center"/>
              </w:tcPr>
              <w:p w14:paraId="5AF59090"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Appendix Table 2</w:t>
                </w:r>
              </w:p>
            </w:tc>
          </w:sdtContent>
        </w:sdt>
      </w:tr>
      <w:tr w:rsidR="00E73159" w:rsidRPr="00E73159" w14:paraId="0BEFCB74" w14:textId="77777777" w:rsidTr="00A01ED0">
        <w:tc>
          <w:tcPr>
            <w:tcW w:w="0" w:type="auto"/>
            <w:vAlign w:val="center"/>
          </w:tcPr>
          <w:p w14:paraId="3AAA5CF5"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Selection of sources of evidence†</w:t>
            </w:r>
          </w:p>
        </w:tc>
        <w:tc>
          <w:tcPr>
            <w:tcW w:w="0" w:type="auto"/>
            <w:vAlign w:val="center"/>
          </w:tcPr>
          <w:p w14:paraId="34BD0888"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9</w:t>
            </w:r>
          </w:p>
        </w:tc>
        <w:tc>
          <w:tcPr>
            <w:tcW w:w="0" w:type="auto"/>
            <w:vAlign w:val="center"/>
          </w:tcPr>
          <w:p w14:paraId="52FD27F7"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State the process for selecting sources of evidence (i.e., screening and eligibility) included in the scoping review.</w:t>
            </w:r>
          </w:p>
        </w:tc>
        <w:sdt>
          <w:sdtPr>
            <w:rPr>
              <w:rFonts w:ascii="Arial" w:hAnsi="Arial" w:cs="Arial"/>
              <w:color w:val="000000" w:themeColor="text1"/>
              <w:sz w:val="20"/>
              <w:szCs w:val="20"/>
            </w:rPr>
            <w:id w:val="-2090377787"/>
            <w:placeholder>
              <w:docPart w:val="AB8C1847CE324171BB3E26C57074AE4B"/>
            </w:placeholder>
          </w:sdtPr>
          <w:sdtEndPr/>
          <w:sdtContent>
            <w:tc>
              <w:tcPr>
                <w:tcW w:w="0" w:type="auto"/>
                <w:vAlign w:val="center"/>
              </w:tcPr>
              <w:p w14:paraId="54F31169"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6</w:t>
                </w:r>
              </w:p>
            </w:tc>
          </w:sdtContent>
        </w:sdt>
      </w:tr>
      <w:tr w:rsidR="00E73159" w:rsidRPr="00E73159" w14:paraId="75F010BA" w14:textId="77777777" w:rsidTr="00A01ED0">
        <w:tc>
          <w:tcPr>
            <w:tcW w:w="0" w:type="auto"/>
            <w:vAlign w:val="center"/>
          </w:tcPr>
          <w:p w14:paraId="095CE09C"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Data charting process‡</w:t>
            </w:r>
          </w:p>
        </w:tc>
        <w:tc>
          <w:tcPr>
            <w:tcW w:w="0" w:type="auto"/>
            <w:vAlign w:val="center"/>
          </w:tcPr>
          <w:p w14:paraId="4B216E61"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10</w:t>
            </w:r>
          </w:p>
        </w:tc>
        <w:tc>
          <w:tcPr>
            <w:tcW w:w="0" w:type="auto"/>
            <w:vAlign w:val="center"/>
          </w:tcPr>
          <w:p w14:paraId="5C94516F"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color w:val="000000" w:themeColor="text1"/>
              <w:sz w:val="20"/>
              <w:szCs w:val="20"/>
            </w:rPr>
            <w:id w:val="1943252725"/>
            <w:placeholder>
              <w:docPart w:val="AB8C1847CE324171BB3E26C57074AE4B"/>
            </w:placeholder>
          </w:sdtPr>
          <w:sdtEndPr/>
          <w:sdtContent>
            <w:tc>
              <w:tcPr>
                <w:tcW w:w="0" w:type="auto"/>
                <w:vAlign w:val="center"/>
              </w:tcPr>
              <w:p w14:paraId="4104F321"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6-7</w:t>
                </w:r>
              </w:p>
            </w:tc>
          </w:sdtContent>
        </w:sdt>
      </w:tr>
      <w:tr w:rsidR="00E73159" w:rsidRPr="00E73159" w14:paraId="15F2624C" w14:textId="77777777" w:rsidTr="00A01ED0">
        <w:trPr>
          <w:trHeight w:val="260"/>
        </w:trPr>
        <w:tc>
          <w:tcPr>
            <w:tcW w:w="0" w:type="auto"/>
            <w:vAlign w:val="center"/>
          </w:tcPr>
          <w:p w14:paraId="15BEA450"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Data items</w:t>
            </w:r>
          </w:p>
        </w:tc>
        <w:tc>
          <w:tcPr>
            <w:tcW w:w="0" w:type="auto"/>
            <w:vAlign w:val="center"/>
          </w:tcPr>
          <w:p w14:paraId="4DB2448A"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11</w:t>
            </w:r>
          </w:p>
        </w:tc>
        <w:tc>
          <w:tcPr>
            <w:tcW w:w="0" w:type="auto"/>
            <w:vAlign w:val="center"/>
          </w:tcPr>
          <w:p w14:paraId="4AFC33CE"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List and define all variables for which data were sought and any assumptions and simplifications made.</w:t>
            </w:r>
          </w:p>
        </w:tc>
        <w:sdt>
          <w:sdtPr>
            <w:rPr>
              <w:rFonts w:ascii="Arial" w:hAnsi="Arial" w:cs="Arial"/>
              <w:color w:val="000000" w:themeColor="text1"/>
              <w:sz w:val="20"/>
              <w:szCs w:val="20"/>
            </w:rPr>
            <w:id w:val="667444934"/>
            <w:placeholder>
              <w:docPart w:val="AB8C1847CE324171BB3E26C57074AE4B"/>
            </w:placeholder>
          </w:sdtPr>
          <w:sdtEndPr/>
          <w:sdtContent>
            <w:tc>
              <w:tcPr>
                <w:tcW w:w="0" w:type="auto"/>
                <w:vAlign w:val="center"/>
              </w:tcPr>
              <w:p w14:paraId="485C3F3A"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7</w:t>
                </w:r>
              </w:p>
            </w:tc>
          </w:sdtContent>
        </w:sdt>
      </w:tr>
      <w:tr w:rsidR="00E73159" w:rsidRPr="00E73159" w14:paraId="3EF64F37" w14:textId="77777777" w:rsidTr="00A01ED0">
        <w:tc>
          <w:tcPr>
            <w:tcW w:w="0" w:type="auto"/>
            <w:vAlign w:val="center"/>
          </w:tcPr>
          <w:p w14:paraId="0EB1C95D"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Critical appraisal of individual sources of evidence§</w:t>
            </w:r>
          </w:p>
        </w:tc>
        <w:tc>
          <w:tcPr>
            <w:tcW w:w="0" w:type="auto"/>
            <w:vAlign w:val="center"/>
          </w:tcPr>
          <w:p w14:paraId="5586C0C3"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12</w:t>
            </w:r>
          </w:p>
        </w:tc>
        <w:tc>
          <w:tcPr>
            <w:tcW w:w="0" w:type="auto"/>
            <w:vAlign w:val="center"/>
          </w:tcPr>
          <w:p w14:paraId="2D9DD9B9"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color w:val="000000" w:themeColor="text1"/>
              <w:sz w:val="20"/>
              <w:szCs w:val="20"/>
            </w:rPr>
            <w:id w:val="-336618198"/>
            <w:placeholder>
              <w:docPart w:val="AB8C1847CE324171BB3E26C57074AE4B"/>
            </w:placeholder>
          </w:sdtPr>
          <w:sdtEndPr/>
          <w:sdtContent>
            <w:tc>
              <w:tcPr>
                <w:tcW w:w="0" w:type="auto"/>
                <w:vAlign w:val="center"/>
              </w:tcPr>
              <w:p w14:paraId="1BB662BB"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n/a</w:t>
                </w:r>
              </w:p>
            </w:tc>
          </w:sdtContent>
        </w:sdt>
      </w:tr>
      <w:tr w:rsidR="00E73159" w:rsidRPr="00E73159" w14:paraId="10A7A687" w14:textId="77777777" w:rsidTr="00A01ED0">
        <w:tc>
          <w:tcPr>
            <w:tcW w:w="0" w:type="auto"/>
            <w:vAlign w:val="center"/>
          </w:tcPr>
          <w:p w14:paraId="0A49BC10"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Synthesis of results</w:t>
            </w:r>
          </w:p>
        </w:tc>
        <w:tc>
          <w:tcPr>
            <w:tcW w:w="0" w:type="auto"/>
            <w:vAlign w:val="center"/>
          </w:tcPr>
          <w:p w14:paraId="49C06570"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13</w:t>
            </w:r>
          </w:p>
        </w:tc>
        <w:tc>
          <w:tcPr>
            <w:tcW w:w="0" w:type="auto"/>
            <w:vAlign w:val="center"/>
          </w:tcPr>
          <w:p w14:paraId="7500594B"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Describe the methods of handling and summarizing the data that were charted.</w:t>
            </w:r>
          </w:p>
        </w:tc>
        <w:sdt>
          <w:sdtPr>
            <w:rPr>
              <w:rFonts w:ascii="Arial" w:hAnsi="Arial" w:cs="Arial"/>
              <w:color w:val="000000" w:themeColor="text1"/>
              <w:sz w:val="20"/>
              <w:szCs w:val="20"/>
            </w:rPr>
            <w:id w:val="1751841620"/>
            <w:placeholder>
              <w:docPart w:val="AB8C1847CE324171BB3E26C57074AE4B"/>
            </w:placeholder>
          </w:sdtPr>
          <w:sdtEndPr/>
          <w:sdtContent>
            <w:tc>
              <w:tcPr>
                <w:tcW w:w="0" w:type="auto"/>
                <w:vAlign w:val="center"/>
              </w:tcPr>
              <w:p w14:paraId="296E89C2"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7-8</w:t>
                </w:r>
              </w:p>
            </w:tc>
          </w:sdtContent>
        </w:sdt>
      </w:tr>
      <w:tr w:rsidR="00E73159" w:rsidRPr="00E73159" w14:paraId="103B0238" w14:textId="77777777" w:rsidTr="00A01ED0">
        <w:tc>
          <w:tcPr>
            <w:tcW w:w="0" w:type="auto"/>
            <w:gridSpan w:val="4"/>
            <w:shd w:val="clear" w:color="auto" w:fill="DEEAF6" w:themeFill="accent1" w:themeFillTint="33"/>
            <w:vAlign w:val="center"/>
          </w:tcPr>
          <w:p w14:paraId="0AAC54B9" w14:textId="77777777" w:rsidR="000C3472" w:rsidRPr="00E73159" w:rsidRDefault="000C3472" w:rsidP="00A01ED0">
            <w:pPr>
              <w:rPr>
                <w:rFonts w:ascii="Arial" w:hAnsi="Arial" w:cs="Arial"/>
                <w:b/>
                <w:color w:val="000000" w:themeColor="text1"/>
                <w:sz w:val="20"/>
                <w:szCs w:val="20"/>
              </w:rPr>
            </w:pPr>
            <w:r w:rsidRPr="00E73159">
              <w:rPr>
                <w:rFonts w:ascii="Arial" w:hAnsi="Arial" w:cs="Arial"/>
                <w:b/>
                <w:color w:val="000000" w:themeColor="text1"/>
                <w:sz w:val="20"/>
                <w:szCs w:val="20"/>
              </w:rPr>
              <w:t>RESULTS</w:t>
            </w:r>
          </w:p>
        </w:tc>
      </w:tr>
      <w:tr w:rsidR="00E73159" w:rsidRPr="00E73159" w14:paraId="6018731F" w14:textId="77777777" w:rsidTr="00A01ED0">
        <w:tc>
          <w:tcPr>
            <w:tcW w:w="0" w:type="auto"/>
            <w:vAlign w:val="center"/>
          </w:tcPr>
          <w:p w14:paraId="42D0DCFC"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Selection of sources of evidence</w:t>
            </w:r>
          </w:p>
        </w:tc>
        <w:tc>
          <w:tcPr>
            <w:tcW w:w="0" w:type="auto"/>
            <w:vAlign w:val="center"/>
          </w:tcPr>
          <w:p w14:paraId="61BA83B1"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14</w:t>
            </w:r>
          </w:p>
        </w:tc>
        <w:tc>
          <w:tcPr>
            <w:tcW w:w="0" w:type="auto"/>
            <w:vAlign w:val="center"/>
          </w:tcPr>
          <w:p w14:paraId="4B5AF677"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Give numbers of sources of evidence screened, assessed for eligibility, and included in the review, with reasons for exclusions at each stage, ideally using a flow diagram.</w:t>
            </w:r>
          </w:p>
        </w:tc>
        <w:sdt>
          <w:sdtPr>
            <w:rPr>
              <w:rFonts w:ascii="Arial" w:hAnsi="Arial" w:cs="Arial"/>
              <w:color w:val="000000" w:themeColor="text1"/>
              <w:sz w:val="20"/>
              <w:szCs w:val="20"/>
            </w:rPr>
            <w:id w:val="-83771692"/>
            <w:placeholder>
              <w:docPart w:val="AB8C1847CE324171BB3E26C57074AE4B"/>
            </w:placeholder>
          </w:sdtPr>
          <w:sdtEndPr/>
          <w:sdtContent>
            <w:tc>
              <w:tcPr>
                <w:tcW w:w="0" w:type="auto"/>
                <w:vAlign w:val="center"/>
              </w:tcPr>
              <w:p w14:paraId="7BAE12E9"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8, Figure 2</w:t>
                </w:r>
              </w:p>
            </w:tc>
          </w:sdtContent>
        </w:sdt>
      </w:tr>
      <w:tr w:rsidR="00E73159" w:rsidRPr="00E73159" w14:paraId="4D1D7B0D" w14:textId="77777777" w:rsidTr="00A01ED0">
        <w:tc>
          <w:tcPr>
            <w:tcW w:w="0" w:type="auto"/>
            <w:vAlign w:val="center"/>
          </w:tcPr>
          <w:p w14:paraId="25055D7B"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Characteristics of sources of evidence</w:t>
            </w:r>
          </w:p>
        </w:tc>
        <w:tc>
          <w:tcPr>
            <w:tcW w:w="0" w:type="auto"/>
            <w:vAlign w:val="center"/>
          </w:tcPr>
          <w:p w14:paraId="59DFFCC4"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15</w:t>
            </w:r>
          </w:p>
        </w:tc>
        <w:tc>
          <w:tcPr>
            <w:tcW w:w="0" w:type="auto"/>
            <w:vAlign w:val="center"/>
          </w:tcPr>
          <w:p w14:paraId="00F0D72E"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For each source of evidence, present characteristics for which data were charted and provide the citations.</w:t>
            </w:r>
          </w:p>
        </w:tc>
        <w:sdt>
          <w:sdtPr>
            <w:rPr>
              <w:rFonts w:ascii="Arial" w:hAnsi="Arial" w:cs="Arial"/>
              <w:color w:val="000000" w:themeColor="text1"/>
              <w:sz w:val="20"/>
              <w:szCs w:val="20"/>
            </w:rPr>
            <w:id w:val="-137040765"/>
            <w:placeholder>
              <w:docPart w:val="AB8C1847CE324171BB3E26C57074AE4B"/>
            </w:placeholder>
          </w:sdtPr>
          <w:sdtEndPr/>
          <w:sdtContent>
            <w:tc>
              <w:tcPr>
                <w:tcW w:w="0" w:type="auto"/>
                <w:vAlign w:val="center"/>
              </w:tcPr>
              <w:p w14:paraId="327BA95F"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8-9</w:t>
                </w:r>
              </w:p>
            </w:tc>
          </w:sdtContent>
        </w:sdt>
      </w:tr>
      <w:tr w:rsidR="00E73159" w:rsidRPr="00E73159" w14:paraId="2F9B2EBD" w14:textId="77777777" w:rsidTr="00A01ED0">
        <w:tc>
          <w:tcPr>
            <w:tcW w:w="0" w:type="auto"/>
            <w:vAlign w:val="center"/>
          </w:tcPr>
          <w:p w14:paraId="7F068962"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Critical appraisal within sources of evidence</w:t>
            </w:r>
          </w:p>
        </w:tc>
        <w:tc>
          <w:tcPr>
            <w:tcW w:w="0" w:type="auto"/>
            <w:vAlign w:val="center"/>
          </w:tcPr>
          <w:p w14:paraId="38D16D16"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16</w:t>
            </w:r>
          </w:p>
        </w:tc>
        <w:tc>
          <w:tcPr>
            <w:tcW w:w="0" w:type="auto"/>
            <w:vAlign w:val="center"/>
          </w:tcPr>
          <w:p w14:paraId="5552C1D4"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If done, present data on critical appraisal of included sources of evidence (see item 12).</w:t>
            </w:r>
          </w:p>
        </w:tc>
        <w:sdt>
          <w:sdtPr>
            <w:rPr>
              <w:rFonts w:ascii="Arial" w:hAnsi="Arial" w:cs="Arial"/>
              <w:color w:val="000000" w:themeColor="text1"/>
              <w:sz w:val="20"/>
              <w:szCs w:val="20"/>
            </w:rPr>
            <w:id w:val="945268124"/>
            <w:placeholder>
              <w:docPart w:val="AB8C1847CE324171BB3E26C57074AE4B"/>
            </w:placeholder>
          </w:sdtPr>
          <w:sdtEndPr/>
          <w:sdtContent>
            <w:tc>
              <w:tcPr>
                <w:tcW w:w="0" w:type="auto"/>
                <w:vAlign w:val="center"/>
              </w:tcPr>
              <w:p w14:paraId="62E2BDE0"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n/a</w:t>
                </w:r>
              </w:p>
            </w:tc>
          </w:sdtContent>
        </w:sdt>
      </w:tr>
      <w:tr w:rsidR="00E73159" w:rsidRPr="00E73159" w14:paraId="12D6FEB2" w14:textId="77777777" w:rsidTr="00A01ED0">
        <w:tc>
          <w:tcPr>
            <w:tcW w:w="0" w:type="auto"/>
            <w:vAlign w:val="center"/>
          </w:tcPr>
          <w:p w14:paraId="6F5CE5DE"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Results of individual sources of evidence</w:t>
            </w:r>
          </w:p>
        </w:tc>
        <w:tc>
          <w:tcPr>
            <w:tcW w:w="0" w:type="auto"/>
            <w:vAlign w:val="center"/>
          </w:tcPr>
          <w:p w14:paraId="59EB745A"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17</w:t>
            </w:r>
          </w:p>
        </w:tc>
        <w:tc>
          <w:tcPr>
            <w:tcW w:w="0" w:type="auto"/>
            <w:vAlign w:val="center"/>
          </w:tcPr>
          <w:p w14:paraId="38DB8088"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For each included source of evidence, present the relevant data that were charted that relate to the review questions and objectives.</w:t>
            </w:r>
          </w:p>
        </w:tc>
        <w:sdt>
          <w:sdtPr>
            <w:rPr>
              <w:rFonts w:ascii="Arial" w:hAnsi="Arial" w:cs="Arial"/>
              <w:color w:val="000000" w:themeColor="text1"/>
              <w:sz w:val="20"/>
              <w:szCs w:val="20"/>
            </w:rPr>
            <w:id w:val="-1628242984"/>
            <w:placeholder>
              <w:docPart w:val="AB8C1847CE324171BB3E26C57074AE4B"/>
            </w:placeholder>
          </w:sdtPr>
          <w:sdtEndPr/>
          <w:sdtContent>
            <w:tc>
              <w:tcPr>
                <w:tcW w:w="0" w:type="auto"/>
                <w:vAlign w:val="center"/>
              </w:tcPr>
              <w:p w14:paraId="57DEA118"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Appendix Table 3</w:t>
                </w:r>
              </w:p>
            </w:tc>
          </w:sdtContent>
        </w:sdt>
      </w:tr>
      <w:tr w:rsidR="00E73159" w:rsidRPr="00E73159" w14:paraId="69278B7D" w14:textId="77777777" w:rsidTr="00A01ED0">
        <w:tc>
          <w:tcPr>
            <w:tcW w:w="0" w:type="auto"/>
            <w:vAlign w:val="center"/>
          </w:tcPr>
          <w:p w14:paraId="5CF5B87F"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Synthesis of results</w:t>
            </w:r>
          </w:p>
        </w:tc>
        <w:tc>
          <w:tcPr>
            <w:tcW w:w="0" w:type="auto"/>
            <w:vAlign w:val="center"/>
          </w:tcPr>
          <w:p w14:paraId="59B3C510"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18</w:t>
            </w:r>
          </w:p>
        </w:tc>
        <w:tc>
          <w:tcPr>
            <w:tcW w:w="0" w:type="auto"/>
            <w:vAlign w:val="center"/>
          </w:tcPr>
          <w:p w14:paraId="609BEA5A"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Summarize and/or present the charting results as they relate to the review questions and objectives.</w:t>
            </w:r>
          </w:p>
        </w:tc>
        <w:sdt>
          <w:sdtPr>
            <w:rPr>
              <w:rFonts w:ascii="Arial" w:hAnsi="Arial" w:cs="Arial"/>
              <w:color w:val="000000" w:themeColor="text1"/>
              <w:sz w:val="20"/>
              <w:szCs w:val="20"/>
            </w:rPr>
            <w:id w:val="547573417"/>
            <w:placeholder>
              <w:docPart w:val="AB8C1847CE324171BB3E26C57074AE4B"/>
            </w:placeholder>
          </w:sdtPr>
          <w:sdtEndPr/>
          <w:sdtContent>
            <w:tc>
              <w:tcPr>
                <w:tcW w:w="0" w:type="auto"/>
                <w:vAlign w:val="center"/>
              </w:tcPr>
              <w:p w14:paraId="587A5BFB"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9-11</w:t>
                </w:r>
              </w:p>
            </w:tc>
          </w:sdtContent>
        </w:sdt>
      </w:tr>
      <w:tr w:rsidR="00E73159" w:rsidRPr="00E73159" w14:paraId="225D679B" w14:textId="77777777" w:rsidTr="00A01ED0">
        <w:tc>
          <w:tcPr>
            <w:tcW w:w="0" w:type="auto"/>
            <w:gridSpan w:val="4"/>
            <w:shd w:val="clear" w:color="auto" w:fill="DEEAF6" w:themeFill="accent1" w:themeFillTint="33"/>
            <w:vAlign w:val="center"/>
          </w:tcPr>
          <w:p w14:paraId="2D1F3C6A" w14:textId="77777777" w:rsidR="000C3472" w:rsidRPr="00E73159" w:rsidRDefault="000C3472" w:rsidP="00A01ED0">
            <w:pPr>
              <w:rPr>
                <w:rFonts w:ascii="Arial" w:hAnsi="Arial" w:cs="Arial"/>
                <w:b/>
                <w:color w:val="000000" w:themeColor="text1"/>
                <w:sz w:val="20"/>
                <w:szCs w:val="20"/>
              </w:rPr>
            </w:pPr>
            <w:r w:rsidRPr="00E73159">
              <w:rPr>
                <w:rFonts w:ascii="Arial" w:hAnsi="Arial" w:cs="Arial"/>
                <w:b/>
                <w:color w:val="000000" w:themeColor="text1"/>
                <w:sz w:val="20"/>
                <w:szCs w:val="20"/>
              </w:rPr>
              <w:t>DISCUSSION</w:t>
            </w:r>
          </w:p>
        </w:tc>
      </w:tr>
      <w:tr w:rsidR="00E73159" w:rsidRPr="00E73159" w14:paraId="0D02554A" w14:textId="77777777" w:rsidTr="00A01ED0">
        <w:tc>
          <w:tcPr>
            <w:tcW w:w="0" w:type="auto"/>
            <w:vAlign w:val="center"/>
          </w:tcPr>
          <w:p w14:paraId="745C6884"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Summary of evidence</w:t>
            </w:r>
          </w:p>
        </w:tc>
        <w:tc>
          <w:tcPr>
            <w:tcW w:w="0" w:type="auto"/>
            <w:vAlign w:val="center"/>
          </w:tcPr>
          <w:p w14:paraId="18228D89"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19</w:t>
            </w:r>
          </w:p>
        </w:tc>
        <w:tc>
          <w:tcPr>
            <w:tcW w:w="0" w:type="auto"/>
            <w:vAlign w:val="center"/>
          </w:tcPr>
          <w:p w14:paraId="009C84BC"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color w:val="000000" w:themeColor="text1"/>
              <w:sz w:val="20"/>
              <w:szCs w:val="20"/>
            </w:rPr>
            <w:id w:val="1890606668"/>
            <w:placeholder>
              <w:docPart w:val="AB8C1847CE324171BB3E26C57074AE4B"/>
            </w:placeholder>
          </w:sdtPr>
          <w:sdtEndPr/>
          <w:sdtContent>
            <w:tc>
              <w:tcPr>
                <w:tcW w:w="0" w:type="auto"/>
                <w:vAlign w:val="center"/>
              </w:tcPr>
              <w:p w14:paraId="0F9CCA1C"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13-16</w:t>
                </w:r>
              </w:p>
            </w:tc>
          </w:sdtContent>
        </w:sdt>
      </w:tr>
      <w:tr w:rsidR="00E73159" w:rsidRPr="00E73159" w14:paraId="600D75DC" w14:textId="77777777" w:rsidTr="00A01ED0">
        <w:tc>
          <w:tcPr>
            <w:tcW w:w="0" w:type="auto"/>
            <w:vAlign w:val="center"/>
          </w:tcPr>
          <w:p w14:paraId="2D8EB0F1"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Limitations</w:t>
            </w:r>
          </w:p>
        </w:tc>
        <w:tc>
          <w:tcPr>
            <w:tcW w:w="0" w:type="auto"/>
            <w:vAlign w:val="center"/>
          </w:tcPr>
          <w:p w14:paraId="5626E075"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20</w:t>
            </w:r>
          </w:p>
        </w:tc>
        <w:tc>
          <w:tcPr>
            <w:tcW w:w="0" w:type="auto"/>
            <w:vAlign w:val="center"/>
          </w:tcPr>
          <w:p w14:paraId="2C7DD4F7" w14:textId="77777777" w:rsidR="000C3472" w:rsidRPr="00E73159" w:rsidRDefault="000C3472" w:rsidP="00A01ED0">
            <w:pPr>
              <w:rPr>
                <w:rFonts w:ascii="Arial" w:hAnsi="Arial" w:cs="Arial"/>
                <w:b/>
                <w:i/>
                <w:color w:val="000000" w:themeColor="text1"/>
                <w:sz w:val="20"/>
                <w:szCs w:val="20"/>
              </w:rPr>
            </w:pPr>
            <w:r w:rsidRPr="00E73159">
              <w:rPr>
                <w:rFonts w:ascii="Arial" w:hAnsi="Arial" w:cs="Arial"/>
                <w:color w:val="000000" w:themeColor="text1"/>
                <w:sz w:val="20"/>
                <w:szCs w:val="20"/>
              </w:rPr>
              <w:t>Discuss the limitations of the scoping review process.</w:t>
            </w:r>
          </w:p>
        </w:tc>
        <w:sdt>
          <w:sdtPr>
            <w:rPr>
              <w:rFonts w:ascii="Arial" w:hAnsi="Arial" w:cs="Arial"/>
              <w:color w:val="000000" w:themeColor="text1"/>
              <w:sz w:val="20"/>
              <w:szCs w:val="20"/>
            </w:rPr>
            <w:id w:val="-1476291050"/>
            <w:placeholder>
              <w:docPart w:val="AB8C1847CE324171BB3E26C57074AE4B"/>
            </w:placeholder>
          </w:sdtPr>
          <w:sdtEndPr/>
          <w:sdtContent>
            <w:tc>
              <w:tcPr>
                <w:tcW w:w="0" w:type="auto"/>
                <w:vAlign w:val="center"/>
              </w:tcPr>
              <w:p w14:paraId="725FCB77"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16-17</w:t>
                </w:r>
              </w:p>
            </w:tc>
          </w:sdtContent>
        </w:sdt>
      </w:tr>
      <w:tr w:rsidR="00E73159" w:rsidRPr="00E73159" w14:paraId="5597CCF5" w14:textId="77777777" w:rsidTr="00A01ED0">
        <w:tc>
          <w:tcPr>
            <w:tcW w:w="0" w:type="auto"/>
            <w:vAlign w:val="center"/>
          </w:tcPr>
          <w:p w14:paraId="7F6F6CD5"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Conclusions</w:t>
            </w:r>
          </w:p>
        </w:tc>
        <w:tc>
          <w:tcPr>
            <w:tcW w:w="0" w:type="auto"/>
            <w:vAlign w:val="center"/>
          </w:tcPr>
          <w:p w14:paraId="70AF2781"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21</w:t>
            </w:r>
          </w:p>
        </w:tc>
        <w:tc>
          <w:tcPr>
            <w:tcW w:w="0" w:type="auto"/>
            <w:vAlign w:val="center"/>
          </w:tcPr>
          <w:p w14:paraId="0A8B7115"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Provide a general interpretation of the results with respect to the review questions and objectives, as well as potential implications and/or next steps.</w:t>
            </w:r>
          </w:p>
        </w:tc>
        <w:sdt>
          <w:sdtPr>
            <w:rPr>
              <w:rFonts w:ascii="Arial" w:hAnsi="Arial" w:cs="Arial"/>
              <w:color w:val="000000" w:themeColor="text1"/>
              <w:sz w:val="20"/>
              <w:szCs w:val="20"/>
            </w:rPr>
            <w:id w:val="-1052302124"/>
            <w:placeholder>
              <w:docPart w:val="AB8C1847CE324171BB3E26C57074AE4B"/>
            </w:placeholder>
          </w:sdtPr>
          <w:sdtEndPr/>
          <w:sdtContent>
            <w:tc>
              <w:tcPr>
                <w:tcW w:w="0" w:type="auto"/>
                <w:vAlign w:val="center"/>
              </w:tcPr>
              <w:p w14:paraId="227DF7CA"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17</w:t>
                </w:r>
              </w:p>
            </w:tc>
          </w:sdtContent>
        </w:sdt>
      </w:tr>
      <w:tr w:rsidR="00E73159" w:rsidRPr="00E73159" w14:paraId="5502C1FB" w14:textId="77777777" w:rsidTr="00A01ED0">
        <w:tc>
          <w:tcPr>
            <w:tcW w:w="0" w:type="auto"/>
            <w:gridSpan w:val="4"/>
            <w:shd w:val="clear" w:color="auto" w:fill="DEEAF6" w:themeFill="accent1" w:themeFillTint="33"/>
            <w:vAlign w:val="center"/>
          </w:tcPr>
          <w:p w14:paraId="3B9EC545" w14:textId="77777777" w:rsidR="000C3472" w:rsidRPr="00E73159" w:rsidRDefault="000C3472" w:rsidP="00A01ED0">
            <w:pPr>
              <w:rPr>
                <w:rFonts w:ascii="Arial" w:hAnsi="Arial" w:cs="Arial"/>
                <w:b/>
                <w:color w:val="000000" w:themeColor="text1"/>
                <w:sz w:val="20"/>
                <w:szCs w:val="20"/>
              </w:rPr>
            </w:pPr>
            <w:r w:rsidRPr="00E73159">
              <w:rPr>
                <w:rFonts w:ascii="Arial" w:hAnsi="Arial" w:cs="Arial"/>
                <w:b/>
                <w:color w:val="000000" w:themeColor="text1"/>
                <w:sz w:val="20"/>
                <w:szCs w:val="20"/>
              </w:rPr>
              <w:t>FUNDING</w:t>
            </w:r>
          </w:p>
        </w:tc>
      </w:tr>
      <w:tr w:rsidR="00E73159" w:rsidRPr="00E73159" w14:paraId="13661BB2" w14:textId="77777777" w:rsidTr="00A01ED0">
        <w:tc>
          <w:tcPr>
            <w:tcW w:w="0" w:type="auto"/>
            <w:vAlign w:val="center"/>
          </w:tcPr>
          <w:p w14:paraId="65D892D2" w14:textId="77777777" w:rsidR="000C3472" w:rsidRPr="00E73159" w:rsidRDefault="000C3472" w:rsidP="00A01ED0">
            <w:pPr>
              <w:ind w:left="180"/>
              <w:rPr>
                <w:rFonts w:ascii="Arial" w:hAnsi="Arial" w:cs="Arial"/>
                <w:color w:val="000000" w:themeColor="text1"/>
                <w:sz w:val="20"/>
                <w:szCs w:val="20"/>
              </w:rPr>
            </w:pPr>
            <w:r w:rsidRPr="00E73159">
              <w:rPr>
                <w:rFonts w:ascii="Arial" w:hAnsi="Arial" w:cs="Arial"/>
                <w:color w:val="000000" w:themeColor="text1"/>
                <w:sz w:val="20"/>
                <w:szCs w:val="20"/>
              </w:rPr>
              <w:t>Funding</w:t>
            </w:r>
          </w:p>
        </w:tc>
        <w:tc>
          <w:tcPr>
            <w:tcW w:w="0" w:type="auto"/>
            <w:vAlign w:val="center"/>
          </w:tcPr>
          <w:p w14:paraId="40857DEC" w14:textId="77777777" w:rsidR="000C3472" w:rsidRPr="00E73159" w:rsidRDefault="000C3472" w:rsidP="00A01ED0">
            <w:pPr>
              <w:jc w:val="center"/>
              <w:rPr>
                <w:rFonts w:ascii="Arial" w:hAnsi="Arial" w:cs="Arial"/>
                <w:color w:val="000000" w:themeColor="text1"/>
                <w:sz w:val="20"/>
                <w:szCs w:val="20"/>
              </w:rPr>
            </w:pPr>
            <w:r w:rsidRPr="00E73159">
              <w:rPr>
                <w:rFonts w:ascii="Arial" w:hAnsi="Arial" w:cs="Arial"/>
                <w:color w:val="000000" w:themeColor="text1"/>
                <w:sz w:val="20"/>
                <w:szCs w:val="20"/>
              </w:rPr>
              <w:t>22</w:t>
            </w:r>
          </w:p>
        </w:tc>
        <w:tc>
          <w:tcPr>
            <w:tcW w:w="0" w:type="auto"/>
            <w:vAlign w:val="center"/>
          </w:tcPr>
          <w:p w14:paraId="5C3C9555"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Describe sources of funding for the included sources of evidence, as well as sources of funding for the scoping review. Describe the role of the funders of the scoping review.</w:t>
            </w:r>
          </w:p>
        </w:tc>
        <w:sdt>
          <w:sdtPr>
            <w:rPr>
              <w:rFonts w:ascii="Arial" w:hAnsi="Arial" w:cs="Arial"/>
              <w:color w:val="000000" w:themeColor="text1"/>
              <w:sz w:val="20"/>
              <w:szCs w:val="20"/>
            </w:rPr>
            <w:id w:val="-1660921886"/>
            <w:placeholder>
              <w:docPart w:val="AB8C1847CE324171BB3E26C57074AE4B"/>
            </w:placeholder>
          </w:sdtPr>
          <w:sdtEndPr/>
          <w:sdtContent>
            <w:tc>
              <w:tcPr>
                <w:tcW w:w="0" w:type="auto"/>
                <w:vAlign w:val="center"/>
              </w:tcPr>
              <w:p w14:paraId="1B39CC7A" w14:textId="77777777" w:rsidR="000C3472" w:rsidRPr="00E73159" w:rsidRDefault="000C3472" w:rsidP="00A01ED0">
                <w:pPr>
                  <w:rPr>
                    <w:rFonts w:ascii="Arial" w:hAnsi="Arial" w:cs="Arial"/>
                    <w:color w:val="000000" w:themeColor="text1"/>
                    <w:sz w:val="20"/>
                    <w:szCs w:val="20"/>
                  </w:rPr>
                </w:pPr>
                <w:r w:rsidRPr="00E73159">
                  <w:rPr>
                    <w:rFonts w:ascii="Arial" w:hAnsi="Arial" w:cs="Arial"/>
                    <w:color w:val="000000" w:themeColor="text1"/>
                    <w:sz w:val="20"/>
                    <w:szCs w:val="20"/>
                  </w:rPr>
                  <w:t>27</w:t>
                </w:r>
              </w:p>
            </w:tc>
          </w:sdtContent>
        </w:sdt>
      </w:tr>
    </w:tbl>
    <w:p w14:paraId="4F41380E" w14:textId="77777777" w:rsidR="000C3472" w:rsidRPr="00E73159" w:rsidRDefault="000C3472" w:rsidP="000C3472">
      <w:pPr>
        <w:rPr>
          <w:b/>
          <w:color w:val="000000" w:themeColor="text1"/>
        </w:rPr>
      </w:pPr>
      <w:r w:rsidRPr="00E73159">
        <w:rPr>
          <w:b/>
          <w:color w:val="000000" w:themeColor="text1"/>
        </w:rPr>
        <w:br w:type="page"/>
      </w:r>
    </w:p>
    <w:p w14:paraId="14105A5D" w14:textId="40A6F218" w:rsidR="000C3472" w:rsidRPr="00E73159" w:rsidRDefault="00E73159" w:rsidP="000C3472">
      <w:pPr>
        <w:rPr>
          <w:b/>
          <w:color w:val="000000" w:themeColor="text1"/>
        </w:rPr>
      </w:pPr>
      <w:r>
        <w:rPr>
          <w:b/>
          <w:color w:val="000000" w:themeColor="text1"/>
        </w:rPr>
        <w:t xml:space="preserve">Additional file 1: </w:t>
      </w:r>
      <w:r w:rsidR="000C3472" w:rsidRPr="00E73159">
        <w:rPr>
          <w:b/>
          <w:color w:val="000000" w:themeColor="text1"/>
        </w:rPr>
        <w:t>Table 2. Search Strategy</w:t>
      </w:r>
    </w:p>
    <w:tbl>
      <w:tblPr>
        <w:tblW w:w="0" w:type="auto"/>
        <w:tblCellMar>
          <w:top w:w="15" w:type="dxa"/>
          <w:left w:w="15" w:type="dxa"/>
          <w:bottom w:w="15" w:type="dxa"/>
          <w:right w:w="15" w:type="dxa"/>
        </w:tblCellMar>
        <w:tblLook w:val="04A0" w:firstRow="1" w:lastRow="0" w:firstColumn="1" w:lastColumn="0" w:noHBand="0" w:noVBand="1"/>
      </w:tblPr>
      <w:tblGrid>
        <w:gridCol w:w="2245"/>
        <w:gridCol w:w="8190"/>
      </w:tblGrid>
      <w:tr w:rsidR="00E73159" w:rsidRPr="00E73159" w14:paraId="79C763FF" w14:textId="77777777" w:rsidTr="00A01ED0">
        <w:trPr>
          <w:tblHeader/>
        </w:trPr>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52675D21" w14:textId="77777777" w:rsidR="000C3472" w:rsidRPr="00E73159" w:rsidRDefault="000C3472" w:rsidP="00A01ED0">
            <w:pPr>
              <w:spacing w:after="0" w:line="240" w:lineRule="auto"/>
              <w:rPr>
                <w:rFonts w:ascii="Calibri" w:eastAsia="Times New Roman" w:hAnsi="Calibri" w:cs="Calibri"/>
                <w:b/>
                <w:bCs/>
                <w:color w:val="000000" w:themeColor="text1"/>
              </w:rPr>
            </w:pPr>
            <w:r w:rsidRPr="00E73159">
              <w:rPr>
                <w:rFonts w:ascii="Calibri" w:eastAsia="Times New Roman" w:hAnsi="Calibri" w:cs="Calibri"/>
                <w:b/>
                <w:bCs/>
                <w:color w:val="000000" w:themeColor="text1"/>
              </w:rPr>
              <w:t>Database</w:t>
            </w:r>
          </w:p>
        </w:tc>
        <w:tc>
          <w:tcPr>
            <w:tcW w:w="8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26C8F6E" w14:textId="77777777" w:rsidR="000C3472" w:rsidRPr="00E73159" w:rsidRDefault="000C3472" w:rsidP="00A01ED0">
            <w:pPr>
              <w:spacing w:after="0" w:line="240" w:lineRule="auto"/>
              <w:rPr>
                <w:rFonts w:ascii="Times New Roman" w:eastAsia="Times New Roman" w:hAnsi="Times New Roman" w:cs="Times New Roman"/>
                <w:color w:val="000000" w:themeColor="text1"/>
                <w:sz w:val="24"/>
                <w:szCs w:val="24"/>
              </w:rPr>
            </w:pPr>
            <w:r w:rsidRPr="00E73159">
              <w:rPr>
                <w:rFonts w:ascii="Calibri" w:eastAsia="Times New Roman" w:hAnsi="Calibri" w:cs="Calibri"/>
                <w:b/>
                <w:bCs/>
                <w:color w:val="000000" w:themeColor="text1"/>
              </w:rPr>
              <w:t>Strategy</w:t>
            </w:r>
          </w:p>
        </w:tc>
      </w:tr>
      <w:tr w:rsidR="00E73159" w:rsidRPr="00E73159" w14:paraId="32216928" w14:textId="77777777" w:rsidTr="00A01ED0">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71542332" w14:textId="77777777" w:rsidR="000C3472" w:rsidRPr="00E73159" w:rsidRDefault="000C3472" w:rsidP="00A01ED0">
            <w:pPr>
              <w:spacing w:after="0" w:line="240" w:lineRule="auto"/>
              <w:rPr>
                <w:rFonts w:ascii="Calibri" w:eastAsia="Times New Roman" w:hAnsi="Calibri" w:cs="Calibri"/>
                <w:color w:val="000000" w:themeColor="text1"/>
                <w:sz w:val="18"/>
                <w:szCs w:val="18"/>
              </w:rPr>
            </w:pPr>
            <w:r w:rsidRPr="00E73159">
              <w:rPr>
                <w:rFonts w:ascii="Calibri" w:eastAsia="Times New Roman" w:hAnsi="Calibri" w:cs="Calibri"/>
                <w:color w:val="000000" w:themeColor="text1"/>
                <w:sz w:val="18"/>
                <w:szCs w:val="18"/>
              </w:rPr>
              <w:t>PubMed</w:t>
            </w:r>
          </w:p>
        </w:tc>
        <w:tc>
          <w:tcPr>
            <w:tcW w:w="8190"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hideMark/>
          </w:tcPr>
          <w:p w14:paraId="43D73537" w14:textId="77777777" w:rsidR="000C3472" w:rsidRPr="00E73159" w:rsidRDefault="000C3472" w:rsidP="00A01ED0">
            <w:pPr>
              <w:spacing w:after="0" w:line="240" w:lineRule="auto"/>
              <w:rPr>
                <w:rFonts w:ascii="Calibri" w:eastAsia="Times New Roman" w:hAnsi="Calibri" w:cs="Calibri"/>
                <w:color w:val="000000" w:themeColor="text1"/>
                <w:sz w:val="18"/>
                <w:szCs w:val="18"/>
              </w:rPr>
            </w:pPr>
            <w:r w:rsidRPr="00E73159">
              <w:rPr>
                <w:rFonts w:ascii="Calibri" w:eastAsia="Times New Roman" w:hAnsi="Calibri" w:cs="Calibri"/>
                <w:color w:val="000000" w:themeColor="text1"/>
                <w:sz w:val="18"/>
                <w:szCs w:val="18"/>
              </w:rPr>
              <w:t>((Alcohol-Related Disorders/diagnosis[Mesh] OR Alcohol-Related Disorders/drug therapy[Mesh] OR Alcohol-Related Disorders/epidemiology[Mesh] OR Alcohol-Related Disorders/nursing[Mesh] OR Alcohol-Related Disorders/organization and administration[Mesh] OR Alcohol-Related Disorders/pharmacology[Mesh] OR  Alcohol-Related Disorders/rehabilitation[Mesh] OR  Alcohol-Related Disorders/therapy[Mesh] OR Alcohol-Related Disorders/prevention and control[Mesh] OR Alcoholism[</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"alcohol Abuse*"[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Substance-Related Disorders/diagnosis[Mesh] OR Substance-Related Disorders/drug therapy[Mesh] OR Substance-Related Disorders/epidemiology[Mesh] OR Substance-Related Disorders/nursing[Mesh] OR Substance-Related Disorders/pharmacology[Mesh] OR Substance-Related Disorders/organization and administration[Mesh] OR Substance-Related Disorders/prevention and control[Mesh] OR Substance-Related Disorders/rehabilitation[Mesh] OR Substance-Related Disorders/standards[Mesh] OR Substance-Related Disorders/therapy[Mesh] OR "SUD*" [</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"substance related disorder*"[</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Drug Overdose/drug therapy[Mesh] OR Drug Overdose/epidemiology[Mesh] OR Drug Overdose/nursing[Mesh] OR Drug Overdose/organization and administration[Mesh] OR Drug Overdose/prevention and control[Mesh] OR Drug Overdose/rehabilitation[Mesh] OR Drug Overdose/therapy[Mesh] OR Drug Overdose/diagnosis[Mesh] OR "Drug Overdose*"[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"People who use drugs"[</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"Opioid Use Disorder"[</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xml:space="preserve">]) </w:t>
            </w:r>
            <w:r w:rsidRPr="00E73159">
              <w:rPr>
                <w:rFonts w:ascii="Calibri" w:eastAsia="Times New Roman" w:hAnsi="Calibri" w:cs="Calibri"/>
                <w:b/>
                <w:bCs/>
                <w:color w:val="000000" w:themeColor="text1"/>
                <w:sz w:val="18"/>
                <w:szCs w:val="18"/>
              </w:rPr>
              <w:t>AND</w:t>
            </w:r>
            <w:r w:rsidRPr="00E73159">
              <w:rPr>
                <w:rFonts w:ascii="Calibri" w:eastAsia="Times New Roman" w:hAnsi="Calibri" w:cs="Calibri"/>
                <w:color w:val="000000" w:themeColor="text1"/>
                <w:sz w:val="18"/>
                <w:szCs w:val="18"/>
              </w:rPr>
              <w:t xml:space="preserve"> (Patient Discharge/methods[Mesh] OR Patient Discharge/organization and administration[Mesh] OR Patient Discharge/standards[Mesh] OR "Patient discharge*"[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xml:space="preserve">] OR Patient Navigation/methods[Mesh] OR Patient Navigation/organization and administration[Mesh] OR Patient Navigation/standards[Mesh] OR Patient Navigation/methods[Mesh] OR "Patient </w:t>
            </w:r>
            <w:proofErr w:type="spellStart"/>
            <w:r w:rsidRPr="00E73159">
              <w:rPr>
                <w:rFonts w:ascii="Calibri" w:eastAsia="Times New Roman" w:hAnsi="Calibri" w:cs="Calibri"/>
                <w:color w:val="000000" w:themeColor="text1"/>
                <w:sz w:val="18"/>
                <w:szCs w:val="18"/>
              </w:rPr>
              <w:t>navigat</w:t>
            </w:r>
            <w:proofErr w:type="spellEnd"/>
            <w:r w:rsidRPr="00E73159">
              <w:rPr>
                <w:rFonts w:ascii="Calibri" w:eastAsia="Times New Roman" w:hAnsi="Calibri" w:cs="Calibri"/>
                <w:color w:val="000000" w:themeColor="text1"/>
                <w:sz w:val="18"/>
                <w:szCs w:val="18"/>
              </w:rPr>
              <w:t>*"[</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Patient Care Planning/methods[Mesh] OR Patient Care Planning/organization and administration[Mesh] OR Patient Care Planning/standards[Mesh] OR "Patient Care Plan*"[</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Referral and Consultation/methods[Mesh] OR Referral and Consultation/organization and administration[Mesh] OR Referral and Consultation/standards[Mesh] OR “Referral”[</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"Consult*"[</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Continuity of Patient Care/methods[Mesh] OR Continuity of Patient Care/nursing[Mesh] OR  Continuity of Patient Care/organization and administration[Mesh] OR Continuity of Patient Care/pharmacology[Mesh] OR Continuity of Patient Care/standards[Mesh] OR Continuity of Patient Care/supply and distribution[Mesh] OR Continuity of Patient Care/therapy[Mesh] OR "Continuity of Patient Care"[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("Transition*"[</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AND ("Care"[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"treatment*"[</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("Linkage*"[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AND ("Care"[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"Treatment*"[</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("Transfer*"[</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AND ("Care"[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"Treatment*"[</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("Care"[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AND ("Follow up"[</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("Cascade"[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AND ("Care"[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"Treatment*"[</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("Coordination"[</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AND ("Care"[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"Treatment*"[</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"Warm handoff"[</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"Bridge clinic"[</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"Addiction consult*"[</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"Addiction consult team*"[</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"Health care transition model"[</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"Consultation team"[</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"post discharge"[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("Post discharge"[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AND ("navigator*"[</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"Care"[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"Intervention*"[</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xml:space="preserve">]))) </w:t>
            </w:r>
            <w:r w:rsidRPr="00E73159">
              <w:rPr>
                <w:rFonts w:ascii="Calibri" w:eastAsia="Times New Roman" w:hAnsi="Calibri" w:cs="Calibri"/>
                <w:b/>
                <w:bCs/>
                <w:color w:val="000000" w:themeColor="text1"/>
                <w:sz w:val="18"/>
                <w:szCs w:val="18"/>
              </w:rPr>
              <w:t>AND</w:t>
            </w:r>
            <w:r w:rsidRPr="00E73159">
              <w:rPr>
                <w:rFonts w:ascii="Calibri" w:eastAsia="Times New Roman" w:hAnsi="Calibri" w:cs="Calibri"/>
                <w:color w:val="000000" w:themeColor="text1"/>
                <w:sz w:val="18"/>
                <w:szCs w:val="18"/>
              </w:rPr>
              <w:t xml:space="preserve"> ("hospitals"[</w:t>
            </w:r>
            <w:proofErr w:type="spellStart"/>
            <w:r w:rsidRPr="00E73159">
              <w:rPr>
                <w:rFonts w:ascii="Calibri" w:eastAsia="Times New Roman" w:hAnsi="Calibri" w:cs="Calibri"/>
                <w:color w:val="000000" w:themeColor="text1"/>
                <w:sz w:val="18"/>
                <w:szCs w:val="18"/>
              </w:rPr>
              <w:t>MeSH</w:t>
            </w:r>
            <w:proofErr w:type="spellEnd"/>
            <w:r w:rsidRPr="00E73159">
              <w:rPr>
                <w:rFonts w:ascii="Calibri" w:eastAsia="Times New Roman" w:hAnsi="Calibri" w:cs="Calibri"/>
                <w:color w:val="000000" w:themeColor="text1"/>
                <w:sz w:val="18"/>
                <w:szCs w:val="18"/>
              </w:rPr>
              <w:t xml:space="preserve"> Terms] OR "hospital*"[</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"emergency service, hospital"[</w:t>
            </w:r>
            <w:proofErr w:type="spellStart"/>
            <w:r w:rsidRPr="00E73159">
              <w:rPr>
                <w:rFonts w:ascii="Calibri" w:eastAsia="Times New Roman" w:hAnsi="Calibri" w:cs="Calibri"/>
                <w:color w:val="000000" w:themeColor="text1"/>
                <w:sz w:val="18"/>
                <w:szCs w:val="18"/>
              </w:rPr>
              <w:t>MeSH</w:t>
            </w:r>
            <w:proofErr w:type="spellEnd"/>
            <w:r w:rsidRPr="00E73159">
              <w:rPr>
                <w:rFonts w:ascii="Calibri" w:eastAsia="Times New Roman" w:hAnsi="Calibri" w:cs="Calibri"/>
                <w:color w:val="000000" w:themeColor="text1"/>
                <w:sz w:val="18"/>
                <w:szCs w:val="18"/>
              </w:rPr>
              <w:t xml:space="preserve"> Terms] OR "emergency service*"[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"emergency medical services"[</w:t>
            </w:r>
            <w:proofErr w:type="spellStart"/>
            <w:r w:rsidRPr="00E73159">
              <w:rPr>
                <w:rFonts w:ascii="Calibri" w:eastAsia="Times New Roman" w:hAnsi="Calibri" w:cs="Calibri"/>
                <w:color w:val="000000" w:themeColor="text1"/>
                <w:sz w:val="18"/>
                <w:szCs w:val="18"/>
              </w:rPr>
              <w:t>MeSH</w:t>
            </w:r>
            <w:proofErr w:type="spellEnd"/>
            <w:r w:rsidRPr="00E73159">
              <w:rPr>
                <w:rFonts w:ascii="Calibri" w:eastAsia="Times New Roman" w:hAnsi="Calibri" w:cs="Calibri"/>
                <w:color w:val="000000" w:themeColor="text1"/>
                <w:sz w:val="18"/>
                <w:szCs w:val="18"/>
              </w:rPr>
              <w:t xml:space="preserve"> Terms] OR "hospitalization"[</w:t>
            </w:r>
            <w:proofErr w:type="spellStart"/>
            <w:r w:rsidRPr="00E73159">
              <w:rPr>
                <w:rFonts w:ascii="Calibri" w:eastAsia="Times New Roman" w:hAnsi="Calibri" w:cs="Calibri"/>
                <w:color w:val="000000" w:themeColor="text1"/>
                <w:sz w:val="18"/>
                <w:szCs w:val="18"/>
              </w:rPr>
              <w:t>MeSH</w:t>
            </w:r>
            <w:proofErr w:type="spellEnd"/>
            <w:r w:rsidRPr="00E73159">
              <w:rPr>
                <w:rFonts w:ascii="Calibri" w:eastAsia="Times New Roman" w:hAnsi="Calibri" w:cs="Calibri"/>
                <w:color w:val="000000" w:themeColor="text1"/>
                <w:sz w:val="18"/>
                <w:szCs w:val="18"/>
              </w:rPr>
              <w:t xml:space="preserve"> Terms] OR "Acute care"[</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OR "detox*"[</w:t>
            </w:r>
            <w:proofErr w:type="spellStart"/>
            <w:r w:rsidRPr="00E73159">
              <w:rPr>
                <w:rFonts w:ascii="Calibri" w:eastAsia="Times New Roman" w:hAnsi="Calibri" w:cs="Calibri"/>
                <w:color w:val="000000" w:themeColor="text1"/>
                <w:sz w:val="18"/>
                <w:szCs w:val="18"/>
              </w:rPr>
              <w:t>tiab</w:t>
            </w:r>
            <w:proofErr w:type="spellEnd"/>
            <w:r w:rsidRPr="00E73159">
              <w:rPr>
                <w:rFonts w:ascii="Calibri" w:eastAsia="Times New Roman" w:hAnsi="Calibri" w:cs="Calibri"/>
                <w:color w:val="000000" w:themeColor="text1"/>
                <w:sz w:val="18"/>
                <w:szCs w:val="18"/>
              </w:rPr>
              <w:t xml:space="preserve">]) </w:t>
            </w:r>
            <w:r w:rsidRPr="00E73159">
              <w:rPr>
                <w:rFonts w:ascii="Calibri" w:eastAsia="Times New Roman" w:hAnsi="Calibri" w:cs="Calibri"/>
                <w:b/>
                <w:bCs/>
                <w:color w:val="000000" w:themeColor="text1"/>
                <w:sz w:val="18"/>
                <w:szCs w:val="18"/>
              </w:rPr>
              <w:t>AND</w:t>
            </w:r>
            <w:r w:rsidRPr="00E73159">
              <w:rPr>
                <w:rFonts w:ascii="Calibri" w:eastAsia="Times New Roman" w:hAnsi="Calibri" w:cs="Calibri"/>
                <w:color w:val="000000" w:themeColor="text1"/>
                <w:sz w:val="18"/>
                <w:szCs w:val="18"/>
              </w:rPr>
              <w:t xml:space="preserve"> (2000:2021[</w:t>
            </w:r>
            <w:proofErr w:type="spellStart"/>
            <w:r w:rsidRPr="00E73159">
              <w:rPr>
                <w:rFonts w:ascii="Calibri" w:eastAsia="Times New Roman" w:hAnsi="Calibri" w:cs="Calibri"/>
                <w:color w:val="000000" w:themeColor="text1"/>
                <w:sz w:val="18"/>
                <w:szCs w:val="18"/>
              </w:rPr>
              <w:t>pdat</w:t>
            </w:r>
            <w:proofErr w:type="spellEnd"/>
            <w:r w:rsidRPr="00E73159">
              <w:rPr>
                <w:rFonts w:ascii="Calibri" w:eastAsia="Times New Roman" w:hAnsi="Calibri" w:cs="Calibri"/>
                <w:color w:val="000000" w:themeColor="text1"/>
                <w:sz w:val="18"/>
                <w:szCs w:val="18"/>
              </w:rPr>
              <w:t>]))</w:t>
            </w:r>
          </w:p>
        </w:tc>
      </w:tr>
      <w:tr w:rsidR="00E73159" w:rsidRPr="00E73159" w14:paraId="3A4A53E8" w14:textId="77777777" w:rsidTr="00A01ED0">
        <w:tc>
          <w:tcPr>
            <w:tcW w:w="2245" w:type="dxa"/>
            <w:tcBorders>
              <w:top w:val="single" w:sz="4" w:space="0" w:color="000000"/>
              <w:left w:val="single" w:sz="4" w:space="0" w:color="000000"/>
              <w:bottom w:val="single" w:sz="4" w:space="0" w:color="000000"/>
              <w:right w:val="single" w:sz="4" w:space="0" w:color="000000"/>
            </w:tcBorders>
          </w:tcPr>
          <w:p w14:paraId="46CBE5C5" w14:textId="77777777" w:rsidR="000C3472" w:rsidRPr="00E73159" w:rsidRDefault="000C3472" w:rsidP="00A01ED0">
            <w:pPr>
              <w:spacing w:after="0" w:line="240" w:lineRule="auto"/>
              <w:rPr>
                <w:rFonts w:ascii="Calibri" w:eastAsia="Times New Roman" w:hAnsi="Calibri" w:cs="Calibri"/>
                <w:color w:val="000000" w:themeColor="text1"/>
                <w:sz w:val="18"/>
                <w:szCs w:val="18"/>
              </w:rPr>
            </w:pPr>
            <w:r w:rsidRPr="00E73159">
              <w:rPr>
                <w:rFonts w:ascii="Calibri" w:eastAsia="Times New Roman" w:hAnsi="Calibri" w:cs="Calibri"/>
                <w:color w:val="000000" w:themeColor="text1"/>
                <w:sz w:val="18"/>
                <w:szCs w:val="18"/>
              </w:rPr>
              <w:t>EMBASE via OVID</w:t>
            </w:r>
          </w:p>
        </w:tc>
        <w:tc>
          <w:tcPr>
            <w:tcW w:w="8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3A7FED" w14:textId="77777777" w:rsidR="000C3472" w:rsidRPr="00E73159" w:rsidRDefault="000C3472" w:rsidP="00A01ED0">
            <w:pPr>
              <w:spacing w:after="0" w:line="240" w:lineRule="auto"/>
              <w:rPr>
                <w:rFonts w:ascii="Calibri" w:eastAsia="Times New Roman" w:hAnsi="Calibri" w:cs="Calibri"/>
                <w:color w:val="000000" w:themeColor="text1"/>
                <w:sz w:val="18"/>
                <w:szCs w:val="18"/>
              </w:rPr>
            </w:pPr>
            <w:r w:rsidRPr="00E73159">
              <w:rPr>
                <w:rFonts w:ascii="Calibri" w:hAnsi="Calibri" w:cs="Calibri"/>
                <w:color w:val="000000" w:themeColor="text1"/>
                <w:sz w:val="18"/>
                <w:szCs w:val="18"/>
              </w:rPr>
              <w:t>(</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alcoholism/di, </w:t>
            </w:r>
            <w:proofErr w:type="spellStart"/>
            <w:r w:rsidRPr="00E73159">
              <w:rPr>
                <w:rFonts w:ascii="Calibri" w:hAnsi="Calibri" w:cs="Calibri"/>
                <w:color w:val="000000" w:themeColor="text1"/>
                <w:sz w:val="18"/>
                <w:szCs w:val="18"/>
              </w:rPr>
              <w:t>dt</w:t>
            </w:r>
            <w:proofErr w:type="spellEnd"/>
            <w:r w:rsidRPr="00E73159">
              <w:rPr>
                <w:rFonts w:ascii="Calibri" w:hAnsi="Calibri" w:cs="Calibri"/>
                <w:color w:val="000000" w:themeColor="text1"/>
                <w:sz w:val="18"/>
                <w:szCs w:val="18"/>
              </w:rPr>
              <w:t xml:space="preserve">, ep, pc, </w:t>
            </w:r>
            <w:proofErr w:type="spellStart"/>
            <w:r w:rsidRPr="00E73159">
              <w:rPr>
                <w:rFonts w:ascii="Calibri" w:hAnsi="Calibri" w:cs="Calibri"/>
                <w:color w:val="000000" w:themeColor="text1"/>
                <w:sz w:val="18"/>
                <w:szCs w:val="18"/>
              </w:rPr>
              <w:t>rh</w:t>
            </w:r>
            <w:proofErr w:type="spellEnd"/>
            <w:r w:rsidRPr="00E73159">
              <w:rPr>
                <w:rFonts w:ascii="Calibri" w:hAnsi="Calibri" w:cs="Calibri"/>
                <w:color w:val="000000" w:themeColor="text1"/>
                <w:sz w:val="18"/>
                <w:szCs w:val="18"/>
              </w:rPr>
              <w:t xml:space="preserve">, </w:t>
            </w:r>
            <w:proofErr w:type="spellStart"/>
            <w:r w:rsidRPr="00E73159">
              <w:rPr>
                <w:rFonts w:ascii="Calibri" w:hAnsi="Calibri" w:cs="Calibri"/>
                <w:color w:val="000000" w:themeColor="text1"/>
                <w:sz w:val="18"/>
                <w:szCs w:val="18"/>
              </w:rPr>
              <w:t>th</w:t>
            </w:r>
            <w:proofErr w:type="spellEnd"/>
            <w:r w:rsidRPr="00E73159">
              <w:rPr>
                <w:rFonts w:ascii="Calibri" w:hAnsi="Calibri" w:cs="Calibri"/>
                <w:color w:val="000000" w:themeColor="text1"/>
                <w:sz w:val="18"/>
                <w:szCs w:val="18"/>
              </w:rPr>
              <w:t xml:space="preserve">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drug overdose/di, </w:t>
            </w:r>
            <w:proofErr w:type="spellStart"/>
            <w:r w:rsidRPr="00E73159">
              <w:rPr>
                <w:rFonts w:ascii="Calibri" w:hAnsi="Calibri" w:cs="Calibri"/>
                <w:color w:val="000000" w:themeColor="text1"/>
                <w:sz w:val="18"/>
                <w:szCs w:val="18"/>
              </w:rPr>
              <w:t>dt</w:t>
            </w:r>
            <w:proofErr w:type="spellEnd"/>
            <w:r w:rsidRPr="00E73159">
              <w:rPr>
                <w:rFonts w:ascii="Calibri" w:hAnsi="Calibri" w:cs="Calibri"/>
                <w:color w:val="000000" w:themeColor="text1"/>
                <w:sz w:val="18"/>
                <w:szCs w:val="18"/>
              </w:rPr>
              <w:t xml:space="preserve">, ep, pc, </w:t>
            </w:r>
            <w:proofErr w:type="spellStart"/>
            <w:r w:rsidRPr="00E73159">
              <w:rPr>
                <w:rFonts w:ascii="Calibri" w:hAnsi="Calibri" w:cs="Calibri"/>
                <w:color w:val="000000" w:themeColor="text1"/>
                <w:sz w:val="18"/>
                <w:szCs w:val="18"/>
              </w:rPr>
              <w:t>rh</w:t>
            </w:r>
            <w:proofErr w:type="spellEnd"/>
            <w:r w:rsidRPr="00E73159">
              <w:rPr>
                <w:rFonts w:ascii="Calibri" w:hAnsi="Calibri" w:cs="Calibri"/>
                <w:color w:val="000000" w:themeColor="text1"/>
                <w:sz w:val="18"/>
                <w:szCs w:val="18"/>
              </w:rPr>
              <w:t xml:space="preserve">, </w:t>
            </w:r>
            <w:proofErr w:type="spellStart"/>
            <w:r w:rsidRPr="00E73159">
              <w:rPr>
                <w:rFonts w:ascii="Calibri" w:hAnsi="Calibri" w:cs="Calibri"/>
                <w:color w:val="000000" w:themeColor="text1"/>
                <w:sz w:val="18"/>
                <w:szCs w:val="18"/>
              </w:rPr>
              <w:t>th</w:t>
            </w:r>
            <w:proofErr w:type="spellEnd"/>
            <w:r w:rsidRPr="00E73159">
              <w:rPr>
                <w:rFonts w:ascii="Calibri" w:hAnsi="Calibri" w:cs="Calibri"/>
                <w:color w:val="000000" w:themeColor="text1"/>
                <w:sz w:val="18"/>
                <w:szCs w:val="18"/>
              </w:rPr>
              <w:t xml:space="preserve">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"substance use"/</w:t>
            </w:r>
            <w:proofErr w:type="spellStart"/>
            <w:r w:rsidRPr="00E73159">
              <w:rPr>
                <w:rFonts w:ascii="Calibri" w:hAnsi="Calibri" w:cs="Calibri"/>
                <w:color w:val="000000" w:themeColor="text1"/>
                <w:sz w:val="18"/>
                <w:szCs w:val="18"/>
              </w:rPr>
              <w:t>th</w:t>
            </w:r>
            <w:proofErr w:type="spellEnd"/>
            <w:r w:rsidRPr="00E73159">
              <w:rPr>
                <w:rFonts w:ascii="Calibri" w:hAnsi="Calibri" w:cs="Calibri"/>
                <w:color w:val="000000" w:themeColor="text1"/>
                <w:sz w:val="18"/>
                <w:szCs w:val="18"/>
              </w:rPr>
              <w:t>  OR (Alcoholism or "alcohol Abuse*" or "SUD*" or "substance related disorder*" or "Drug Overdose*" or "People who use drugs" or "Opioid Use Disorder").</w:t>
            </w:r>
            <w:proofErr w:type="spellStart"/>
            <w:r w:rsidRPr="00E73159">
              <w:rPr>
                <w:rFonts w:ascii="Calibri" w:hAnsi="Calibri" w:cs="Calibri"/>
                <w:color w:val="000000" w:themeColor="text1"/>
                <w:sz w:val="18"/>
                <w:szCs w:val="18"/>
              </w:rPr>
              <w:t>ti,ab</w:t>
            </w:r>
            <w:proofErr w:type="spellEnd"/>
            <w:r w:rsidRPr="00E73159">
              <w:rPr>
                <w:rFonts w:ascii="Calibri" w:hAnsi="Calibri" w:cs="Calibri"/>
                <w:color w:val="000000" w:themeColor="text1"/>
                <w:sz w:val="18"/>
                <w:szCs w:val="18"/>
              </w:rPr>
              <w:t xml:space="preserve">.) </w:t>
            </w:r>
            <w:r w:rsidRPr="00E73159">
              <w:rPr>
                <w:rFonts w:ascii="Calibri" w:hAnsi="Calibri" w:cs="Calibri"/>
                <w:b/>
                <w:bCs/>
                <w:color w:val="000000" w:themeColor="text1"/>
                <w:sz w:val="18"/>
                <w:szCs w:val="18"/>
              </w:rPr>
              <w:t xml:space="preserve">AND </w:t>
            </w:r>
            <w:r w:rsidRPr="00E73159">
              <w:rPr>
                <w:rFonts w:ascii="Calibri" w:hAnsi="Calibri" w:cs="Calibri"/>
                <w:color w:val="000000" w:themeColor="text1"/>
                <w:sz w:val="18"/>
                <w:szCs w:val="18"/>
              </w:rPr>
              <w:t>(</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hospital discharge/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patient care planning/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patient referral/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patient care/ae OR ("Warm handoff" or "Bridge clinic" or "Addiction consult*" or "Addiction consult team*" or "Health care transition model" or "Consultation team" or "post discharge" or (Post discharge adj3 (navigator* or Care)) or ((Transition* adj3 (Care or treatment*)) or (Linkage* adj3 (Care or Treatment*)) or ("Transfer*" adj3 (care or Treatment)) or (Care adj3 Follow up) or (Cascade adj3 (Care or Treatment*)) or (Coordination adj3 (Care or Treatment))) or ("Patient discharge*" or "Patient </w:t>
            </w:r>
            <w:proofErr w:type="spellStart"/>
            <w:r w:rsidRPr="00E73159">
              <w:rPr>
                <w:rFonts w:ascii="Calibri" w:hAnsi="Calibri" w:cs="Calibri"/>
                <w:color w:val="000000" w:themeColor="text1"/>
                <w:sz w:val="18"/>
                <w:szCs w:val="18"/>
              </w:rPr>
              <w:t>navigat</w:t>
            </w:r>
            <w:proofErr w:type="spellEnd"/>
            <w:r w:rsidRPr="00E73159">
              <w:rPr>
                <w:rFonts w:ascii="Calibri" w:hAnsi="Calibri" w:cs="Calibri"/>
                <w:color w:val="000000" w:themeColor="text1"/>
                <w:sz w:val="18"/>
                <w:szCs w:val="18"/>
              </w:rPr>
              <w:t>*" or "Patient Care Plan*" or "Continuity of Patient Care" OR "Referral" OR "Consult*")).</w:t>
            </w:r>
            <w:proofErr w:type="spellStart"/>
            <w:r w:rsidRPr="00E73159">
              <w:rPr>
                <w:rFonts w:ascii="Calibri" w:hAnsi="Calibri" w:cs="Calibri"/>
                <w:color w:val="000000" w:themeColor="text1"/>
                <w:sz w:val="18"/>
                <w:szCs w:val="18"/>
              </w:rPr>
              <w:t>ti,ab</w:t>
            </w:r>
            <w:proofErr w:type="spellEnd"/>
            <w:r w:rsidRPr="00E73159">
              <w:rPr>
                <w:rFonts w:ascii="Calibri" w:hAnsi="Calibri" w:cs="Calibri"/>
                <w:color w:val="000000" w:themeColor="text1"/>
                <w:sz w:val="18"/>
                <w:szCs w:val="18"/>
              </w:rPr>
              <w:t xml:space="preserve">.) </w:t>
            </w:r>
            <w:r w:rsidRPr="00E73159">
              <w:rPr>
                <w:rFonts w:ascii="Calibri" w:hAnsi="Calibri" w:cs="Calibri"/>
                <w:b/>
                <w:bCs/>
                <w:color w:val="000000" w:themeColor="text1"/>
                <w:sz w:val="18"/>
                <w:szCs w:val="18"/>
              </w:rPr>
              <w:t xml:space="preserve">AND </w:t>
            </w:r>
            <w:r w:rsidRPr="00E73159">
              <w:rPr>
                <w:rFonts w:ascii="Calibri" w:hAnsi="Calibri" w:cs="Calibri"/>
                <w:color w:val="000000" w:themeColor="text1"/>
                <w:sz w:val="18"/>
                <w:szCs w:val="18"/>
              </w:rPr>
              <w:t>(</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hospital/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hospital emergency service/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emergency health service/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hospitalization/ OR ("hospital*" or "emergency service*" or "Acute care" or "detox*").</w:t>
            </w:r>
            <w:proofErr w:type="spellStart"/>
            <w:r w:rsidRPr="00E73159">
              <w:rPr>
                <w:rFonts w:ascii="Calibri" w:hAnsi="Calibri" w:cs="Calibri"/>
                <w:color w:val="000000" w:themeColor="text1"/>
                <w:sz w:val="18"/>
                <w:szCs w:val="18"/>
              </w:rPr>
              <w:t>ti,ab</w:t>
            </w:r>
            <w:proofErr w:type="spellEnd"/>
            <w:r w:rsidRPr="00E73159">
              <w:rPr>
                <w:rFonts w:ascii="Calibri" w:hAnsi="Calibri" w:cs="Calibri"/>
                <w:color w:val="000000" w:themeColor="text1"/>
                <w:sz w:val="18"/>
                <w:szCs w:val="18"/>
              </w:rPr>
              <w:t>.)</w:t>
            </w:r>
          </w:p>
        </w:tc>
      </w:tr>
      <w:tr w:rsidR="00E73159" w:rsidRPr="00E73159" w14:paraId="7604F66C" w14:textId="77777777" w:rsidTr="00A01ED0">
        <w:tc>
          <w:tcPr>
            <w:tcW w:w="2245" w:type="dxa"/>
            <w:tcBorders>
              <w:top w:val="single" w:sz="4" w:space="0" w:color="000000"/>
              <w:left w:val="single" w:sz="4" w:space="0" w:color="000000"/>
              <w:bottom w:val="single" w:sz="4" w:space="0" w:color="000000"/>
              <w:right w:val="single" w:sz="4" w:space="0" w:color="000000"/>
            </w:tcBorders>
          </w:tcPr>
          <w:p w14:paraId="5081B695" w14:textId="77777777" w:rsidR="000C3472" w:rsidRPr="00E73159" w:rsidRDefault="000C3472" w:rsidP="00A01ED0">
            <w:pPr>
              <w:spacing w:after="0" w:line="240" w:lineRule="auto"/>
              <w:rPr>
                <w:rFonts w:ascii="Calibri" w:eastAsia="Times New Roman" w:hAnsi="Calibri" w:cs="Calibri"/>
                <w:color w:val="000000" w:themeColor="text1"/>
                <w:sz w:val="18"/>
                <w:szCs w:val="18"/>
              </w:rPr>
            </w:pPr>
            <w:r w:rsidRPr="00E73159">
              <w:rPr>
                <w:rFonts w:ascii="Calibri" w:eastAsia="Times New Roman" w:hAnsi="Calibri" w:cs="Calibri"/>
                <w:color w:val="000000" w:themeColor="text1"/>
                <w:sz w:val="18"/>
                <w:szCs w:val="18"/>
              </w:rPr>
              <w:t>CINAHL via EBSCO</w:t>
            </w:r>
          </w:p>
        </w:tc>
        <w:tc>
          <w:tcPr>
            <w:tcW w:w="8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466106" w14:textId="77777777" w:rsidR="000C3472" w:rsidRPr="00E73159" w:rsidRDefault="000C3472" w:rsidP="00A01ED0">
            <w:pPr>
              <w:spacing w:after="0" w:line="240" w:lineRule="auto"/>
              <w:rPr>
                <w:rFonts w:ascii="Calibri" w:eastAsia="Times New Roman" w:hAnsi="Calibri" w:cs="Calibri"/>
                <w:color w:val="000000" w:themeColor="text1"/>
                <w:sz w:val="18"/>
                <w:szCs w:val="18"/>
              </w:rPr>
            </w:pPr>
            <w:r w:rsidRPr="00E73159">
              <w:rPr>
                <w:rFonts w:ascii="Calibri" w:hAnsi="Calibri" w:cs="Calibri"/>
                <w:color w:val="000000" w:themeColor="text1"/>
                <w:sz w:val="18"/>
                <w:szCs w:val="18"/>
              </w:rPr>
              <w:t xml:space="preserve">((MH "Alcohol-Related Disorders/DI/DT/EP/NU/TH/RH/PC/OG/ST") OR Alcoholism OR "alcohol Abuse*" OR (MH "Substance Use Disorders/DI/DT/EP/NU/RH/TH") OR "SUD*" OR "substance related disorder*" OR (MH "Overdose/DI/DT/EP/NU/OG/PC/RH/TH") OR "Drug Overdose*" OR "People who use drugs" OR "Opioid Use Disorder")) </w:t>
            </w:r>
            <w:r w:rsidRPr="00E73159">
              <w:rPr>
                <w:rFonts w:ascii="Calibri" w:hAnsi="Calibri" w:cs="Calibri"/>
                <w:b/>
                <w:bCs/>
                <w:color w:val="000000" w:themeColor="text1"/>
                <w:sz w:val="18"/>
                <w:szCs w:val="18"/>
              </w:rPr>
              <w:t>AND</w:t>
            </w:r>
            <w:r w:rsidRPr="00E73159">
              <w:rPr>
                <w:rFonts w:ascii="Calibri" w:hAnsi="Calibri" w:cs="Calibri"/>
                <w:color w:val="000000" w:themeColor="text1"/>
                <w:sz w:val="18"/>
                <w:szCs w:val="18"/>
              </w:rPr>
              <w:t xml:space="preserve"> ((MH "Patient Discharge/MT/OG/ST") OR "Patient discharge*" OR (MH "Patient Navigation/MT/ST") OR "Patient </w:t>
            </w:r>
            <w:proofErr w:type="spellStart"/>
            <w:r w:rsidRPr="00E73159">
              <w:rPr>
                <w:rFonts w:ascii="Calibri" w:hAnsi="Calibri" w:cs="Calibri"/>
                <w:color w:val="000000" w:themeColor="text1"/>
                <w:sz w:val="18"/>
                <w:szCs w:val="18"/>
              </w:rPr>
              <w:t>navigat</w:t>
            </w:r>
            <w:proofErr w:type="spellEnd"/>
            <w:r w:rsidRPr="00E73159">
              <w:rPr>
                <w:rFonts w:ascii="Calibri" w:hAnsi="Calibri" w:cs="Calibri"/>
                <w:color w:val="000000" w:themeColor="text1"/>
                <w:sz w:val="18"/>
                <w:szCs w:val="18"/>
              </w:rPr>
              <w:t xml:space="preserve">*" OR (MH "Patient Care Plans/MT/ST") OR "Patient Care Plan*" OR (MH "Referral and Consultation/MT/ST") OR "Referral" OR "Consult*" OR "Continuity of Patient Care" OR ("Transition*" AND ("Care" OR "treatment*")) OR ("Linkage*" AND ("Care" OR "Treatment*")) OR ("Transfer*" AND ("Care" OR "Treatment*")) OR ("Care" AND ("Follow up")) OR ("Cascade" AND ("Care" OR "Treatment*")) OR ("Coordination" AND ("Care" OR "Treatment*")) OR "Warm handoff" OR "Bridge clinic" OR "Addiction consult*" OR "Addiction consult team*" OR "Health care transition model" OR "Consultation team" OR "post discharge" OR ("Post discharge" AND ("navigator*" OR "Care" OR "Intervention*"))) </w:t>
            </w:r>
            <w:r w:rsidRPr="00E73159">
              <w:rPr>
                <w:rFonts w:ascii="Calibri" w:hAnsi="Calibri" w:cs="Calibri"/>
                <w:b/>
                <w:bCs/>
                <w:color w:val="000000" w:themeColor="text1"/>
                <w:sz w:val="18"/>
                <w:szCs w:val="18"/>
              </w:rPr>
              <w:t>AND (</w:t>
            </w:r>
            <w:r w:rsidRPr="00E73159">
              <w:rPr>
                <w:rFonts w:ascii="Calibri" w:hAnsi="Calibri" w:cs="Calibri"/>
                <w:color w:val="000000" w:themeColor="text1"/>
                <w:sz w:val="18"/>
                <w:szCs w:val="18"/>
              </w:rPr>
              <w:t>(MH "Hospitals") OR "hospital*" OR (MH "Emergency Service") OR "emergency service*" OR (MH "Emergency Medical Services") OR (MH "Hospitalization") OR "Acute care" OR "detox*")</w:t>
            </w:r>
          </w:p>
        </w:tc>
      </w:tr>
      <w:tr w:rsidR="000C3472" w:rsidRPr="00E73159" w14:paraId="2EDB4299" w14:textId="77777777" w:rsidTr="00A01ED0">
        <w:tc>
          <w:tcPr>
            <w:tcW w:w="2245" w:type="dxa"/>
            <w:tcBorders>
              <w:top w:val="single" w:sz="4" w:space="0" w:color="000000"/>
              <w:left w:val="single" w:sz="4" w:space="0" w:color="000000"/>
              <w:bottom w:val="single" w:sz="4" w:space="0" w:color="000000"/>
              <w:right w:val="single" w:sz="4" w:space="0" w:color="000000"/>
            </w:tcBorders>
          </w:tcPr>
          <w:p w14:paraId="376E85DF" w14:textId="77777777" w:rsidR="000C3472" w:rsidRPr="00E73159" w:rsidRDefault="000C3472" w:rsidP="00A01ED0">
            <w:pPr>
              <w:spacing w:after="0" w:line="240" w:lineRule="auto"/>
              <w:rPr>
                <w:rFonts w:ascii="Calibri" w:eastAsia="Times New Roman" w:hAnsi="Calibri" w:cs="Calibri"/>
                <w:color w:val="000000" w:themeColor="text1"/>
                <w:sz w:val="18"/>
                <w:szCs w:val="18"/>
              </w:rPr>
            </w:pPr>
            <w:proofErr w:type="spellStart"/>
            <w:r w:rsidRPr="00E73159">
              <w:rPr>
                <w:rFonts w:ascii="Calibri" w:eastAsia="Times New Roman" w:hAnsi="Calibri" w:cs="Calibri"/>
                <w:color w:val="000000" w:themeColor="text1"/>
                <w:sz w:val="18"/>
                <w:szCs w:val="18"/>
              </w:rPr>
              <w:t>PsycINFO</w:t>
            </w:r>
            <w:proofErr w:type="spellEnd"/>
            <w:r w:rsidRPr="00E73159">
              <w:rPr>
                <w:rFonts w:ascii="Calibri" w:eastAsia="Times New Roman" w:hAnsi="Calibri" w:cs="Calibri"/>
                <w:color w:val="000000" w:themeColor="text1"/>
                <w:sz w:val="18"/>
                <w:szCs w:val="18"/>
              </w:rPr>
              <w:t xml:space="preserve"> via OVID</w:t>
            </w:r>
          </w:p>
        </w:tc>
        <w:tc>
          <w:tcPr>
            <w:tcW w:w="81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128093" w14:textId="77777777" w:rsidR="000C3472" w:rsidRPr="00E73159" w:rsidRDefault="000C3472" w:rsidP="00A01ED0">
            <w:pPr>
              <w:spacing w:after="0" w:line="240" w:lineRule="auto"/>
              <w:rPr>
                <w:rFonts w:ascii="Calibri" w:eastAsia="Times New Roman" w:hAnsi="Calibri" w:cs="Calibri"/>
                <w:color w:val="000000" w:themeColor="text1"/>
                <w:sz w:val="18"/>
                <w:szCs w:val="18"/>
              </w:rPr>
            </w:pPr>
            <w:r w:rsidRPr="00E73159">
              <w:rPr>
                <w:rFonts w:ascii="Calibri" w:hAnsi="Calibri" w:cs="Calibri"/>
                <w:color w:val="000000" w:themeColor="text1"/>
                <w:sz w:val="18"/>
                <w:szCs w:val="18"/>
              </w:rPr>
              <w:t>(</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Alcoholism/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"Substance Use Disorder"/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Drug Overdoses/ OR (Alcoholism or "alcohol Abuse*" or "SUD*" or "substance related disorder*" or "Drug Overdose*" or "People who use drugs" or "Opioid Use Disorder").</w:t>
            </w:r>
            <w:proofErr w:type="spellStart"/>
            <w:r w:rsidRPr="00E73159">
              <w:rPr>
                <w:rFonts w:ascii="Calibri" w:hAnsi="Calibri" w:cs="Calibri"/>
                <w:color w:val="000000" w:themeColor="text1"/>
                <w:sz w:val="18"/>
                <w:szCs w:val="18"/>
              </w:rPr>
              <w:t>ti,ab</w:t>
            </w:r>
            <w:proofErr w:type="spellEnd"/>
            <w:r w:rsidRPr="00E73159">
              <w:rPr>
                <w:rFonts w:ascii="Calibri" w:hAnsi="Calibri" w:cs="Calibri"/>
                <w:color w:val="000000" w:themeColor="text1"/>
                <w:sz w:val="18"/>
                <w:szCs w:val="18"/>
              </w:rPr>
              <w:t xml:space="preserve">.) </w:t>
            </w:r>
            <w:r w:rsidRPr="00E73159">
              <w:rPr>
                <w:rFonts w:ascii="Calibri" w:hAnsi="Calibri" w:cs="Calibri"/>
                <w:b/>
                <w:bCs/>
                <w:color w:val="000000" w:themeColor="text1"/>
                <w:sz w:val="18"/>
                <w:szCs w:val="18"/>
              </w:rPr>
              <w:t xml:space="preserve">AND </w:t>
            </w:r>
            <w:r w:rsidRPr="00E73159">
              <w:rPr>
                <w:rFonts w:ascii="Calibri" w:hAnsi="Calibri" w:cs="Calibri"/>
                <w:color w:val="000000" w:themeColor="text1"/>
                <w:sz w:val="18"/>
                <w:szCs w:val="18"/>
              </w:rPr>
              <w:t>(</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Hospital Discharge/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Treatment Planning/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Professional Referral/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"Continuum of Care"/ OR ("Warm handoff" or "Bridge clinic" or "Addiction consult*" or "Addiction consult team*" or "Health care transition model" or "Consultation team" or "post discharge" or (Post discharge adj3 (navigator* or Care)) or ((Transition* adj3 (Care or treatment*)) or (Linkage* adj3 (Care or Treatment*)) or ("Transfer*" adj3 (care or Treatment)) or (Care adj3 Follow up) or (Cascade adj3 (Care or Treatment*)) or (Coordination adj3 (Care or Treatment))) or ("Patient discharge*" or "Patient </w:t>
            </w:r>
            <w:proofErr w:type="spellStart"/>
            <w:r w:rsidRPr="00E73159">
              <w:rPr>
                <w:rFonts w:ascii="Calibri" w:hAnsi="Calibri" w:cs="Calibri"/>
                <w:color w:val="000000" w:themeColor="text1"/>
                <w:sz w:val="18"/>
                <w:szCs w:val="18"/>
              </w:rPr>
              <w:t>navigat</w:t>
            </w:r>
            <w:proofErr w:type="spellEnd"/>
            <w:r w:rsidRPr="00E73159">
              <w:rPr>
                <w:rFonts w:ascii="Calibri" w:hAnsi="Calibri" w:cs="Calibri"/>
                <w:color w:val="000000" w:themeColor="text1"/>
                <w:sz w:val="18"/>
                <w:szCs w:val="18"/>
              </w:rPr>
              <w:t>*" or "Patient Care Plan*" or "Continuity of Patient Care" or "Referral" or "Consult*")).</w:t>
            </w:r>
            <w:proofErr w:type="spellStart"/>
            <w:r w:rsidRPr="00E73159">
              <w:rPr>
                <w:rFonts w:ascii="Calibri" w:hAnsi="Calibri" w:cs="Calibri"/>
                <w:color w:val="000000" w:themeColor="text1"/>
                <w:sz w:val="18"/>
                <w:szCs w:val="18"/>
              </w:rPr>
              <w:t>ti,ab</w:t>
            </w:r>
            <w:proofErr w:type="spellEnd"/>
            <w:r w:rsidRPr="00E73159">
              <w:rPr>
                <w:rFonts w:ascii="Calibri" w:hAnsi="Calibri" w:cs="Calibri"/>
                <w:color w:val="000000" w:themeColor="text1"/>
                <w:sz w:val="18"/>
                <w:szCs w:val="18"/>
              </w:rPr>
              <w:t xml:space="preserve">.) </w:t>
            </w:r>
            <w:r w:rsidRPr="00E73159">
              <w:rPr>
                <w:rFonts w:ascii="Calibri" w:hAnsi="Calibri" w:cs="Calibri"/>
                <w:b/>
                <w:bCs/>
                <w:color w:val="000000" w:themeColor="text1"/>
                <w:sz w:val="18"/>
                <w:szCs w:val="18"/>
              </w:rPr>
              <w:t>AND</w:t>
            </w:r>
            <w:r w:rsidRPr="00E73159">
              <w:rPr>
                <w:rFonts w:ascii="Calibri" w:hAnsi="Calibri" w:cs="Calibri"/>
                <w:color w:val="000000" w:themeColor="text1"/>
                <w:sz w:val="18"/>
                <w:szCs w:val="18"/>
              </w:rPr>
              <w:t xml:space="preserve">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Hospitals/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Emergency Services/ OR </w:t>
            </w:r>
            <w:proofErr w:type="spellStart"/>
            <w:r w:rsidRPr="00E73159">
              <w:rPr>
                <w:rFonts w:ascii="Calibri" w:hAnsi="Calibri" w:cs="Calibri"/>
                <w:color w:val="000000" w:themeColor="text1"/>
                <w:sz w:val="18"/>
                <w:szCs w:val="18"/>
              </w:rPr>
              <w:t>exp</w:t>
            </w:r>
            <w:proofErr w:type="spellEnd"/>
            <w:r w:rsidRPr="00E73159">
              <w:rPr>
                <w:rFonts w:ascii="Calibri" w:hAnsi="Calibri" w:cs="Calibri"/>
                <w:color w:val="000000" w:themeColor="text1"/>
                <w:sz w:val="18"/>
                <w:szCs w:val="18"/>
              </w:rPr>
              <w:t xml:space="preserve"> Hospitalization/ OR ("hospital*" or "emergency service*" or "Acute care" or "detox*").</w:t>
            </w:r>
            <w:proofErr w:type="spellStart"/>
            <w:r w:rsidRPr="00E73159">
              <w:rPr>
                <w:rFonts w:ascii="Calibri" w:hAnsi="Calibri" w:cs="Calibri"/>
                <w:color w:val="000000" w:themeColor="text1"/>
                <w:sz w:val="18"/>
                <w:szCs w:val="18"/>
              </w:rPr>
              <w:t>ti,ab</w:t>
            </w:r>
            <w:proofErr w:type="spellEnd"/>
            <w:r w:rsidRPr="00E73159">
              <w:rPr>
                <w:rFonts w:ascii="Calibri" w:hAnsi="Calibri" w:cs="Calibri"/>
                <w:color w:val="000000" w:themeColor="text1"/>
                <w:sz w:val="18"/>
                <w:szCs w:val="18"/>
              </w:rPr>
              <w:t>.)</w:t>
            </w:r>
          </w:p>
        </w:tc>
      </w:tr>
    </w:tbl>
    <w:p w14:paraId="2C96AE17" w14:textId="77777777" w:rsidR="000C3472" w:rsidRPr="00E73159" w:rsidRDefault="000C3472" w:rsidP="000C3472">
      <w:pPr>
        <w:rPr>
          <w:color w:val="000000" w:themeColor="text1"/>
        </w:rPr>
      </w:pPr>
    </w:p>
    <w:p w14:paraId="1AEF411B" w14:textId="77777777" w:rsidR="00554F80" w:rsidRPr="00E73159" w:rsidRDefault="00554F80" w:rsidP="000C3472">
      <w:pPr>
        <w:rPr>
          <w:color w:val="000000" w:themeColor="text1"/>
        </w:rPr>
        <w:sectPr w:rsidR="00554F80" w:rsidRPr="00E73159" w:rsidSect="00E73159">
          <w:type w:val="continuous"/>
          <w:pgSz w:w="11894" w:h="16834"/>
          <w:pgMar w:top="720" w:right="720" w:bottom="720" w:left="720" w:header="706" w:footer="706" w:gutter="0"/>
          <w:cols w:space="708"/>
          <w:docGrid w:linePitch="360"/>
        </w:sectPr>
      </w:pPr>
    </w:p>
    <w:p w14:paraId="2BA17F46" w14:textId="397A111C" w:rsidR="000C3472" w:rsidRPr="00E73159" w:rsidRDefault="000C3472" w:rsidP="000C3472">
      <w:pPr>
        <w:rPr>
          <w:color w:val="000000" w:themeColor="text1"/>
        </w:rPr>
      </w:pPr>
    </w:p>
    <w:p w14:paraId="04A19ED3" w14:textId="04D005B2" w:rsidR="000C3472" w:rsidRPr="00E73159" w:rsidRDefault="00E73159" w:rsidP="000C3472">
      <w:pPr>
        <w:spacing w:after="0"/>
        <w:rPr>
          <w:b/>
          <w:color w:val="000000" w:themeColor="text1"/>
        </w:rPr>
      </w:pPr>
      <w:r>
        <w:rPr>
          <w:b/>
          <w:color w:val="000000" w:themeColor="text1"/>
        </w:rPr>
        <w:t xml:space="preserve">Additional file 1: </w:t>
      </w:r>
      <w:bookmarkStart w:id="0" w:name="_GoBack"/>
      <w:r w:rsidR="000C3472" w:rsidRPr="00E73159">
        <w:rPr>
          <w:b/>
          <w:color w:val="000000" w:themeColor="text1"/>
        </w:rPr>
        <w:t>Table 3. Summary Table</w:t>
      </w:r>
      <w:bookmarkEnd w:id="0"/>
    </w:p>
    <w:tbl>
      <w:tblPr>
        <w:tblW w:w="1629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2"/>
        <w:gridCol w:w="2118"/>
        <w:gridCol w:w="1170"/>
        <w:gridCol w:w="1170"/>
        <w:gridCol w:w="1080"/>
        <w:gridCol w:w="1350"/>
        <w:gridCol w:w="1620"/>
        <w:gridCol w:w="1800"/>
        <w:gridCol w:w="1530"/>
        <w:gridCol w:w="1350"/>
        <w:gridCol w:w="1890"/>
      </w:tblGrid>
      <w:tr w:rsidR="00E73159" w:rsidRPr="00E73159" w14:paraId="45AB9BE7" w14:textId="77777777" w:rsidTr="00A01ED0">
        <w:trPr>
          <w:trHeight w:val="473"/>
          <w:tblHeader/>
        </w:trPr>
        <w:tc>
          <w:tcPr>
            <w:tcW w:w="1212" w:type="dxa"/>
            <w:vMerge w:val="restart"/>
            <w:tcMar>
              <w:top w:w="30" w:type="dxa"/>
              <w:left w:w="45" w:type="dxa"/>
              <w:bottom w:w="30" w:type="dxa"/>
              <w:right w:w="45" w:type="dxa"/>
            </w:tcMar>
            <w:vAlign w:val="bottom"/>
          </w:tcPr>
          <w:p w14:paraId="4756A7DE"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Author, Year</w:t>
            </w:r>
          </w:p>
        </w:tc>
        <w:tc>
          <w:tcPr>
            <w:tcW w:w="2118" w:type="dxa"/>
            <w:vMerge w:val="restart"/>
            <w:shd w:val="clear" w:color="auto" w:fill="auto"/>
            <w:tcMar>
              <w:top w:w="30" w:type="dxa"/>
              <w:left w:w="45" w:type="dxa"/>
              <w:bottom w:w="30" w:type="dxa"/>
              <w:right w:w="45" w:type="dxa"/>
            </w:tcMar>
            <w:vAlign w:val="bottom"/>
          </w:tcPr>
          <w:p w14:paraId="6272D7B9"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 xml:space="preserve">Transition Strategy </w:t>
            </w:r>
          </w:p>
        </w:tc>
        <w:tc>
          <w:tcPr>
            <w:tcW w:w="1170" w:type="dxa"/>
            <w:vMerge w:val="restart"/>
            <w:tcMar>
              <w:top w:w="30" w:type="dxa"/>
              <w:left w:w="45" w:type="dxa"/>
              <w:bottom w:w="30" w:type="dxa"/>
              <w:right w:w="45" w:type="dxa"/>
            </w:tcMar>
            <w:vAlign w:val="bottom"/>
          </w:tcPr>
          <w:p w14:paraId="6ACAB982"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Intervention Setting</w:t>
            </w:r>
          </w:p>
        </w:tc>
        <w:tc>
          <w:tcPr>
            <w:tcW w:w="1170" w:type="dxa"/>
            <w:vMerge w:val="restart"/>
            <w:tcMar>
              <w:top w:w="30" w:type="dxa"/>
              <w:left w:w="45" w:type="dxa"/>
              <w:bottom w:w="30" w:type="dxa"/>
              <w:right w:w="45" w:type="dxa"/>
            </w:tcMar>
            <w:vAlign w:val="bottom"/>
          </w:tcPr>
          <w:p w14:paraId="7E3BA03E"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Primary SUD Addressed</w:t>
            </w:r>
          </w:p>
        </w:tc>
        <w:tc>
          <w:tcPr>
            <w:tcW w:w="1080" w:type="dxa"/>
            <w:vMerge w:val="restart"/>
            <w:tcMar>
              <w:top w:w="30" w:type="dxa"/>
              <w:left w:w="45" w:type="dxa"/>
              <w:bottom w:w="30" w:type="dxa"/>
              <w:right w:w="45" w:type="dxa"/>
            </w:tcMar>
            <w:vAlign w:val="bottom"/>
          </w:tcPr>
          <w:p w14:paraId="507F59A4"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Brief Behavioral Intervention in Hospital</w:t>
            </w:r>
          </w:p>
        </w:tc>
        <w:tc>
          <w:tcPr>
            <w:tcW w:w="1350" w:type="dxa"/>
            <w:vMerge w:val="restart"/>
            <w:tcMar>
              <w:top w:w="30" w:type="dxa"/>
              <w:left w:w="45" w:type="dxa"/>
              <w:bottom w:w="30" w:type="dxa"/>
              <w:right w:w="45" w:type="dxa"/>
            </w:tcMar>
            <w:vAlign w:val="bottom"/>
          </w:tcPr>
          <w:p w14:paraId="409ED0CE"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Medications Initiated in Hospital</w:t>
            </w:r>
          </w:p>
        </w:tc>
        <w:tc>
          <w:tcPr>
            <w:tcW w:w="3420" w:type="dxa"/>
            <w:gridSpan w:val="2"/>
            <w:tcMar>
              <w:top w:w="30" w:type="dxa"/>
              <w:left w:w="45" w:type="dxa"/>
              <w:bottom w:w="30" w:type="dxa"/>
              <w:right w:w="45" w:type="dxa"/>
            </w:tcMar>
            <w:vAlign w:val="bottom"/>
          </w:tcPr>
          <w:p w14:paraId="27BD3BB7"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Staff Before Transition</w:t>
            </w:r>
          </w:p>
        </w:tc>
        <w:tc>
          <w:tcPr>
            <w:tcW w:w="2880" w:type="dxa"/>
            <w:gridSpan w:val="2"/>
            <w:tcMar>
              <w:top w:w="30" w:type="dxa"/>
              <w:left w:w="45" w:type="dxa"/>
              <w:bottom w:w="30" w:type="dxa"/>
              <w:right w:w="45" w:type="dxa"/>
            </w:tcMar>
            <w:vAlign w:val="bottom"/>
          </w:tcPr>
          <w:p w14:paraId="21A89CE5"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Staff During Transition</w:t>
            </w:r>
          </w:p>
        </w:tc>
        <w:tc>
          <w:tcPr>
            <w:tcW w:w="1890" w:type="dxa"/>
            <w:vMerge w:val="restart"/>
            <w:tcMar>
              <w:top w:w="30" w:type="dxa"/>
              <w:left w:w="45" w:type="dxa"/>
              <w:bottom w:w="30" w:type="dxa"/>
              <w:right w:w="45" w:type="dxa"/>
            </w:tcMar>
            <w:vAlign w:val="bottom"/>
          </w:tcPr>
          <w:p w14:paraId="5C97C69F"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eastAsia="Times New Roman" w:cstheme="minorHAnsi"/>
                <w:b/>
                <w:bCs/>
                <w:color w:val="000000" w:themeColor="text1"/>
                <w:sz w:val="18"/>
                <w:lang w:val="en-US"/>
              </w:rPr>
              <w:t>SUD Services Patients Transitioned To</w:t>
            </w:r>
          </w:p>
        </w:tc>
      </w:tr>
      <w:tr w:rsidR="00E73159" w:rsidRPr="00E73159" w14:paraId="27F57B64" w14:textId="77777777" w:rsidTr="00A01ED0">
        <w:trPr>
          <w:trHeight w:val="203"/>
          <w:tblHeader/>
        </w:trPr>
        <w:tc>
          <w:tcPr>
            <w:tcW w:w="1212" w:type="dxa"/>
            <w:vMerge/>
            <w:tcMar>
              <w:top w:w="30" w:type="dxa"/>
              <w:left w:w="45" w:type="dxa"/>
              <w:bottom w:w="30" w:type="dxa"/>
              <w:right w:w="45" w:type="dxa"/>
            </w:tcMar>
            <w:vAlign w:val="bottom"/>
          </w:tcPr>
          <w:p w14:paraId="6388B419" w14:textId="77777777" w:rsidR="000C3472" w:rsidRPr="00E73159" w:rsidRDefault="000C3472" w:rsidP="00A01ED0">
            <w:pPr>
              <w:spacing w:after="0" w:line="240" w:lineRule="auto"/>
              <w:rPr>
                <w:rFonts w:ascii="Calibri" w:eastAsia="Times New Roman" w:hAnsi="Calibri" w:cs="Calibri"/>
                <w:b/>
                <w:color w:val="000000" w:themeColor="text1"/>
                <w:sz w:val="18"/>
                <w:szCs w:val="18"/>
                <w:lang w:val="en-US"/>
              </w:rPr>
            </w:pPr>
          </w:p>
        </w:tc>
        <w:tc>
          <w:tcPr>
            <w:tcW w:w="2118" w:type="dxa"/>
            <w:vMerge/>
            <w:shd w:val="clear" w:color="auto" w:fill="auto"/>
            <w:tcMar>
              <w:top w:w="30" w:type="dxa"/>
              <w:left w:w="45" w:type="dxa"/>
              <w:bottom w:w="30" w:type="dxa"/>
              <w:right w:w="45" w:type="dxa"/>
            </w:tcMar>
            <w:vAlign w:val="bottom"/>
          </w:tcPr>
          <w:p w14:paraId="0E72125B"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p>
        </w:tc>
        <w:tc>
          <w:tcPr>
            <w:tcW w:w="1170" w:type="dxa"/>
            <w:vMerge/>
            <w:tcMar>
              <w:top w:w="30" w:type="dxa"/>
              <w:left w:w="45" w:type="dxa"/>
              <w:bottom w:w="30" w:type="dxa"/>
              <w:right w:w="45" w:type="dxa"/>
            </w:tcMar>
            <w:vAlign w:val="bottom"/>
          </w:tcPr>
          <w:p w14:paraId="4936D66B" w14:textId="77777777" w:rsidR="000C3472" w:rsidRPr="00E73159" w:rsidRDefault="000C3472" w:rsidP="00A01ED0">
            <w:pPr>
              <w:spacing w:after="0" w:line="240" w:lineRule="auto"/>
              <w:rPr>
                <w:rFonts w:ascii="Calibri" w:eastAsia="Times New Roman" w:hAnsi="Calibri" w:cs="Calibri"/>
                <w:b/>
                <w:color w:val="000000" w:themeColor="text1"/>
                <w:sz w:val="18"/>
                <w:szCs w:val="18"/>
                <w:lang w:val="en-US"/>
              </w:rPr>
            </w:pPr>
          </w:p>
        </w:tc>
        <w:tc>
          <w:tcPr>
            <w:tcW w:w="1170" w:type="dxa"/>
            <w:vMerge/>
            <w:tcMar>
              <w:top w:w="30" w:type="dxa"/>
              <w:left w:w="45" w:type="dxa"/>
              <w:bottom w:w="30" w:type="dxa"/>
              <w:right w:w="45" w:type="dxa"/>
            </w:tcMar>
            <w:vAlign w:val="bottom"/>
          </w:tcPr>
          <w:p w14:paraId="57CCAAE6"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p>
        </w:tc>
        <w:tc>
          <w:tcPr>
            <w:tcW w:w="1080" w:type="dxa"/>
            <w:vMerge/>
            <w:tcMar>
              <w:top w:w="30" w:type="dxa"/>
              <w:left w:w="45" w:type="dxa"/>
              <w:bottom w:w="30" w:type="dxa"/>
              <w:right w:w="45" w:type="dxa"/>
            </w:tcMar>
            <w:vAlign w:val="bottom"/>
          </w:tcPr>
          <w:p w14:paraId="61C52633"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p>
        </w:tc>
        <w:tc>
          <w:tcPr>
            <w:tcW w:w="1350" w:type="dxa"/>
            <w:vMerge/>
            <w:tcMar>
              <w:top w:w="30" w:type="dxa"/>
              <w:left w:w="45" w:type="dxa"/>
              <w:bottom w:w="30" w:type="dxa"/>
              <w:right w:w="45" w:type="dxa"/>
            </w:tcMar>
            <w:vAlign w:val="bottom"/>
          </w:tcPr>
          <w:p w14:paraId="63575AE7"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p>
        </w:tc>
        <w:tc>
          <w:tcPr>
            <w:tcW w:w="1620" w:type="dxa"/>
            <w:tcMar>
              <w:top w:w="30" w:type="dxa"/>
              <w:left w:w="45" w:type="dxa"/>
              <w:bottom w:w="30" w:type="dxa"/>
              <w:right w:w="45" w:type="dxa"/>
            </w:tcMar>
            <w:vAlign w:val="bottom"/>
          </w:tcPr>
          <w:p w14:paraId="29472ABC"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Staff Involved</w:t>
            </w:r>
          </w:p>
        </w:tc>
        <w:tc>
          <w:tcPr>
            <w:tcW w:w="1800" w:type="dxa"/>
            <w:vAlign w:val="bottom"/>
          </w:tcPr>
          <w:p w14:paraId="2A3F2778"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Staff Location</w:t>
            </w:r>
          </w:p>
        </w:tc>
        <w:tc>
          <w:tcPr>
            <w:tcW w:w="1530" w:type="dxa"/>
            <w:tcMar>
              <w:top w:w="30" w:type="dxa"/>
              <w:left w:w="45" w:type="dxa"/>
              <w:bottom w:w="30" w:type="dxa"/>
              <w:right w:w="45" w:type="dxa"/>
            </w:tcMar>
            <w:vAlign w:val="bottom"/>
          </w:tcPr>
          <w:p w14:paraId="53D9F0C6"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Staff Involved</w:t>
            </w:r>
          </w:p>
        </w:tc>
        <w:tc>
          <w:tcPr>
            <w:tcW w:w="1350" w:type="dxa"/>
            <w:vAlign w:val="bottom"/>
          </w:tcPr>
          <w:p w14:paraId="6AF6AF06"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r w:rsidRPr="00E73159">
              <w:rPr>
                <w:rFonts w:ascii="Calibri" w:eastAsia="Times New Roman" w:hAnsi="Calibri" w:cs="Calibri"/>
                <w:b/>
                <w:color w:val="000000" w:themeColor="text1"/>
                <w:sz w:val="18"/>
                <w:szCs w:val="18"/>
                <w:lang w:val="en-US"/>
              </w:rPr>
              <w:t>Staff Location</w:t>
            </w:r>
          </w:p>
        </w:tc>
        <w:tc>
          <w:tcPr>
            <w:tcW w:w="1890" w:type="dxa"/>
            <w:vMerge/>
            <w:tcMar>
              <w:top w:w="30" w:type="dxa"/>
              <w:left w:w="45" w:type="dxa"/>
              <w:bottom w:w="30" w:type="dxa"/>
              <w:right w:w="45" w:type="dxa"/>
            </w:tcMar>
            <w:vAlign w:val="bottom"/>
          </w:tcPr>
          <w:p w14:paraId="14A563E1" w14:textId="77777777" w:rsidR="000C3472" w:rsidRPr="00E73159" w:rsidRDefault="000C3472" w:rsidP="00A01ED0">
            <w:pPr>
              <w:spacing w:after="0" w:line="240" w:lineRule="auto"/>
              <w:jc w:val="center"/>
              <w:rPr>
                <w:rFonts w:ascii="Calibri" w:eastAsia="Times New Roman" w:hAnsi="Calibri" w:cs="Calibri"/>
                <w:b/>
                <w:color w:val="000000" w:themeColor="text1"/>
                <w:sz w:val="18"/>
                <w:szCs w:val="18"/>
                <w:lang w:val="en-US"/>
              </w:rPr>
            </w:pPr>
          </w:p>
        </w:tc>
      </w:tr>
      <w:tr w:rsidR="00E73159" w:rsidRPr="00E73159" w14:paraId="5E9CC90F" w14:textId="77777777" w:rsidTr="00A01ED0">
        <w:trPr>
          <w:trHeight w:val="315"/>
        </w:trPr>
        <w:tc>
          <w:tcPr>
            <w:tcW w:w="1212" w:type="dxa"/>
            <w:tcMar>
              <w:top w:w="30" w:type="dxa"/>
              <w:left w:w="45" w:type="dxa"/>
              <w:bottom w:w="30" w:type="dxa"/>
              <w:right w:w="45" w:type="dxa"/>
            </w:tcMar>
            <w:vAlign w:val="bottom"/>
          </w:tcPr>
          <w:p w14:paraId="0F8B7E34" w14:textId="0A156854"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Anderson, 2021</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{"citationID":"nVAfn2QI","properties":{"formattedCitation":"[1]","plainCitation":"[1]","noteIndex":0},"citationItems":[{"id":10397,"uris":["http://zotero.org/users/11168138/items/RKNFDRBZ"],"itemData":{"id":10397,"type":"article-journal","container-title":"Annals of Emergency Medicine","DOI":"10.1016/j.annemergmed.2021.05.013","ISSN":"0196-0644","issue":"6","note":"publisher: Elsevier","page":"752-758","title":"Implementation of Oral and Extended-Release Naltrexone for the Treatment of Emergency Department Patients With Moderate to Severe Alcohol Use Disorder: Feasibility and Initial Outcomes","volume":"78","author":[{"family":"Anderson","given":"Erik S"},{"family":"Chamberlin","given":"Mac"},{"family":"Zuluaga","given":"Marisa"},{"family":"Ullal","given":"Monish"},{"family":"Hawk","given":"Kathryn"},{"family":"McCormack","given":"Ryan"},{"family":"D’Onofrio","given":"Gail"},{"family":"Herring","given":"Andrew A"}],"issued":{"date-parts":[["2021",12,1]]}}}],"schema":"https://github.com/citation-style-language/schema/raw/master/csl-citation.json"}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tcPr>
          <w:p w14:paraId="75754051"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discuss treatment options; Post-discharge care navigation</w:t>
            </w:r>
          </w:p>
        </w:tc>
        <w:tc>
          <w:tcPr>
            <w:tcW w:w="1170" w:type="dxa"/>
            <w:tcMar>
              <w:top w:w="30" w:type="dxa"/>
              <w:left w:w="45" w:type="dxa"/>
              <w:bottom w:w="30" w:type="dxa"/>
              <w:right w:w="45" w:type="dxa"/>
            </w:tcMar>
            <w:vAlign w:val="bottom"/>
          </w:tcPr>
          <w:p w14:paraId="2E3162C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tcPr>
          <w:p w14:paraId="37A84A9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AUD</w:t>
            </w:r>
          </w:p>
        </w:tc>
        <w:tc>
          <w:tcPr>
            <w:tcW w:w="1080" w:type="dxa"/>
            <w:tcMar>
              <w:top w:w="30" w:type="dxa"/>
              <w:left w:w="45" w:type="dxa"/>
              <w:bottom w:w="30" w:type="dxa"/>
              <w:right w:w="45" w:type="dxa"/>
            </w:tcMar>
            <w:vAlign w:val="bottom"/>
          </w:tcPr>
          <w:p w14:paraId="4E42167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tcPr>
          <w:p w14:paraId="5865838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Naltrexone</w:t>
            </w:r>
          </w:p>
        </w:tc>
        <w:tc>
          <w:tcPr>
            <w:tcW w:w="1620" w:type="dxa"/>
            <w:tcMar>
              <w:top w:w="30" w:type="dxa"/>
              <w:left w:w="45" w:type="dxa"/>
              <w:bottom w:w="30" w:type="dxa"/>
              <w:right w:w="45" w:type="dxa"/>
            </w:tcMar>
            <w:vAlign w:val="bottom"/>
          </w:tcPr>
          <w:p w14:paraId="49732B1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 Patient navigator</w:t>
            </w:r>
          </w:p>
        </w:tc>
        <w:tc>
          <w:tcPr>
            <w:tcW w:w="1800" w:type="dxa"/>
            <w:tcMar>
              <w:top w:w="30" w:type="dxa"/>
              <w:left w:w="45" w:type="dxa"/>
              <w:bottom w:w="30" w:type="dxa"/>
              <w:right w:w="45" w:type="dxa"/>
            </w:tcMar>
            <w:vAlign w:val="bottom"/>
          </w:tcPr>
          <w:p w14:paraId="62488D1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tcPr>
          <w:p w14:paraId="1459514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Patient navigator</w:t>
            </w:r>
          </w:p>
        </w:tc>
        <w:tc>
          <w:tcPr>
            <w:tcW w:w="1350" w:type="dxa"/>
            <w:tcMar>
              <w:top w:w="30" w:type="dxa"/>
              <w:left w:w="45" w:type="dxa"/>
              <w:bottom w:w="30" w:type="dxa"/>
              <w:right w:w="45" w:type="dxa"/>
            </w:tcMar>
            <w:vAlign w:val="bottom"/>
          </w:tcPr>
          <w:p w14:paraId="418F9A7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Placed directly in ED/hospital</w:t>
            </w:r>
          </w:p>
        </w:tc>
        <w:tc>
          <w:tcPr>
            <w:tcW w:w="1890" w:type="dxa"/>
            <w:tcMar>
              <w:top w:w="30" w:type="dxa"/>
              <w:left w:w="45" w:type="dxa"/>
              <w:bottom w:w="30" w:type="dxa"/>
              <w:right w:w="45" w:type="dxa"/>
            </w:tcMar>
            <w:vAlign w:val="bottom"/>
          </w:tcPr>
          <w:p w14:paraId="3D2564E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hAnsi="Calibri"/>
                <w:color w:val="000000" w:themeColor="text1"/>
                <w:sz w:val="18"/>
                <w:lang w:val="en-US"/>
              </w:rPr>
              <w:t>Bridge/short term clinic</w:t>
            </w:r>
          </w:p>
        </w:tc>
      </w:tr>
      <w:tr w:rsidR="00E73159" w:rsidRPr="00E73159" w14:paraId="65BB2956" w14:textId="77777777" w:rsidTr="00A01ED0">
        <w:trPr>
          <w:trHeight w:val="315"/>
        </w:trPr>
        <w:tc>
          <w:tcPr>
            <w:tcW w:w="1212" w:type="dxa"/>
            <w:tcMar>
              <w:top w:w="30" w:type="dxa"/>
              <w:left w:w="45" w:type="dxa"/>
              <w:bottom w:w="30" w:type="dxa"/>
              <w:right w:w="45" w:type="dxa"/>
            </w:tcMar>
            <w:vAlign w:val="bottom"/>
            <w:hideMark/>
          </w:tcPr>
          <w:p w14:paraId="3FDA27CE" w14:textId="7A620BAF"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Beauchamp, 2021</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{"citationID":"Ju8QyDnl","properties":{"formattedCitation":"[2]","plainCitation":"[2]","noteIndex":0},"citationItems":[{"id":10365,"uris":["http://zotero.org/users/11168138/items/WLKSEVHI"],"itemData":{"id":10365,"type":"article-journal","abstract":"Implementing a hospital medication for addiction treatment (MAT) and a linkage program can improve care for patients with substance use disorder (SUD); however, lack of hospital funding and brick and mortar SUD resources are potential barriers to feasibility.","container-title":"Journal of Medical Toxicology","DOI":"10.1007/s13181-020-00813-4","ISSN":"1937-6995","issue":"2","page":"176-184","title":"Implementation of a Medication for Addiction Treatment (MAT) and Linkage Program by Leveraging Community Partnerships and Medical Toxicology Expertise","volume":"17","author":[{"family":"Beauchamp","given":"Gillian A"},{"family":"Laubach","given":"Lexis T"},{"family":"Esposito","given":"Samantha B"},{"family":"Yazdanyar","given":"Ali"},{"family":"Roth","given":"Paige"},{"family":"Lauber","given":"Priyanka"},{"family":"Allen","given":"Jamie"},{"family":"Boateng","given":"Nathan"},{"family":"Shaak","given":"Samantha"},{"family":"Burmeister","given":"David B"}],"issued":{"date-parts":[["2021"]]}}}],"schema":"https://github.com/citation-style-language/schema/raw/master/csl-citation.json"}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[2]</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2F35DE22"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Post discharge bridge prescription ; Post-discharge transportation assistance; Post-discharge care navigation; Post discharge peer support</w:t>
            </w:r>
          </w:p>
        </w:tc>
        <w:tc>
          <w:tcPr>
            <w:tcW w:w="1170" w:type="dxa"/>
            <w:tcMar>
              <w:top w:w="30" w:type="dxa"/>
              <w:left w:w="45" w:type="dxa"/>
              <w:bottom w:w="30" w:type="dxa"/>
              <w:right w:w="45" w:type="dxa"/>
            </w:tcMar>
            <w:vAlign w:val="bottom"/>
            <w:hideMark/>
          </w:tcPr>
          <w:p w14:paraId="40977F1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 Inpatient hospital</w:t>
            </w:r>
          </w:p>
        </w:tc>
        <w:tc>
          <w:tcPr>
            <w:tcW w:w="1170" w:type="dxa"/>
            <w:tcMar>
              <w:top w:w="30" w:type="dxa"/>
              <w:left w:w="45" w:type="dxa"/>
              <w:bottom w:w="30" w:type="dxa"/>
              <w:right w:w="45" w:type="dxa"/>
            </w:tcMar>
            <w:vAlign w:val="bottom"/>
            <w:hideMark/>
          </w:tcPr>
          <w:p w14:paraId="0EF36CC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OUD</w:t>
            </w:r>
          </w:p>
        </w:tc>
        <w:tc>
          <w:tcPr>
            <w:tcW w:w="1080" w:type="dxa"/>
            <w:tcMar>
              <w:top w:w="30" w:type="dxa"/>
              <w:left w:w="45" w:type="dxa"/>
              <w:bottom w:w="30" w:type="dxa"/>
              <w:right w:w="45" w:type="dxa"/>
            </w:tcMar>
            <w:vAlign w:val="bottom"/>
            <w:hideMark/>
          </w:tcPr>
          <w:p w14:paraId="2BA1A6F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738F88A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6479711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Social worker/case manager; Multidisciplinary addiction care team; Medical doctor</w:t>
            </w:r>
          </w:p>
        </w:tc>
        <w:tc>
          <w:tcPr>
            <w:tcW w:w="1800" w:type="dxa"/>
            <w:tcMar>
              <w:top w:w="30" w:type="dxa"/>
              <w:left w:w="45" w:type="dxa"/>
              <w:bottom w:w="30" w:type="dxa"/>
              <w:right w:w="45" w:type="dxa"/>
            </w:tcMar>
            <w:vAlign w:val="bottom"/>
            <w:hideMark/>
          </w:tcPr>
          <w:p w14:paraId="21F448B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3396414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Addiction counselor; Medical doctor; Toxicologists</w:t>
            </w:r>
          </w:p>
        </w:tc>
        <w:tc>
          <w:tcPr>
            <w:tcW w:w="1350" w:type="dxa"/>
            <w:tcMar>
              <w:top w:w="30" w:type="dxa"/>
              <w:left w:w="45" w:type="dxa"/>
              <w:bottom w:w="30" w:type="dxa"/>
              <w:right w:w="45" w:type="dxa"/>
            </w:tcMar>
            <w:vAlign w:val="bottom"/>
            <w:hideMark/>
          </w:tcPr>
          <w:p w14:paraId="26537F3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Employed by external organization</w:t>
            </w:r>
          </w:p>
        </w:tc>
        <w:tc>
          <w:tcPr>
            <w:tcW w:w="1890" w:type="dxa"/>
            <w:tcMar>
              <w:top w:w="30" w:type="dxa"/>
              <w:left w:w="45" w:type="dxa"/>
              <w:bottom w:w="30" w:type="dxa"/>
              <w:right w:w="45" w:type="dxa"/>
            </w:tcMar>
            <w:vAlign w:val="bottom"/>
            <w:hideMark/>
          </w:tcPr>
          <w:p w14:paraId="6C431CF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Treatment with MOUD; Detox program; Residential/inpatient treatment providers; </w:t>
            </w:r>
            <w:r w:rsidRPr="00E73159">
              <w:rPr>
                <w:rFonts w:eastAsia="Times New Roman" w:cstheme="minorHAnsi"/>
                <w:color w:val="000000" w:themeColor="text1"/>
                <w:sz w:val="18"/>
                <w:szCs w:val="18"/>
                <w:lang w:val="en-US"/>
              </w:rPr>
              <w:t>Other medical and mental health services; Other community resources</w:t>
            </w:r>
          </w:p>
        </w:tc>
      </w:tr>
      <w:tr w:rsidR="00E73159" w:rsidRPr="00E73159" w14:paraId="71C7F2A2" w14:textId="77777777" w:rsidTr="00A01ED0">
        <w:trPr>
          <w:trHeight w:val="315"/>
        </w:trPr>
        <w:tc>
          <w:tcPr>
            <w:tcW w:w="1212" w:type="dxa"/>
            <w:tcMar>
              <w:top w:w="30" w:type="dxa"/>
              <w:left w:w="45" w:type="dxa"/>
              <w:bottom w:w="30" w:type="dxa"/>
              <w:right w:w="45" w:type="dxa"/>
            </w:tcMar>
            <w:vAlign w:val="bottom"/>
            <w:hideMark/>
          </w:tcPr>
          <w:p w14:paraId="582DC0F3" w14:textId="16762775"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Beieler</w:t>
            </w:r>
            <w:proofErr w:type="spellEnd"/>
            <w:r w:rsidRPr="00E73159">
              <w:rPr>
                <w:rFonts w:ascii="Calibri" w:eastAsia="Times New Roman" w:hAnsi="Calibri" w:cs="Calibri"/>
                <w:color w:val="000000" w:themeColor="text1"/>
                <w:sz w:val="18"/>
                <w:szCs w:val="18"/>
                <w:lang w:val="en-US"/>
              </w:rPr>
              <w:t>, 2021</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{"citationID":"TEtDsiDk","properties":{"formattedCitation":"[3]","plainCitation":"[3]","noteIndex":0},"citationItems":[{"id":10373,"uris":["http://zotero.org/users/11168138/items/K6I2PADG"],"itemData":{"id":10373,"type":"article-journal","abstract":"Hospitalizations for serious infections in patients with opioid use disorder (OUD) experiencing homelessness are common. Patients receiving 4 interventions (infectious disease consultation, addiction consultation, case management, and medications for OUD [MOUD]) had higher odds of clinical cure (unadjusted odds ratio [OR], 3.15; P = .03; adjusted OR, 3.03; P = .049) and successful retention in addiction care at 30 days (unadjusted OR, 5.46; P = .01; adjusted OR, 6.36; P = .003).","container-title":"Open Forum Infectious Diseases","DOI":"10.1093/ofid/ofab285","ISSN":"2328-8957","issue":"6","page":"ofab285","title":"Evaluation of Bundled Interventions for Patients With Opioid Use Disorder Experiencing Homelessness Receiving Extended Antibiotics for Severe Infection","volume":"8","author":[{"family":"Beieler","given":"Alison M"},{"family":"Klein","given":"Jared W"},{"family":"Bhatraju","given":"Elenore"},{"family":"Iles-Shih","given":"Matthew"},{"family":"Enzian","given":"Leslie"},{"family":"Dhanireddy","given":"Shireesha"}],"issued":{"date-parts":[["2021",6,1]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[3]</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6E501C04" w14:textId="481F8F51" w:rsidR="000C3472" w:rsidRPr="00E73159" w:rsidRDefault="004866F6"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Unspecified linkage</w:t>
            </w:r>
            <w:r w:rsidR="000C3472" w:rsidRPr="00E73159">
              <w:rPr>
                <w:rFonts w:cstheme="minorHAnsi"/>
                <w:color w:val="000000" w:themeColor="text1"/>
                <w:sz w:val="18"/>
                <w:szCs w:val="18"/>
                <w:shd w:val="clear" w:color="auto" w:fill="FFFFFF"/>
              </w:rPr>
              <w:t xml:space="preserve"> to </w:t>
            </w:r>
            <w:proofErr w:type="spellStart"/>
            <w:r w:rsidR="000C3472" w:rsidRPr="00E73159">
              <w:rPr>
                <w:rFonts w:cstheme="minorHAnsi"/>
                <w:color w:val="000000" w:themeColor="text1"/>
                <w:sz w:val="18"/>
                <w:szCs w:val="18"/>
                <w:shd w:val="clear" w:color="auto" w:fill="FFFFFF"/>
              </w:rPr>
              <w:t>treatment;Post</w:t>
            </w:r>
            <w:proofErr w:type="spellEnd"/>
            <w:r w:rsidR="000C3472" w:rsidRPr="00E73159">
              <w:rPr>
                <w:rFonts w:cstheme="minorHAnsi"/>
                <w:color w:val="000000" w:themeColor="text1"/>
                <w:sz w:val="18"/>
                <w:szCs w:val="18"/>
                <w:shd w:val="clear" w:color="auto" w:fill="FFFFFF"/>
              </w:rPr>
              <w:t xml:space="preserve"> discharge bridge prescription </w:t>
            </w:r>
          </w:p>
        </w:tc>
        <w:tc>
          <w:tcPr>
            <w:tcW w:w="1170" w:type="dxa"/>
            <w:tcMar>
              <w:top w:w="30" w:type="dxa"/>
              <w:left w:w="45" w:type="dxa"/>
              <w:bottom w:w="30" w:type="dxa"/>
              <w:right w:w="45" w:type="dxa"/>
            </w:tcMar>
            <w:vAlign w:val="bottom"/>
            <w:hideMark/>
          </w:tcPr>
          <w:p w14:paraId="124FBB5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17D1E1A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69C990B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74C285C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Methadone; Buprenorphine</w:t>
            </w:r>
          </w:p>
        </w:tc>
        <w:tc>
          <w:tcPr>
            <w:tcW w:w="1620" w:type="dxa"/>
            <w:tcMar>
              <w:top w:w="30" w:type="dxa"/>
              <w:left w:w="45" w:type="dxa"/>
              <w:bottom w:w="30" w:type="dxa"/>
              <w:right w:w="45" w:type="dxa"/>
            </w:tcMar>
            <w:vAlign w:val="bottom"/>
            <w:hideMark/>
          </w:tcPr>
          <w:p w14:paraId="65937C2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Multidisciplinary addiction care team; Addiction counselor</w:t>
            </w:r>
          </w:p>
        </w:tc>
        <w:tc>
          <w:tcPr>
            <w:tcW w:w="1800" w:type="dxa"/>
            <w:tcMar>
              <w:top w:w="30" w:type="dxa"/>
              <w:left w:w="45" w:type="dxa"/>
              <w:bottom w:w="30" w:type="dxa"/>
              <w:right w:w="45" w:type="dxa"/>
            </w:tcMar>
            <w:vAlign w:val="bottom"/>
            <w:hideMark/>
          </w:tcPr>
          <w:p w14:paraId="660E17F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Not specified</w:t>
            </w:r>
          </w:p>
        </w:tc>
        <w:tc>
          <w:tcPr>
            <w:tcW w:w="1530" w:type="dxa"/>
            <w:tcMar>
              <w:top w:w="30" w:type="dxa"/>
              <w:left w:w="45" w:type="dxa"/>
              <w:bottom w:w="30" w:type="dxa"/>
              <w:right w:w="45" w:type="dxa"/>
            </w:tcMar>
            <w:vAlign w:val="bottom"/>
            <w:hideMark/>
          </w:tcPr>
          <w:p w14:paraId="45BA42F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Multidisciplinary addiction care team</w:t>
            </w:r>
          </w:p>
        </w:tc>
        <w:tc>
          <w:tcPr>
            <w:tcW w:w="1350" w:type="dxa"/>
            <w:tcMar>
              <w:top w:w="30" w:type="dxa"/>
              <w:left w:w="45" w:type="dxa"/>
              <w:bottom w:w="30" w:type="dxa"/>
              <w:right w:w="45" w:type="dxa"/>
            </w:tcMar>
            <w:vAlign w:val="bottom"/>
            <w:hideMark/>
          </w:tcPr>
          <w:p w14:paraId="15A898B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Called upon to ED/hospital as a consult</w:t>
            </w:r>
          </w:p>
        </w:tc>
        <w:tc>
          <w:tcPr>
            <w:tcW w:w="1890" w:type="dxa"/>
            <w:tcMar>
              <w:top w:w="30" w:type="dxa"/>
              <w:left w:w="45" w:type="dxa"/>
              <w:bottom w:w="30" w:type="dxa"/>
              <w:right w:w="45" w:type="dxa"/>
            </w:tcMar>
            <w:vAlign w:val="bottom"/>
            <w:hideMark/>
          </w:tcPr>
          <w:p w14:paraId="7FF8404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Treatment with MOUD; </w:t>
            </w:r>
            <w:r w:rsidRPr="00E73159">
              <w:rPr>
                <w:rFonts w:eastAsia="Times New Roman" w:cstheme="minorHAnsi"/>
                <w:color w:val="000000" w:themeColor="text1"/>
                <w:sz w:val="18"/>
                <w:szCs w:val="18"/>
                <w:lang w:val="en-US"/>
              </w:rPr>
              <w:t>Other medical and mental health services; Other community resources</w:t>
            </w:r>
          </w:p>
        </w:tc>
      </w:tr>
      <w:tr w:rsidR="00E73159" w:rsidRPr="00E73159" w14:paraId="6B301D76" w14:textId="77777777" w:rsidTr="00A01ED0">
        <w:trPr>
          <w:trHeight w:val="315"/>
        </w:trPr>
        <w:tc>
          <w:tcPr>
            <w:tcW w:w="1212" w:type="dxa"/>
            <w:tcMar>
              <w:top w:w="30" w:type="dxa"/>
              <w:left w:w="45" w:type="dxa"/>
              <w:bottom w:w="30" w:type="dxa"/>
              <w:right w:w="45" w:type="dxa"/>
            </w:tcMar>
            <w:vAlign w:val="bottom"/>
            <w:hideMark/>
          </w:tcPr>
          <w:p w14:paraId="1EB42C43" w14:textId="0D9E809A"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Berger, 2017</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{"citationID":"TRQ0sJPh","properties":{"formattedCitation":"[4]","plainCitation":"[4]","noteIndex":0},"citationItems":[{"id":10412,"uris":["http://zotero.org/users/11168138/items/24HTU394"],"itemData":{"id":10412,"type":"article-journal","container-title":"Social Work in Health Care","DOI":"10.1080/00981389.2017.1299073","ISSN":"0098-1389","issue":"5","note":"publisher: Routledge","page":"321-334","title":"Referral to treatment for hospitalized medical patients with an alcohol use disorder: A proof-of-concept brief intervention study","volume":"56","author":[{"family":"Berger","given":"Lisa"},{"family":"Hernandez-Meier","given":"Jennifer"},{"family":"Hyatt","given":"John"},{"family":"Brondino","given":"Michael"}],"issued":{"date-parts":[["2017",5,28]]}}}],"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[4]</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0112C01D"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discuss treatment options; Pre-discharge schedule appointment; Post-discharge transportation assistance; Post-discharge care navigation</w:t>
            </w:r>
          </w:p>
        </w:tc>
        <w:tc>
          <w:tcPr>
            <w:tcW w:w="1170" w:type="dxa"/>
            <w:tcMar>
              <w:top w:w="30" w:type="dxa"/>
              <w:left w:w="45" w:type="dxa"/>
              <w:bottom w:w="30" w:type="dxa"/>
              <w:right w:w="45" w:type="dxa"/>
            </w:tcMar>
            <w:vAlign w:val="bottom"/>
            <w:hideMark/>
          </w:tcPr>
          <w:p w14:paraId="4760CDB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67C17DC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AUD</w:t>
            </w:r>
          </w:p>
        </w:tc>
        <w:tc>
          <w:tcPr>
            <w:tcW w:w="1080" w:type="dxa"/>
            <w:tcMar>
              <w:top w:w="30" w:type="dxa"/>
              <w:left w:w="45" w:type="dxa"/>
              <w:bottom w:w="30" w:type="dxa"/>
              <w:right w:w="45" w:type="dxa"/>
            </w:tcMar>
            <w:vAlign w:val="bottom"/>
            <w:hideMark/>
          </w:tcPr>
          <w:p w14:paraId="0503812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727F908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22D8B4E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Addiction counselor</w:t>
            </w:r>
          </w:p>
        </w:tc>
        <w:tc>
          <w:tcPr>
            <w:tcW w:w="1800" w:type="dxa"/>
            <w:tcMar>
              <w:top w:w="30" w:type="dxa"/>
              <w:left w:w="45" w:type="dxa"/>
              <w:bottom w:w="30" w:type="dxa"/>
              <w:right w:w="45" w:type="dxa"/>
            </w:tcMar>
            <w:vAlign w:val="bottom"/>
            <w:hideMark/>
          </w:tcPr>
          <w:p w14:paraId="6EA0F9B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Called upon as part of Addiction consult team</w:t>
            </w:r>
          </w:p>
        </w:tc>
        <w:tc>
          <w:tcPr>
            <w:tcW w:w="1530" w:type="dxa"/>
            <w:tcMar>
              <w:top w:w="30" w:type="dxa"/>
              <w:left w:w="45" w:type="dxa"/>
              <w:bottom w:w="30" w:type="dxa"/>
              <w:right w:w="45" w:type="dxa"/>
            </w:tcMar>
            <w:vAlign w:val="bottom"/>
            <w:hideMark/>
          </w:tcPr>
          <w:p w14:paraId="30993F6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Addiction counselor</w:t>
            </w:r>
          </w:p>
        </w:tc>
        <w:tc>
          <w:tcPr>
            <w:tcW w:w="1350" w:type="dxa"/>
            <w:tcMar>
              <w:top w:w="30" w:type="dxa"/>
              <w:left w:w="45" w:type="dxa"/>
              <w:bottom w:w="30" w:type="dxa"/>
              <w:right w:w="45" w:type="dxa"/>
            </w:tcMar>
            <w:vAlign w:val="bottom"/>
            <w:hideMark/>
          </w:tcPr>
          <w:p w14:paraId="0222C69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Employed by external organization</w:t>
            </w:r>
          </w:p>
        </w:tc>
        <w:tc>
          <w:tcPr>
            <w:tcW w:w="1890" w:type="dxa"/>
            <w:tcMar>
              <w:top w:w="30" w:type="dxa"/>
              <w:left w:w="45" w:type="dxa"/>
              <w:bottom w:w="30" w:type="dxa"/>
              <w:right w:w="45" w:type="dxa"/>
            </w:tcMar>
            <w:vAlign w:val="bottom"/>
            <w:hideMark/>
          </w:tcPr>
          <w:p w14:paraId="0B2A273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w:t>
            </w:r>
          </w:p>
        </w:tc>
      </w:tr>
      <w:tr w:rsidR="00E73159" w:rsidRPr="00E73159" w14:paraId="6254E14A" w14:textId="77777777" w:rsidTr="00A01ED0">
        <w:trPr>
          <w:trHeight w:val="315"/>
        </w:trPr>
        <w:tc>
          <w:tcPr>
            <w:tcW w:w="1212" w:type="dxa"/>
            <w:tcMar>
              <w:top w:w="30" w:type="dxa"/>
              <w:left w:w="45" w:type="dxa"/>
              <w:bottom w:w="30" w:type="dxa"/>
              <w:right w:w="45" w:type="dxa"/>
            </w:tcMar>
            <w:vAlign w:val="bottom"/>
            <w:hideMark/>
          </w:tcPr>
          <w:p w14:paraId="2FE72195" w14:textId="197CDA73"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Blanchette</w:t>
            </w:r>
            <w:proofErr w:type="spellEnd"/>
            <w:r w:rsidRPr="00E73159">
              <w:rPr>
                <w:rFonts w:ascii="Calibri" w:eastAsia="Times New Roman" w:hAnsi="Calibri" w:cs="Calibri"/>
                <w:color w:val="000000" w:themeColor="text1"/>
                <w:sz w:val="18"/>
                <w:szCs w:val="18"/>
                <w:lang w:val="en-US"/>
              </w:rPr>
              <w:t>-Martin, 2016</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{"citationID":"v6ZwSoBV","properties":{"formattedCitation":"[5]","plainCitation":"[5]","noteIndex":0},"citationItems":[{"id":10371,"uris":["http://zotero.org/users/11168138/items/S4P47VVD"],"itemData":{"id":10371,"type":"article-journal","abstract":"Many people coming to emergency departments (EDs) or receiving other hospital services arrive with an unidentified substance use disorder (SUD). A well-supported approach to reach these patients is the co-location of an addiction liaison nurse (ALN) in the ED or other hospital departments in order to facilitate case identification and linkage to treatment.\n\nObjectives. \n\nThe aim is to describe the patients identified by ALNs and their subsequent treatment trajectories.\n\nMethod. \n\nMonitoring of 1,482 patients who represented 2,082 service requests addressed to the ALNs by other hospital professionals, and who were assessed by the ALNs in three Quebec City hospitals (monitoring period varying between 6 to 24 months).\n\nResults. \n\nBased on the total service requests, the trajectories can be summarized as follows: going forward from the initial request to: 1) an ALN assessment (89.7% of initial requests), 2) a referral to an addiction program (78.0% of initial requests), 3) attendance at a specialized addiction assessment (50.0% of initial requests), and 4) participation in one or more treatment activities after specialized assessment (41.1% of initial requests). Of those who participated in the specialized addiction program, 88.4% had no active file in the centre, representing 44.2% of the initial ALN requests.\n\nConclusions. \n\nALN practice in an ED successfully meets the objective to redirect known clients and attract new clients to addiction treatment programs. Interesting differences were observed between hospitals that indicate efficacy variations based on the particular organization of hospital services and the type of patients coming from the local neighbourhood.\n\nBeaucoup de gens qui viennent aux services d'urgence (SU) ou recevant d'autres services hospitaliers arrivent avec un trouble non identifié d'utilisation de substances (TUS). Une approche très reconnue pour atteindre ces patients est la localisation d'une infirmière de liaison en soin de dépendance (ILD) aux SU ou autres services de l'hôpital, afin de faciliter l'identification des cas et la liaison pour le traitement.\n\nObjectifs. \n\nLe but est de décrire les patients identifiés par les ILDs et leurs parcours de traitement subséquent.\n\nMéthode. \n\nSuivi de 1 482 patients qui ont présenté 2 082 demandes de service adressées aux ILDs par d'autres professionnels de l'hôpital, et qui ont été évalués par les ILDs dans trois hôpitaux de la ville de Québec (période de surveillance variant entre 6 à 24 mois).\n\nRésultats. \n\nBasé sur le total des demandes de service, les parcours peuvent être résumées comme suit: aller de l'avant à partir de la demande initiale à: 1) une évaluation de l'ILD (89,7% des demandes initiales), 2) une recommandation à un programme de la toxicomanie (78,0% des demandes initiales ), 3) la participation à une évaluation de la toxicomanie spécialisée (50,0% des demandes initiales), et 4) la participation à une ou plusieurs activités de traitement après une évaluation spécialisée (41,1% des demandes initiales). Parmi ceux qui ont participé au programme spécialisé en toxicomanie, 88,4% n'avaient pas de fichier actif au centre, ce qui représente 44,2% des demandes d'ILDs initiales.\n\nConclusions. \n\nLa pratique de l'ILD dans un SU répond avec succès à l'objectif de rediriger les clients connus et attirer à des programmes de traitement de nouveaux clients souffrant de dépendance. Des différences intéressantes ont été observées entre les hôpitaux qui indiquent des variations d'efficacité en fonction de l'organisation particulière des services hospitaliers et le type de patients provenant du quartier environnant.\n\nCorrespondence: Joël Tremblay, Université du Québec à Trois-Rivières, Centre universitaire de Québec, C.P. 32, 850 avenue de Vimy, Québec, QC, G1S 0B7. Mail to:Joel.Tremblay@uqtr.ca, (418) 659.2170, ext. 2820 (phone), (419) 659–6674 (Fax.)\n\nSources of support: Financial support for this project come from « Centre de réadaptation en dépendance de Québec», « Centre de réadaptation en dépendance de Chaudière-Appalaches » and a grant from Health Canada, Drug Treatment Funding Program attributed to Rush and colleagues.\n\nDisclosure of funding: Researchers receive no financial benefits from their participation in this project.\n\n© 2016 by Lippincott Williams &amp; Wilkins, Inc.","container-title":"Canadian Journal of Addiction","ISSN":"2368-4739","issue":"3","title":"Co-location of Addiction Liaison Nurses in Three Quebec City Emergency Departments: Portrait of Services, Patients, and Treatment Trajectories","URL":"https://journals.lww.com/cja/Fulltext/2016/09000/Co_location_of_Addiction_Liaison_Nurses_in_Three.6.aspx","volume":"7","author":[{"family":"Blanchette-Martin","given":"Nadine"},{"family":"Tremblay","given":"Joël"},{"family":"Ferland","given":"Francine"},{"family":"Rush","given":"Brian"},{"family":"Garceau","given":"Pascal"},{"family":"Danielson","given":"Anna-Marie"}],"issued":{"date-parts":[["2016"]]}}}],"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[5]</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51002712" w14:textId="4957D840" w:rsidR="000C3472" w:rsidRPr="00E73159" w:rsidRDefault="004866F6"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Unspecified linkage</w:t>
            </w:r>
            <w:r w:rsidR="000C3472"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hideMark/>
          </w:tcPr>
          <w:p w14:paraId="0DE7C47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0F69DF4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AUD</w:t>
            </w:r>
          </w:p>
        </w:tc>
        <w:tc>
          <w:tcPr>
            <w:tcW w:w="1080" w:type="dxa"/>
            <w:tcMar>
              <w:top w:w="30" w:type="dxa"/>
              <w:left w:w="45" w:type="dxa"/>
              <w:bottom w:w="30" w:type="dxa"/>
              <w:right w:w="45" w:type="dxa"/>
            </w:tcMar>
            <w:vAlign w:val="bottom"/>
            <w:hideMark/>
          </w:tcPr>
          <w:p w14:paraId="6BA787E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15156BF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71DC458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Social worker/case manager; Medical doctor</w:t>
            </w:r>
          </w:p>
        </w:tc>
        <w:tc>
          <w:tcPr>
            <w:tcW w:w="1800" w:type="dxa"/>
            <w:tcMar>
              <w:top w:w="30" w:type="dxa"/>
              <w:left w:w="45" w:type="dxa"/>
              <w:bottom w:w="30" w:type="dxa"/>
              <w:right w:w="45" w:type="dxa"/>
            </w:tcMar>
            <w:vAlign w:val="bottom"/>
            <w:hideMark/>
          </w:tcPr>
          <w:p w14:paraId="2A64924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6F4D85C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Nurse; Social worker/case manager; </w:t>
            </w:r>
            <w:proofErr w:type="spellStart"/>
            <w:r w:rsidRPr="00E73159">
              <w:rPr>
                <w:rFonts w:ascii="Calibri" w:eastAsia="Times New Roman" w:hAnsi="Calibri" w:cs="Calibri"/>
                <w:color w:val="000000" w:themeColor="text1"/>
                <w:sz w:val="18"/>
                <w:szCs w:val="18"/>
                <w:lang w:val="en-US"/>
              </w:rPr>
              <w:t>Psychoeducator</w:t>
            </w:r>
            <w:proofErr w:type="spellEnd"/>
          </w:p>
        </w:tc>
        <w:tc>
          <w:tcPr>
            <w:tcW w:w="1350" w:type="dxa"/>
            <w:tcMar>
              <w:top w:w="30" w:type="dxa"/>
              <w:left w:w="45" w:type="dxa"/>
              <w:bottom w:w="30" w:type="dxa"/>
              <w:right w:w="45" w:type="dxa"/>
            </w:tcMar>
            <w:vAlign w:val="bottom"/>
            <w:hideMark/>
          </w:tcPr>
          <w:p w14:paraId="0C126CD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Placed directly in ED/hospital</w:t>
            </w:r>
          </w:p>
        </w:tc>
        <w:tc>
          <w:tcPr>
            <w:tcW w:w="1890" w:type="dxa"/>
            <w:tcMar>
              <w:top w:w="30" w:type="dxa"/>
              <w:left w:w="45" w:type="dxa"/>
              <w:bottom w:w="30" w:type="dxa"/>
              <w:right w:w="45" w:type="dxa"/>
            </w:tcMar>
            <w:vAlign w:val="bottom"/>
            <w:hideMark/>
          </w:tcPr>
          <w:p w14:paraId="39E6B25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Residential/inpatient treatment providers</w:t>
            </w:r>
          </w:p>
        </w:tc>
      </w:tr>
      <w:tr w:rsidR="00E73159" w:rsidRPr="00E73159" w14:paraId="3E5D5739" w14:textId="77777777" w:rsidTr="00A01ED0">
        <w:trPr>
          <w:trHeight w:val="315"/>
        </w:trPr>
        <w:tc>
          <w:tcPr>
            <w:tcW w:w="1212" w:type="dxa"/>
            <w:tcMar>
              <w:top w:w="30" w:type="dxa"/>
              <w:left w:w="45" w:type="dxa"/>
              <w:bottom w:w="30" w:type="dxa"/>
              <w:right w:w="45" w:type="dxa"/>
            </w:tcMar>
            <w:vAlign w:val="bottom"/>
            <w:hideMark/>
          </w:tcPr>
          <w:p w14:paraId="6D53AF5E" w14:textId="36A581BF"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Bogan</w:t>
            </w:r>
            <w:proofErr w:type="spellEnd"/>
            <w:r w:rsidRPr="00E73159">
              <w:rPr>
                <w:rFonts w:ascii="Calibri" w:eastAsia="Times New Roman" w:hAnsi="Calibri" w:cs="Calibri"/>
                <w:color w:val="000000" w:themeColor="text1"/>
                <w:sz w:val="18"/>
                <w:szCs w:val="18"/>
                <w:lang w:val="en-US"/>
              </w:rPr>
              <w:t>, 2020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{"citationID":"jP0oDjlF","properties":{"formattedCitation":"[6]","plainCitation":"[6]","noteIndex":0},"citationItems":[{"id":10389,"uris":["http://zotero.org/users/11168138/items/A5T59JYI"],"itemData":{"id":10389,"type":"article-journal","container-title":"Journal of Substance Abuse Treatment","DOI":"10.1016/j.jsat.2020.02.007","ISSN":"0740-5472","note":"publisher: Elsevier","page":"73-78","title":"Implementation of emergency department&amp;#x2013;initiated buprenorphine for opioid use disorder in a rural southern state","volume":"112","author":[{"family":"Bogan","given":"Carolyn"},{"family":"Jennings","given":"Lindsey"},{"family":"Haynes","given":"Louise"},{"family":"Barth","given":"Kelly"},{"family":"Moreland","given":"Angela"},{"family":"Oros","given":"Marla"},{"family":"Goldsby","given":"Sara"},{"family":"Lane","given":"Suzanne"},{"family":"Funcell","given":"Chanda"},{"family":"Brady","given":"Kathleen"}],"issued":{"date-parts":[["2020",3,1]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[6]</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3E7BA109" w14:textId="611755E3"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discuss treatment options; </w:t>
            </w:r>
            <w:r w:rsidR="004866F6" w:rsidRPr="00E73159">
              <w:rPr>
                <w:rFonts w:cstheme="minorHAnsi"/>
                <w:color w:val="000000" w:themeColor="text1"/>
                <w:sz w:val="18"/>
                <w:szCs w:val="18"/>
                <w:shd w:val="clear" w:color="auto" w:fill="FFFFFF"/>
              </w:rPr>
              <w:t>Unspecified linkage</w:t>
            </w:r>
            <w:r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hideMark/>
          </w:tcPr>
          <w:p w14:paraId="27DDA1B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7C920CA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OUD</w:t>
            </w:r>
          </w:p>
        </w:tc>
        <w:tc>
          <w:tcPr>
            <w:tcW w:w="1080" w:type="dxa"/>
            <w:tcMar>
              <w:top w:w="30" w:type="dxa"/>
              <w:left w:w="45" w:type="dxa"/>
              <w:bottom w:w="30" w:type="dxa"/>
              <w:right w:w="45" w:type="dxa"/>
            </w:tcMar>
            <w:vAlign w:val="bottom"/>
            <w:hideMark/>
          </w:tcPr>
          <w:p w14:paraId="09FD13D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4CEF654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170DB29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Patient navigator; Nurse;  Medical doctor</w:t>
            </w:r>
          </w:p>
        </w:tc>
        <w:tc>
          <w:tcPr>
            <w:tcW w:w="1800" w:type="dxa"/>
            <w:tcMar>
              <w:top w:w="30" w:type="dxa"/>
              <w:left w:w="45" w:type="dxa"/>
              <w:bottom w:w="30" w:type="dxa"/>
              <w:right w:w="45" w:type="dxa"/>
            </w:tcMar>
            <w:vAlign w:val="bottom"/>
            <w:hideMark/>
          </w:tcPr>
          <w:p w14:paraId="0388CAC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31D82D8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Patient navigator; Peer; Medical doctor</w:t>
            </w:r>
          </w:p>
        </w:tc>
        <w:tc>
          <w:tcPr>
            <w:tcW w:w="1350" w:type="dxa"/>
            <w:tcMar>
              <w:top w:w="30" w:type="dxa"/>
              <w:left w:w="45" w:type="dxa"/>
              <w:bottom w:w="30" w:type="dxa"/>
              <w:right w:w="45" w:type="dxa"/>
            </w:tcMar>
            <w:vAlign w:val="bottom"/>
            <w:hideMark/>
          </w:tcPr>
          <w:p w14:paraId="4D5769D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Placed directly in ED/hospital</w:t>
            </w:r>
          </w:p>
        </w:tc>
        <w:tc>
          <w:tcPr>
            <w:tcW w:w="1890" w:type="dxa"/>
            <w:tcMar>
              <w:top w:w="30" w:type="dxa"/>
              <w:left w:w="45" w:type="dxa"/>
              <w:bottom w:w="30" w:type="dxa"/>
              <w:right w:w="45" w:type="dxa"/>
            </w:tcMar>
            <w:vAlign w:val="bottom"/>
            <w:hideMark/>
          </w:tcPr>
          <w:p w14:paraId="2D840FC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Treatment with MOUD</w:t>
            </w:r>
          </w:p>
        </w:tc>
      </w:tr>
      <w:tr w:rsidR="00E73159" w:rsidRPr="00E73159" w14:paraId="1F30792C" w14:textId="77777777" w:rsidTr="00A01ED0">
        <w:trPr>
          <w:trHeight w:val="315"/>
        </w:trPr>
        <w:tc>
          <w:tcPr>
            <w:tcW w:w="1212" w:type="dxa"/>
            <w:tcMar>
              <w:top w:w="30" w:type="dxa"/>
              <w:left w:w="45" w:type="dxa"/>
              <w:bottom w:w="30" w:type="dxa"/>
              <w:right w:w="45" w:type="dxa"/>
            </w:tcMar>
            <w:vAlign w:val="bottom"/>
            <w:hideMark/>
          </w:tcPr>
          <w:p w14:paraId="1DE80611" w14:textId="0FF561C6"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Brothers, 20</w:t>
            </w:r>
            <w:r w:rsidR="00EB5352" w:rsidRPr="00E73159">
              <w:rPr>
                <w:rFonts w:ascii="Calibri" w:eastAsia="Times New Roman" w:hAnsi="Calibri" w:cs="Calibri"/>
                <w:color w:val="000000" w:themeColor="text1"/>
                <w:sz w:val="18"/>
                <w:szCs w:val="18"/>
                <w:lang w:val="en-US"/>
              </w:rPr>
              <w:t xml:space="preserve">21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{"citationID":"81323YgQ","properties":{"formattedCitation":"[7]","plainCitation":"[7]","noteIndex":0},"citationItems":[{"id":10418,"uris":["http://zotero.org/users/11168138/items/WXFQ84B5"],"itemData":{"id":10418,"type":"article-journal","container-title":"Substance Abuse","DOI":"10.1080/08897077.2020.1856291","ISSN":"0889-7077","issue":"4","note":"publisher: Taylor &amp; Francis","page":"433-437","title":"Implementation and evaluation of a novel, unofficial, trainee-organized hospital addiction medicine consultation service","volume":"42","author":[{"family":"Brothers","given":"Thomas D"},{"family":"Fraser","given":"John"},{"family":"MacAdam","given":"Emily"},{"family":"Morgan","given":"Brendan"},{"family":"Francheville","given":"Jordan"},{"family":"Nidumolu","given":"Aditya"},{"family":"Cheung","given":"Christopher"},{"family":"Hickcox","given":"Samuel"},{"family":"Saunders","given":"David"},{"family":"O’Donnell","given":"Tiffany"},{"family":"Genge","given":"Leah"},{"family":"Webster","given":"Duncan"}],"issued":{"date-parts":[["2021",10,2]]}}}],"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[7]</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693D8447" w14:textId="50AA1F0F" w:rsidR="000C3472" w:rsidRPr="00E73159" w:rsidRDefault="004866F6"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Unspecified linkage</w:t>
            </w:r>
            <w:r w:rsidR="000C3472" w:rsidRPr="00E73159">
              <w:rPr>
                <w:rFonts w:cstheme="minorHAnsi"/>
                <w:color w:val="000000" w:themeColor="text1"/>
                <w:sz w:val="18"/>
                <w:szCs w:val="18"/>
                <w:shd w:val="clear" w:color="auto" w:fill="FFFFFF"/>
              </w:rPr>
              <w:t xml:space="preserve"> to treatment, Post discharge bridge prescription</w:t>
            </w:r>
          </w:p>
        </w:tc>
        <w:tc>
          <w:tcPr>
            <w:tcW w:w="1170" w:type="dxa"/>
            <w:tcMar>
              <w:top w:w="30" w:type="dxa"/>
              <w:left w:w="45" w:type="dxa"/>
              <w:bottom w:w="30" w:type="dxa"/>
              <w:right w:w="45" w:type="dxa"/>
            </w:tcMar>
            <w:vAlign w:val="bottom"/>
            <w:hideMark/>
          </w:tcPr>
          <w:p w14:paraId="78088A4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7AADDAF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7AB6752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44B9F66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Methadone; Buprenorphine</w:t>
            </w:r>
          </w:p>
        </w:tc>
        <w:tc>
          <w:tcPr>
            <w:tcW w:w="1620" w:type="dxa"/>
            <w:tcMar>
              <w:top w:w="30" w:type="dxa"/>
              <w:left w:w="45" w:type="dxa"/>
              <w:bottom w:w="30" w:type="dxa"/>
              <w:right w:w="45" w:type="dxa"/>
            </w:tcMar>
            <w:vAlign w:val="bottom"/>
            <w:hideMark/>
          </w:tcPr>
          <w:p w14:paraId="2D2F543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w:t>
            </w:r>
          </w:p>
        </w:tc>
        <w:tc>
          <w:tcPr>
            <w:tcW w:w="1800" w:type="dxa"/>
            <w:tcMar>
              <w:top w:w="30" w:type="dxa"/>
              <w:left w:w="45" w:type="dxa"/>
              <w:bottom w:w="30" w:type="dxa"/>
              <w:right w:w="45" w:type="dxa"/>
            </w:tcMar>
            <w:vAlign w:val="bottom"/>
            <w:hideMark/>
          </w:tcPr>
          <w:p w14:paraId="0BBDB62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0802455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w:t>
            </w:r>
          </w:p>
        </w:tc>
        <w:tc>
          <w:tcPr>
            <w:tcW w:w="1350" w:type="dxa"/>
            <w:tcMar>
              <w:top w:w="30" w:type="dxa"/>
              <w:left w:w="45" w:type="dxa"/>
              <w:bottom w:w="30" w:type="dxa"/>
              <w:right w:w="45" w:type="dxa"/>
            </w:tcMar>
            <w:vAlign w:val="bottom"/>
            <w:hideMark/>
          </w:tcPr>
          <w:p w14:paraId="5A2B23D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Called upon to ED/hospital as a consult</w:t>
            </w:r>
          </w:p>
        </w:tc>
        <w:tc>
          <w:tcPr>
            <w:tcW w:w="1890" w:type="dxa"/>
            <w:tcMar>
              <w:top w:w="30" w:type="dxa"/>
              <w:left w:w="45" w:type="dxa"/>
              <w:bottom w:w="30" w:type="dxa"/>
              <w:right w:w="45" w:type="dxa"/>
            </w:tcMar>
            <w:vAlign w:val="bottom"/>
            <w:hideMark/>
          </w:tcPr>
          <w:p w14:paraId="440C193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SUD treatment providers (unspecified); Treatment with MOUD; Harm reduction services; </w:t>
            </w:r>
            <w:r w:rsidRPr="00E73159">
              <w:rPr>
                <w:rFonts w:eastAsia="Times New Roman" w:cstheme="minorHAnsi"/>
                <w:color w:val="000000" w:themeColor="text1"/>
                <w:sz w:val="18"/>
                <w:szCs w:val="18"/>
                <w:lang w:val="en-US"/>
              </w:rPr>
              <w:t>Other community resources</w:t>
            </w:r>
          </w:p>
        </w:tc>
      </w:tr>
      <w:tr w:rsidR="00E73159" w:rsidRPr="00E73159" w14:paraId="75C35105" w14:textId="77777777" w:rsidTr="00A01ED0">
        <w:trPr>
          <w:trHeight w:val="315"/>
        </w:trPr>
        <w:tc>
          <w:tcPr>
            <w:tcW w:w="1212" w:type="dxa"/>
            <w:tcMar>
              <w:top w:w="30" w:type="dxa"/>
              <w:left w:w="45" w:type="dxa"/>
              <w:bottom w:w="30" w:type="dxa"/>
              <w:right w:w="45" w:type="dxa"/>
            </w:tcMar>
            <w:vAlign w:val="bottom"/>
            <w:hideMark/>
          </w:tcPr>
          <w:p w14:paraId="21A5622E" w14:textId="2163EA85"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Byrne, 2020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{"citationID":"trZReaAR","properties":{"formattedCitation":"[8]","plainCitation":"[8]","noteIndex":0},"citationItems":[{"id":10403,"uris":["http://zotero.org/users/11168138/items/7Q4PMSHW"],"itemData":{"id":10403,"type":"article-journal","abstract":"Background\nFew individuals hospitalized with Substance Use Disorder (SUD) complications participate in recovery support services after discharge. Peer recovery coaching represents one potential new method for promoting recovery.\nMethods\nA six-month prospective randomized controlled trial compared outcomes between the standard of care and a physician-initiated recovery coaching intervention. The primary outcome measure was engagement in recovery support services, and the secondary outcome measures were substance use frequency and self-reported physical and mental health using the SF-12 survey. Participants (N = 98) were eligible if they were identified by a healthcare provider as having a SUD and were hospitalized due to SUD complications.\nResults\nEngagement rate over the six-month post-discharge time period was higher for participants in the recovery coaching intervention (84 %, 95 % CI: 78%–91%) compared to the standard of care control condition (34 %, 95 % CI: 25 %–44 %), log OR = 28.59, p &lt; .001. No overall group differences in substance use frequency (p = .80), self-reported physical (p = .69) or mental (p = .89) health were observed.\nConclusion\nAn inpatient linkage to recovery coaching services improves engagement rates and can feasibly be implemented in a single-center inpatient service. This intervention is promising for promoting both short-term and long-term engagement in recovery support services.","container-title":"Drug and Alcohol Dependence","DOI":"https://doi.org/10.1016/j.drugalcdep.2020.108234","ISSN":"0376-8716","page":"108234","title":"Inpatient link to peer recovery coaching: Results from a pilot randomized control trial","volume":"215","author":[{"family":"Byrne","given":"Kaileigh A"},{"family":"Roth","given":"Prerana J"},{"family":"Merchant","given":"Krupa"},{"family":"Baginski","given":"Bryana"},{"family":"Robinson","given":"Katie"},{"family":"Dumas","given":"Katy"},{"family":"Collie","given":"James"},{"family":"Ramsey","given":"Benjamin"},{"family":"Cull","given":"Jen"},{"family":"Cooper","given":"Leah"},{"family":"Churitch","given":"Matthew"},{"family":"Rennert","given":"Lior"},{"family":"Heo","given":"Moonseong"},{"family":"Jones","given":"Richard"}],"issued":{"date-parts":[["2020"]]}}}],"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[8]</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60B44657"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Post discharge peer support; Post-discharge transportation assistance; Post-discharge follow up calls; Post-discharge care navigation</w:t>
            </w:r>
          </w:p>
        </w:tc>
        <w:tc>
          <w:tcPr>
            <w:tcW w:w="1170" w:type="dxa"/>
            <w:tcMar>
              <w:top w:w="30" w:type="dxa"/>
              <w:left w:w="45" w:type="dxa"/>
              <w:bottom w:w="30" w:type="dxa"/>
              <w:right w:w="45" w:type="dxa"/>
            </w:tcMar>
            <w:vAlign w:val="bottom"/>
            <w:hideMark/>
          </w:tcPr>
          <w:p w14:paraId="7EFB6A5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0E2AA92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AUD</w:t>
            </w:r>
          </w:p>
        </w:tc>
        <w:tc>
          <w:tcPr>
            <w:tcW w:w="1080" w:type="dxa"/>
            <w:tcMar>
              <w:top w:w="30" w:type="dxa"/>
              <w:left w:w="45" w:type="dxa"/>
              <w:bottom w:w="30" w:type="dxa"/>
              <w:right w:w="45" w:type="dxa"/>
            </w:tcMar>
            <w:vAlign w:val="bottom"/>
            <w:hideMark/>
          </w:tcPr>
          <w:p w14:paraId="15A7FD3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68AAA5E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75AACD0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Social worker/case manager; Medical doctor; Medical student </w:t>
            </w:r>
          </w:p>
        </w:tc>
        <w:tc>
          <w:tcPr>
            <w:tcW w:w="1800" w:type="dxa"/>
            <w:tcMar>
              <w:top w:w="30" w:type="dxa"/>
              <w:left w:w="45" w:type="dxa"/>
              <w:bottom w:w="30" w:type="dxa"/>
              <w:right w:w="45" w:type="dxa"/>
            </w:tcMar>
            <w:vAlign w:val="bottom"/>
            <w:hideMark/>
          </w:tcPr>
          <w:p w14:paraId="348978E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18EF7E6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Peer; Medical doctor</w:t>
            </w:r>
          </w:p>
        </w:tc>
        <w:tc>
          <w:tcPr>
            <w:tcW w:w="1350" w:type="dxa"/>
            <w:tcMar>
              <w:top w:w="30" w:type="dxa"/>
              <w:left w:w="45" w:type="dxa"/>
              <w:bottom w:w="30" w:type="dxa"/>
              <w:right w:w="45" w:type="dxa"/>
            </w:tcMar>
            <w:vAlign w:val="bottom"/>
            <w:hideMark/>
          </w:tcPr>
          <w:p w14:paraId="36D0D20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Employed by external organization</w:t>
            </w:r>
          </w:p>
        </w:tc>
        <w:tc>
          <w:tcPr>
            <w:tcW w:w="1890" w:type="dxa"/>
            <w:tcMar>
              <w:top w:w="30" w:type="dxa"/>
              <w:left w:w="45" w:type="dxa"/>
              <w:bottom w:w="30" w:type="dxa"/>
              <w:right w:w="45" w:type="dxa"/>
            </w:tcMar>
            <w:vAlign w:val="bottom"/>
            <w:hideMark/>
          </w:tcPr>
          <w:p w14:paraId="0416B25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SUD treatment providers (unspecified); </w:t>
            </w:r>
            <w:r w:rsidRPr="00E73159">
              <w:rPr>
                <w:rFonts w:eastAsia="Times New Roman" w:cstheme="minorHAnsi"/>
                <w:color w:val="000000" w:themeColor="text1"/>
                <w:sz w:val="18"/>
                <w:szCs w:val="18"/>
                <w:lang w:val="en-US"/>
              </w:rPr>
              <w:t>Other community resources</w:t>
            </w:r>
          </w:p>
        </w:tc>
      </w:tr>
      <w:tr w:rsidR="00E73159" w:rsidRPr="00E73159" w14:paraId="543BFF64" w14:textId="77777777" w:rsidTr="00A01ED0">
        <w:trPr>
          <w:trHeight w:val="315"/>
        </w:trPr>
        <w:tc>
          <w:tcPr>
            <w:tcW w:w="1212" w:type="dxa"/>
            <w:tcMar>
              <w:top w:w="30" w:type="dxa"/>
              <w:left w:w="45" w:type="dxa"/>
              <w:bottom w:w="30" w:type="dxa"/>
              <w:right w:w="45" w:type="dxa"/>
            </w:tcMar>
            <w:vAlign w:val="bottom"/>
            <w:hideMark/>
          </w:tcPr>
          <w:p w14:paraId="6108223A" w14:textId="4DE06BCA"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Calcater</w:t>
            </w:r>
            <w:r w:rsidR="00EB5352" w:rsidRPr="00E73159">
              <w:rPr>
                <w:rFonts w:ascii="Calibri" w:eastAsia="Times New Roman" w:hAnsi="Calibri" w:cs="Calibri"/>
                <w:color w:val="000000" w:themeColor="text1"/>
                <w:sz w:val="18"/>
                <w:szCs w:val="18"/>
                <w:lang w:val="en-US"/>
              </w:rPr>
              <w:softHyphen/>
            </w:r>
            <w:r w:rsidRPr="00E73159">
              <w:rPr>
                <w:rFonts w:ascii="Calibri" w:eastAsia="Times New Roman" w:hAnsi="Calibri" w:cs="Calibri"/>
                <w:color w:val="000000" w:themeColor="text1"/>
                <w:sz w:val="18"/>
                <w:szCs w:val="18"/>
                <w:lang w:val="en-US"/>
              </w:rPr>
              <w:t>ra</w:t>
            </w:r>
            <w:proofErr w:type="spellEnd"/>
            <w:r w:rsidRPr="00E73159">
              <w:rPr>
                <w:rFonts w:ascii="Calibri" w:eastAsia="Times New Roman" w:hAnsi="Calibri" w:cs="Calibri"/>
                <w:color w:val="000000" w:themeColor="text1"/>
                <w:sz w:val="18"/>
                <w:szCs w:val="18"/>
                <w:lang w:val="en-US"/>
              </w:rPr>
              <w:t>, 202</w:t>
            </w:r>
            <w:r w:rsidR="00EB5352" w:rsidRPr="00E73159">
              <w:rPr>
                <w:rFonts w:ascii="Calibri" w:eastAsia="Times New Roman" w:hAnsi="Calibri" w:cs="Calibri"/>
                <w:color w:val="000000" w:themeColor="text1"/>
                <w:sz w:val="18"/>
                <w:szCs w:val="18"/>
                <w:lang w:val="en-US"/>
              </w:rPr>
              <w:t xml:space="preserve">1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{"citationID":"7F65MMWu","properties":{"formattedCitation":"[9]","plainCitation":"[9]","noteIndex":0},"citationItems":[{"id":10364,"uris":["http://zotero.org/users/11168138/items/SJKGMAG7"],"itemData":{"id":10364,"type":"article-journal","abstract":"Hospitalizations related to the consequences of substance use are rising yet most hospitalized patients with substance use disorder do not receive evidence-based addiction treatment. Opportunities to leverage the hospitalist workforce could close this treatment gap.","container-title":"Journal of General Internal Medicine","DOI":"10.1007/s11606-021-06849-8","ISSN":"1525-1497","issue":"5","page":"1065-1072","title":"The Development and Implementation of a Hospitalist-Directed Addiction Medicine Consultation Service to Address a Treatment Gap","volume":"37","author":[{"family":"Calcaterra","given":"Susan L"},{"family":"McBeth","given":"Lauren"},{"family":"Keniston","given":"Angela M"},{"family":"Burden","given":"Marisha"}],"issued":{"date-parts":[["2022"]]}}}],"schema":"https://github.com/citation-style-language/schema/raw/master/csl-citation.json"}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[9]</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1015FD30" w14:textId="3D045174"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discuss treatment options; </w:t>
            </w:r>
            <w:r w:rsidR="004866F6" w:rsidRPr="00E73159">
              <w:rPr>
                <w:rFonts w:cstheme="minorHAnsi"/>
                <w:color w:val="000000" w:themeColor="text1"/>
                <w:sz w:val="18"/>
                <w:szCs w:val="18"/>
                <w:shd w:val="clear" w:color="auto" w:fill="FFFFFF"/>
              </w:rPr>
              <w:t>Unspecified linkage</w:t>
            </w:r>
            <w:r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hideMark/>
          </w:tcPr>
          <w:p w14:paraId="369EE66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08FA516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 AUD; Methamphetamine &amp; other stimulant use disorder</w:t>
            </w:r>
          </w:p>
        </w:tc>
        <w:tc>
          <w:tcPr>
            <w:tcW w:w="1080" w:type="dxa"/>
            <w:tcMar>
              <w:top w:w="30" w:type="dxa"/>
              <w:left w:w="45" w:type="dxa"/>
              <w:bottom w:w="30" w:type="dxa"/>
              <w:right w:w="45" w:type="dxa"/>
            </w:tcMar>
            <w:vAlign w:val="bottom"/>
            <w:hideMark/>
          </w:tcPr>
          <w:p w14:paraId="06113DD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5E7E837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Methadone; Buprenorphine; Naltrexone</w:t>
            </w:r>
          </w:p>
        </w:tc>
        <w:tc>
          <w:tcPr>
            <w:tcW w:w="1620" w:type="dxa"/>
            <w:tcMar>
              <w:top w:w="30" w:type="dxa"/>
              <w:left w:w="45" w:type="dxa"/>
              <w:bottom w:w="30" w:type="dxa"/>
              <w:right w:w="45" w:type="dxa"/>
            </w:tcMar>
            <w:vAlign w:val="bottom"/>
            <w:hideMark/>
          </w:tcPr>
          <w:p w14:paraId="3686AA6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Medical doctor</w:t>
            </w:r>
          </w:p>
        </w:tc>
        <w:tc>
          <w:tcPr>
            <w:tcW w:w="1800" w:type="dxa"/>
            <w:tcMar>
              <w:top w:w="30" w:type="dxa"/>
              <w:left w:w="45" w:type="dxa"/>
              <w:bottom w:w="30" w:type="dxa"/>
              <w:right w:w="45" w:type="dxa"/>
            </w:tcMar>
            <w:vAlign w:val="bottom"/>
            <w:hideMark/>
          </w:tcPr>
          <w:p w14:paraId="6743E50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Called upon as part of Addiction consult team</w:t>
            </w:r>
          </w:p>
        </w:tc>
        <w:tc>
          <w:tcPr>
            <w:tcW w:w="1530" w:type="dxa"/>
            <w:tcMar>
              <w:top w:w="30" w:type="dxa"/>
              <w:left w:w="45" w:type="dxa"/>
              <w:bottom w:w="30" w:type="dxa"/>
              <w:right w:w="45" w:type="dxa"/>
            </w:tcMar>
            <w:vAlign w:val="bottom"/>
            <w:hideMark/>
          </w:tcPr>
          <w:p w14:paraId="32B6B69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w:t>
            </w:r>
          </w:p>
        </w:tc>
        <w:tc>
          <w:tcPr>
            <w:tcW w:w="1350" w:type="dxa"/>
            <w:tcMar>
              <w:top w:w="30" w:type="dxa"/>
              <w:left w:w="45" w:type="dxa"/>
              <w:bottom w:w="30" w:type="dxa"/>
              <w:right w:w="45" w:type="dxa"/>
            </w:tcMar>
            <w:vAlign w:val="bottom"/>
            <w:hideMark/>
          </w:tcPr>
          <w:p w14:paraId="2688297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50AB3C7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Treatment with MOUD; Residential/inpatient treatment providers</w:t>
            </w:r>
          </w:p>
        </w:tc>
      </w:tr>
      <w:tr w:rsidR="00E73159" w:rsidRPr="00E73159" w14:paraId="6EF3912D" w14:textId="77777777" w:rsidTr="00A01ED0">
        <w:trPr>
          <w:trHeight w:val="315"/>
        </w:trPr>
        <w:tc>
          <w:tcPr>
            <w:tcW w:w="1212" w:type="dxa"/>
            <w:tcMar>
              <w:top w:w="30" w:type="dxa"/>
              <w:left w:w="45" w:type="dxa"/>
              <w:bottom w:w="30" w:type="dxa"/>
              <w:right w:w="45" w:type="dxa"/>
            </w:tcMar>
            <w:vAlign w:val="bottom"/>
            <w:hideMark/>
          </w:tcPr>
          <w:p w14:paraId="1CC18ED3" w14:textId="79E9E19A"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Cushman, 2016</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{"citationID":"6RqHAHei","properties":{"formattedCitation":"[10]","plainCitation":"[10]","noteIndex":0},"citationItems":[{"id":10379,"uris":["http://zotero.org/users/11168138/items/E2IF2RJZ"],"itemData":{"id":10379,"type":"article-journal","container-title":"Journal of Substance Abuse Treatment","DOI":"10.1016/j.jsat.2016.06.003","ISSN":"0740-5472","note":"publisher: Elsevier","page":"68-73","title":"Buprenorphine Initiation and Linkage to Outpatient Buprenorphine do not Reduce Frequency of Injection Opiate Use Following Hospitalization","volume":"68","author":[{"family":"Cushman","given":"Phoebe A"},{"family":"Liebschutz","given":"Jane M"},{"family":"Anderson","given":"Bradley J"},{"family":"Moreau","given":"Merredith R"},{"family":"Stein","given":"Michael D"}],"issued":{"date-parts":[["2016",9,1]]}}}],"schema":"https://github.com/citation-style-language/schema/raw/master/csl-citation.json"}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[10]</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4890F2EB"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schedule appointment; Pre-discharge provider list </w:t>
            </w:r>
          </w:p>
        </w:tc>
        <w:tc>
          <w:tcPr>
            <w:tcW w:w="1170" w:type="dxa"/>
            <w:tcMar>
              <w:top w:w="30" w:type="dxa"/>
              <w:left w:w="45" w:type="dxa"/>
              <w:bottom w:w="30" w:type="dxa"/>
              <w:right w:w="45" w:type="dxa"/>
            </w:tcMar>
            <w:vAlign w:val="bottom"/>
            <w:hideMark/>
          </w:tcPr>
          <w:p w14:paraId="7BC3F90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2835BC0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307BA98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13231DA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453523F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22B1E9E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1E67836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Medical doctor</w:t>
            </w:r>
          </w:p>
        </w:tc>
        <w:tc>
          <w:tcPr>
            <w:tcW w:w="1350" w:type="dxa"/>
            <w:tcMar>
              <w:top w:w="30" w:type="dxa"/>
              <w:left w:w="45" w:type="dxa"/>
              <w:bottom w:w="30" w:type="dxa"/>
              <w:right w:w="45" w:type="dxa"/>
            </w:tcMar>
            <w:vAlign w:val="bottom"/>
            <w:hideMark/>
          </w:tcPr>
          <w:p w14:paraId="04291EF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3896096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2C5A2AB4" w14:textId="77777777" w:rsidTr="00A01ED0">
        <w:trPr>
          <w:trHeight w:val="315"/>
        </w:trPr>
        <w:tc>
          <w:tcPr>
            <w:tcW w:w="1212" w:type="dxa"/>
            <w:tcMar>
              <w:top w:w="30" w:type="dxa"/>
              <w:left w:w="45" w:type="dxa"/>
              <w:bottom w:w="30" w:type="dxa"/>
              <w:right w:w="45" w:type="dxa"/>
            </w:tcMar>
            <w:vAlign w:val="bottom"/>
            <w:hideMark/>
          </w:tcPr>
          <w:p w14:paraId="1115669C" w14:textId="1B8D8E9E"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D'Onofrio</w:t>
            </w:r>
            <w:proofErr w:type="spellEnd"/>
            <w:r w:rsidRPr="00E73159">
              <w:rPr>
                <w:rFonts w:ascii="Calibri" w:eastAsia="Times New Roman" w:hAnsi="Calibri" w:cs="Calibri"/>
                <w:color w:val="000000" w:themeColor="text1"/>
                <w:sz w:val="18"/>
                <w:szCs w:val="18"/>
                <w:lang w:val="en-US"/>
              </w:rPr>
              <w:t>, 2010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{"citationID":"TN7n8Q0U","properties":{"formattedCitation":"[11]","plainCitation":"[11]","noteIndex":0},"citationItems":[{"id":10399,"uris":["http://zotero.org/users/11168138/items/DB3DMAQM"],"itemData":{"id":10399,"type":"article-journal","abstract":"ACADEMIC EMERGENCY MEDICINE 2010; 17:903?911 ? 2010 by the Society for Academic Emergency Medicine Abstract Objectives:? The objective was to evaluate the effects of Project Alcohol and Substance Abuse Services Education and Referral to Treatment (ASSERT), an emergency department (ED)-based screening, brief intervention, and referral to treatment program for unhealthy alcohol and other drug use. Methods:? Health promotion advocates (HPAs) screened ED patients for alcohol and/or drug problems 7?days a week using questions embedded in a general health questionnaire. Patients with unhealthy drinking and/or drug use received a brief negotiation interview (BNI), with the goal of reducing alcohol/drug use and/or accepting a referral to a specialized treatment facility (STF), depending on severity of use. Patients referred to an STF were followed up at 1?month by phone or contact with the STF to determine referral completion and enrollment into the treatment program. Results:? Over a 5-year period (December 1999 through December 2004), 22,534 adult ED patients were screened. A total of 10,246 (45.5%) reported alcohol consumption in the past 30?days, of whom 5,533 (54%) exceeded the National Institute on Alcohol Abuse and Alcoholism (NIAAA) guidelines for low-risk drinking. Use of at least one illicit drug was reported by 3,530 patients (15.7%). Over one-fourth of screened patients received BNIs (6,266, or 27.8%). Of these, 3,968 (63%) were referred to an STF. Eighty-three percent of patients were followed at 1?month, and 2,159 (65%) had enrolled in a program. Patients who received a direct admission to an STF were 30 times more likely to enroll than those who were indirectly referred (odds ratio?=?30.71; 95% confidence interval?=?18.48 to 51.04). After 3?years, funding for Project ASSERT was fully incorporated into the ED budget. Conclusions:? Project ASSERT has been successfully integrated into an urban ED. A direct, facilitated referral for patients with alcohol and other drug problems results in a high rate of enrollment in treatment programs.","container-title":"Academic Emergency Medicine","DOI":"https://doi.org/10.1111/j.1553-2712.2010.00824.x","ISSN":"1069-6563","issue":"8","note":"publisher: John Wiley &amp; Sons, Ltd","page":"903-911","title":"Integrating Project ASSERT: A Screening, Intervention, and Referral to Treatment Program for Unhealthy Alcohol and Drug Use Into an Urban Emergency Department","volume":"17","author":[{"family":"D’Onofrio","given":"Gail"},{"family":"Degutis","given":"Linda C"}],"issued":{"date-parts":[["2010",8,1]]}}}],"schema":"https://github.com/citation-style-language/schema/raw/master/csl-citation.json"}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[11]</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7D0E1A80" w14:textId="75BC5DE9"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discuss treatment options Post-discharge transportation assistance; Pre-discharge schedule appointment; </w:t>
            </w:r>
            <w:r w:rsidR="004866F6" w:rsidRPr="00E73159">
              <w:rPr>
                <w:rFonts w:cstheme="minorHAnsi"/>
                <w:color w:val="000000" w:themeColor="text1"/>
                <w:sz w:val="18"/>
                <w:szCs w:val="18"/>
                <w:shd w:val="clear" w:color="auto" w:fill="FFFFFF"/>
              </w:rPr>
              <w:t>Unspecified linkage</w:t>
            </w:r>
            <w:r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hideMark/>
          </w:tcPr>
          <w:p w14:paraId="211BAAA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3D6F39D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AUD</w:t>
            </w:r>
          </w:p>
        </w:tc>
        <w:tc>
          <w:tcPr>
            <w:tcW w:w="1080" w:type="dxa"/>
            <w:tcMar>
              <w:top w:w="30" w:type="dxa"/>
              <w:left w:w="45" w:type="dxa"/>
              <w:bottom w:w="30" w:type="dxa"/>
              <w:right w:w="45" w:type="dxa"/>
            </w:tcMar>
            <w:vAlign w:val="bottom"/>
            <w:hideMark/>
          </w:tcPr>
          <w:p w14:paraId="6F0BA1A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2C45AA1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079AD1C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Patient navigator</w:t>
            </w:r>
          </w:p>
        </w:tc>
        <w:tc>
          <w:tcPr>
            <w:tcW w:w="1800" w:type="dxa"/>
            <w:tcMar>
              <w:top w:w="30" w:type="dxa"/>
              <w:left w:w="45" w:type="dxa"/>
              <w:bottom w:w="30" w:type="dxa"/>
              <w:right w:w="45" w:type="dxa"/>
            </w:tcMar>
            <w:vAlign w:val="bottom"/>
            <w:hideMark/>
          </w:tcPr>
          <w:p w14:paraId="596F8E1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27AA384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Patient navigator </w:t>
            </w:r>
          </w:p>
        </w:tc>
        <w:tc>
          <w:tcPr>
            <w:tcW w:w="1350" w:type="dxa"/>
            <w:tcMar>
              <w:top w:w="30" w:type="dxa"/>
              <w:left w:w="45" w:type="dxa"/>
              <w:bottom w:w="30" w:type="dxa"/>
              <w:right w:w="45" w:type="dxa"/>
            </w:tcMar>
            <w:vAlign w:val="bottom"/>
            <w:hideMark/>
          </w:tcPr>
          <w:p w14:paraId="483D0F2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697AF01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SUD treatment providers (unspecified); Primary care providers; </w:t>
            </w:r>
            <w:r w:rsidRPr="00E73159">
              <w:rPr>
                <w:rFonts w:eastAsia="Times New Roman" w:cstheme="minorHAnsi"/>
                <w:color w:val="000000" w:themeColor="text1"/>
                <w:sz w:val="18"/>
                <w:szCs w:val="18"/>
                <w:lang w:val="en-US"/>
              </w:rPr>
              <w:t>Other community resources</w:t>
            </w:r>
          </w:p>
        </w:tc>
      </w:tr>
      <w:tr w:rsidR="00E73159" w:rsidRPr="00E73159" w14:paraId="0A07621E" w14:textId="77777777" w:rsidTr="00A01ED0">
        <w:trPr>
          <w:trHeight w:val="315"/>
        </w:trPr>
        <w:tc>
          <w:tcPr>
            <w:tcW w:w="1212" w:type="dxa"/>
            <w:tcMar>
              <w:top w:w="30" w:type="dxa"/>
              <w:left w:w="45" w:type="dxa"/>
              <w:bottom w:w="30" w:type="dxa"/>
              <w:right w:w="45" w:type="dxa"/>
            </w:tcMar>
            <w:vAlign w:val="bottom"/>
            <w:hideMark/>
          </w:tcPr>
          <w:p w14:paraId="1A250EA3" w14:textId="53634E3D"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D'Onofrio</w:t>
            </w:r>
            <w:proofErr w:type="spellEnd"/>
            <w:r w:rsidRPr="00E73159">
              <w:rPr>
                <w:rFonts w:ascii="Calibri" w:eastAsia="Times New Roman" w:hAnsi="Calibri" w:cs="Calibri"/>
                <w:color w:val="000000" w:themeColor="text1"/>
                <w:sz w:val="18"/>
                <w:szCs w:val="18"/>
                <w:lang w:val="en-US"/>
              </w:rPr>
              <w:t>, 2015</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{"citationID":"S3aL1WMf","properties":{"formattedCitation":"[12]","plainCitation":"[12]","noteIndex":0},"citationItems":[{"id":8804,"uris":["http://zotero.org/users/11168138/items/2JCNCLCH"],"itemData":{"id":8804,"type":"article-journal","abstract":"IMPORTANCE: Opioid-dependent patients often use the emergency department (ED) for medical care. OBJECTIVE: To test the efficacy of 3 interventions for opioid dependence: (1) screening and referral to treatment (referral); (2) screening, brief intervention, and facilitated referral to community-based treatment services (brief intervention); and (3) screening, brief intervention, ED-initiated treatment with buprenorphine/naloxone, and referral to primary care for 10-week follow-up (buprenorphine). DESIGN, SETTING, AND PARTICIPANTS: A randomized clinical trial involving 329 opioid-dependent patients who were treated at an urban teaching hospital ED from April 7, 2009, through June 25, 2013. INTERVENTIONS: After screening, 104 patients were randomized to the referral group, 111 to the brief intervention group, and 114 to the buprenorphine treatment group. MAIN OUTCOMES AND MEASURES: Enrollment in and receiving addiction treatment 30 days after randomization was the primary outcome. Self-reported days of illicit opioid use, urine testing for illicit opioids, human immunodeficiency virus (HIV) risk, and use of addiction treatment services were the secondary outcomes. RESULTS: Seventy-eight percent of patients in the buprenorphine group (89 of 114 [95% CI, 70%-85%]) vs 37% in the referral group (38 of 102 [95% CI, 28%-47%]) and 45% in the brief intervention group (50 of 111 [95% CI, 36%-54%]) were engaged in addiction treatment on the 30th day after randomization (P &lt; .001). The buprenorphine group reduced the number of days of illicit opioid use per week from 5.4 days (95% CI, 5.1-5.7) to 0.9 days (95% CI, 0.5-1.3) vs a reduction from 5.4 days (95% CI, 5.1-5.7) to 2.3 days (95% CI, 1.7-3.0) in the referral group and from 5.6 days (95% CI, 5.3-5.9) to 2.4 days (95% CI, 1.8-3.0) in the brief intervention group (P &lt; .001 for both time and intervention effects; P = .02 for the interaction effect). The rates of urine samples that tested negative for opioids did not differ statistically across groups, with 53.8% (95% CI, 42%-65%) in the referral group, 42.9% (95% CI, 31%-55%) in the brief intervention group, and 57.6% (95% CI, 47%-68%) in the buprenorphine group (P = .17). There were no statistically significant differences in HIV risk across groups (P = .66). Eleven percent of patients in the buprenorphine group (95% CI, 6%-19%) used inpatient addiction treatment services, whereas 37% in the referral group (95% CI, 27%-48%) and 35% in the brief intervention group (95% CI, 25%-37%) used inpatient addiction treatment services (P &lt; .001). CONCLUSIONS AND RELEVANCE: Among opioid-dependent patients, ED-initiated buprenorphine treatment vs brief intervention and referral significantly increased engagement in addiction treatment, reduced self-reported illicit opioid use, and decreased use of inpatient addiction treatment services but did not significantly decrease the rates of urine samples that tested positive for opioids or of HIV risk. These findings require replication in other centers before widespread adoption. TRIAL REGISTRATION: clinicaltrials.gov Identifier: NCT00913770.","container-title":"JAMA","DOI":"10.1001/jama.2015.3474","ISSN":"1538-3598","issue":"16","language":"eng","note":"PMID: 25919527","page":"1636-1644","title":"Emergency department-initiated buprenorphine/naloxone treatment for opioid dependence: a randomized clinical trial","volume":"313","author":[{"family":"D'Onofrio","given":"Gail"},{"family":"O'Connor","given":"Patrick G"},{"family":"Pantalon","given":"Michael V"},{"family":"Chawarski","given":"Marek C"},{"family":"Busch","given":"Susan H"},{"family":"Owens","given":"Patricia H"},{"family":"Bernstein","given":"Steven L"},{"family":"Fiellin","given":"David A"}],"issued":{"date-parts":[["2015",4,28]]}}}],"schema":"https://github.com/citation-style-language/schema/raw/master/csl-citation.json"}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[12]</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1AAF557D"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provider list; Pre-discharge discuss treatment options; Pre-discharge schedule appointment; Post-discharge transportation assistance; Post discharge bridge prescription </w:t>
            </w:r>
          </w:p>
        </w:tc>
        <w:tc>
          <w:tcPr>
            <w:tcW w:w="1170" w:type="dxa"/>
            <w:tcMar>
              <w:top w:w="30" w:type="dxa"/>
              <w:left w:w="45" w:type="dxa"/>
              <w:bottom w:w="30" w:type="dxa"/>
              <w:right w:w="45" w:type="dxa"/>
            </w:tcMar>
            <w:vAlign w:val="bottom"/>
            <w:hideMark/>
          </w:tcPr>
          <w:p w14:paraId="536F60D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72E22BE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69BB586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533AF0E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1739DD4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 Research Associate</w:t>
            </w:r>
          </w:p>
        </w:tc>
        <w:tc>
          <w:tcPr>
            <w:tcW w:w="1800" w:type="dxa"/>
            <w:tcMar>
              <w:top w:w="30" w:type="dxa"/>
              <w:left w:w="45" w:type="dxa"/>
              <w:bottom w:w="30" w:type="dxa"/>
              <w:right w:w="45" w:type="dxa"/>
            </w:tcMar>
            <w:vAlign w:val="bottom"/>
            <w:hideMark/>
          </w:tcPr>
          <w:p w14:paraId="21EB18E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5327388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 Research assistant</w:t>
            </w:r>
          </w:p>
        </w:tc>
        <w:tc>
          <w:tcPr>
            <w:tcW w:w="1350" w:type="dxa"/>
            <w:tcMar>
              <w:top w:w="30" w:type="dxa"/>
              <w:left w:w="45" w:type="dxa"/>
              <w:bottom w:w="30" w:type="dxa"/>
              <w:right w:w="45" w:type="dxa"/>
            </w:tcMar>
            <w:vAlign w:val="bottom"/>
            <w:hideMark/>
          </w:tcPr>
          <w:p w14:paraId="22B0480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5FC7AB6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1A43C41A" w14:textId="77777777" w:rsidTr="00A01ED0">
        <w:trPr>
          <w:trHeight w:val="315"/>
        </w:trPr>
        <w:tc>
          <w:tcPr>
            <w:tcW w:w="1212" w:type="dxa"/>
            <w:tcMar>
              <w:top w:w="30" w:type="dxa"/>
              <w:left w:w="45" w:type="dxa"/>
              <w:bottom w:w="30" w:type="dxa"/>
              <w:right w:w="45" w:type="dxa"/>
            </w:tcMar>
            <w:vAlign w:val="bottom"/>
            <w:hideMark/>
          </w:tcPr>
          <w:p w14:paraId="584BC841" w14:textId="46872C90"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D'Onofrio</w:t>
            </w:r>
            <w:proofErr w:type="spellEnd"/>
            <w:r w:rsidRPr="00E73159">
              <w:rPr>
                <w:rFonts w:ascii="Calibri" w:eastAsia="Times New Roman" w:hAnsi="Calibri" w:cs="Calibri"/>
                <w:color w:val="000000" w:themeColor="text1"/>
                <w:sz w:val="18"/>
                <w:szCs w:val="18"/>
                <w:lang w:val="en-US"/>
              </w:rPr>
              <w:t>, 2017</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{"citationID":"zl9zu8EP","properties":{"formattedCitation":"[13]","plainCitation":"[13]","noteIndex":0},"citationItems":[{"id":10361,"uris":["http://zotero.org/users/11168138/items/PSCAIEAK"],"itemData":{"id":10361,"type":"article-journal","abstract":"Emergency department (ED)-initiated buprenorphine/naloxone with continuation in primary care was found to increase engagement in addiction treatment and reduce illicit opioid use at 30 days compared to referral only or a brief intervention with referral.","container-title":"Journal of General Internal Medicine","DOI":"10.1007/s11606-017-3993-2","ISSN":"1525-1497","issue":"6","page":"660-666","title":"Emergency Department-Initiated Buprenorphine for Opioid Dependence with Continuation in Primary Care: Outcomes During and After Intervention","volume":"32","author":[{"family":"D’Onofrio","given":"Gail"},{"family":"Chawarski","given":"Marek C"},{"family":"O’Connor","given":"Patrick G"},{"family":"Pantalon","given":"Michael V"},{"family":"Busch","given":"Susan H"},{"family":"Owens","given":"Patricia H"},{"family":"Hawk","given":"Kathryn"},{"family":"Bernstein","given":"Steven L"},{"family":"Fiellin","given":"David A"}],"issued":{"date-parts":[["2017"]]}}}],"schema":"https://github.com/citation-style-language/schema/raw/master/csl-citation.json"}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[13]</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6E4E37A8"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provider list; Post discharge bridge prescription; Pre-discharge discuss treatment options; Pre-discharge schedule appointment; Post-discharge transportation assistance ;</w:t>
            </w:r>
          </w:p>
        </w:tc>
        <w:tc>
          <w:tcPr>
            <w:tcW w:w="1170" w:type="dxa"/>
            <w:tcMar>
              <w:top w:w="30" w:type="dxa"/>
              <w:left w:w="45" w:type="dxa"/>
              <w:bottom w:w="30" w:type="dxa"/>
              <w:right w:w="45" w:type="dxa"/>
            </w:tcMar>
            <w:vAlign w:val="bottom"/>
            <w:hideMark/>
          </w:tcPr>
          <w:p w14:paraId="49BA244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050DFE7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04E84386" w14:textId="3B9C62B3" w:rsidR="000C3472" w:rsidRPr="00E73159" w:rsidRDefault="00610D5F"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5D731DC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244B558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 Research Assistant</w:t>
            </w:r>
          </w:p>
        </w:tc>
        <w:tc>
          <w:tcPr>
            <w:tcW w:w="1800" w:type="dxa"/>
            <w:tcMar>
              <w:top w:w="30" w:type="dxa"/>
              <w:left w:w="45" w:type="dxa"/>
              <w:bottom w:w="30" w:type="dxa"/>
              <w:right w:w="45" w:type="dxa"/>
            </w:tcMar>
            <w:vAlign w:val="bottom"/>
            <w:hideMark/>
          </w:tcPr>
          <w:p w14:paraId="791D193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6C5E73B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 Research Associate</w:t>
            </w:r>
          </w:p>
        </w:tc>
        <w:tc>
          <w:tcPr>
            <w:tcW w:w="1350" w:type="dxa"/>
            <w:tcMar>
              <w:top w:w="30" w:type="dxa"/>
              <w:left w:w="45" w:type="dxa"/>
              <w:bottom w:w="30" w:type="dxa"/>
              <w:right w:w="45" w:type="dxa"/>
            </w:tcMar>
            <w:vAlign w:val="bottom"/>
            <w:hideMark/>
          </w:tcPr>
          <w:p w14:paraId="7E8AB1D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29D6388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Treatment with MOUD; Primary care providers; Detox program; Residential/inpatient treatment providers</w:t>
            </w:r>
          </w:p>
        </w:tc>
      </w:tr>
      <w:tr w:rsidR="00E73159" w:rsidRPr="00E73159" w14:paraId="3CC737AD" w14:textId="77777777" w:rsidTr="00A01ED0">
        <w:trPr>
          <w:trHeight w:val="315"/>
        </w:trPr>
        <w:tc>
          <w:tcPr>
            <w:tcW w:w="1212" w:type="dxa"/>
            <w:tcMar>
              <w:top w:w="30" w:type="dxa"/>
              <w:left w:w="45" w:type="dxa"/>
              <w:bottom w:w="30" w:type="dxa"/>
              <w:right w:w="45" w:type="dxa"/>
            </w:tcMar>
            <w:vAlign w:val="bottom"/>
            <w:hideMark/>
          </w:tcPr>
          <w:p w14:paraId="34C6D53D" w14:textId="5DF32A4A"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Dahlem</w:t>
            </w:r>
            <w:proofErr w:type="spellEnd"/>
            <w:r w:rsidRPr="00E73159">
              <w:rPr>
                <w:rFonts w:ascii="Calibri" w:eastAsia="Times New Roman" w:hAnsi="Calibri" w:cs="Calibri"/>
                <w:color w:val="000000" w:themeColor="text1"/>
                <w:sz w:val="18"/>
                <w:szCs w:val="18"/>
                <w:lang w:val="en-US"/>
              </w:rPr>
              <w:t>, 2020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{"citationID":"gO6RbiL1","properties":{"formattedCitation":"[14]","plainCitation":"[14]","noteIndex":0},"citationItems":[{"id":10416,"uris":["http://zotero.org/users/11168138/items/BIXZKEJZ"],"itemData":{"id":10416,"type":"article-journal","container-title":"Substance Abuse","DOI":"10.1080/08897077.2020.1847239","ISSN":"0889-7077","issue":"4","note":"publisher: Taylor &amp; Francis","page":"423-427","title":"Recovery opioid overdose team (ROOT) pilot program evaluation: A community-wide post-overdose response strategy","volume":"42","author":[{"family":"Dahlem","given":"Chin Hwa (Gina)"},{"family":"Scalera","given":"Marci"},{"family":"Anderson","given":"Glynis"},{"family":"Tasker","given":"Melisa"},{"family":"Ploutz-Snyder","given":"Robert"},{"family":"McCabe","given":"Sean Esteban"},{"family":"Boyd","given":"Carol J"}],"issued":{"date-parts":[["2021",10,2]]}}}],"schema":"https://github.com/citation-style-language/schema/raw/master/csl-citation.json"}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[14]</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4AEF5D0D"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Post-discharge follow up calls; Post-discharge care navigation; Post-discharge peer support;</w:t>
            </w:r>
          </w:p>
        </w:tc>
        <w:tc>
          <w:tcPr>
            <w:tcW w:w="1170" w:type="dxa"/>
            <w:tcMar>
              <w:top w:w="30" w:type="dxa"/>
              <w:left w:w="45" w:type="dxa"/>
              <w:bottom w:w="30" w:type="dxa"/>
              <w:right w:w="45" w:type="dxa"/>
            </w:tcMar>
            <w:vAlign w:val="bottom"/>
            <w:hideMark/>
          </w:tcPr>
          <w:p w14:paraId="5BD1980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12C262B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4651F15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50A3FE1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3E581C7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Patient navigator</w:t>
            </w:r>
          </w:p>
        </w:tc>
        <w:tc>
          <w:tcPr>
            <w:tcW w:w="1800" w:type="dxa"/>
            <w:tcMar>
              <w:top w:w="30" w:type="dxa"/>
              <w:left w:w="45" w:type="dxa"/>
              <w:bottom w:w="30" w:type="dxa"/>
              <w:right w:w="45" w:type="dxa"/>
            </w:tcMar>
            <w:vAlign w:val="bottom"/>
            <w:hideMark/>
          </w:tcPr>
          <w:p w14:paraId="5547CB3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Not specified</w:t>
            </w:r>
          </w:p>
        </w:tc>
        <w:tc>
          <w:tcPr>
            <w:tcW w:w="1530" w:type="dxa"/>
            <w:tcMar>
              <w:top w:w="30" w:type="dxa"/>
              <w:left w:w="45" w:type="dxa"/>
              <w:bottom w:w="30" w:type="dxa"/>
              <w:right w:w="45" w:type="dxa"/>
            </w:tcMar>
            <w:vAlign w:val="bottom"/>
            <w:hideMark/>
          </w:tcPr>
          <w:p w14:paraId="3E4C686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Patient navigator; Peer</w:t>
            </w:r>
          </w:p>
        </w:tc>
        <w:tc>
          <w:tcPr>
            <w:tcW w:w="1350" w:type="dxa"/>
            <w:tcMar>
              <w:top w:w="30" w:type="dxa"/>
              <w:left w:w="45" w:type="dxa"/>
              <w:bottom w:w="30" w:type="dxa"/>
              <w:right w:w="45" w:type="dxa"/>
            </w:tcMar>
            <w:vAlign w:val="bottom"/>
            <w:hideMark/>
          </w:tcPr>
          <w:p w14:paraId="144E2CA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Employed by external organization</w:t>
            </w:r>
          </w:p>
        </w:tc>
        <w:tc>
          <w:tcPr>
            <w:tcW w:w="1890" w:type="dxa"/>
            <w:tcMar>
              <w:top w:w="30" w:type="dxa"/>
              <w:left w:w="45" w:type="dxa"/>
              <w:bottom w:w="30" w:type="dxa"/>
              <w:right w:w="45" w:type="dxa"/>
            </w:tcMar>
            <w:vAlign w:val="bottom"/>
            <w:hideMark/>
          </w:tcPr>
          <w:p w14:paraId="1614F35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Treatment with MOUD; Detox program; </w:t>
            </w:r>
            <w:r w:rsidRPr="00E73159">
              <w:rPr>
                <w:rFonts w:eastAsia="Times New Roman" w:cstheme="minorHAnsi"/>
                <w:color w:val="000000" w:themeColor="text1"/>
                <w:sz w:val="18"/>
                <w:szCs w:val="18"/>
                <w:lang w:val="en-US"/>
              </w:rPr>
              <w:t>Other medical and mental health services; Other community resources</w:t>
            </w:r>
          </w:p>
        </w:tc>
      </w:tr>
      <w:tr w:rsidR="00E73159" w:rsidRPr="00E73159" w14:paraId="10EA358E" w14:textId="77777777" w:rsidTr="00A01ED0">
        <w:trPr>
          <w:trHeight w:val="315"/>
        </w:trPr>
        <w:tc>
          <w:tcPr>
            <w:tcW w:w="1212" w:type="dxa"/>
            <w:tcMar>
              <w:top w:w="30" w:type="dxa"/>
              <w:left w:w="45" w:type="dxa"/>
              <w:bottom w:w="30" w:type="dxa"/>
              <w:right w:w="45" w:type="dxa"/>
            </w:tcMar>
            <w:vAlign w:val="bottom"/>
            <w:hideMark/>
          </w:tcPr>
          <w:p w14:paraId="41AFCC1A" w14:textId="2DA6CF6A"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Dunkley, 2019</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{"citationID":"VMVqHOat","properties":{"formattedCitation":"[15]","plainCitation":"[15]","noteIndex":0},"citationItems":[{"id":10375,"uris":["http://zotero.org/users/11168138/items/Y6CQKKPQ"],"itemData":{"id":10375,"type":"article-journal","container-title":"Journal of Emergency Medicine","DOI":"10.1016/j.jemermed.2019.03.029","ISSN":"0736-4679","issue":"2","note":"publisher: Elsevier","page":"181-186","title":"Retrospective Review of a Novel Approach to Buprenorphine Induction in the Emergency Department","volume":"57","author":[{"family":"Dunkley","given":"Camille A"},{"family":"Carpenter","given":"Joseph E"},{"family":"Murray","given":"Brian P"},{"family":"Sizemore","given":"Emma"},{"family":"Wheatley","given":"Matthew"},{"family":"Morgan","given":"Brent W"},{"family":"Moran","given":"Tim P"},{"family":"Steck","given":"Alaina"}],"issued":{"date-parts":[["2019",8,1]]}}}],"schema":"https://github.com/citation-style-language/schema/raw/master/csl-citation.json"}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[15]</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1035DCA3"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discuss treatment options; Post discharge bridge prescription ; Pre-discharge schedule appointment</w:t>
            </w:r>
          </w:p>
        </w:tc>
        <w:tc>
          <w:tcPr>
            <w:tcW w:w="1170" w:type="dxa"/>
            <w:tcMar>
              <w:top w:w="30" w:type="dxa"/>
              <w:left w:w="45" w:type="dxa"/>
              <w:bottom w:w="30" w:type="dxa"/>
              <w:right w:w="45" w:type="dxa"/>
            </w:tcMar>
            <w:vAlign w:val="bottom"/>
            <w:hideMark/>
          </w:tcPr>
          <w:p w14:paraId="7D5E0ED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1C6D103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1F142FC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6478B8C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0656B1C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Addiction counselor; Medical doctor</w:t>
            </w:r>
          </w:p>
        </w:tc>
        <w:tc>
          <w:tcPr>
            <w:tcW w:w="1800" w:type="dxa"/>
            <w:tcMar>
              <w:top w:w="30" w:type="dxa"/>
              <w:left w:w="45" w:type="dxa"/>
              <w:bottom w:w="30" w:type="dxa"/>
              <w:right w:w="45" w:type="dxa"/>
            </w:tcMar>
            <w:vAlign w:val="bottom"/>
            <w:hideMark/>
          </w:tcPr>
          <w:p w14:paraId="46EF955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7041B16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Medical doctor; Nurse practitioner; Physician assistant</w:t>
            </w:r>
          </w:p>
        </w:tc>
        <w:tc>
          <w:tcPr>
            <w:tcW w:w="1350" w:type="dxa"/>
            <w:tcMar>
              <w:top w:w="30" w:type="dxa"/>
              <w:left w:w="45" w:type="dxa"/>
              <w:bottom w:w="30" w:type="dxa"/>
              <w:right w:w="45" w:type="dxa"/>
            </w:tcMar>
            <w:vAlign w:val="bottom"/>
            <w:hideMark/>
          </w:tcPr>
          <w:p w14:paraId="233EB09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3709E02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4572C535" w14:textId="77777777" w:rsidTr="00A01ED0">
        <w:trPr>
          <w:trHeight w:val="315"/>
        </w:trPr>
        <w:tc>
          <w:tcPr>
            <w:tcW w:w="1212" w:type="dxa"/>
            <w:tcMar>
              <w:top w:w="30" w:type="dxa"/>
              <w:left w:w="45" w:type="dxa"/>
              <w:bottom w:w="30" w:type="dxa"/>
              <w:right w:w="45" w:type="dxa"/>
            </w:tcMar>
            <w:vAlign w:val="bottom"/>
            <w:hideMark/>
          </w:tcPr>
          <w:p w14:paraId="04155132" w14:textId="145B0723"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Edwards, 2020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{"citationID":"E4rin6CX","properties":{"formattedCitation":"[16]","plainCitation":"[16]","noteIndex":0},"citationItems":[{"id":10393,"uris":["http://zotero.org/users/11168138/items/9B9UK68Y"],"itemData":{"id":10393,"type":"article-journal","container-title":"Annals of Emergency Medicine","DOI":"10.1016/j.annemergmed.2019.08.420","ISSN":"0196-0644","issue":"1","note":"publisher: Elsevier","page":"49-56","title":"Treating Opioid Withdrawal With Buprenorphine in a Community Hospital Emergency Department: An Outreach Program","volume":"75","author":[{"family":"Edwards","given":"Frank J"},{"family":"Wicelinski","given":"Robert"},{"family":"Gallagher","given":"Nicholas"},{"family":"McKinzie","given":"Alice"},{"family":"White","given":"Ryan"},{"family":"Domingos","given":"Ann"}],"issued":{"date-parts":[["2020",1,1]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[16]</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40D89F04" w14:textId="7998035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schedule appointment; </w:t>
            </w:r>
            <w:r w:rsidR="004866F6" w:rsidRPr="00E73159">
              <w:rPr>
                <w:rFonts w:cstheme="minorHAnsi"/>
                <w:color w:val="000000" w:themeColor="text1"/>
                <w:sz w:val="18"/>
                <w:szCs w:val="18"/>
                <w:shd w:val="clear" w:color="auto" w:fill="FFFFFF"/>
              </w:rPr>
              <w:t>Unspecified linkage</w:t>
            </w:r>
            <w:r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hideMark/>
          </w:tcPr>
          <w:p w14:paraId="51592A9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64C4411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580205D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60A6036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5BDE915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047B870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11F82D7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Medical doctor</w:t>
            </w:r>
          </w:p>
        </w:tc>
        <w:tc>
          <w:tcPr>
            <w:tcW w:w="1350" w:type="dxa"/>
            <w:tcMar>
              <w:top w:w="30" w:type="dxa"/>
              <w:left w:w="45" w:type="dxa"/>
              <w:bottom w:w="30" w:type="dxa"/>
              <w:right w:w="45" w:type="dxa"/>
            </w:tcMar>
            <w:vAlign w:val="bottom"/>
            <w:hideMark/>
          </w:tcPr>
          <w:p w14:paraId="78F5668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796C292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591BE8E8" w14:textId="77777777" w:rsidTr="00A01ED0">
        <w:trPr>
          <w:trHeight w:val="315"/>
        </w:trPr>
        <w:tc>
          <w:tcPr>
            <w:tcW w:w="1212" w:type="dxa"/>
            <w:tcMar>
              <w:top w:w="30" w:type="dxa"/>
              <w:left w:w="45" w:type="dxa"/>
              <w:bottom w:w="30" w:type="dxa"/>
              <w:right w:w="45" w:type="dxa"/>
            </w:tcMar>
            <w:vAlign w:val="bottom"/>
            <w:hideMark/>
          </w:tcPr>
          <w:p w14:paraId="5F046396" w14:textId="1229F251"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Englander, 2019</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{"citationID":"frbYiIIf","properties":{"formattedCitation":"[17]","plainCitation":"[17]","noteIndex":0},"citationItems":[{"id":10363,"uris":["http://zotero.org/users/11168138/items/9UBYTTGX"],"itemData":{"id":10363,"type":"article-journal","abstract":"Hospitalizations due to medical and surgical complications of substance use disorder (SUD) are rising. Most hospitals lack systems to treat SUD, and most people with SUD do not engage in treatment after discharge.","container-title":"Journal of General Internal Medicine","DOI":"10.1007/s11606-019-05251-9","ISSN":"1525-1497","issue":"12","page":"2796-2803","title":"Inpatient Addiction Medicine Consultation and Post-Hospital Substance Use Disorder Treatment Engagement: a Propensity-Matched Analysis","volume":"34","author":[{"family":"Englander","given":"Honora"},{"family":"Dobbertin","given":"Konrad"},{"family":"Lind","given":"Bonnie K"},{"family":"Nicolaidis","given":"Christina"},{"family":"Graven","given":"Peter"},{"family":"Dorfman","given":"Claire"},{"family":"Korthuis","given":"P Todd"}],"issued":{"date-parts":[["2019"]]}}}],"schema":"https://github.com/citation-style-language/schema/raw/master/csl-citation.json"}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[17]</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466D4975"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w:t>
            </w:r>
          </w:p>
        </w:tc>
        <w:tc>
          <w:tcPr>
            <w:tcW w:w="1170" w:type="dxa"/>
            <w:tcMar>
              <w:top w:w="30" w:type="dxa"/>
              <w:left w:w="45" w:type="dxa"/>
              <w:bottom w:w="30" w:type="dxa"/>
              <w:right w:w="45" w:type="dxa"/>
            </w:tcMar>
            <w:vAlign w:val="bottom"/>
            <w:hideMark/>
          </w:tcPr>
          <w:p w14:paraId="69A7F0C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6ACD1C5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w:t>
            </w:r>
          </w:p>
        </w:tc>
        <w:tc>
          <w:tcPr>
            <w:tcW w:w="1080" w:type="dxa"/>
            <w:tcMar>
              <w:top w:w="30" w:type="dxa"/>
              <w:left w:w="45" w:type="dxa"/>
              <w:bottom w:w="30" w:type="dxa"/>
              <w:right w:w="45" w:type="dxa"/>
            </w:tcMar>
            <w:vAlign w:val="bottom"/>
            <w:hideMark/>
          </w:tcPr>
          <w:p w14:paraId="59C5473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0048F9F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 Methadone; Naltrexone</w:t>
            </w:r>
          </w:p>
        </w:tc>
        <w:tc>
          <w:tcPr>
            <w:tcW w:w="1620" w:type="dxa"/>
            <w:tcMar>
              <w:top w:w="30" w:type="dxa"/>
              <w:left w:w="45" w:type="dxa"/>
              <w:bottom w:w="30" w:type="dxa"/>
              <w:right w:w="45" w:type="dxa"/>
            </w:tcMar>
            <w:vAlign w:val="bottom"/>
            <w:hideMark/>
          </w:tcPr>
          <w:p w14:paraId="0AA975E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 coordinator; Medical doctor; peer</w:t>
            </w:r>
          </w:p>
        </w:tc>
        <w:tc>
          <w:tcPr>
            <w:tcW w:w="1800" w:type="dxa"/>
            <w:tcMar>
              <w:top w:w="30" w:type="dxa"/>
              <w:left w:w="45" w:type="dxa"/>
              <w:bottom w:w="30" w:type="dxa"/>
              <w:right w:w="45" w:type="dxa"/>
            </w:tcMar>
            <w:vAlign w:val="bottom"/>
            <w:hideMark/>
          </w:tcPr>
          <w:p w14:paraId="221D199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516B11E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 Peer; Medical doctor</w:t>
            </w:r>
          </w:p>
        </w:tc>
        <w:tc>
          <w:tcPr>
            <w:tcW w:w="1350" w:type="dxa"/>
            <w:tcMar>
              <w:top w:w="30" w:type="dxa"/>
              <w:left w:w="45" w:type="dxa"/>
              <w:bottom w:w="30" w:type="dxa"/>
              <w:right w:w="45" w:type="dxa"/>
            </w:tcMar>
            <w:vAlign w:val="bottom"/>
            <w:hideMark/>
          </w:tcPr>
          <w:p w14:paraId="1399CE8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0E93D9E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w:t>
            </w:r>
          </w:p>
        </w:tc>
      </w:tr>
      <w:tr w:rsidR="00E73159" w:rsidRPr="00E73159" w14:paraId="2DDB6DDD" w14:textId="77777777" w:rsidTr="00A01ED0">
        <w:trPr>
          <w:trHeight w:val="315"/>
        </w:trPr>
        <w:tc>
          <w:tcPr>
            <w:tcW w:w="1212" w:type="dxa"/>
            <w:tcMar>
              <w:top w:w="30" w:type="dxa"/>
              <w:left w:w="45" w:type="dxa"/>
              <w:bottom w:w="30" w:type="dxa"/>
              <w:right w:w="45" w:type="dxa"/>
            </w:tcMar>
            <w:vAlign w:val="bottom"/>
            <w:hideMark/>
          </w:tcPr>
          <w:p w14:paraId="1EC2F2A3" w14:textId="1C82D2C2"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Gryczynski</w:t>
            </w:r>
            <w:proofErr w:type="spellEnd"/>
            <w:r w:rsidRPr="00E73159">
              <w:rPr>
                <w:rFonts w:ascii="Calibri" w:eastAsia="Times New Roman" w:hAnsi="Calibri" w:cs="Calibri"/>
                <w:color w:val="000000" w:themeColor="text1"/>
                <w:sz w:val="18"/>
                <w:szCs w:val="18"/>
                <w:lang w:val="en-US"/>
              </w:rPr>
              <w:t>, 2021</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{"citationID":"h3to0hhv","properties":{"formattedCitation":"[18]","plainCitation":"[18]","noteIndex":0},"citationItems":[{"id":10367,"uris":["http://zotero.org/users/11168138/items/23JU5BGV"],"itemData":{"id":10367,"type":"article-journal","abstract":"Background: Hospitalized patients with comorbid substance use disorders (SUDs) are at high risk for poor outcomes, including readmission and emergency department (ED) use. Objective: To determine whether patient navigation services reduce hospital readmissions. Design: Randomized controlled trial comparing Navigation Services to Avoid Rehospitalization (NavSTAR) versus treatment as usual (TAU). (ClinicalTrials.gov: NCT02599818) Setting: Urban academic hospital in Baltimore, Maryland, with an SUD consultation service. Participants: 400 hospitalized adults with comorbid SUD (opioid, cocaine, or alcohol). Intervention: NavSTAR used proactive case management, advocacy, service linkage, and motivational support to resolve internal and external barriers to care and address SUD, medical, and basic needs for 3 months after discharge. Measurements: Data on inpatient readmissions (primary outcome) and ED visits for 12 months were obtained for all participants via the regional health information exchange. Entry into SUD treatment, substance use, and related outcomes were assessed at 3-, 6-, and 12-month follow-up. Results: Participants had high levels of acute care use: 69% had an inpatient readmission and 79% visited the ED over the 12-month observation period. Event rates per 1000 person-days were 6.05 (NavSTAR) versus 8.13 (TAU) for inpatient admissions (hazard ratio, 0.74 [95% CI, 0.58 to 0.96]; P = 0.020) and 17.66 (NavSTAR) versus 27.85 (TAU) for ED visits (hazard ratio, 0.66 [CI, 0.49 to 0.89]; P = 0.006). Participants in the NavSTAR group were less likely to have an inpatient readmission within 30 days than those receiving TAU (15.5% vs. 30.0%; P &lt; 0.001) and were more likely to enter community SUD treatment after discharge (P = 0.014; treatment entry within 3 months, 50.3% NavSTAR vs. 35.3% TAU). Limitation: Single-site trial, which limits generalizability. Conclusion: Patient navigation reduced inpatient readmissions and ED visits in this clinically challenging sample of hospitalized patients with comorbid SUDs. Primary Funding Source: National Institute on Drug Abuse.","container-title":"Annals of Internal Medicine","DOI":"10.7326/M20-5475","ISSN":"0003-4819","issue":"7","note":"publisher: American College of Physicians","page":"899-909","title":"Preventing Hospital Readmission for Patients With Comorbid Substance Use Disorder","volume":"174","author":[{"family":"Gryczynski","given":"Jan"},{"family":"Nordeck","given":"Courtney D"},{"family":"Welsh","given":"Christopher"},{"family":"Mitchell","given":"Shannon G"},{"family":"O’Grady","given":"Kevin E"},{"family":"Schwartz","given":"Robert P"}],"issued":{"date-parts":[["2021",4,6]]}}}],"schema":"https://github.com/citation-style-language/schema/raw/master/csl-citation.json"}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[18]</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37E30F56" w14:textId="3DDF35AC" w:rsidR="000C3472" w:rsidRPr="00E73159" w:rsidRDefault="004866F6"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Unspecified linkage</w:t>
            </w:r>
            <w:r w:rsidR="000C3472" w:rsidRPr="00E73159">
              <w:rPr>
                <w:rFonts w:cstheme="minorHAnsi"/>
                <w:color w:val="000000" w:themeColor="text1"/>
                <w:sz w:val="18"/>
                <w:szCs w:val="18"/>
                <w:shd w:val="clear" w:color="auto" w:fill="FFFFFF"/>
              </w:rPr>
              <w:t xml:space="preserve"> to </w:t>
            </w:r>
            <w:proofErr w:type="spellStart"/>
            <w:r w:rsidR="000C3472" w:rsidRPr="00E73159">
              <w:rPr>
                <w:rFonts w:cstheme="minorHAnsi"/>
                <w:color w:val="000000" w:themeColor="text1"/>
                <w:sz w:val="18"/>
                <w:szCs w:val="18"/>
                <w:shd w:val="clear" w:color="auto" w:fill="FFFFFF"/>
              </w:rPr>
              <w:t>treatment;Pre-discharge</w:t>
            </w:r>
            <w:proofErr w:type="spellEnd"/>
            <w:r w:rsidR="000C3472" w:rsidRPr="00E73159">
              <w:rPr>
                <w:rFonts w:cstheme="minorHAnsi"/>
                <w:color w:val="000000" w:themeColor="text1"/>
                <w:sz w:val="18"/>
                <w:szCs w:val="18"/>
                <w:shd w:val="clear" w:color="auto" w:fill="FFFFFF"/>
              </w:rPr>
              <w:t xml:space="preserve"> discuss treatment options; Post-discharge care navigation; Post-discharge transportation assistance;</w:t>
            </w:r>
          </w:p>
        </w:tc>
        <w:tc>
          <w:tcPr>
            <w:tcW w:w="1170" w:type="dxa"/>
            <w:tcMar>
              <w:top w:w="30" w:type="dxa"/>
              <w:left w:w="45" w:type="dxa"/>
              <w:bottom w:w="30" w:type="dxa"/>
              <w:right w:w="45" w:type="dxa"/>
            </w:tcMar>
            <w:vAlign w:val="bottom"/>
            <w:hideMark/>
          </w:tcPr>
          <w:p w14:paraId="1CD031F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7A19441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 AUD; Cocaine UD</w:t>
            </w:r>
          </w:p>
        </w:tc>
        <w:tc>
          <w:tcPr>
            <w:tcW w:w="1080" w:type="dxa"/>
            <w:tcMar>
              <w:top w:w="30" w:type="dxa"/>
              <w:left w:w="45" w:type="dxa"/>
              <w:bottom w:w="30" w:type="dxa"/>
              <w:right w:w="45" w:type="dxa"/>
            </w:tcMar>
            <w:vAlign w:val="bottom"/>
            <w:hideMark/>
          </w:tcPr>
          <w:p w14:paraId="365525A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7B91693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Methadone; Buprenorphine</w:t>
            </w:r>
          </w:p>
        </w:tc>
        <w:tc>
          <w:tcPr>
            <w:tcW w:w="1620" w:type="dxa"/>
            <w:tcMar>
              <w:top w:w="30" w:type="dxa"/>
              <w:left w:w="45" w:type="dxa"/>
              <w:bottom w:w="30" w:type="dxa"/>
              <w:right w:w="45" w:type="dxa"/>
            </w:tcMar>
            <w:vAlign w:val="bottom"/>
            <w:hideMark/>
          </w:tcPr>
          <w:p w14:paraId="147ECAD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Social worker/case manager; Multidisciplinary addiction care team; Addiction counselor; Medical doctor</w:t>
            </w:r>
          </w:p>
        </w:tc>
        <w:tc>
          <w:tcPr>
            <w:tcW w:w="1800" w:type="dxa"/>
            <w:tcMar>
              <w:top w:w="30" w:type="dxa"/>
              <w:left w:w="45" w:type="dxa"/>
              <w:bottom w:w="30" w:type="dxa"/>
              <w:right w:w="45" w:type="dxa"/>
            </w:tcMar>
            <w:vAlign w:val="bottom"/>
            <w:hideMark/>
          </w:tcPr>
          <w:p w14:paraId="5F37410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Called upon as part of Addiction consult team</w:t>
            </w:r>
          </w:p>
        </w:tc>
        <w:tc>
          <w:tcPr>
            <w:tcW w:w="1530" w:type="dxa"/>
            <w:tcMar>
              <w:top w:w="30" w:type="dxa"/>
              <w:left w:w="45" w:type="dxa"/>
              <w:bottom w:w="30" w:type="dxa"/>
              <w:right w:w="45" w:type="dxa"/>
            </w:tcMar>
            <w:vAlign w:val="bottom"/>
            <w:hideMark/>
          </w:tcPr>
          <w:p w14:paraId="65C6EE4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w:t>
            </w:r>
          </w:p>
        </w:tc>
        <w:tc>
          <w:tcPr>
            <w:tcW w:w="1350" w:type="dxa"/>
            <w:tcMar>
              <w:top w:w="30" w:type="dxa"/>
              <w:left w:w="45" w:type="dxa"/>
              <w:bottom w:w="30" w:type="dxa"/>
              <w:right w:w="45" w:type="dxa"/>
            </w:tcMar>
            <w:vAlign w:val="bottom"/>
            <w:hideMark/>
          </w:tcPr>
          <w:p w14:paraId="1BB0FFB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Employed by external organization</w:t>
            </w:r>
          </w:p>
        </w:tc>
        <w:tc>
          <w:tcPr>
            <w:tcW w:w="1890" w:type="dxa"/>
            <w:tcMar>
              <w:top w:w="30" w:type="dxa"/>
              <w:left w:w="45" w:type="dxa"/>
              <w:bottom w:w="30" w:type="dxa"/>
              <w:right w:w="45" w:type="dxa"/>
            </w:tcMar>
            <w:vAlign w:val="bottom"/>
            <w:hideMark/>
          </w:tcPr>
          <w:p w14:paraId="704F50C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SUD treatment providers (unspecified); </w:t>
            </w:r>
            <w:r w:rsidRPr="00E73159">
              <w:rPr>
                <w:rFonts w:eastAsia="Times New Roman" w:cstheme="minorHAnsi"/>
                <w:color w:val="000000" w:themeColor="text1"/>
                <w:sz w:val="18"/>
                <w:szCs w:val="18"/>
                <w:lang w:val="en-US"/>
              </w:rPr>
              <w:t>Other community resources</w:t>
            </w:r>
            <w:r w:rsidRPr="00E73159">
              <w:rPr>
                <w:rFonts w:ascii="Calibri" w:eastAsia="Times New Roman" w:hAnsi="Calibri" w:cs="Calibri"/>
                <w:color w:val="000000" w:themeColor="text1"/>
                <w:sz w:val="18"/>
                <w:szCs w:val="18"/>
                <w:lang w:val="en-US"/>
              </w:rPr>
              <w:t xml:space="preserve"> </w:t>
            </w:r>
          </w:p>
        </w:tc>
      </w:tr>
      <w:tr w:rsidR="00E73159" w:rsidRPr="00E73159" w14:paraId="10DCBA9A" w14:textId="77777777" w:rsidTr="00A01ED0">
        <w:trPr>
          <w:trHeight w:val="315"/>
        </w:trPr>
        <w:tc>
          <w:tcPr>
            <w:tcW w:w="1212" w:type="dxa"/>
            <w:tcMar>
              <w:top w:w="30" w:type="dxa"/>
              <w:left w:w="45" w:type="dxa"/>
              <w:bottom w:w="30" w:type="dxa"/>
              <w:right w:w="45" w:type="dxa"/>
            </w:tcMar>
            <w:vAlign w:val="bottom"/>
            <w:hideMark/>
          </w:tcPr>
          <w:p w14:paraId="56128356" w14:textId="2D4E0C33"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Hu, 2019</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{"citationID":"HaPSdy2l","properties":{"formattedCitation":"[19]","plainCitation":"[19]","noteIndex":0},"citationItems":[{"id":10369,"uris":["http://zotero.org/users/11168138/items/KH6DLSW3"],"itemData":{"id":10369,"type":"article-journal","abstract":"ObjectivesOpioid-related emergency department (ED) visits have increased significantly in recent years. Our objective was to evaluate an ED-initiated buprenorphine/naloxone program, which provided rapid access to an outpatient community-based addictions clinic, for patients in opioid withdrawal.MethodsA retrospective chart review was completed within a health system encompassing four community EDs in Ontario, Canada. Patients were screened for opioid withdrawal between April 2017-December 2017 and offered buprenorphine/naloxone treatment and referral to outpatient addictions follow-up. The main outcome measure was treatment retention in the six-month period after the index visit.ResultsThe overall sample (N = 49) showed high healthcare utilization in the year prior to the index ED visit. 88% of patients (n = 43) consented to ED-initiated buprenorphine/naloxone and were referred to outpatient addictions follow-up, with 54% attending the initial follow-up visit. In the 6-month follow-up period from the index ED visit, 35% of patients were receiving ongoing buprenorphine/naloxone treatment and 2.3% were weaned off opioids. Patients with ongoing treatment had significantly lower number of ED visits at 3 and 6 months (3 and 10, respectively) compared to patients who did not show up for outpatient follow-up (28, 40) or started/stopped treatment (23, 41).ConclusionsScreening for opioid use disorder in the ED and initiating buprenorphine/naloxone treatment with rapid referral to an outpatient community-based addictions clinic led to a 6-month treatment retention rate of 37% and a significant reduction in ED visits at 3 and 6 months. Buprenorphine/naloxone initiation in the ED appears to be an effective intervention, but further research is needed.","container-title":"CJEM","DOI":"DOI: 10.1017/cem.2019.24","ISSN":"1481-8035","issue":"4","note":"publisher: Cambridge University Press","page":"492-498","title":"Buprenorphine/naloxone induction in a Canadian emergency department with rapid access to community-based addictions providers","volume":"21","author":[{"family":"Hu","given":"Tina"},{"family":"Snider-Adler","given":"Melissa"},{"family":"Nijmeh","given":"Larry"},{"family":"Pyle","given":"Adam"}],"issued":{"date-parts":[["2019"]]}}}],"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[19]</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1F456218"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electronic </w:t>
            </w:r>
            <w:proofErr w:type="spellStart"/>
            <w:r w:rsidRPr="00E73159">
              <w:rPr>
                <w:rFonts w:cstheme="minorHAnsi"/>
                <w:color w:val="000000" w:themeColor="text1"/>
                <w:sz w:val="18"/>
                <w:szCs w:val="18"/>
                <w:shd w:val="clear" w:color="auto" w:fill="FFFFFF"/>
              </w:rPr>
              <w:t>referral;Post</w:t>
            </w:r>
            <w:proofErr w:type="spellEnd"/>
            <w:r w:rsidRPr="00E73159">
              <w:rPr>
                <w:rFonts w:cstheme="minorHAnsi"/>
                <w:color w:val="000000" w:themeColor="text1"/>
                <w:sz w:val="18"/>
                <w:szCs w:val="18"/>
                <w:shd w:val="clear" w:color="auto" w:fill="FFFFFF"/>
              </w:rPr>
              <w:t xml:space="preserve"> discharge bridge prescription ; Pre-discharge provider list</w:t>
            </w:r>
          </w:p>
        </w:tc>
        <w:tc>
          <w:tcPr>
            <w:tcW w:w="1170" w:type="dxa"/>
            <w:tcMar>
              <w:top w:w="30" w:type="dxa"/>
              <w:left w:w="45" w:type="dxa"/>
              <w:bottom w:w="30" w:type="dxa"/>
              <w:right w:w="45" w:type="dxa"/>
            </w:tcMar>
            <w:vAlign w:val="bottom"/>
            <w:hideMark/>
          </w:tcPr>
          <w:p w14:paraId="43D1031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44716BE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4E45DDE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695FB8D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184317F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60FAAB2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0B85DEC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Medical doctor</w:t>
            </w:r>
          </w:p>
        </w:tc>
        <w:tc>
          <w:tcPr>
            <w:tcW w:w="1350" w:type="dxa"/>
            <w:tcMar>
              <w:top w:w="30" w:type="dxa"/>
              <w:left w:w="45" w:type="dxa"/>
              <w:bottom w:w="30" w:type="dxa"/>
              <w:right w:w="45" w:type="dxa"/>
            </w:tcMar>
            <w:vAlign w:val="bottom"/>
            <w:hideMark/>
          </w:tcPr>
          <w:p w14:paraId="29BF39D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281A37D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223AEBF8" w14:textId="77777777" w:rsidTr="00A01ED0">
        <w:trPr>
          <w:trHeight w:val="315"/>
        </w:trPr>
        <w:tc>
          <w:tcPr>
            <w:tcW w:w="1212" w:type="dxa"/>
            <w:tcMar>
              <w:top w:w="30" w:type="dxa"/>
              <w:left w:w="45" w:type="dxa"/>
              <w:bottom w:w="30" w:type="dxa"/>
              <w:right w:w="45" w:type="dxa"/>
            </w:tcMar>
            <w:vAlign w:val="bottom"/>
            <w:hideMark/>
          </w:tcPr>
          <w:p w14:paraId="7EEF5FB6" w14:textId="70F7DA72"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Jennings, 2021</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{"citationID":"pbaAQpEC","properties":{"formattedCitation":"[20]","plainCitation":"[20]","noteIndex":0},"citationItems":[{"id":10377,"uris":["http://zotero.org/users/11168138/items/NTAH2EPT"],"itemData":{"id":10377,"type":"article-journal","container-title":"Journal of Emergency Medicine","DOI":"10.1016/j.jemermed.2021.04.007","ISSN":"0736-4679","issue":"3","note":"publisher: Elsevier","page":"211-221","title":"Retention in Treatment after Emergency Department-Initiated Buprenorphine","volume":"61","author":[{"family":"Jennings","given":"Lindsey K"},{"family":"Lane","given":"Suzanne"},{"family":"McCauley","given":"Jenna"},{"family":"Moreland","given":"Angela"},{"family":"Hartwell","given":"Karen"},{"family":"Haynes","given":"Louise"},{"family":"Barth","given":"Kelly S"},{"family":"Gainey","given":"Sarah S"},{"family":"Brady","given":"Kathleen T"}],"issued":{"date-parts":[["2021",9,1]]}}}],"schema":"https://github.com/citation-style-language/schema/raw/master/csl-citation.json"}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[20]</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4037CB0B"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w:t>
            </w:r>
          </w:p>
        </w:tc>
        <w:tc>
          <w:tcPr>
            <w:tcW w:w="1170" w:type="dxa"/>
            <w:tcMar>
              <w:top w:w="30" w:type="dxa"/>
              <w:left w:w="45" w:type="dxa"/>
              <w:bottom w:w="30" w:type="dxa"/>
              <w:right w:w="45" w:type="dxa"/>
            </w:tcMar>
            <w:vAlign w:val="bottom"/>
            <w:hideMark/>
          </w:tcPr>
          <w:p w14:paraId="37753DA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27CA6B7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OUD</w:t>
            </w:r>
          </w:p>
        </w:tc>
        <w:tc>
          <w:tcPr>
            <w:tcW w:w="1080" w:type="dxa"/>
            <w:tcMar>
              <w:top w:w="30" w:type="dxa"/>
              <w:left w:w="45" w:type="dxa"/>
              <w:bottom w:w="30" w:type="dxa"/>
              <w:right w:w="45" w:type="dxa"/>
            </w:tcMar>
            <w:vAlign w:val="bottom"/>
            <w:hideMark/>
          </w:tcPr>
          <w:p w14:paraId="1B8A42A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222BA28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7F073F8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541C1A9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Other:</w:t>
            </w:r>
          </w:p>
        </w:tc>
        <w:tc>
          <w:tcPr>
            <w:tcW w:w="1530" w:type="dxa"/>
            <w:tcMar>
              <w:top w:w="30" w:type="dxa"/>
              <w:left w:w="45" w:type="dxa"/>
              <w:bottom w:w="30" w:type="dxa"/>
              <w:right w:w="45" w:type="dxa"/>
            </w:tcMar>
            <w:vAlign w:val="bottom"/>
            <w:hideMark/>
          </w:tcPr>
          <w:p w14:paraId="553608D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Peer; Medical doctor</w:t>
            </w:r>
          </w:p>
        </w:tc>
        <w:tc>
          <w:tcPr>
            <w:tcW w:w="1350" w:type="dxa"/>
            <w:tcMar>
              <w:top w:w="30" w:type="dxa"/>
              <w:left w:w="45" w:type="dxa"/>
              <w:bottom w:w="30" w:type="dxa"/>
              <w:right w:w="45" w:type="dxa"/>
            </w:tcMar>
            <w:vAlign w:val="bottom"/>
            <w:hideMark/>
          </w:tcPr>
          <w:p w14:paraId="14FD4FE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54F0500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7A1E3247" w14:textId="77777777" w:rsidTr="00A01ED0">
        <w:trPr>
          <w:trHeight w:val="315"/>
        </w:trPr>
        <w:tc>
          <w:tcPr>
            <w:tcW w:w="1212" w:type="dxa"/>
            <w:tcMar>
              <w:top w:w="30" w:type="dxa"/>
              <w:left w:w="45" w:type="dxa"/>
              <w:bottom w:w="30" w:type="dxa"/>
              <w:right w:w="45" w:type="dxa"/>
            </w:tcMar>
            <w:vAlign w:val="bottom"/>
            <w:hideMark/>
          </w:tcPr>
          <w:p w14:paraId="497B5140" w14:textId="31FF596F"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Kaucher</w:t>
            </w:r>
            <w:proofErr w:type="spellEnd"/>
            <w:r w:rsidRPr="00E73159">
              <w:rPr>
                <w:rFonts w:ascii="Calibri" w:eastAsia="Times New Roman" w:hAnsi="Calibri" w:cs="Calibri"/>
                <w:color w:val="000000" w:themeColor="text1"/>
                <w:sz w:val="18"/>
                <w:szCs w:val="18"/>
                <w:lang w:val="en-US"/>
              </w:rPr>
              <w:t>, 2020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{"citationID":"7SAd2CUP","properties":{"formattedCitation":"[21]","plainCitation":"[21]","noteIndex":0},"citationItems":[{"id":10405,"uris":["http://zotero.org/users/11168138/items/WHQKVRFE"],"itemData":{"id":10405,"type":"article-journal","abstract":"Background\nEmergency departments are struggling to manage the increasing number of patients seen for opioid use disorders and opioid overdose. With opioid overdose deaths rising at alarming rates, emergency physicians are beginning to induce patients with long-acting opioids such as buprenorphine and referring patients to outpatient medication-assisted treatment facilities. The objective of this study was to describe a pragmatic approach to buprenorphine induction, referral to treatment, and assess follow-up rates.\nMethods\nSingle center, retrospective analysis of emergency department patients undergoing buprenorphine induction and referral to outpatient medication-assisted treatment. Patients were identified by an ongoing log of induced patients, between May 2017 and October 2018. The data is analyzed using descriptive statistics, with means and associated standard deviations, medians and interquartile ranges for continuous variables, and frequencies as percentages for categorical data.\nResults\nOverall, 219 patients were seen and induced with buprenorphine in the emergency department. Mean age was 35 years old (SD 10.3) and 56% were male. Intravenous opioids were most commonly abused at 75%. Our primary outcome of interest was the percentage of patients enrolled in MAT at 30 days, which occurred in 49.3% of our population. Patients were in moderate withdrawal based on initial COWS scores of 13.1(SD 5.8), and received mean total doses of 7.7 mg (SD 3.3). Median ED length of stay decreased by 40% between May 2017 and October 2018.\nConclusion\nEmergency department initiated buprenorphine induction using a structured pragmatic approach is effective at maintaining patients in medication-assisted therapy.","container-title":"The American Journal of Emergency Medicine","DOI":"https://doi.org/10.1016/j.ajem.2019.158373","ISSN":"0735-6757","issue":"2","page":"300-304","title":"Evaluation of an emergency department buprenorphine induction and medication-assisted treatment referral program","volume":"38","author":[{"family":"Kaucher","given":"Kevin A"},{"family":"Caruso","given":"Emily H"},{"family":"Sungar","given":"Gannon"},{"family":"Gawenus","given":"Lisa"},{"family":"Hurlbut","given":"Katherine"},{"family":"Sanchez","given":"Dayan Colon"},{"family":"Broderick","given":"Kerry"}],"issued":{"date-parts":[["2020"]]}}}],"schema":"https://github.com/citation-style-language/schema/raw/master/csl-citation.json"}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[21]</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1AE8DB05" w14:textId="1C2C2B5F" w:rsidR="000C3472" w:rsidRPr="00E73159" w:rsidRDefault="004866F6"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Unspecified linkage</w:t>
            </w:r>
            <w:r w:rsidR="000C3472"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hideMark/>
          </w:tcPr>
          <w:p w14:paraId="72270F5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5F83F26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63F7B1B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306A625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7C4BBD2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Nurse practitioner; Physician assistant </w:t>
            </w:r>
          </w:p>
        </w:tc>
        <w:tc>
          <w:tcPr>
            <w:tcW w:w="1800" w:type="dxa"/>
            <w:tcMar>
              <w:top w:w="30" w:type="dxa"/>
              <w:left w:w="45" w:type="dxa"/>
              <w:bottom w:w="30" w:type="dxa"/>
              <w:right w:w="45" w:type="dxa"/>
            </w:tcMar>
            <w:vAlign w:val="bottom"/>
            <w:hideMark/>
          </w:tcPr>
          <w:p w14:paraId="00A3A22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2090CC7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350" w:type="dxa"/>
            <w:tcMar>
              <w:top w:w="30" w:type="dxa"/>
              <w:left w:w="45" w:type="dxa"/>
              <w:bottom w:w="30" w:type="dxa"/>
              <w:right w:w="45" w:type="dxa"/>
            </w:tcMar>
            <w:vAlign w:val="bottom"/>
            <w:hideMark/>
          </w:tcPr>
          <w:p w14:paraId="6E000B2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12B9B9E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25346FEF" w14:textId="77777777" w:rsidTr="00A01ED0">
        <w:trPr>
          <w:trHeight w:val="315"/>
        </w:trPr>
        <w:tc>
          <w:tcPr>
            <w:tcW w:w="1212" w:type="dxa"/>
            <w:tcMar>
              <w:top w:w="30" w:type="dxa"/>
              <w:left w:w="45" w:type="dxa"/>
              <w:bottom w:w="30" w:type="dxa"/>
              <w:right w:w="45" w:type="dxa"/>
            </w:tcMar>
            <w:vAlign w:val="bottom"/>
            <w:hideMark/>
          </w:tcPr>
          <w:p w14:paraId="737BB9B0" w14:textId="13934ABE"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Kelly, 2020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{"citationID":"OJrI5x89","properties":{"formattedCitation":"[22]","plainCitation":"[22]","noteIndex":0},"citationItems":[{"id":10406,"uris":["http://zotero.org/users/11168138/items/8RT3HCBS"],"itemData":{"id":10406,"type":"article-journal","abstract":"Study objective\nMedications for opioid use disorder (MOUD) is considered gold standard treatment for persons with an opioid use disorder and can be successfully initiated in emergency departments (EDBUP). Perceived provider barriers to EDBUP adoption include increased provider work, lack of provider knowledge about outpatient MOUD resources, and a lack of viable MOUD treatment options within health systems. We evaluated the feasibility of a novel EDBUP institutional design that utilizes the social work team to drive ED care for patients with OUD and coordinate MOUD referral to existing community resources.\nMethods\nThis is a retrospective, cohort, single-center study describing patient outcomes in a social work driven EDBUP program with referral to community MOUD providers. ED patients with OUD were identified via patient request, standardized nurse screening, or ED provider concern. All identified patients received an urgent social work consult to explore willingness to seek treatment for OUD. Social workers developed individualized follow up plans with participating patients. Clinical data was abstracted from the Electronic Health Record. Social workers tracked continuity with outpatient MOUD services in a clinical care database.\nResults\nFrom June 1, 2018 through August 31, 2019, 120 patients opted for ED buprenorphine induction. 61% presented to initial outpatient intake appointment and 39% remained engaged in treatment after 30 days.\nConclusions\nEDs can effectively utilize the expertise of social workers to drive EDBUP and coordinate outpatient MOUD referrals. Our interdisciplinary EDBUP program structure is feasible and has the potential to yield meaningful reductions in physician workload and ED cost.","container-title":"The American Journal of Emergency Medicine","DOI":"https://doi.org/10.1016/j.ajem.2019.12.038","ISSN":"0735-6757","issue":"6","page":"1286-1290","title":"A novel social work approach to emergency department buprenorphine induction and warm hand-off to community providers","volume":"38","author":[{"family":"Kelly","given":"Timothy"},{"family":"Hoppe","given":"Jason A"},{"family":"Zuckerman","given":"Matthew"},{"family":"Khoshnoud","given":"Angela"},{"family":"Sholl","given":"Benjamin"},{"family":"Heard","given":"Kennon"}],"issued":{"date-parts":[["2020"]]}}}],"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[22]</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6C8F845A"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discuss treatment options; Post discharge bridge prescription; Pre-discharge schedule appointment</w:t>
            </w:r>
          </w:p>
        </w:tc>
        <w:tc>
          <w:tcPr>
            <w:tcW w:w="1170" w:type="dxa"/>
            <w:tcMar>
              <w:top w:w="30" w:type="dxa"/>
              <w:left w:w="45" w:type="dxa"/>
              <w:bottom w:w="30" w:type="dxa"/>
              <w:right w:w="45" w:type="dxa"/>
            </w:tcMar>
            <w:vAlign w:val="bottom"/>
            <w:hideMark/>
          </w:tcPr>
          <w:p w14:paraId="58D574C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0FEE729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49AE61A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41E4D48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02BA13D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Medical doctor - MD</w:t>
            </w:r>
          </w:p>
        </w:tc>
        <w:tc>
          <w:tcPr>
            <w:tcW w:w="1800" w:type="dxa"/>
            <w:tcMar>
              <w:top w:w="30" w:type="dxa"/>
              <w:left w:w="45" w:type="dxa"/>
              <w:bottom w:w="30" w:type="dxa"/>
              <w:right w:w="45" w:type="dxa"/>
            </w:tcMar>
            <w:vAlign w:val="bottom"/>
            <w:hideMark/>
          </w:tcPr>
          <w:p w14:paraId="3798D07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7C8139A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Social worker/case manager; Medical doctor (MD)</w:t>
            </w:r>
          </w:p>
        </w:tc>
        <w:tc>
          <w:tcPr>
            <w:tcW w:w="1350" w:type="dxa"/>
            <w:tcMar>
              <w:top w:w="30" w:type="dxa"/>
              <w:left w:w="45" w:type="dxa"/>
              <w:bottom w:w="30" w:type="dxa"/>
              <w:right w:w="45" w:type="dxa"/>
            </w:tcMar>
            <w:vAlign w:val="bottom"/>
            <w:hideMark/>
          </w:tcPr>
          <w:p w14:paraId="048D617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3EDFA7C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SUD treatment providers (unspecified); Treatment with MOUD; Primary care providers; </w:t>
            </w:r>
            <w:r w:rsidRPr="00E73159">
              <w:rPr>
                <w:rFonts w:ascii="Calibri" w:hAnsi="Calibri"/>
                <w:color w:val="000000" w:themeColor="text1"/>
                <w:sz w:val="18"/>
                <w:lang w:val="en-US"/>
              </w:rPr>
              <w:t>Bridge/short term clinic;</w:t>
            </w:r>
            <w:r w:rsidRPr="00E73159">
              <w:rPr>
                <w:rFonts w:ascii="Calibri" w:eastAsia="Times New Roman" w:hAnsi="Calibri" w:cs="Calibri"/>
                <w:color w:val="000000" w:themeColor="text1"/>
                <w:sz w:val="18"/>
                <w:szCs w:val="18"/>
                <w:lang w:val="en-US"/>
              </w:rPr>
              <w:t xml:space="preserve"> </w:t>
            </w:r>
            <w:r w:rsidRPr="00E73159">
              <w:rPr>
                <w:rFonts w:eastAsia="Times New Roman" w:cstheme="minorHAnsi"/>
                <w:color w:val="000000" w:themeColor="text1"/>
                <w:sz w:val="18"/>
                <w:szCs w:val="18"/>
                <w:lang w:val="en-US"/>
              </w:rPr>
              <w:t>Other medical and mental health services</w:t>
            </w:r>
          </w:p>
        </w:tc>
      </w:tr>
      <w:tr w:rsidR="00E73159" w:rsidRPr="00E73159" w14:paraId="033417EA" w14:textId="77777777" w:rsidTr="00A01ED0">
        <w:trPr>
          <w:trHeight w:val="315"/>
        </w:trPr>
        <w:tc>
          <w:tcPr>
            <w:tcW w:w="1212" w:type="dxa"/>
            <w:tcMar>
              <w:top w:w="30" w:type="dxa"/>
              <w:left w:w="45" w:type="dxa"/>
              <w:bottom w:w="30" w:type="dxa"/>
              <w:right w:w="45" w:type="dxa"/>
            </w:tcMar>
            <w:vAlign w:val="bottom"/>
            <w:hideMark/>
          </w:tcPr>
          <w:p w14:paraId="67B6FA37" w14:textId="1F1AE99E"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Kmiec</w:t>
            </w:r>
            <w:proofErr w:type="spellEnd"/>
            <w:r w:rsidRPr="00E73159">
              <w:rPr>
                <w:rFonts w:ascii="Calibri" w:eastAsia="Times New Roman" w:hAnsi="Calibri" w:cs="Calibri"/>
                <w:color w:val="000000" w:themeColor="text1"/>
                <w:sz w:val="18"/>
                <w:szCs w:val="18"/>
                <w:lang w:val="en-US"/>
              </w:rPr>
              <w:t>, 2019</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{"citationID":"tBIRmeuz","properties":{"formattedCitation":"[23]","plainCitation":"[23]","noteIndex":0},"citationItems":[{"id":10387,"uris":["http://zotero.org/users/11168138/items/G5SXYB4K"],"itemData":{"id":10387,"type":"article-journal","container-title":"Journal of Substance Abuse Treatment","DOI":"10.1016/j.jsat.2019.02.005","ISSN":"0740-5472","note":"publisher: Elsevier","page":"39-44","title":"Implementations of a text-message intervention to increase linkage from the emergency department to outpatient treatment for substance use disorders","volume":"100","author":[{"family":"Kmiec","given":"Julie"},{"family":"Suffoletto","given":"Brian"}],"issued":{"date-parts":[["2019",5,1]]}}}],"schema":"https://github.com/citation-style-language/schema/raw/master/csl-citation.json"}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[23]</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71A9FA60"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provider list; Post discharge bridge prescription; Post discharge follow up texts</w:t>
            </w:r>
          </w:p>
        </w:tc>
        <w:tc>
          <w:tcPr>
            <w:tcW w:w="1170" w:type="dxa"/>
            <w:tcMar>
              <w:top w:w="30" w:type="dxa"/>
              <w:left w:w="45" w:type="dxa"/>
              <w:bottom w:w="30" w:type="dxa"/>
              <w:right w:w="45" w:type="dxa"/>
            </w:tcMar>
            <w:vAlign w:val="bottom"/>
            <w:hideMark/>
          </w:tcPr>
          <w:p w14:paraId="20F7326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465496A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OUD; AUD; Sedative UD</w:t>
            </w:r>
          </w:p>
        </w:tc>
        <w:tc>
          <w:tcPr>
            <w:tcW w:w="1080" w:type="dxa"/>
            <w:tcMar>
              <w:top w:w="30" w:type="dxa"/>
              <w:left w:w="45" w:type="dxa"/>
              <w:bottom w:w="30" w:type="dxa"/>
              <w:right w:w="45" w:type="dxa"/>
            </w:tcMar>
            <w:vAlign w:val="bottom"/>
            <w:hideMark/>
          </w:tcPr>
          <w:p w14:paraId="3624F96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4380079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21AFB6F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Medical doctor</w:t>
            </w:r>
          </w:p>
        </w:tc>
        <w:tc>
          <w:tcPr>
            <w:tcW w:w="1800" w:type="dxa"/>
            <w:tcMar>
              <w:top w:w="30" w:type="dxa"/>
              <w:left w:w="45" w:type="dxa"/>
              <w:bottom w:w="30" w:type="dxa"/>
              <w:right w:w="45" w:type="dxa"/>
            </w:tcMar>
            <w:vAlign w:val="bottom"/>
            <w:hideMark/>
          </w:tcPr>
          <w:p w14:paraId="6D0A374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3BF6B48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Automated texts + "unspecified" treatment team that replied to unsolicited texts</w:t>
            </w:r>
          </w:p>
        </w:tc>
        <w:tc>
          <w:tcPr>
            <w:tcW w:w="1350" w:type="dxa"/>
            <w:tcMar>
              <w:top w:w="30" w:type="dxa"/>
              <w:left w:w="45" w:type="dxa"/>
              <w:bottom w:w="30" w:type="dxa"/>
              <w:right w:w="45" w:type="dxa"/>
            </w:tcMar>
            <w:vAlign w:val="bottom"/>
            <w:hideMark/>
          </w:tcPr>
          <w:p w14:paraId="0279232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Offsite</w:t>
            </w:r>
          </w:p>
        </w:tc>
        <w:tc>
          <w:tcPr>
            <w:tcW w:w="1890" w:type="dxa"/>
            <w:tcMar>
              <w:top w:w="30" w:type="dxa"/>
              <w:left w:w="45" w:type="dxa"/>
              <w:bottom w:w="30" w:type="dxa"/>
              <w:right w:w="45" w:type="dxa"/>
            </w:tcMar>
            <w:vAlign w:val="bottom"/>
            <w:hideMark/>
          </w:tcPr>
          <w:p w14:paraId="7C4521F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w:t>
            </w:r>
          </w:p>
        </w:tc>
      </w:tr>
      <w:tr w:rsidR="00E73159" w:rsidRPr="00E73159" w14:paraId="7BD0FD0F" w14:textId="77777777" w:rsidTr="00A01ED0">
        <w:trPr>
          <w:trHeight w:val="315"/>
        </w:trPr>
        <w:tc>
          <w:tcPr>
            <w:tcW w:w="1212" w:type="dxa"/>
            <w:tcMar>
              <w:top w:w="30" w:type="dxa"/>
              <w:left w:w="45" w:type="dxa"/>
              <w:bottom w:w="30" w:type="dxa"/>
              <w:right w:w="45" w:type="dxa"/>
            </w:tcMar>
            <w:vAlign w:val="bottom"/>
            <w:hideMark/>
          </w:tcPr>
          <w:p w14:paraId="00860BB5" w14:textId="6F6E5824"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Krupski</w:t>
            </w:r>
            <w:proofErr w:type="spellEnd"/>
            <w:r w:rsidRPr="00E73159">
              <w:rPr>
                <w:rFonts w:ascii="Calibri" w:eastAsia="Times New Roman" w:hAnsi="Calibri" w:cs="Calibri"/>
                <w:color w:val="000000" w:themeColor="text1"/>
                <w:sz w:val="18"/>
                <w:szCs w:val="18"/>
                <w:lang w:val="en-US"/>
              </w:rPr>
              <w:t>, 2010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{"citationID":"6KUHvXop","properties":{"formattedCitation":"[24]","plainCitation":"[24]","noteIndex":0},"citationItems":[{"id":10401,"uris":["http://zotero.org/users/11168138/items/7NNPDMWX"],"itemData":{"id":10401,"type":"article-journal","abstract":"This study examined two issues. One, whether individuals with possible substance use disorders were more likely to be admitted to specialized chemical dependency (CD) treatment after receiving a brief intervention (BI) – either alone or in combination with other services – than similar individuals who did not receive a BI. Two, whether participation in brief treatment (BT) following a BI was helpful in facilitating admission to CD treatment. The study took place in the emergency department (ED) of a large urban safety-net hospital where CD professionals screened patients for alcohol/drug problems and provided BI, BT, and referral to specialized CD treatment when appropriate (SBIRT). Substance use disorders were indicated by alcohol/drug problems noted in administrative records. Hospital records were used to match patients with likely substance use disorders who received BI with similar ED patients who had not been screened. Admission to publicly funded CD treatment was determined by matching patient identifiers to state administrative records of CD treatment. Results indicated that individuals with a likely substance use disorder who received a BI (regardless of subsequent participation in BT) were significantly more likely to enter specialized CD treatment in the subsequent year than similar individuals who did not receive a BI. This result was particularly pronounced for patients with no CD treatment in the past two years. Results also indicated that participation in BT facilitated admission into CD treatment. The results suggest that SBIRT programs could serve an important role in increasing entry to specialized treatment for individuals with substance use disorders.","container-title":"Drug and Alcohol Dependence","DOI":"https://doi.org/10.1016/j.drugalcdep.2010.02.018","ISSN":"0376-8716","issue":"1","page":"126-136","title":"Impact of brief interventions and brief treatment on admissions to chemical dependency treatment","volume":"110","author":[{"family":"Krupski","given":"Antoinette"},{"family":"Sears","given":"Jeanne M"},{"family":"Joesch","given":"Jutta M"},{"family":"Estee","given":"Sharon"},{"family":"He","given":"Lijian"},{"family":"Dunn","given":"Chris"},{"family":"Huber","given":"Alice"},{"family":"Roy-Byrne","given":"Peter"},{"family":"Ries","given":"Richard"}],"issued":{"date-parts":[["2010"]]}}}],"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[24]</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317BCBDD" w14:textId="453B168E" w:rsidR="000C3472" w:rsidRPr="00E73159" w:rsidRDefault="004866F6"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Unspecified linkage</w:t>
            </w:r>
            <w:r w:rsidR="000C3472"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hideMark/>
          </w:tcPr>
          <w:p w14:paraId="7548B51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0158424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AUD</w:t>
            </w:r>
          </w:p>
        </w:tc>
        <w:tc>
          <w:tcPr>
            <w:tcW w:w="1080" w:type="dxa"/>
            <w:tcMar>
              <w:top w:w="30" w:type="dxa"/>
              <w:left w:w="45" w:type="dxa"/>
              <w:bottom w:w="30" w:type="dxa"/>
              <w:right w:w="45" w:type="dxa"/>
            </w:tcMar>
            <w:vAlign w:val="bottom"/>
            <w:hideMark/>
          </w:tcPr>
          <w:p w14:paraId="31F39D3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69E4529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7741C5A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Addiction counselor, Medical doctor</w:t>
            </w:r>
          </w:p>
        </w:tc>
        <w:tc>
          <w:tcPr>
            <w:tcW w:w="1800" w:type="dxa"/>
            <w:tcMar>
              <w:top w:w="30" w:type="dxa"/>
              <w:left w:w="45" w:type="dxa"/>
              <w:bottom w:w="30" w:type="dxa"/>
              <w:right w:w="45" w:type="dxa"/>
            </w:tcMar>
            <w:vAlign w:val="bottom"/>
            <w:hideMark/>
          </w:tcPr>
          <w:p w14:paraId="3149A3B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711B697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w:t>
            </w:r>
          </w:p>
        </w:tc>
        <w:tc>
          <w:tcPr>
            <w:tcW w:w="1350" w:type="dxa"/>
            <w:tcMar>
              <w:top w:w="30" w:type="dxa"/>
              <w:left w:w="45" w:type="dxa"/>
              <w:bottom w:w="30" w:type="dxa"/>
              <w:right w:w="45" w:type="dxa"/>
            </w:tcMar>
            <w:vAlign w:val="bottom"/>
            <w:hideMark/>
          </w:tcPr>
          <w:p w14:paraId="43AAECD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0F4C43C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w:t>
            </w:r>
          </w:p>
        </w:tc>
      </w:tr>
      <w:tr w:rsidR="00E73159" w:rsidRPr="00E73159" w14:paraId="53FC938D" w14:textId="77777777" w:rsidTr="00A01ED0">
        <w:trPr>
          <w:trHeight w:val="315"/>
        </w:trPr>
        <w:tc>
          <w:tcPr>
            <w:tcW w:w="1212" w:type="dxa"/>
            <w:tcMar>
              <w:top w:w="30" w:type="dxa"/>
              <w:left w:w="45" w:type="dxa"/>
              <w:bottom w:w="30" w:type="dxa"/>
              <w:right w:w="45" w:type="dxa"/>
            </w:tcMar>
            <w:vAlign w:val="bottom"/>
            <w:hideMark/>
          </w:tcPr>
          <w:p w14:paraId="1B892B80" w14:textId="3EC5C323"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LeSaint</w:t>
            </w:r>
            <w:proofErr w:type="spellEnd"/>
            <w:r w:rsidRPr="00E73159">
              <w:rPr>
                <w:rFonts w:ascii="Calibri" w:eastAsia="Times New Roman" w:hAnsi="Calibri" w:cs="Calibri"/>
                <w:color w:val="000000" w:themeColor="text1"/>
                <w:sz w:val="18"/>
                <w:szCs w:val="18"/>
                <w:lang w:val="en-US"/>
              </w:rPr>
              <w:t>, 2020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{"citationID":"MfXCLIBr","properties":{"formattedCitation":"[25]","plainCitation":"[25]","noteIndex":0},"citationItems":[{"id":10426,"uris":["http://zotero.org/users/11168138/items/ADY6K89A"],"itemData":{"id":10426,"type":"article-journal","container-title":"Western Journal of Emergency Medicine: Integrating Emergency Care with Population Health","issue":"5","title":"Buprenorphine for Opioid Use Disorder in the Emergency Department: A Retrospective Chart Review.","volume":"21","author":[{"family":"LeSaint","given":"K. T."},{"family":"Klapthor","given":"B."},{"family":"Wang","given":"R. C."},{"family":"Geier","given":"C."}],"issued":{"date-parts":[["2020"]]}}}],"schema":"https://github.com/citation-style-language/schema/raw/master/csl-citation.json"}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[25]</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78569B7F"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w:t>
            </w:r>
            <w:r w:rsidRPr="00E73159" w:rsidDel="0080333A">
              <w:rPr>
                <w:rFonts w:cstheme="minorHAnsi"/>
                <w:color w:val="000000" w:themeColor="text1"/>
                <w:sz w:val="18"/>
                <w:szCs w:val="18"/>
                <w:shd w:val="clear" w:color="auto" w:fill="FFFFFF"/>
              </w:rPr>
              <w:t xml:space="preserve"> </w:t>
            </w:r>
            <w:r w:rsidRPr="00E73159">
              <w:rPr>
                <w:rFonts w:cstheme="minorHAnsi"/>
                <w:color w:val="000000" w:themeColor="text1"/>
                <w:sz w:val="18"/>
                <w:szCs w:val="18"/>
                <w:shd w:val="clear" w:color="auto" w:fill="FFFFFF"/>
              </w:rPr>
              <w:t xml:space="preserve">; Post discharge bridge prescription </w:t>
            </w:r>
          </w:p>
        </w:tc>
        <w:tc>
          <w:tcPr>
            <w:tcW w:w="1170" w:type="dxa"/>
            <w:tcMar>
              <w:top w:w="30" w:type="dxa"/>
              <w:left w:w="45" w:type="dxa"/>
              <w:bottom w:w="30" w:type="dxa"/>
              <w:right w:w="45" w:type="dxa"/>
            </w:tcMar>
            <w:vAlign w:val="bottom"/>
            <w:hideMark/>
          </w:tcPr>
          <w:p w14:paraId="2D985AB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48DCD07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5A35F84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6382016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0D7D795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21A4775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3D8306B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w:t>
            </w:r>
          </w:p>
        </w:tc>
        <w:tc>
          <w:tcPr>
            <w:tcW w:w="1350" w:type="dxa"/>
            <w:tcMar>
              <w:top w:w="30" w:type="dxa"/>
              <w:left w:w="45" w:type="dxa"/>
              <w:bottom w:w="30" w:type="dxa"/>
              <w:right w:w="45" w:type="dxa"/>
            </w:tcMar>
            <w:vAlign w:val="bottom"/>
            <w:hideMark/>
          </w:tcPr>
          <w:p w14:paraId="66A4961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531E7F0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09E8B92F" w14:textId="77777777" w:rsidTr="00A01ED0">
        <w:trPr>
          <w:trHeight w:val="315"/>
        </w:trPr>
        <w:tc>
          <w:tcPr>
            <w:tcW w:w="1212" w:type="dxa"/>
            <w:tcMar>
              <w:top w:w="30" w:type="dxa"/>
              <w:left w:w="45" w:type="dxa"/>
              <w:bottom w:w="30" w:type="dxa"/>
              <w:right w:w="45" w:type="dxa"/>
            </w:tcMar>
            <w:vAlign w:val="bottom"/>
          </w:tcPr>
          <w:p w14:paraId="1BB557CD" w14:textId="1E901832"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McLane, 2020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{"citationID":"BIivpI7t","properties":{"formattedCitation":"[26]","plainCitation":"[26]","noteIndex":0},"citationItems":[{"id":10370,"uris":["http://zotero.org/users/11168138/items/UQH8JMMU"],"itemData":{"id":10370,"type":"article-journal","abstract":"BackgroundOpioid use disorder is a major public health crisis, and evidence suggests ways of better serving patients who live with opioid use disorder in the emergency department (ED). A multi-disciplinary team developed a quality improvement project to implement this evidence.MethodsThe intervention was developed by an expert working group consisting of specialists and stakeholders. The group set goals of increasing prescribing of buprenorphine/naloxone and providing next day walk-in referrals to opioid use disorder treatment clinics. From May to September 2018, three Alberta ED sites and three opioid use disorder treatment clinics worked together to trial the intervention. We used administrative data to track the number of ED visits where patients were given buprenorphine/naloxone. Monthly ED prescribing rates before and after the intervention were considered and compared with eight nonintervention sites. We considered whether patients continued to fill opioid agonist treatment prescriptions at 30, 60, and 90 days after their index ED visit to measure continuity in treatment.ResultsThe intervention sites increased their prescribing of buprenorphine/naloxone during the intervention period and prescribed more buprenorphine/naloxone than the controls. Thirty-five of 47 patients (74.4%) discharged from the ED with buprenorphine/naloxone continued to fill opioid agonist treatment prescriptions 30 days and 60 days after their index ED visit. Thirty-four patients (72.3%) filled prescriptions at 90 days.ConclusionsEmergency clinicians can effectively initiate patients on buprenorphine/naloxone when supports for this standardized evidence-based care are in place within their practice setting and timely follow-up in community is available.","container-title":"CJEM","DOI":"DOI: 10.1017/cem.2020.438","ISSN":"1481-8035","issue":"6","note":"publisher: Cambridge University Press","page":"784-792","title":"Multi-site intervention to improve emergency department care for patients who live with opioid use disorder: A quantitative evaluation","volume":"22","author":[{"family":"McLane","given":"Patrick"},{"family":"Scott","given":"Ken"},{"family":"Suleman","given":"Zainab"},{"family":"Yee","given":"Karen"},{"family":"Holroyd","given":"Brian R"},{"family":"Dong","given":"Kathryn"},{"family":"Ghosh","given":"S Monty"},{"family":"Fanaeian","given":"Josh"},{"family":"Deol","given":"Jan"},{"family":"Biggs","given":"Catherine"},{"family":"Lang","given":"Eddy"},{"family":"Hair","given":"Heather"},{"family":"Ross","given":"Marshall"},{"family":"Tanguay","given":"Rob"},{"family":"Olmstead","given":"Asha"},{"family":"Fisher","given":"Andrew"},{"family":"Fielding","given":"Scott"}],"issued":{"date-parts":[["2020"]]}}}],"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[26]</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tcPr>
          <w:p w14:paraId="16F60334"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 Post discharge bridge prescription; Pre-discharge electronic referral</w:t>
            </w:r>
          </w:p>
        </w:tc>
        <w:tc>
          <w:tcPr>
            <w:tcW w:w="1170" w:type="dxa"/>
            <w:tcMar>
              <w:top w:w="30" w:type="dxa"/>
              <w:left w:w="45" w:type="dxa"/>
              <w:bottom w:w="30" w:type="dxa"/>
              <w:right w:w="45" w:type="dxa"/>
            </w:tcMar>
            <w:vAlign w:val="bottom"/>
          </w:tcPr>
          <w:p w14:paraId="76E5B06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tcPr>
          <w:p w14:paraId="64ADBA2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tcPr>
          <w:p w14:paraId="77CA8C4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tcPr>
          <w:p w14:paraId="30748F8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tcPr>
          <w:p w14:paraId="02B230B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tcPr>
          <w:p w14:paraId="0902AE3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Not specified</w:t>
            </w:r>
          </w:p>
        </w:tc>
        <w:tc>
          <w:tcPr>
            <w:tcW w:w="1530" w:type="dxa"/>
            <w:tcMar>
              <w:top w:w="30" w:type="dxa"/>
              <w:left w:w="45" w:type="dxa"/>
              <w:bottom w:w="30" w:type="dxa"/>
              <w:right w:w="45" w:type="dxa"/>
            </w:tcMar>
            <w:vAlign w:val="bottom"/>
          </w:tcPr>
          <w:p w14:paraId="46E1A15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350" w:type="dxa"/>
            <w:tcMar>
              <w:top w:w="30" w:type="dxa"/>
              <w:left w:w="45" w:type="dxa"/>
              <w:bottom w:w="30" w:type="dxa"/>
              <w:right w:w="45" w:type="dxa"/>
            </w:tcMar>
            <w:vAlign w:val="bottom"/>
          </w:tcPr>
          <w:p w14:paraId="58F743A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tcPr>
          <w:p w14:paraId="20EB9CB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52895E89" w14:textId="77777777" w:rsidTr="00A01ED0">
        <w:trPr>
          <w:trHeight w:val="315"/>
        </w:trPr>
        <w:tc>
          <w:tcPr>
            <w:tcW w:w="1212" w:type="dxa"/>
            <w:tcMar>
              <w:top w:w="30" w:type="dxa"/>
              <w:left w:w="45" w:type="dxa"/>
              <w:bottom w:w="30" w:type="dxa"/>
              <w:right w:w="45" w:type="dxa"/>
            </w:tcMar>
            <w:vAlign w:val="bottom"/>
            <w:hideMark/>
          </w:tcPr>
          <w:p w14:paraId="4014EE3B" w14:textId="1526F37F"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Monico</w:t>
            </w:r>
            <w:proofErr w:type="spellEnd"/>
            <w:r w:rsidRPr="00E73159">
              <w:rPr>
                <w:rFonts w:ascii="Calibri" w:eastAsia="Times New Roman" w:hAnsi="Calibri" w:cs="Calibri"/>
                <w:color w:val="000000" w:themeColor="text1"/>
                <w:sz w:val="18"/>
                <w:szCs w:val="18"/>
                <w:lang w:val="en-US"/>
              </w:rPr>
              <w:t>, 2020</w:t>
            </w:r>
            <w:r w:rsidR="00EB5352" w:rsidRPr="00E73159">
              <w:rPr>
                <w:rFonts w:ascii="Calibri" w:eastAsia="Times New Roman" w:hAnsi="Calibri" w:cs="Calibri"/>
                <w:color w:val="000000" w:themeColor="text1"/>
                <w:sz w:val="18"/>
                <w:szCs w:val="18"/>
                <w:lang w:val="en-US"/>
              </w:rPr>
              <w:t xml:space="preserve"> </w:t>
            </w:r>
            <w:r w:rsidR="00EB5352" w:rsidRPr="00E73159">
              <w:rPr>
                <w:rFonts w:ascii="Calibri" w:eastAsia="Times New Roman" w:hAnsi="Calibri" w:cs="Calibri"/>
                <w:color w:val="000000" w:themeColor="text1"/>
                <w:sz w:val="18"/>
                <w:szCs w:val="18"/>
                <w:lang w:val="en-US"/>
              </w:rPr>
              <w:fldChar w:fldCharType="begin"/>
            </w:r>
            <w:r w:rsidR="00EB5352" w:rsidRPr="00E73159">
              <w:rPr>
                <w:rFonts w:ascii="Calibri" w:eastAsia="Times New Roman" w:hAnsi="Calibri" w:cs="Calibri"/>
                <w:color w:val="000000" w:themeColor="text1"/>
                <w:sz w:val="18"/>
                <w:szCs w:val="18"/>
                <w:lang w:val="en-US"/>
              </w:rPr>
              <w:instrText xml:space="preserve"> ADDIN ZOTERO_ITEM CSL_CITATION {"citationID":"rFOasItc","properties":{"formattedCitation":"[27]","plainCitation":"[27]","noteIndex":0},"citationItems":[{"id":10407,"uris":["http://zotero.org/users/11168138/items/YJ4KRZKI"],"itemData":{"id":10407,"type":"article-journal","abstract":"Purpose\nIdentification of problematic alcohol use and substance use in the population has been a clinical challenge, especially during the heightened years of the opioid epidemic. Bringing Screening, Brief Intervention, and Referral to Treatment (SBIRT) to scale in medical settings, such as hospital emergency departments (EDs) could facilitate broad identification of substance use disorders, timely delivery of brief interventions, and successful linkages to treatment.\nProcedures\nThis large-scale data analysis pulled electronic health record (EHR) data from 23 hospitals in the state of Maryland for over 1 million patient visits between July 2014 and November 2018.\nFindings\nOf the 1,097,142 ED patients screened, 17.2% screened positive for problematic alcohol or any drug use in the previous 12 months. During this same period, 79,899 brief interventions were delivered, 15,961 referrals to outpatient treatment were made and 38.3% of those were successfully linked to treatment. Of the 950 patients exhibiting withdrawal symptoms, over two-thirds patients (70.1%; n = 666) were administered buprenorphine, 94.6% (n = 630) accepted a referral to buprenorphine treatment in the community, and 64.6% (n = 430) attended their first outpatient buprenorphine treatment visit. A total of 2382 patients presented to the ED with a suspected opioid overdose, over half were referred to the intervention program (53.8%) and 63.2% were successfully engaged by the PRCs in the ED.\nConclusions\nThis analysis supports the scalability of SBIRT in hospital EDs and presents an implementation model that can be replicated in EDs nationwide.","container-title":"The American Journal of Emergency Medicine","DOI":"https://doi.org/10.1016/j.ajem.2020.03.005","ISSN":"0735-6757","issue":"7","page":"1466-1469","title":"One million screened: Scaling up SBIRT and buprenorphine treatment in hospital emergency departments across Maryland","volume":"38","author":[{"family":"Monico","given":"Laura B"},{"family":"Oros","given":"Marla"},{"family":"Smith","given":"Sadie"},{"family":"Mitchell","given":"Shannon Gwin"},{"family":"Gryczynski","given":"Jan"},{"family":"Schwartz","given":"Robert"}],"issued":{"date-parts":[["2020"]]}}}],"schema":"https://github.com/citation-style-language/schema/raw/master/csl-citation.json"} </w:instrText>
            </w:r>
            <w:r w:rsidR="00EB5352" w:rsidRPr="00E73159">
              <w:rPr>
                <w:rFonts w:ascii="Calibri" w:eastAsia="Times New Roman" w:hAnsi="Calibri" w:cs="Calibri"/>
                <w:color w:val="000000" w:themeColor="text1"/>
                <w:sz w:val="18"/>
                <w:szCs w:val="18"/>
                <w:lang w:val="en-US"/>
              </w:rPr>
              <w:fldChar w:fldCharType="separate"/>
            </w:r>
            <w:r w:rsidR="00EB5352" w:rsidRPr="00E73159">
              <w:rPr>
                <w:rFonts w:ascii="Calibri" w:eastAsia="Times New Roman" w:hAnsi="Calibri" w:cs="Calibri"/>
                <w:noProof/>
                <w:color w:val="000000" w:themeColor="text1"/>
                <w:sz w:val="18"/>
                <w:szCs w:val="18"/>
                <w:lang w:val="en-US"/>
              </w:rPr>
              <w:t>[27]</w:t>
            </w:r>
            <w:r w:rsidR="00EB5352"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7E042313"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discuss treatment options; Pre-discharge schedule appointment; Post-discharge follow up calls; Post discharge peer support; Post-discharge care navigation</w:t>
            </w:r>
          </w:p>
        </w:tc>
        <w:tc>
          <w:tcPr>
            <w:tcW w:w="1170" w:type="dxa"/>
            <w:tcMar>
              <w:top w:w="30" w:type="dxa"/>
              <w:left w:w="45" w:type="dxa"/>
              <w:bottom w:w="30" w:type="dxa"/>
              <w:right w:w="45" w:type="dxa"/>
            </w:tcMar>
            <w:vAlign w:val="bottom"/>
            <w:hideMark/>
          </w:tcPr>
          <w:p w14:paraId="7FC2815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63E8E71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OUD</w:t>
            </w:r>
          </w:p>
        </w:tc>
        <w:tc>
          <w:tcPr>
            <w:tcW w:w="1080" w:type="dxa"/>
            <w:tcMar>
              <w:top w:w="30" w:type="dxa"/>
              <w:left w:w="45" w:type="dxa"/>
              <w:bottom w:w="30" w:type="dxa"/>
              <w:right w:w="45" w:type="dxa"/>
            </w:tcMar>
            <w:vAlign w:val="bottom"/>
            <w:hideMark/>
          </w:tcPr>
          <w:p w14:paraId="78F6E46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32A61FD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2A20207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Peers; “Medical assessment staff"</w:t>
            </w:r>
          </w:p>
        </w:tc>
        <w:tc>
          <w:tcPr>
            <w:tcW w:w="1800" w:type="dxa"/>
            <w:tcMar>
              <w:top w:w="30" w:type="dxa"/>
              <w:left w:w="45" w:type="dxa"/>
              <w:bottom w:w="30" w:type="dxa"/>
              <w:right w:w="45" w:type="dxa"/>
            </w:tcMar>
            <w:vAlign w:val="bottom"/>
            <w:hideMark/>
          </w:tcPr>
          <w:p w14:paraId="2D8B741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59F25D6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Peers; Medical doctor</w:t>
            </w:r>
          </w:p>
        </w:tc>
        <w:tc>
          <w:tcPr>
            <w:tcW w:w="1350" w:type="dxa"/>
            <w:tcMar>
              <w:top w:w="30" w:type="dxa"/>
              <w:left w:w="45" w:type="dxa"/>
              <w:bottom w:w="30" w:type="dxa"/>
              <w:right w:w="45" w:type="dxa"/>
            </w:tcMar>
            <w:vAlign w:val="bottom"/>
            <w:hideMark/>
          </w:tcPr>
          <w:p w14:paraId="41F6A66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2E5A1FF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Treatment with MOUD</w:t>
            </w:r>
          </w:p>
        </w:tc>
      </w:tr>
      <w:tr w:rsidR="00E73159" w:rsidRPr="00E73159" w14:paraId="7DE3BD60" w14:textId="77777777" w:rsidTr="00A01ED0">
        <w:trPr>
          <w:trHeight w:val="315"/>
        </w:trPr>
        <w:tc>
          <w:tcPr>
            <w:tcW w:w="1212" w:type="dxa"/>
            <w:tcMar>
              <w:top w:w="30" w:type="dxa"/>
              <w:left w:w="45" w:type="dxa"/>
              <w:bottom w:w="30" w:type="dxa"/>
              <w:right w:w="45" w:type="dxa"/>
            </w:tcMar>
            <w:vAlign w:val="bottom"/>
          </w:tcPr>
          <w:p w14:paraId="7AFC87C1" w14:textId="08E7AFDF"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Nordeck</w:t>
            </w:r>
            <w:proofErr w:type="spellEnd"/>
            <w:r w:rsidRPr="00E73159">
              <w:rPr>
                <w:rFonts w:ascii="Calibri" w:eastAsia="Times New Roman" w:hAnsi="Calibri" w:cs="Calibri"/>
                <w:color w:val="000000" w:themeColor="text1"/>
                <w:sz w:val="18"/>
                <w:szCs w:val="18"/>
                <w:lang w:val="en-US"/>
              </w:rPr>
              <w:t>, 2018</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{"citationID":"kNjtgq5M","properties":{"formattedCitation":"[28]","plainCitation":"[28]","noteIndex":0},"citationItems":[{"id":10428,"uris":["http://zotero.org/users/11168138/items/6IZUWPVD"],"itemData":{"id":10428,"type":"article-journal","abstract":"Background\nSubstance use disorders (SUD) are associated with non-adherence to medical care and high utilization of hospital services. This study characterized patterns and correlates of rehospitalization among patients seen by a hospital-based SUD consultation-liaison (CL) team.\nMethods\nThis study was a retrospective medical record review of patients in a large urban academic hospital who received SUD consultation and were diagnosed with opioid, cocaine, and/or alcohol use disorder (N = 267). Data were collected on patient characteristics, substance-specific SUD diagnoses (opioids, cocaine, and alcohol), opioid agonist treatment (OAT) with methadone or buprenorphine (treatment status at admission; in-hospital initiation of OAT), and rehospitalization through 180 days post-discharge. Associations with rehospitalization were examined using bivariate tests of independence and multivariate logistic regression, with patient background and medical characteristics, substance-specific SUD diagnoses, and OAT status (at admission and in-hospital initiation) as predictors.\nResults\nRehospitalization rates were higher among patients with current opioid (38% vs. 24%; p &lt; .05) and cocaine use disorders (39% vs. 26%; p &lt; .05) compared to patients without these diagnoses. In multivariate logistic regression analysis, the number of medical comorbidities [Adjusted Odds Ratio (AOR) = 1.2; p &lt; .01] and opioid use disorder (AOR = 2.4, p &lt; .05) were independently associated with rehospitalization.\nConclusions\nIn this sample of hospital patients receiving SUD CL services, the risk of rehospitalization differed by type of SUD diagnosis. In-hospital initiation of OAT is promising for facilitating treatment linkage post-discharge, but this small study did not show differences in rehospitalization based on OAT initiation. These findings could inform services for hospital patients with comorbid SUDs.","container-title":"Drug and Alcohol Dependence","DOI":"https://doi.org/10.1016/j.drugalcdep.2017.12.043","ISSN":"0376-8716","page":"23-28","title":"Rehospitalization and substance use disorder (SUD) treatment entry among patients seen by a hospital SUD consultation-liaison service","volume":"186","author":[{"family":"Nordeck","given":"Courtney D"},{"family":"Welsh","given":"Christopher"},{"family":"Schwartz","given":"Robert P"},{"family":"Mitchell","given":"Shannon Gwin"},{"family":"Cohen","given":"Art"},{"family":"O’Grady","given":"Kevin E"},{"family":"Gryczynski","given":"Jan"}],"issued":{"date-parts":[["2018"]]}}}],"schema":"https://github.com/citation-style-language/schema/raw/master/csl-citation.json"}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[28]</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tcPr>
          <w:p w14:paraId="44F0FD16" w14:textId="696228EB" w:rsidR="000C3472" w:rsidRPr="00E73159" w:rsidRDefault="004866F6"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Unspecified linkage</w:t>
            </w:r>
            <w:r w:rsidR="000C3472"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tcPr>
          <w:p w14:paraId="6C2A062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tcPr>
          <w:p w14:paraId="233A620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 AUD, Cocaine UD</w:t>
            </w:r>
          </w:p>
        </w:tc>
        <w:tc>
          <w:tcPr>
            <w:tcW w:w="1080" w:type="dxa"/>
            <w:tcMar>
              <w:top w:w="30" w:type="dxa"/>
              <w:left w:w="45" w:type="dxa"/>
              <w:bottom w:w="30" w:type="dxa"/>
              <w:right w:w="45" w:type="dxa"/>
            </w:tcMar>
            <w:vAlign w:val="bottom"/>
          </w:tcPr>
          <w:p w14:paraId="11D077F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tcPr>
          <w:p w14:paraId="059655F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 methadone</w:t>
            </w:r>
          </w:p>
        </w:tc>
        <w:tc>
          <w:tcPr>
            <w:tcW w:w="1620" w:type="dxa"/>
            <w:tcMar>
              <w:top w:w="30" w:type="dxa"/>
              <w:left w:w="45" w:type="dxa"/>
              <w:bottom w:w="30" w:type="dxa"/>
              <w:right w:w="45" w:type="dxa"/>
            </w:tcMar>
            <w:vAlign w:val="bottom"/>
          </w:tcPr>
          <w:p w14:paraId="736D5A9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w:t>
            </w:r>
          </w:p>
        </w:tc>
        <w:tc>
          <w:tcPr>
            <w:tcW w:w="1800" w:type="dxa"/>
            <w:tcMar>
              <w:top w:w="30" w:type="dxa"/>
              <w:left w:w="45" w:type="dxa"/>
              <w:bottom w:w="30" w:type="dxa"/>
              <w:right w:w="45" w:type="dxa"/>
            </w:tcMar>
            <w:vAlign w:val="bottom"/>
          </w:tcPr>
          <w:p w14:paraId="45386B7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tcPr>
          <w:p w14:paraId="207F27D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 Addiction counselor; Social worker/case manager; Nurse</w:t>
            </w:r>
          </w:p>
        </w:tc>
        <w:tc>
          <w:tcPr>
            <w:tcW w:w="1350" w:type="dxa"/>
            <w:tcMar>
              <w:top w:w="30" w:type="dxa"/>
              <w:left w:w="45" w:type="dxa"/>
              <w:bottom w:w="30" w:type="dxa"/>
              <w:right w:w="45" w:type="dxa"/>
            </w:tcMar>
            <w:vAlign w:val="bottom"/>
          </w:tcPr>
          <w:p w14:paraId="49294A9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tcPr>
          <w:p w14:paraId="5020302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Treatment with MOUD</w:t>
            </w:r>
          </w:p>
        </w:tc>
      </w:tr>
      <w:tr w:rsidR="00E73159" w:rsidRPr="00E73159" w14:paraId="6696EE78" w14:textId="77777777" w:rsidTr="00A01ED0">
        <w:trPr>
          <w:trHeight w:val="315"/>
        </w:trPr>
        <w:tc>
          <w:tcPr>
            <w:tcW w:w="1212" w:type="dxa"/>
            <w:tcMar>
              <w:top w:w="30" w:type="dxa"/>
              <w:left w:w="45" w:type="dxa"/>
              <w:bottom w:w="30" w:type="dxa"/>
              <w:right w:w="45" w:type="dxa"/>
            </w:tcMar>
            <w:vAlign w:val="bottom"/>
            <w:hideMark/>
          </w:tcPr>
          <w:p w14:paraId="24E50616" w14:textId="7C2AB091"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O'Connell, 2020</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{"citationID":"GJM1bYRw","properties":{"formattedCitation":"[29]","plainCitation":"[29]","noteIndex":0},"citationItems":[{"id":10410,"uris":["http://zotero.org/users/11168138/items/XLS62PCS"],"itemData":{"id":10410,"type":"article-journal","container-title":"Journal of Mental Health","DOI":"10.1080/09638237.2017.1294733","ISSN":"0963-8237","issue":"1","note":"publisher: Routledge","page":"6-11","title":"Enhancing outcomes for persons with co-occurring disorders through skills training and peer recovery support","volume":"29","author":[{"family":"O’Connell","given":"Maria J"},{"family":"Flanagan","given":"Elizabeth H"},{"family":"Delphin-Rittmon","given":"Miriam E"},{"family":"Davidson","given":"Larry"}],"issued":{"date-parts":[["2020",1,2]]}}}],"schema":"https://github.com/citation-style-language/schema/raw/master/csl-citation.json"}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[29]</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0127375D"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Post-discharge transportation assistance; Post discharge peer support</w:t>
            </w:r>
          </w:p>
        </w:tc>
        <w:tc>
          <w:tcPr>
            <w:tcW w:w="1170" w:type="dxa"/>
            <w:tcMar>
              <w:top w:w="30" w:type="dxa"/>
              <w:left w:w="45" w:type="dxa"/>
              <w:bottom w:w="30" w:type="dxa"/>
              <w:right w:w="45" w:type="dxa"/>
            </w:tcMar>
            <w:vAlign w:val="bottom"/>
            <w:hideMark/>
          </w:tcPr>
          <w:p w14:paraId="5883953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4AFF71A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w:t>
            </w:r>
          </w:p>
        </w:tc>
        <w:tc>
          <w:tcPr>
            <w:tcW w:w="1080" w:type="dxa"/>
            <w:tcMar>
              <w:top w:w="30" w:type="dxa"/>
              <w:left w:w="45" w:type="dxa"/>
              <w:bottom w:w="30" w:type="dxa"/>
              <w:right w:w="45" w:type="dxa"/>
            </w:tcMar>
            <w:vAlign w:val="bottom"/>
            <w:hideMark/>
          </w:tcPr>
          <w:p w14:paraId="44B8452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6C428E9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5064F60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4C3EFC7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Not specified</w:t>
            </w:r>
          </w:p>
        </w:tc>
        <w:tc>
          <w:tcPr>
            <w:tcW w:w="1530" w:type="dxa"/>
            <w:tcMar>
              <w:top w:w="30" w:type="dxa"/>
              <w:left w:w="45" w:type="dxa"/>
              <w:bottom w:w="30" w:type="dxa"/>
              <w:right w:w="45" w:type="dxa"/>
            </w:tcMar>
            <w:vAlign w:val="bottom"/>
            <w:hideMark/>
          </w:tcPr>
          <w:p w14:paraId="2767B16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Peer (e.g. peer specialist/peer recovery coach)</w:t>
            </w:r>
          </w:p>
        </w:tc>
        <w:tc>
          <w:tcPr>
            <w:tcW w:w="1350" w:type="dxa"/>
            <w:tcMar>
              <w:top w:w="30" w:type="dxa"/>
              <w:left w:w="45" w:type="dxa"/>
              <w:bottom w:w="30" w:type="dxa"/>
              <w:right w:w="45" w:type="dxa"/>
            </w:tcMar>
            <w:vAlign w:val="bottom"/>
            <w:hideMark/>
          </w:tcPr>
          <w:p w14:paraId="500E80C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576F5ED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Support groups</w:t>
            </w:r>
          </w:p>
        </w:tc>
      </w:tr>
      <w:tr w:rsidR="00E73159" w:rsidRPr="00E73159" w14:paraId="48B38918" w14:textId="77777777" w:rsidTr="00A01ED0">
        <w:trPr>
          <w:trHeight w:val="315"/>
        </w:trPr>
        <w:tc>
          <w:tcPr>
            <w:tcW w:w="1212" w:type="dxa"/>
            <w:tcMar>
              <w:top w:w="30" w:type="dxa"/>
              <w:left w:w="45" w:type="dxa"/>
              <w:bottom w:w="30" w:type="dxa"/>
              <w:right w:w="45" w:type="dxa"/>
            </w:tcMar>
            <w:vAlign w:val="bottom"/>
            <w:hideMark/>
          </w:tcPr>
          <w:p w14:paraId="4747558C" w14:textId="730A628F"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Pecoraro</w:t>
            </w:r>
            <w:proofErr w:type="spellEnd"/>
            <w:r w:rsidRPr="00E73159">
              <w:rPr>
                <w:rFonts w:ascii="Calibri" w:eastAsia="Times New Roman" w:hAnsi="Calibri" w:cs="Calibri"/>
                <w:color w:val="000000" w:themeColor="text1"/>
                <w:sz w:val="18"/>
                <w:szCs w:val="18"/>
                <w:lang w:val="en-US"/>
              </w:rPr>
              <w:t>, 2012</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{"citationID":"x8teuuyJ","properties":{"formattedCitation":"[30]","plainCitation":"[30]","noteIndex":0},"citationItems":[{"id":10366,"uris":["http://zotero.org/users/11168138/items/B7D9WJGI"],"itemData":{"id":10366,"type":"article-journal","abstract":"Patients with untreated substance use disorders (SUDs) are at risk for frequent emergency department visits and repeated hospitalizations. Project Engage, a US pilot program at Wilmington Hospital in Delaware, was conducted to facilitate entry of these patients to SUD treatment after discharge. Patients identified as having hazardous or harmful alcohol consumption based on results of the Alcohol Use Disorders Identification Test-Primary Care (AUDIT-PC), administered to all patients at admission, received bedside assessment with motivational interviewing and facilitated referral to treatment by a patient engagement specialist (PES). This program evaluation provides descriptive information on self-reported rates of SUD treatment initiation of all patients and health-care utilization and costs for a subset of patients.","container-title":"Addiction Science &amp; Clinical Practice","DOI":"10.1186/1940-0640-7-20","ISSN":"1940-0640","issue":"1","page":"20","title":"Early data from project engage: a program to identify and transition medically hospitalized patients into addictions treatment","volume":"7","author":[{"family":"Pecoraro","given":"Anna"},{"family":"Horton","given":"Terry"},{"family":"Ewen","given":"Edward"},{"family":"Becher","given":"Julie"},{"family":"Wright","given":"Patricia A"},{"family":"Silverman","given":"Basha"},{"family":"McGraw","given":"Patty"},{"family":"Woody","given":"George E"}],"issued":{"date-parts":[["2012"]]}}}],"schema":"https://github.com/citation-style-language/schema/raw/master/csl-citation.json"}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[30]</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16A9C18A"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 Post-discharge transportation assistance; Post-discharge follow up calls;</w:t>
            </w:r>
          </w:p>
        </w:tc>
        <w:tc>
          <w:tcPr>
            <w:tcW w:w="1170" w:type="dxa"/>
            <w:tcMar>
              <w:top w:w="30" w:type="dxa"/>
              <w:left w:w="45" w:type="dxa"/>
              <w:bottom w:w="30" w:type="dxa"/>
              <w:right w:w="45" w:type="dxa"/>
            </w:tcMar>
            <w:vAlign w:val="bottom"/>
            <w:hideMark/>
          </w:tcPr>
          <w:p w14:paraId="0972914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0B3BB82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AUD</w:t>
            </w:r>
          </w:p>
        </w:tc>
        <w:tc>
          <w:tcPr>
            <w:tcW w:w="1080" w:type="dxa"/>
            <w:tcMar>
              <w:top w:w="30" w:type="dxa"/>
              <w:left w:w="45" w:type="dxa"/>
              <w:bottom w:w="30" w:type="dxa"/>
              <w:right w:w="45" w:type="dxa"/>
            </w:tcMar>
            <w:vAlign w:val="bottom"/>
            <w:hideMark/>
          </w:tcPr>
          <w:p w14:paraId="0D14202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5821972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1BAFEAF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Patient engagement specialists</w:t>
            </w:r>
          </w:p>
        </w:tc>
        <w:tc>
          <w:tcPr>
            <w:tcW w:w="1800" w:type="dxa"/>
            <w:tcMar>
              <w:top w:w="30" w:type="dxa"/>
              <w:left w:w="45" w:type="dxa"/>
              <w:bottom w:w="30" w:type="dxa"/>
              <w:right w:w="45" w:type="dxa"/>
            </w:tcMar>
            <w:vAlign w:val="bottom"/>
            <w:hideMark/>
          </w:tcPr>
          <w:p w14:paraId="46D4CF2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Called upon as part of Addiction consult team</w:t>
            </w:r>
          </w:p>
        </w:tc>
        <w:tc>
          <w:tcPr>
            <w:tcW w:w="1530" w:type="dxa"/>
            <w:tcMar>
              <w:top w:w="30" w:type="dxa"/>
              <w:left w:w="45" w:type="dxa"/>
              <w:bottom w:w="30" w:type="dxa"/>
              <w:right w:w="45" w:type="dxa"/>
            </w:tcMar>
            <w:vAlign w:val="bottom"/>
            <w:hideMark/>
          </w:tcPr>
          <w:p w14:paraId="6D1B0BF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Patient engagement specialists</w:t>
            </w:r>
          </w:p>
        </w:tc>
        <w:tc>
          <w:tcPr>
            <w:tcW w:w="1350" w:type="dxa"/>
            <w:tcMar>
              <w:top w:w="30" w:type="dxa"/>
              <w:left w:w="45" w:type="dxa"/>
              <w:bottom w:w="30" w:type="dxa"/>
              <w:right w:w="45" w:type="dxa"/>
            </w:tcMar>
            <w:vAlign w:val="bottom"/>
            <w:hideMark/>
          </w:tcPr>
          <w:p w14:paraId="41A5E60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Employed by external organization</w:t>
            </w:r>
          </w:p>
        </w:tc>
        <w:tc>
          <w:tcPr>
            <w:tcW w:w="1890" w:type="dxa"/>
            <w:tcMar>
              <w:top w:w="30" w:type="dxa"/>
              <w:left w:w="45" w:type="dxa"/>
              <w:bottom w:w="30" w:type="dxa"/>
              <w:right w:w="45" w:type="dxa"/>
            </w:tcMar>
            <w:vAlign w:val="bottom"/>
            <w:hideMark/>
          </w:tcPr>
          <w:p w14:paraId="1477884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SUD treatment providers (unspecified); </w:t>
            </w:r>
            <w:r w:rsidRPr="00E73159">
              <w:rPr>
                <w:rFonts w:eastAsia="Times New Roman" w:cstheme="minorHAnsi"/>
                <w:color w:val="000000" w:themeColor="text1"/>
                <w:sz w:val="18"/>
                <w:szCs w:val="18"/>
                <w:lang w:val="en-US"/>
              </w:rPr>
              <w:t>Other community resources</w:t>
            </w:r>
          </w:p>
        </w:tc>
      </w:tr>
      <w:tr w:rsidR="00E73159" w:rsidRPr="00E73159" w14:paraId="3DD47EF8" w14:textId="77777777" w:rsidTr="00A01ED0">
        <w:trPr>
          <w:trHeight w:val="315"/>
        </w:trPr>
        <w:tc>
          <w:tcPr>
            <w:tcW w:w="1212" w:type="dxa"/>
            <w:tcMar>
              <w:top w:w="30" w:type="dxa"/>
              <w:left w:w="45" w:type="dxa"/>
              <w:bottom w:w="30" w:type="dxa"/>
              <w:right w:w="45" w:type="dxa"/>
            </w:tcMar>
            <w:vAlign w:val="bottom"/>
            <w:hideMark/>
          </w:tcPr>
          <w:p w14:paraId="2A9F493E" w14:textId="24EE7FDD"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Regan, 2021</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{"citationID":"gXRqAVHi","properties":{"formattedCitation":"[31]","plainCitation":"[31]","noteIndex":0},"citationItems":[{"id":10372,"uris":["http://zotero.org/users/11168138/items/I34UQWVN"],"itemData":{"id":10372,"type":"article-journal","abstract":"Introduction: \n\nEmergency department (ED) initiated opioid use disorder (OUD) care is effective; however, real-world predictors of patient engagement are lacking.\n\nObjective: \n\nThis program evaluation examined predictors of ED-based OUD treatment and subsequent engagement.\n\nMethod: \n\nProgram evaluation in Boston, MA. Adult patients who met criteria for OUD during an ED visit in 2019 were included. Patients were included if a diagnosis of OUD or opioid-related overdose was associated with the ED visit or if they met previously validated criteria for OUD within the previous 12 months. We assessed predictors of ED-OUD treatment receipt and subsequent engagement, using Healthcare Effectiveness Data and Information Set definition of initial encounter within 14 days of discharge and either 2 subsequent encounters or a subsequent buprenorphine prescription within 34 days of the initial encounter. We used generalized estimating equations for panel data.\n\nResults: \n\nDuring 2019, 1946 patients met criteria for OUD. Referrals to Bridge Clinic were made for 207 (11%), buprenorphine initiated for 106 (5%), and home induction buprenorphine kits given to 56 (3%). Following ED discharge, 237 patients (12%) had a visit within 14 days, 122 (6%) had ≥2 additional visits, and 207 (11%) received a subsequent buprenorphine prescription. Young, White, male patients were most likely to receive ED-OUD care. Patients who received ED-OUD care were more likely to have subsequent treatment engagement (adjusted rate ratio: 2.30, 95% confidence intervals: 1.62–3.27). Referrals were made less often than predicted for Black (-49%) or Hispanic/Latinx (-25%) patients.\n\nConclusions: \n\nInitiating treatment for OUD in the ED was associated with increased engagement in outpatient addiction care.","container-title":"Journal of Addiction Medicine","ISSN":"1932-0620","issue":"2","title":"Emergency Department-initiated Buprenorphine and Referral to Follow-up Addiction Care: A Program Description","URL":"https://journals.lww.com/journaladdictionmedicine/Fulltext/2022/04000/Emergency_Department_initiated_Buprenorphine_and.18.aspx","volume":"16","author":[{"family":"Regan","given":"Susan"},{"family":"Howard","given":"Sydney"},{"family":"Powell","given":"Elizabeth"},{"family":"Martin","given":"Alister"},{"family":"Dutta","given":"Sayon"},{"family":"Hayes","given":"Bryan D"},{"family":"White","given":"Benjamin A"},{"family":"Williamson","given":"Dawn"},{"family":"Kehoe","given":"Laura"},{"family":"Raja","given":"Ali S"},{"family":"Wakeman","given":"Sarah E"}],"issued":{"date-parts":[["2022"]]}}}],"schema":"https://github.com/citation-style-language/schema/raw/master/csl-citation.json"}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[31]</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3BC99C1A"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electronic referral ; Post-discharge follow up calls; Pre-discharge schedule appointment; Post discharge bridge prescription </w:t>
            </w:r>
          </w:p>
        </w:tc>
        <w:tc>
          <w:tcPr>
            <w:tcW w:w="1170" w:type="dxa"/>
            <w:tcMar>
              <w:top w:w="30" w:type="dxa"/>
              <w:left w:w="45" w:type="dxa"/>
              <w:bottom w:w="30" w:type="dxa"/>
              <w:right w:w="45" w:type="dxa"/>
            </w:tcMar>
            <w:vAlign w:val="bottom"/>
            <w:hideMark/>
          </w:tcPr>
          <w:p w14:paraId="40765D5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17E7F94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 OUD</w:t>
            </w:r>
          </w:p>
        </w:tc>
        <w:tc>
          <w:tcPr>
            <w:tcW w:w="1080" w:type="dxa"/>
            <w:tcMar>
              <w:top w:w="30" w:type="dxa"/>
              <w:left w:w="45" w:type="dxa"/>
              <w:bottom w:w="30" w:type="dxa"/>
              <w:right w:w="45" w:type="dxa"/>
            </w:tcMar>
            <w:vAlign w:val="bottom"/>
            <w:hideMark/>
          </w:tcPr>
          <w:p w14:paraId="3951BE8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1007165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7AEFC9A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5C1846F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2A6835A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w:t>
            </w:r>
          </w:p>
        </w:tc>
        <w:tc>
          <w:tcPr>
            <w:tcW w:w="1350" w:type="dxa"/>
            <w:tcMar>
              <w:top w:w="30" w:type="dxa"/>
              <w:left w:w="45" w:type="dxa"/>
              <w:bottom w:w="30" w:type="dxa"/>
              <w:right w:w="45" w:type="dxa"/>
            </w:tcMar>
            <w:vAlign w:val="bottom"/>
            <w:hideMark/>
          </w:tcPr>
          <w:p w14:paraId="7ADEDDB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52EBDEF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hAnsi="Calibri"/>
                <w:color w:val="000000" w:themeColor="text1"/>
                <w:sz w:val="18"/>
                <w:lang w:val="en-US"/>
              </w:rPr>
              <w:t>Bridge/short term clinic</w:t>
            </w:r>
          </w:p>
        </w:tc>
      </w:tr>
      <w:tr w:rsidR="00E73159" w:rsidRPr="00E73159" w14:paraId="16A3BB8F" w14:textId="77777777" w:rsidTr="00A01ED0">
        <w:trPr>
          <w:trHeight w:val="315"/>
        </w:trPr>
        <w:tc>
          <w:tcPr>
            <w:tcW w:w="1212" w:type="dxa"/>
            <w:tcMar>
              <w:top w:w="30" w:type="dxa"/>
              <w:left w:w="45" w:type="dxa"/>
              <w:bottom w:w="30" w:type="dxa"/>
              <w:right w:w="45" w:type="dxa"/>
            </w:tcMar>
            <w:vAlign w:val="bottom"/>
            <w:hideMark/>
          </w:tcPr>
          <w:p w14:paraId="1C17CB82" w14:textId="36156311"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Rochat</w:t>
            </w:r>
            <w:proofErr w:type="spellEnd"/>
            <w:r w:rsidRPr="00E73159">
              <w:rPr>
                <w:rFonts w:ascii="Calibri" w:eastAsia="Times New Roman" w:hAnsi="Calibri" w:cs="Calibri"/>
                <w:color w:val="000000" w:themeColor="text1"/>
                <w:sz w:val="18"/>
                <w:szCs w:val="18"/>
                <w:lang w:val="en-US"/>
              </w:rPr>
              <w:t>, 2004</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{"citationID":"yY5EWLeJ","properties":{"formattedCitation":"[32]","plainCitation":"[32]","noteIndex":0},"citationItems":[{"id":10414,"uris":["http://zotero.org/users/11168138/items/8ASXHAID"],"itemData":{"id":10414,"type":"article-journal","container-title":"Substance Abuse","DOI":"10.1300/J465v25n01_03","ISSN":"0889-7077","issue":"1","note":"publisher: Taylor &amp; Francis","page":"9-15","title":"Success of Referral for Alcohol Dependent Patients from a General Hospital","volume":"25","author":[{"family":"Rochat","given":"Stephane"},{"family":"Wietlisbach","given":"Vincent"},{"family":"Burnand","given":"Bernard"},{"family":"Landry","given":"Ulrika"},{"family":"Yersin","given":"Bertrand"}],"issued":{"date-parts":[["2004",6,7]]}}}],"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[32]</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57E704C7"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w:t>
            </w:r>
          </w:p>
        </w:tc>
        <w:tc>
          <w:tcPr>
            <w:tcW w:w="1170" w:type="dxa"/>
            <w:tcMar>
              <w:top w:w="30" w:type="dxa"/>
              <w:left w:w="45" w:type="dxa"/>
              <w:bottom w:w="30" w:type="dxa"/>
              <w:right w:w="45" w:type="dxa"/>
            </w:tcMar>
            <w:vAlign w:val="bottom"/>
            <w:hideMark/>
          </w:tcPr>
          <w:p w14:paraId="54AF3C3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61A6798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AUD</w:t>
            </w:r>
          </w:p>
        </w:tc>
        <w:tc>
          <w:tcPr>
            <w:tcW w:w="1080" w:type="dxa"/>
            <w:tcMar>
              <w:top w:w="30" w:type="dxa"/>
              <w:left w:w="45" w:type="dxa"/>
              <w:bottom w:w="30" w:type="dxa"/>
              <w:right w:w="45" w:type="dxa"/>
            </w:tcMar>
            <w:vAlign w:val="bottom"/>
            <w:hideMark/>
          </w:tcPr>
          <w:p w14:paraId="4A90FE9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3782E84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3416B3D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Social worker/case manager; Multidisciplinary addiction care team; Medical doctor </w:t>
            </w:r>
          </w:p>
        </w:tc>
        <w:tc>
          <w:tcPr>
            <w:tcW w:w="1800" w:type="dxa"/>
            <w:tcMar>
              <w:top w:w="30" w:type="dxa"/>
              <w:left w:w="45" w:type="dxa"/>
              <w:bottom w:w="30" w:type="dxa"/>
              <w:right w:w="45" w:type="dxa"/>
            </w:tcMar>
            <w:vAlign w:val="bottom"/>
            <w:hideMark/>
          </w:tcPr>
          <w:p w14:paraId="65FDAE6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5018457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Multidisciplinary addiction care team; Medical doctor</w:t>
            </w:r>
          </w:p>
        </w:tc>
        <w:tc>
          <w:tcPr>
            <w:tcW w:w="1350" w:type="dxa"/>
            <w:tcMar>
              <w:top w:w="30" w:type="dxa"/>
              <w:left w:w="45" w:type="dxa"/>
              <w:bottom w:w="30" w:type="dxa"/>
              <w:right w:w="45" w:type="dxa"/>
            </w:tcMar>
            <w:vAlign w:val="bottom"/>
            <w:hideMark/>
          </w:tcPr>
          <w:p w14:paraId="4E2E9C5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6D3147F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Residential/inpatient treatment providers</w:t>
            </w:r>
          </w:p>
        </w:tc>
      </w:tr>
      <w:tr w:rsidR="00E73159" w:rsidRPr="00E73159" w14:paraId="1BF4AEBC" w14:textId="77777777" w:rsidTr="00A01ED0">
        <w:trPr>
          <w:trHeight w:val="315"/>
        </w:trPr>
        <w:tc>
          <w:tcPr>
            <w:tcW w:w="1212" w:type="dxa"/>
            <w:tcMar>
              <w:top w:w="30" w:type="dxa"/>
              <w:left w:w="45" w:type="dxa"/>
              <w:bottom w:w="30" w:type="dxa"/>
              <w:right w:w="45" w:type="dxa"/>
            </w:tcMar>
            <w:vAlign w:val="bottom"/>
            <w:hideMark/>
          </w:tcPr>
          <w:p w14:paraId="225F2029" w14:textId="75F437BE"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Roncero</w:t>
            </w:r>
            <w:proofErr w:type="spellEnd"/>
            <w:r w:rsidRPr="00E73159">
              <w:rPr>
                <w:rFonts w:ascii="Calibri" w:eastAsia="Times New Roman" w:hAnsi="Calibri" w:cs="Calibri"/>
                <w:color w:val="000000" w:themeColor="text1"/>
                <w:sz w:val="18"/>
                <w:szCs w:val="18"/>
                <w:lang w:val="en-US"/>
              </w:rPr>
              <w:t>, 2012</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{"citationID":"W1unlIml","properties":{"formattedCitation":"[33]","plainCitation":"[33]","noteIndex":0},"citationItems":[{"id":10425,"uris":["http://zotero.org/users/11168138/items/QZRJYR9U"],"itemData":{"id":10425,"type":"article-journal","container-title":"Actas Esp Psiquiatr","issue":"2","page":"63-69","title":"Treatment adherence to treatment in substance users referred from Psychiatric Emergency service to outpatient treatment","volume":"40","author":[{"family":"Roncero","given":"C"},{"family":"Rodríguez-Cintas","given":"L"},{"family":"Barral","given":"C"},{"family":"Fuste","given":"G"},{"family":"Daigre","given":"C"},{"family":"Ramos-Quiroga","given":"JA"},{"family":"Casas","given":"M"}],"issued":{"date-parts":[["2012"]]}}}],"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[33]</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36619C1D" w14:textId="2E3CC0AD" w:rsidR="000C3472" w:rsidRPr="00E73159" w:rsidRDefault="004866F6"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Unspecified linkage</w:t>
            </w:r>
            <w:r w:rsidR="000C3472"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hideMark/>
          </w:tcPr>
          <w:p w14:paraId="59AEC87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214E805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w:t>
            </w:r>
          </w:p>
        </w:tc>
        <w:tc>
          <w:tcPr>
            <w:tcW w:w="1080" w:type="dxa"/>
            <w:tcMar>
              <w:top w:w="30" w:type="dxa"/>
              <w:left w:w="45" w:type="dxa"/>
              <w:bottom w:w="30" w:type="dxa"/>
              <w:right w:w="45" w:type="dxa"/>
            </w:tcMar>
            <w:vAlign w:val="bottom"/>
            <w:hideMark/>
          </w:tcPr>
          <w:p w14:paraId="5B9D3E2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3A67184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201AD35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w:t>
            </w:r>
          </w:p>
        </w:tc>
        <w:tc>
          <w:tcPr>
            <w:tcW w:w="1800" w:type="dxa"/>
            <w:tcMar>
              <w:top w:w="30" w:type="dxa"/>
              <w:left w:w="45" w:type="dxa"/>
              <w:bottom w:w="30" w:type="dxa"/>
              <w:right w:w="45" w:type="dxa"/>
            </w:tcMar>
            <w:vAlign w:val="bottom"/>
            <w:hideMark/>
          </w:tcPr>
          <w:p w14:paraId="402A033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26C9928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350" w:type="dxa"/>
            <w:tcMar>
              <w:top w:w="30" w:type="dxa"/>
              <w:left w:w="45" w:type="dxa"/>
              <w:bottom w:w="30" w:type="dxa"/>
              <w:right w:w="45" w:type="dxa"/>
            </w:tcMar>
            <w:vAlign w:val="bottom"/>
            <w:hideMark/>
          </w:tcPr>
          <w:p w14:paraId="1E06CDB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060F81D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w:t>
            </w:r>
          </w:p>
        </w:tc>
      </w:tr>
      <w:tr w:rsidR="00E73159" w:rsidRPr="00E73159" w14:paraId="0CE10F5D" w14:textId="77777777" w:rsidTr="00A01ED0">
        <w:trPr>
          <w:trHeight w:val="315"/>
        </w:trPr>
        <w:tc>
          <w:tcPr>
            <w:tcW w:w="1212" w:type="dxa"/>
            <w:tcMar>
              <w:top w:w="30" w:type="dxa"/>
              <w:left w:w="45" w:type="dxa"/>
              <w:bottom w:w="30" w:type="dxa"/>
              <w:right w:w="45" w:type="dxa"/>
            </w:tcMar>
            <w:vAlign w:val="bottom"/>
            <w:hideMark/>
          </w:tcPr>
          <w:p w14:paraId="14E01A6C" w14:textId="59F4118B"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Samuels, 201</w:t>
            </w:r>
            <w:r w:rsidR="002163B3" w:rsidRPr="00E73159">
              <w:rPr>
                <w:rFonts w:ascii="Calibri" w:eastAsia="Times New Roman" w:hAnsi="Calibri" w:cs="Calibri"/>
                <w:color w:val="000000" w:themeColor="text1"/>
                <w:sz w:val="18"/>
                <w:szCs w:val="18"/>
                <w:lang w:val="en-US"/>
              </w:rPr>
              <w:t xml:space="preserve">8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{"citationID":"jNcfUuZw","properties":{"formattedCitation":"[34]","plainCitation":"[34]","noteIndex":0},"citationItems":[{"id":8719,"uris":["http://zotero.org/users/11168138/items/93DK6AIV"],"itemData":{"id":8719,"type":"article-journal","container-title":"J Subst Abuse Treat","DOI":"10.1016/j.jsat.2018.07.013","ISSN":"0740-5472","language":"eng","note":"PMID: 30243414","page":"29-34","title":"Peer navigation and take-home naloxone for opioid overdose emergency department patients: Preliminary patient outcomes","volume":"94","author":[{"family":"Samuels","given":"E A"},{"family":"Bernstein","given":"S L"},{"family":"Marshall","given":"B D L"},{"family":"Krieger","given":"M"},{"family":"Baird","given":"J"},{"family":"Mello","given":"M J"}],"issued":{"date-parts":[["2018"]]}}}],"schema":"https://github.com/citation-style-language/schema/raw/master/csl-citation.json"}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[34]</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74625695" w14:textId="1D9307F6"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provider list; Pre-discharge discuss treatment options; Pre-discharge schedule appointment; Post-discharge care navigation; </w:t>
            </w:r>
            <w:r w:rsidR="004866F6" w:rsidRPr="00E73159">
              <w:rPr>
                <w:rFonts w:cstheme="minorHAnsi"/>
                <w:color w:val="000000" w:themeColor="text1"/>
                <w:sz w:val="18"/>
                <w:szCs w:val="18"/>
                <w:shd w:val="clear" w:color="auto" w:fill="FFFFFF"/>
              </w:rPr>
              <w:t>Unspecified linkage</w:t>
            </w:r>
            <w:r w:rsidRPr="00E73159">
              <w:rPr>
                <w:rFonts w:cstheme="minorHAnsi"/>
                <w:color w:val="000000" w:themeColor="text1"/>
                <w:sz w:val="18"/>
                <w:szCs w:val="18"/>
                <w:shd w:val="clear" w:color="auto" w:fill="FFFFFF"/>
              </w:rPr>
              <w:t xml:space="preserve"> to treatment</w:t>
            </w:r>
          </w:p>
        </w:tc>
        <w:tc>
          <w:tcPr>
            <w:tcW w:w="1170" w:type="dxa"/>
            <w:tcMar>
              <w:top w:w="30" w:type="dxa"/>
              <w:left w:w="45" w:type="dxa"/>
              <w:bottom w:w="30" w:type="dxa"/>
              <w:right w:w="45" w:type="dxa"/>
            </w:tcMar>
            <w:vAlign w:val="bottom"/>
            <w:hideMark/>
          </w:tcPr>
          <w:p w14:paraId="7BA0788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563DC51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1ABFC82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4A6F034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1FDD4C4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07C3197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62B447B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Peer; Medical doctor</w:t>
            </w:r>
          </w:p>
        </w:tc>
        <w:tc>
          <w:tcPr>
            <w:tcW w:w="1350" w:type="dxa"/>
            <w:tcMar>
              <w:top w:w="30" w:type="dxa"/>
              <w:left w:w="45" w:type="dxa"/>
              <w:bottom w:w="30" w:type="dxa"/>
              <w:right w:w="45" w:type="dxa"/>
            </w:tcMar>
            <w:vAlign w:val="bottom"/>
            <w:hideMark/>
          </w:tcPr>
          <w:p w14:paraId="392F0EE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5D5B268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Treatment with MOUD</w:t>
            </w:r>
          </w:p>
        </w:tc>
      </w:tr>
      <w:tr w:rsidR="00E73159" w:rsidRPr="00E73159" w14:paraId="6BAB1EB9" w14:textId="77777777" w:rsidTr="00A01ED0">
        <w:trPr>
          <w:trHeight w:val="315"/>
        </w:trPr>
        <w:tc>
          <w:tcPr>
            <w:tcW w:w="1212" w:type="dxa"/>
            <w:tcMar>
              <w:top w:w="30" w:type="dxa"/>
              <w:left w:w="45" w:type="dxa"/>
              <w:bottom w:w="30" w:type="dxa"/>
              <w:right w:w="45" w:type="dxa"/>
            </w:tcMar>
            <w:vAlign w:val="bottom"/>
            <w:hideMark/>
          </w:tcPr>
          <w:p w14:paraId="311716DD" w14:textId="05350C9E"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Schwarz, 2019</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{"citationID":"i4EWDIgE","properties":{"formattedCitation":"[35]","plainCitation":"[35]","noteIndex":0},"citationItems":[{"id":10402,"uris":["http://zotero.org/users/11168138/items/G897WZMU"],"itemData":{"id":10402,"type":"article-journal","abstract":"Aim\nTo investigate if more patients in the intervention group attended specialized alcohol treatment compared with a treatment-as-usual group (TAU).\nMethods\nPragmatic randomized controlled trial where consecutive patients, admitted to somatic hospitals, filled out a lifestyle questionnaire with the Alcohol Use Disorder Identification Test (AUDIT) embedded. Patients scoring 8+ on AUDIT were included in the study. Included patients were randomized to either a Danish screening brief intervention and referral to treatment (SBIRT) called the Relay model or TAU depending on date of admission. The Relay group was offered a brief alcohol intervention by an outreach alcohol therapist. Patients scoring 16 points and above on the AUDIT test also received referral to alcohol treatment. Outcome was attendance at specialized outpatient alcohol treatment centres after discharge from hospital. Information on patients was gathered from municipal databases at 18 months follow-up.\nResults\nA total of 3534 patients completed the questionnaire, and 609 patients (17%) scored AUDIT 8+. 48 patients were lost to follow-up, and the final sample had 561 patients. Only 33 patients (6%) attended outpatient treatment at 18-months follow-up, but significantly more patients in the Relay group sought alcohol treatment than in the TAU group (OR = 2.5 [1.2;5.2] (p = 0.017)). Number needed to treat (NNT) was 20 [95% CI 11.2;112.3].\nConclusion\nThe Relay intervention was associated with more patients attending specialized treatment, but further research is needed to establish if general hospitals are an excellent platform for performing SBIRT.","container-title":"Drug and Alcohol Dependence","DOI":"https://doi.org/10.1016/j.drugalcdep.2018.12.017","ISSN":"0376-8716","page":"51-56","title":"Making a bridge between general hospital and specialised community-based treatment for alcohol use disorder—A pragmatic randomised controlled trial","volume":"196","author":[{"family":"Schwarz","given":"Anne-Sophie"},{"family":"Nielsen","given":"Bent"},{"family":"Søgaard","given":"Jes"},{"family":"Søgaard Nielsen","given":"Anette"}],"issued":{"date-parts":[["2019"]]}}}],"schema":"https://github.com/citation-style-language/schema/raw/master/csl-citation.json"}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[35]</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5DD4D8FA" w14:textId="58155D84"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Pre-discharge provide list of programs; Pre-discharge discuss treatment options; </w:t>
            </w:r>
            <w:r w:rsidR="004866F6" w:rsidRPr="00E73159">
              <w:rPr>
                <w:rFonts w:cstheme="minorHAnsi"/>
                <w:color w:val="000000" w:themeColor="text1"/>
                <w:sz w:val="18"/>
                <w:szCs w:val="18"/>
                <w:shd w:val="clear" w:color="auto" w:fill="FFFFFF"/>
              </w:rPr>
              <w:t>Unspecified linkage</w:t>
            </w:r>
            <w:r w:rsidRPr="00E73159">
              <w:rPr>
                <w:rFonts w:cstheme="minorHAnsi"/>
                <w:color w:val="000000" w:themeColor="text1"/>
                <w:sz w:val="18"/>
                <w:szCs w:val="18"/>
                <w:shd w:val="clear" w:color="auto" w:fill="FFFFFF"/>
              </w:rPr>
              <w:t xml:space="preserve"> to </w:t>
            </w:r>
            <w:proofErr w:type="spellStart"/>
            <w:r w:rsidRPr="00E73159">
              <w:rPr>
                <w:rFonts w:cstheme="minorHAnsi"/>
                <w:color w:val="000000" w:themeColor="text1"/>
                <w:sz w:val="18"/>
                <w:szCs w:val="18"/>
                <w:shd w:val="clear" w:color="auto" w:fill="FFFFFF"/>
              </w:rPr>
              <w:t>treatment;Pre-discharge</w:t>
            </w:r>
            <w:proofErr w:type="spellEnd"/>
            <w:r w:rsidRPr="00E73159">
              <w:rPr>
                <w:rFonts w:cstheme="minorHAnsi"/>
                <w:color w:val="000000" w:themeColor="text1"/>
                <w:sz w:val="18"/>
                <w:szCs w:val="18"/>
                <w:shd w:val="clear" w:color="auto" w:fill="FFFFFF"/>
              </w:rPr>
              <w:t xml:space="preserve"> schedule appointment/warm handoff to specific program</w:t>
            </w:r>
          </w:p>
        </w:tc>
        <w:tc>
          <w:tcPr>
            <w:tcW w:w="1170" w:type="dxa"/>
            <w:tcMar>
              <w:top w:w="30" w:type="dxa"/>
              <w:left w:w="45" w:type="dxa"/>
              <w:bottom w:w="30" w:type="dxa"/>
              <w:right w:w="45" w:type="dxa"/>
            </w:tcMar>
            <w:vAlign w:val="bottom"/>
            <w:hideMark/>
          </w:tcPr>
          <w:p w14:paraId="4994CD9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 Inpatient hospital</w:t>
            </w:r>
          </w:p>
        </w:tc>
        <w:tc>
          <w:tcPr>
            <w:tcW w:w="1170" w:type="dxa"/>
            <w:tcMar>
              <w:top w:w="30" w:type="dxa"/>
              <w:left w:w="45" w:type="dxa"/>
              <w:bottom w:w="30" w:type="dxa"/>
              <w:right w:w="45" w:type="dxa"/>
            </w:tcMar>
            <w:vAlign w:val="bottom"/>
            <w:hideMark/>
          </w:tcPr>
          <w:p w14:paraId="6CA0848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AUD</w:t>
            </w:r>
          </w:p>
        </w:tc>
        <w:tc>
          <w:tcPr>
            <w:tcW w:w="1080" w:type="dxa"/>
            <w:tcMar>
              <w:top w:w="30" w:type="dxa"/>
              <w:left w:w="45" w:type="dxa"/>
              <w:bottom w:w="30" w:type="dxa"/>
              <w:right w:w="45" w:type="dxa"/>
            </w:tcMar>
            <w:vAlign w:val="bottom"/>
            <w:hideMark/>
          </w:tcPr>
          <w:p w14:paraId="65092B5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2BD0DC5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06A285E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Addiction counselor</w:t>
            </w:r>
          </w:p>
        </w:tc>
        <w:tc>
          <w:tcPr>
            <w:tcW w:w="1800" w:type="dxa"/>
            <w:tcMar>
              <w:top w:w="30" w:type="dxa"/>
              <w:left w:w="45" w:type="dxa"/>
              <w:bottom w:w="30" w:type="dxa"/>
              <w:right w:w="45" w:type="dxa"/>
            </w:tcMar>
            <w:vAlign w:val="bottom"/>
            <w:hideMark/>
          </w:tcPr>
          <w:p w14:paraId="23F77F2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Called upon as part of Addiction consult team</w:t>
            </w:r>
          </w:p>
        </w:tc>
        <w:tc>
          <w:tcPr>
            <w:tcW w:w="1530" w:type="dxa"/>
            <w:tcMar>
              <w:top w:w="30" w:type="dxa"/>
              <w:left w:w="45" w:type="dxa"/>
              <w:bottom w:w="30" w:type="dxa"/>
              <w:right w:w="45" w:type="dxa"/>
            </w:tcMar>
            <w:vAlign w:val="bottom"/>
            <w:hideMark/>
          </w:tcPr>
          <w:p w14:paraId="68D6CB2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Addiction counselor</w:t>
            </w:r>
          </w:p>
        </w:tc>
        <w:tc>
          <w:tcPr>
            <w:tcW w:w="1350" w:type="dxa"/>
            <w:tcMar>
              <w:top w:w="30" w:type="dxa"/>
              <w:left w:w="45" w:type="dxa"/>
              <w:bottom w:w="30" w:type="dxa"/>
              <w:right w:w="45" w:type="dxa"/>
            </w:tcMar>
            <w:vAlign w:val="bottom"/>
            <w:hideMark/>
          </w:tcPr>
          <w:p w14:paraId="133C369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Employed by external organization</w:t>
            </w:r>
          </w:p>
        </w:tc>
        <w:tc>
          <w:tcPr>
            <w:tcW w:w="1890" w:type="dxa"/>
            <w:tcMar>
              <w:top w:w="30" w:type="dxa"/>
              <w:left w:w="45" w:type="dxa"/>
              <w:bottom w:w="30" w:type="dxa"/>
              <w:right w:w="45" w:type="dxa"/>
            </w:tcMar>
            <w:vAlign w:val="bottom"/>
            <w:hideMark/>
          </w:tcPr>
          <w:p w14:paraId="0806104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w:t>
            </w:r>
          </w:p>
        </w:tc>
      </w:tr>
      <w:tr w:rsidR="00E73159" w:rsidRPr="00E73159" w14:paraId="528C5E89" w14:textId="77777777" w:rsidTr="00A01ED0">
        <w:trPr>
          <w:trHeight w:val="315"/>
        </w:trPr>
        <w:tc>
          <w:tcPr>
            <w:tcW w:w="1212" w:type="dxa"/>
            <w:tcMar>
              <w:top w:w="30" w:type="dxa"/>
              <w:left w:w="45" w:type="dxa"/>
              <w:bottom w:w="30" w:type="dxa"/>
              <w:right w:w="45" w:type="dxa"/>
            </w:tcMar>
            <w:vAlign w:val="bottom"/>
            <w:hideMark/>
          </w:tcPr>
          <w:p w14:paraId="1EC6A27C" w14:textId="016644BA"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Shanahan, 2010</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{"citationID":"I5163snd","properties":{"formattedCitation":"[36]","plainCitation":"[36]","noteIndex":0},"citationItems":[{"id":10362,"uris":["http://zotero.org/users/11168138/items/4NQDSLWX"],"itemData":{"id":10362,"type":"article-journal","abstract":"Many opioid-dependent patients do not receive care for addiction issues when hospitalized for other medical problems. Based on 3 years of clinical practice, we report the Transitional Opioid Program (TOP) experience using hospitalization as a “reachable moment” to identify and link opioid-dependent persons to addiction treatment from medical care.","container-title":"Journal of General Internal Medicine","DOI":"10.1007/s11606-010-1311-3","ISSN":"1525-1497","issue":"8","page":"803-808","title":"A Transitional Opioid Program to Engage Hospitalized Drug Users","volume":"25","author":[{"family":"Shanahan","given":"Christopher W"},{"family":"Beers","given":"Donna"},{"family":"Alford","given":"Daniel P"},{"family":"Brigandi","given":"Eileen"},{"family":"Samet","given":"Jeffrey H"}],"issued":{"date-parts":[["2010"]]}}}],"schema":"https://github.com/citation-style-language/schema/raw/master/csl-citation.json"}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[36]</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45542B84"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 Pre-discharge discuss treatment options</w:t>
            </w:r>
          </w:p>
        </w:tc>
        <w:tc>
          <w:tcPr>
            <w:tcW w:w="1170" w:type="dxa"/>
            <w:tcMar>
              <w:top w:w="30" w:type="dxa"/>
              <w:left w:w="45" w:type="dxa"/>
              <w:bottom w:w="30" w:type="dxa"/>
              <w:right w:w="45" w:type="dxa"/>
            </w:tcMar>
            <w:vAlign w:val="bottom"/>
            <w:hideMark/>
          </w:tcPr>
          <w:p w14:paraId="491630D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735C38F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3402308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530D5C6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Methadone</w:t>
            </w:r>
          </w:p>
        </w:tc>
        <w:tc>
          <w:tcPr>
            <w:tcW w:w="1620" w:type="dxa"/>
            <w:tcMar>
              <w:top w:w="30" w:type="dxa"/>
              <w:left w:w="45" w:type="dxa"/>
              <w:bottom w:w="30" w:type="dxa"/>
              <w:right w:w="45" w:type="dxa"/>
            </w:tcMar>
            <w:vAlign w:val="bottom"/>
            <w:hideMark/>
          </w:tcPr>
          <w:p w14:paraId="429DAFD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Medical doctor</w:t>
            </w:r>
          </w:p>
        </w:tc>
        <w:tc>
          <w:tcPr>
            <w:tcW w:w="1800" w:type="dxa"/>
            <w:tcMar>
              <w:top w:w="30" w:type="dxa"/>
              <w:left w:w="45" w:type="dxa"/>
              <w:bottom w:w="30" w:type="dxa"/>
              <w:right w:w="45" w:type="dxa"/>
            </w:tcMar>
            <w:vAlign w:val="bottom"/>
            <w:hideMark/>
          </w:tcPr>
          <w:p w14:paraId="366F59D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68D76B2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w:t>
            </w:r>
          </w:p>
        </w:tc>
        <w:tc>
          <w:tcPr>
            <w:tcW w:w="1350" w:type="dxa"/>
            <w:tcMar>
              <w:top w:w="30" w:type="dxa"/>
              <w:left w:w="45" w:type="dxa"/>
              <w:bottom w:w="30" w:type="dxa"/>
              <w:right w:w="45" w:type="dxa"/>
            </w:tcMar>
            <w:vAlign w:val="bottom"/>
            <w:hideMark/>
          </w:tcPr>
          <w:p w14:paraId="2B37427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01FC992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Treatment with MOUD; Detox program; Residential/inpatient treatment providers; </w:t>
            </w:r>
            <w:r w:rsidRPr="00E73159">
              <w:rPr>
                <w:rFonts w:ascii="Calibri" w:hAnsi="Calibri"/>
                <w:color w:val="000000" w:themeColor="text1"/>
                <w:sz w:val="18"/>
                <w:lang w:val="en-US"/>
              </w:rPr>
              <w:t>Bridge/short term clinic;</w:t>
            </w:r>
            <w:r w:rsidRPr="00E73159">
              <w:rPr>
                <w:rFonts w:ascii="Calibri" w:eastAsia="Times New Roman" w:hAnsi="Calibri" w:cs="Calibri"/>
                <w:color w:val="000000" w:themeColor="text1"/>
                <w:sz w:val="18"/>
                <w:szCs w:val="18"/>
                <w:lang w:val="en-US"/>
              </w:rPr>
              <w:t xml:space="preserve"> Harm reduction services</w:t>
            </w:r>
          </w:p>
        </w:tc>
      </w:tr>
      <w:tr w:rsidR="00E73159" w:rsidRPr="00E73159" w14:paraId="7541D4A8" w14:textId="77777777" w:rsidTr="00A01ED0">
        <w:trPr>
          <w:trHeight w:val="315"/>
        </w:trPr>
        <w:tc>
          <w:tcPr>
            <w:tcW w:w="1212" w:type="dxa"/>
            <w:tcMar>
              <w:top w:w="30" w:type="dxa"/>
              <w:left w:w="45" w:type="dxa"/>
              <w:bottom w:w="30" w:type="dxa"/>
              <w:right w:w="45" w:type="dxa"/>
            </w:tcMar>
            <w:vAlign w:val="bottom"/>
            <w:hideMark/>
          </w:tcPr>
          <w:p w14:paraId="6E1380CA" w14:textId="08AC940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Shaw, 2020</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{"citationID":"flBpZ3sa","properties":{"formattedCitation":"[37]","plainCitation":"[37]","noteIndex":0},"citationItems":[{"id":10408,"uris":["http://zotero.org/users/11168138/items/65IQEQTA"],"itemData":{"id":10408,"type":"article-journal","container-title":"The American Journal of Emergency Medicine","DOI":"https://doi.org/10.1016/j.ajem.2020.09.007","ISSN":"0735-6757","issue":"11","page":"2391-2394","title":"Evaluation of low-intensity initiatives to improve linkage to care for emergency department patients with opioid use disorder","volume":"38","author":[{"family":"Shaw","given":"Isaac"},{"family":"Faryar","given":"Kiran A"},{"family":"Ryan","given":"Richard J"},{"family":"Ancona","given":"Rachel M"},{"family":"Fernandez","given":"Francisco J"},{"family":"Lyons","given":"Michael S"}],"issued":{"date-parts":[["2020"]]}}}],"schema":"https://github.com/citation-style-language/schema/raw/master/csl-citation.json"}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[37]</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7D40C01D" w14:textId="1FB0FB8A"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 </w:t>
            </w:r>
            <w:r w:rsidR="004866F6" w:rsidRPr="00E73159">
              <w:rPr>
                <w:rFonts w:cstheme="minorHAnsi"/>
                <w:color w:val="000000" w:themeColor="text1"/>
                <w:sz w:val="18"/>
                <w:szCs w:val="18"/>
                <w:shd w:val="clear" w:color="auto" w:fill="FFFFFF"/>
              </w:rPr>
              <w:t>Unspecified linkage</w:t>
            </w:r>
            <w:r w:rsidRPr="00E73159">
              <w:rPr>
                <w:rFonts w:cstheme="minorHAnsi"/>
                <w:color w:val="000000" w:themeColor="text1"/>
                <w:sz w:val="18"/>
                <w:szCs w:val="18"/>
                <w:shd w:val="clear" w:color="auto" w:fill="FFFFFF"/>
              </w:rPr>
              <w:t xml:space="preserve"> to </w:t>
            </w:r>
            <w:proofErr w:type="spellStart"/>
            <w:r w:rsidRPr="00E73159">
              <w:rPr>
                <w:rFonts w:cstheme="minorHAnsi"/>
                <w:color w:val="000000" w:themeColor="text1"/>
                <w:sz w:val="18"/>
                <w:szCs w:val="18"/>
                <w:shd w:val="clear" w:color="auto" w:fill="FFFFFF"/>
              </w:rPr>
              <w:t>treatment;Pre-discharge</w:t>
            </w:r>
            <w:proofErr w:type="spellEnd"/>
            <w:r w:rsidRPr="00E73159">
              <w:rPr>
                <w:rFonts w:cstheme="minorHAnsi"/>
                <w:color w:val="000000" w:themeColor="text1"/>
                <w:sz w:val="18"/>
                <w:szCs w:val="18"/>
                <w:shd w:val="clear" w:color="auto" w:fill="FFFFFF"/>
              </w:rPr>
              <w:t xml:space="preserve"> provider list Pre-discharge electronic referral; Post-discharge follow up calls </w:t>
            </w:r>
          </w:p>
        </w:tc>
        <w:tc>
          <w:tcPr>
            <w:tcW w:w="1170" w:type="dxa"/>
            <w:tcMar>
              <w:top w:w="30" w:type="dxa"/>
              <w:left w:w="45" w:type="dxa"/>
              <w:bottom w:w="30" w:type="dxa"/>
              <w:right w:w="45" w:type="dxa"/>
            </w:tcMar>
            <w:vAlign w:val="bottom"/>
            <w:hideMark/>
          </w:tcPr>
          <w:p w14:paraId="381706C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666AFB7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313D1C6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1076988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30C5F3A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3520C5C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Not specified</w:t>
            </w:r>
          </w:p>
        </w:tc>
        <w:tc>
          <w:tcPr>
            <w:tcW w:w="1530" w:type="dxa"/>
            <w:tcMar>
              <w:top w:w="30" w:type="dxa"/>
              <w:left w:w="45" w:type="dxa"/>
              <w:bottom w:w="30" w:type="dxa"/>
              <w:right w:w="45" w:type="dxa"/>
            </w:tcMar>
            <w:vAlign w:val="bottom"/>
            <w:hideMark/>
          </w:tcPr>
          <w:p w14:paraId="4551208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Medical doctor; Staff at the treatment clinic</w:t>
            </w:r>
          </w:p>
        </w:tc>
        <w:tc>
          <w:tcPr>
            <w:tcW w:w="1350" w:type="dxa"/>
            <w:tcMar>
              <w:top w:w="30" w:type="dxa"/>
              <w:left w:w="45" w:type="dxa"/>
              <w:bottom w:w="30" w:type="dxa"/>
              <w:right w:w="45" w:type="dxa"/>
            </w:tcMar>
            <w:vAlign w:val="bottom"/>
            <w:hideMark/>
          </w:tcPr>
          <w:p w14:paraId="545A2A8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221E08B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w:t>
            </w:r>
          </w:p>
        </w:tc>
      </w:tr>
      <w:tr w:rsidR="00E73159" w:rsidRPr="00E73159" w14:paraId="48136CF0" w14:textId="77777777" w:rsidTr="00A01ED0">
        <w:trPr>
          <w:trHeight w:val="315"/>
        </w:trPr>
        <w:tc>
          <w:tcPr>
            <w:tcW w:w="1212" w:type="dxa"/>
            <w:tcMar>
              <w:top w:w="30" w:type="dxa"/>
              <w:left w:w="45" w:type="dxa"/>
              <w:bottom w:w="30" w:type="dxa"/>
              <w:right w:w="45" w:type="dxa"/>
            </w:tcMar>
            <w:vAlign w:val="bottom"/>
            <w:hideMark/>
          </w:tcPr>
          <w:p w14:paraId="7988325B" w14:textId="36B1F20A"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Smith, 2021</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{"citationID":"NuBSSlS5","properties":{"formattedCitation":"[38]","plainCitation":"[38]","noteIndex":0},"citationItems":[{"id":10395,"uris":["http://zotero.org/users/11168138/items/78DS74LJ"],"itemData":{"id":10395,"type":"article-journal","container-title":"Journal of Substance Abuse Treatment","DOI":"10.1016/j.jsat.2021.108440","ISSN":"0740-5472","note":"publisher: Elsevier","title":"Impact of a pharmacist-led substance use disorder transitions of care clinic on postdischarge medication treatment retention","URL":"https://doi.org/10.1016/j.jsat.2021.108440","volume":"130","author":[{"family":"Smith","given":"Austin"},{"family":"Hansen","given":"Jamie"},{"family":"Colvard","given":"Michelle"}],"issued":{"date-parts":[["2021",11,1]]}}}],"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[38]</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7900BAAD" w14:textId="056281F6" w:rsidR="000C3472" w:rsidRPr="00E73159" w:rsidRDefault="000C3472" w:rsidP="00554F8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 xml:space="preserve">Post discharge </w:t>
            </w:r>
            <w:r w:rsidR="00554F80" w:rsidRPr="00E73159">
              <w:rPr>
                <w:rFonts w:cstheme="minorHAnsi"/>
                <w:color w:val="000000" w:themeColor="text1"/>
                <w:sz w:val="18"/>
                <w:szCs w:val="18"/>
                <w:shd w:val="clear" w:color="auto" w:fill="FFFFFF"/>
              </w:rPr>
              <w:t>follow up calls</w:t>
            </w:r>
          </w:p>
        </w:tc>
        <w:tc>
          <w:tcPr>
            <w:tcW w:w="1170" w:type="dxa"/>
            <w:tcMar>
              <w:top w:w="30" w:type="dxa"/>
              <w:left w:w="45" w:type="dxa"/>
              <w:bottom w:w="30" w:type="dxa"/>
              <w:right w:w="45" w:type="dxa"/>
            </w:tcMar>
            <w:vAlign w:val="bottom"/>
            <w:hideMark/>
          </w:tcPr>
          <w:p w14:paraId="2C06752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0EC9788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 AUD</w:t>
            </w:r>
          </w:p>
        </w:tc>
        <w:tc>
          <w:tcPr>
            <w:tcW w:w="1080" w:type="dxa"/>
            <w:tcMar>
              <w:top w:w="30" w:type="dxa"/>
              <w:left w:w="45" w:type="dxa"/>
              <w:bottom w:w="30" w:type="dxa"/>
              <w:right w:w="45" w:type="dxa"/>
            </w:tcMar>
            <w:vAlign w:val="bottom"/>
            <w:hideMark/>
          </w:tcPr>
          <w:p w14:paraId="62222D6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5433EDF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 Naltrexone</w:t>
            </w:r>
          </w:p>
        </w:tc>
        <w:tc>
          <w:tcPr>
            <w:tcW w:w="1620" w:type="dxa"/>
            <w:tcMar>
              <w:top w:w="30" w:type="dxa"/>
              <w:left w:w="45" w:type="dxa"/>
              <w:bottom w:w="30" w:type="dxa"/>
              <w:right w:w="45" w:type="dxa"/>
            </w:tcMar>
            <w:vAlign w:val="bottom"/>
            <w:hideMark/>
          </w:tcPr>
          <w:p w14:paraId="673D86C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Multidisciplinary addiction care team; Medical doctor; Pharmacist</w:t>
            </w:r>
          </w:p>
        </w:tc>
        <w:tc>
          <w:tcPr>
            <w:tcW w:w="1800" w:type="dxa"/>
            <w:tcMar>
              <w:top w:w="30" w:type="dxa"/>
              <w:left w:w="45" w:type="dxa"/>
              <w:bottom w:w="30" w:type="dxa"/>
              <w:right w:w="45" w:type="dxa"/>
            </w:tcMar>
            <w:vAlign w:val="bottom"/>
            <w:hideMark/>
          </w:tcPr>
          <w:p w14:paraId="3E6977C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6F242F0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Pharmacist</w:t>
            </w:r>
          </w:p>
        </w:tc>
        <w:tc>
          <w:tcPr>
            <w:tcW w:w="1350" w:type="dxa"/>
            <w:tcMar>
              <w:top w:w="30" w:type="dxa"/>
              <w:left w:w="45" w:type="dxa"/>
              <w:bottom w:w="30" w:type="dxa"/>
              <w:right w:w="45" w:type="dxa"/>
            </w:tcMar>
            <w:vAlign w:val="bottom"/>
            <w:hideMark/>
          </w:tcPr>
          <w:p w14:paraId="5A2D32C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1301D34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Treatment with MOUD;  Bridge/short-term clinic</w:t>
            </w:r>
          </w:p>
        </w:tc>
      </w:tr>
      <w:tr w:rsidR="00E73159" w:rsidRPr="00E73159" w14:paraId="22ED39DC" w14:textId="77777777" w:rsidTr="00A01ED0">
        <w:trPr>
          <w:trHeight w:val="315"/>
        </w:trPr>
        <w:tc>
          <w:tcPr>
            <w:tcW w:w="1212" w:type="dxa"/>
            <w:tcMar>
              <w:top w:w="30" w:type="dxa"/>
              <w:left w:w="45" w:type="dxa"/>
              <w:bottom w:w="30" w:type="dxa"/>
              <w:right w:w="45" w:type="dxa"/>
            </w:tcMar>
            <w:vAlign w:val="bottom"/>
            <w:hideMark/>
          </w:tcPr>
          <w:p w14:paraId="2C470FBA" w14:textId="27D49F9B"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Sorensen, 2005</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{"citationID":"v4J3wfOE","properties":{"formattedCitation":"[39]","plainCitation":"[39]","noteIndex":0},"citationItems":[{"id":10424,"uris":["http://zotero.org/users/11168138/items/QLUU9IHY"],"itemData":{"id":10424,"type":"article-journal","container-title":"Journal of Consulting and Clinical Psychology","issue":"6","page":"1026-1035","title":"Randomized Trial of Drug Abuse Treatment-Linkage Strategies","volume":"73","author":[{"family":"Sorensen","given":"J. L."},{"family":"Masson","given":"C. L."},{"family":"Delucchi","given":"K."},{"family":"Sporer","given":"K."},{"family":"Barnett","given":"P. G."},{"family":"Mitsuishi","given":"F."},{"family":"Lin","given":"C."},{"family":"Song","given":"Y."},{"family":"Chen","given":"T."},{"family":"Hall","given":"S. M"}],"issued":{"date-parts":[["2005"]]}}}],"schema":"https://github.com/citation-style-language/schema/raw/master/csl-citation.json"}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[39]</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3D33128F"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Post-discharge care navigation</w:t>
            </w:r>
          </w:p>
        </w:tc>
        <w:tc>
          <w:tcPr>
            <w:tcW w:w="1170" w:type="dxa"/>
            <w:tcMar>
              <w:top w:w="30" w:type="dxa"/>
              <w:left w:w="45" w:type="dxa"/>
              <w:bottom w:w="30" w:type="dxa"/>
              <w:right w:w="45" w:type="dxa"/>
            </w:tcMar>
            <w:vAlign w:val="bottom"/>
            <w:hideMark/>
          </w:tcPr>
          <w:p w14:paraId="6B5BD66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 Inpatient hospital</w:t>
            </w:r>
          </w:p>
        </w:tc>
        <w:tc>
          <w:tcPr>
            <w:tcW w:w="1170" w:type="dxa"/>
            <w:tcMar>
              <w:top w:w="30" w:type="dxa"/>
              <w:left w:w="45" w:type="dxa"/>
              <w:bottom w:w="30" w:type="dxa"/>
              <w:right w:w="45" w:type="dxa"/>
            </w:tcMar>
            <w:vAlign w:val="bottom"/>
            <w:hideMark/>
          </w:tcPr>
          <w:p w14:paraId="3D3E3C0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17920BB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58D7911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Methadone</w:t>
            </w:r>
          </w:p>
        </w:tc>
        <w:tc>
          <w:tcPr>
            <w:tcW w:w="1620" w:type="dxa"/>
            <w:tcMar>
              <w:top w:w="30" w:type="dxa"/>
              <w:left w:w="45" w:type="dxa"/>
              <w:bottom w:w="30" w:type="dxa"/>
              <w:right w:w="45" w:type="dxa"/>
            </w:tcMar>
            <w:vAlign w:val="bottom"/>
            <w:hideMark/>
          </w:tcPr>
          <w:p w14:paraId="60E7037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Multidisciplinary addiction care team;  Research assistant</w:t>
            </w:r>
          </w:p>
        </w:tc>
        <w:tc>
          <w:tcPr>
            <w:tcW w:w="1800" w:type="dxa"/>
            <w:tcMar>
              <w:top w:w="30" w:type="dxa"/>
              <w:left w:w="45" w:type="dxa"/>
              <w:bottom w:w="30" w:type="dxa"/>
              <w:right w:w="45" w:type="dxa"/>
            </w:tcMar>
            <w:vAlign w:val="bottom"/>
            <w:hideMark/>
          </w:tcPr>
          <w:p w14:paraId="197DB93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07372E8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Addiction counselor</w:t>
            </w:r>
          </w:p>
        </w:tc>
        <w:tc>
          <w:tcPr>
            <w:tcW w:w="1350" w:type="dxa"/>
            <w:tcMar>
              <w:top w:w="30" w:type="dxa"/>
              <w:left w:w="45" w:type="dxa"/>
              <w:bottom w:w="30" w:type="dxa"/>
              <w:right w:w="45" w:type="dxa"/>
            </w:tcMar>
            <w:vAlign w:val="bottom"/>
            <w:hideMark/>
          </w:tcPr>
          <w:p w14:paraId="6B019A3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3785CBE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Treatment with MOUD; Detox program; </w:t>
            </w:r>
            <w:r w:rsidRPr="00E73159">
              <w:rPr>
                <w:rFonts w:eastAsia="Times New Roman" w:cstheme="minorHAnsi"/>
                <w:color w:val="000000" w:themeColor="text1"/>
                <w:sz w:val="18"/>
                <w:szCs w:val="18"/>
                <w:lang w:val="en-US"/>
              </w:rPr>
              <w:t>Other medical and mental health services;</w:t>
            </w:r>
            <w:r w:rsidRPr="00E73159">
              <w:rPr>
                <w:rFonts w:ascii="Calibri" w:eastAsia="Times New Roman" w:hAnsi="Calibri" w:cs="Calibri"/>
                <w:color w:val="000000" w:themeColor="text1"/>
                <w:sz w:val="18"/>
                <w:szCs w:val="18"/>
                <w:lang w:val="en-US"/>
              </w:rPr>
              <w:t xml:space="preserve"> </w:t>
            </w:r>
            <w:r w:rsidRPr="00E73159">
              <w:rPr>
                <w:rFonts w:eastAsia="Times New Roman" w:cstheme="minorHAnsi"/>
                <w:color w:val="000000" w:themeColor="text1"/>
                <w:sz w:val="18"/>
                <w:szCs w:val="18"/>
                <w:lang w:val="en-US"/>
              </w:rPr>
              <w:t>Other community resources</w:t>
            </w:r>
          </w:p>
        </w:tc>
      </w:tr>
      <w:tr w:rsidR="00E73159" w:rsidRPr="00E73159" w14:paraId="54313749" w14:textId="77777777" w:rsidTr="00A01ED0">
        <w:trPr>
          <w:trHeight w:val="315"/>
        </w:trPr>
        <w:tc>
          <w:tcPr>
            <w:tcW w:w="1212" w:type="dxa"/>
            <w:tcMar>
              <w:top w:w="30" w:type="dxa"/>
              <w:left w:w="45" w:type="dxa"/>
              <w:bottom w:w="30" w:type="dxa"/>
              <w:right w:w="45" w:type="dxa"/>
            </w:tcMar>
            <w:vAlign w:val="bottom"/>
            <w:hideMark/>
          </w:tcPr>
          <w:p w14:paraId="01D182F2" w14:textId="1EABD4F0"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Sullivan, 2021</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{"citationID":"VCAG5H7c","properties":{"formattedCitation":"[40]","plainCitation":"[40]","noteIndex":0},"citationItems":[{"id":10409,"uris":["http://zotero.org/users/11168138/items/NURH3FU8"],"itemData":{"id":10409,"type":"article-journal","abstract":"Introduction\nOpioid withdrawal due to opioid use disorder (OUD) is an increasing health emergency and complaint in emergency departments (EDs) across the United States. As a response to the increased need for OUD treatment, a low threshold buprenorphine program, or Bridge Clinic, was established within our hospital system. Patients are primarily connected to the Bridge Clinic through the ED, and are able to complete their consultation appointment reliably within 1–3 days of referral. This program also serves to connect patients to community resources for continued treatment of OUD.\nMethods\nA retrospective chart review was performed to identify ED-based referrals to the Bridge Clinic in the period from January 1, 2017 – December 31, 2018. Outcomes of interest included: (1) ED utilization in the six months before and after consultation at the Bridge Clinic and (2) adherence to buprenorphine therapy at 2-year follow-up.\nResults\nA total of 269 patients were included in the study, with 167 males (62%) and a mean age of 37.8 years. There were 654 total visits to the ED six months before referral to the Bridge Clinic and 381 visits in the six-month period after the initial appointment. There was a high adherence to buprenorphine treatment at 2 year follow up (56%).\nConclusions\nThese early results suggest that prompt referral to a buprenorphine treatment program significantly reduces ED utilization and connects patients to community resources for continued buprenorphine treatment for OUD.","container-title":"Journal of Substance Abuse Treatment","DOI":"https://doi.org/10.1016/j.jsat.2021.108410","ISSN":"0740-5472","page":"108410","title":"Bridge clinic buprenorphine program decreases emergency department visits","volume":"130","author":[{"family":"Sullivan","given":"Ross W"},{"family":"Szczesniak","given":"Laura M"},{"family":"Wojcik","given":"Susan M"}],"issued":{"date-parts":[["2021"]]}}}],"schema":"https://github.com/citation-style-language/schema/raw/master/csl-citation.json"}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[40]</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5D991F1B"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discuss treatment options; Pre-discharge schedule appointment</w:t>
            </w:r>
          </w:p>
        </w:tc>
        <w:tc>
          <w:tcPr>
            <w:tcW w:w="1170" w:type="dxa"/>
            <w:tcMar>
              <w:top w:w="30" w:type="dxa"/>
              <w:left w:w="45" w:type="dxa"/>
              <w:bottom w:w="30" w:type="dxa"/>
              <w:right w:w="45" w:type="dxa"/>
            </w:tcMar>
            <w:vAlign w:val="bottom"/>
            <w:hideMark/>
          </w:tcPr>
          <w:p w14:paraId="564B3A8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1F12521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1CE3596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58E893B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Buprenorphine</w:t>
            </w:r>
          </w:p>
        </w:tc>
        <w:tc>
          <w:tcPr>
            <w:tcW w:w="1620" w:type="dxa"/>
            <w:tcMar>
              <w:top w:w="30" w:type="dxa"/>
              <w:left w:w="45" w:type="dxa"/>
              <w:bottom w:w="30" w:type="dxa"/>
              <w:right w:w="45" w:type="dxa"/>
            </w:tcMar>
            <w:vAlign w:val="bottom"/>
            <w:hideMark/>
          </w:tcPr>
          <w:p w14:paraId="6D7887A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 specified</w:t>
            </w:r>
          </w:p>
        </w:tc>
        <w:tc>
          <w:tcPr>
            <w:tcW w:w="1800" w:type="dxa"/>
            <w:tcMar>
              <w:top w:w="30" w:type="dxa"/>
              <w:left w:w="45" w:type="dxa"/>
              <w:bottom w:w="30" w:type="dxa"/>
              <w:right w:w="45" w:type="dxa"/>
            </w:tcMar>
            <w:vAlign w:val="bottom"/>
            <w:hideMark/>
          </w:tcPr>
          <w:p w14:paraId="43F93B9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4B7081A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Peer; Medical doctor</w:t>
            </w:r>
          </w:p>
        </w:tc>
        <w:tc>
          <w:tcPr>
            <w:tcW w:w="1350" w:type="dxa"/>
            <w:tcMar>
              <w:top w:w="30" w:type="dxa"/>
              <w:left w:w="45" w:type="dxa"/>
              <w:bottom w:w="30" w:type="dxa"/>
              <w:right w:w="45" w:type="dxa"/>
            </w:tcMar>
            <w:vAlign w:val="bottom"/>
            <w:hideMark/>
          </w:tcPr>
          <w:p w14:paraId="362A9D1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1BD84DE6" w14:textId="77777777" w:rsidR="000C3472" w:rsidRPr="00E73159" w:rsidRDefault="000C3472" w:rsidP="00A01ED0">
            <w:pPr>
              <w:spacing w:after="0" w:line="240" w:lineRule="auto"/>
              <w:rPr>
                <w:rFonts w:ascii="Calibri" w:hAnsi="Calibri"/>
                <w:color w:val="000000" w:themeColor="text1"/>
                <w:sz w:val="18"/>
                <w:lang w:val="en-US"/>
              </w:rPr>
            </w:pPr>
            <w:r w:rsidRPr="00E73159">
              <w:rPr>
                <w:rFonts w:ascii="Calibri" w:hAnsi="Calibri"/>
                <w:color w:val="000000" w:themeColor="text1"/>
                <w:sz w:val="18"/>
                <w:lang w:val="en-US"/>
              </w:rPr>
              <w:t>Bridge</w:t>
            </w:r>
            <w:r w:rsidRPr="00E73159">
              <w:rPr>
                <w:rFonts w:ascii="Calibri" w:eastAsia="Times New Roman" w:hAnsi="Calibri" w:cs="Calibri"/>
                <w:color w:val="000000" w:themeColor="text1"/>
                <w:sz w:val="18"/>
                <w:szCs w:val="18"/>
                <w:lang w:val="en-US"/>
              </w:rPr>
              <w:t>/short-term</w:t>
            </w:r>
            <w:r w:rsidRPr="00E73159">
              <w:rPr>
                <w:rFonts w:ascii="Calibri" w:hAnsi="Calibri"/>
                <w:color w:val="000000" w:themeColor="text1"/>
                <w:sz w:val="18"/>
                <w:lang w:val="en-US"/>
              </w:rPr>
              <w:t xml:space="preserve"> clinic</w:t>
            </w:r>
          </w:p>
        </w:tc>
      </w:tr>
      <w:tr w:rsidR="00E73159" w:rsidRPr="00E73159" w14:paraId="68A022AF" w14:textId="77777777" w:rsidTr="00A01ED0">
        <w:trPr>
          <w:trHeight w:val="315"/>
        </w:trPr>
        <w:tc>
          <w:tcPr>
            <w:tcW w:w="1212" w:type="dxa"/>
            <w:tcMar>
              <w:top w:w="30" w:type="dxa"/>
              <w:left w:w="45" w:type="dxa"/>
              <w:bottom w:w="30" w:type="dxa"/>
              <w:right w:w="45" w:type="dxa"/>
            </w:tcMar>
            <w:vAlign w:val="bottom"/>
            <w:hideMark/>
          </w:tcPr>
          <w:p w14:paraId="7F22D756" w14:textId="04D33B66"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Trowbridge, 2017</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{"citationID":"dWqp5Bpi","properties":{"formattedCitation":"[41]","plainCitation":"[41]","noteIndex":0},"citationItems":[{"id":10381,"uris":["http://zotero.org/users/11168138/items/SJE6C5R4"],"itemData":{"id":10381,"type":"article-journal","container-title":"Journal of Substance Abuse Treatment","DOI":"10.1016/j.jsat.2017.05.007","ISSN":"0740-5472","note":"publisher: Elsevier","page":"1-5","title":"Addiction consultation services &amp;#x2013; Linking hospitalized patients to outpatient addiction treatment","volume":"79","author":[{"family":"Trowbridge","given":"Paul"},{"family":"Weinstein","given":"Zoe M"},{"family":"Kerensky","given":"Todd"},{"family":"Roy","given":"Payel"},{"family":"Regan","given":"Danny"},{"family":"Samet","given":"Jeffrey H"},{"family":"Walley","given":"Alexander Y"}],"issued":{"date-parts":[["2017",8,1]]}}}],"schema":"https://github.com/citation-style-language/schema/raw/master/csl-citation.json"}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[41]</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76AC0D0D"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 Pre-discharge discuss treatment options</w:t>
            </w:r>
          </w:p>
        </w:tc>
        <w:tc>
          <w:tcPr>
            <w:tcW w:w="1170" w:type="dxa"/>
            <w:tcMar>
              <w:top w:w="30" w:type="dxa"/>
              <w:left w:w="45" w:type="dxa"/>
              <w:bottom w:w="30" w:type="dxa"/>
              <w:right w:w="45" w:type="dxa"/>
            </w:tcMar>
            <w:vAlign w:val="bottom"/>
            <w:hideMark/>
          </w:tcPr>
          <w:p w14:paraId="417DB40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0E6FE6E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75F90F0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6EC1FF04"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Methadone; Buprenorphine; Naltrexone</w:t>
            </w:r>
          </w:p>
        </w:tc>
        <w:tc>
          <w:tcPr>
            <w:tcW w:w="1620" w:type="dxa"/>
            <w:tcMar>
              <w:top w:w="30" w:type="dxa"/>
              <w:left w:w="45" w:type="dxa"/>
              <w:bottom w:w="30" w:type="dxa"/>
              <w:right w:w="45" w:type="dxa"/>
            </w:tcMar>
            <w:vAlign w:val="bottom"/>
            <w:hideMark/>
          </w:tcPr>
          <w:p w14:paraId="2361325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Multidisciplinary addiction care team; Medical doctor; Nurse practitioner</w:t>
            </w:r>
          </w:p>
        </w:tc>
        <w:tc>
          <w:tcPr>
            <w:tcW w:w="1800" w:type="dxa"/>
            <w:tcMar>
              <w:top w:w="30" w:type="dxa"/>
              <w:left w:w="45" w:type="dxa"/>
              <w:bottom w:w="30" w:type="dxa"/>
              <w:right w:w="45" w:type="dxa"/>
            </w:tcMar>
            <w:vAlign w:val="bottom"/>
            <w:hideMark/>
          </w:tcPr>
          <w:p w14:paraId="62D41CA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7E5AFFB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Multidisciplinary addiction care team; Medical doctor; Nurse practitioner</w:t>
            </w:r>
          </w:p>
        </w:tc>
        <w:tc>
          <w:tcPr>
            <w:tcW w:w="1350" w:type="dxa"/>
            <w:tcMar>
              <w:top w:w="30" w:type="dxa"/>
              <w:left w:w="45" w:type="dxa"/>
              <w:bottom w:w="30" w:type="dxa"/>
              <w:right w:w="45" w:type="dxa"/>
            </w:tcMar>
            <w:vAlign w:val="bottom"/>
            <w:hideMark/>
          </w:tcPr>
          <w:p w14:paraId="0411D8C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3BB6A33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Treatment with MOUD; Bridge/short-term clinic</w:t>
            </w:r>
          </w:p>
        </w:tc>
      </w:tr>
      <w:tr w:rsidR="00E73159" w:rsidRPr="00E73159" w14:paraId="601C9DC0" w14:textId="77777777" w:rsidTr="00A01ED0">
        <w:trPr>
          <w:trHeight w:val="315"/>
        </w:trPr>
        <w:tc>
          <w:tcPr>
            <w:tcW w:w="1212" w:type="dxa"/>
            <w:tcMar>
              <w:top w:w="30" w:type="dxa"/>
              <w:left w:w="45" w:type="dxa"/>
              <w:bottom w:w="30" w:type="dxa"/>
              <w:right w:w="45" w:type="dxa"/>
            </w:tcMar>
            <w:vAlign w:val="bottom"/>
            <w:hideMark/>
          </w:tcPr>
          <w:p w14:paraId="625F8C22" w14:textId="6FA74E54"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Wakeman</w:t>
            </w:r>
            <w:proofErr w:type="spellEnd"/>
            <w:r w:rsidRPr="00E73159">
              <w:rPr>
                <w:rFonts w:ascii="Calibri" w:eastAsia="Times New Roman" w:hAnsi="Calibri" w:cs="Calibri"/>
                <w:color w:val="000000" w:themeColor="text1"/>
                <w:sz w:val="18"/>
                <w:szCs w:val="18"/>
                <w:lang w:val="en-US"/>
              </w:rPr>
              <w:t>, 2020a</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{"citationID":"BCdAlgIa","properties":{"formattedCitation":"[42]","plainCitation":"[42]","noteIndex":0},"citationItems":[{"id":10422,"uris":["http://zotero.org/users/11168138/items/ULNKWQTD"],"itemData":{"id":10422,"type":"article-journal","container-title":"Substance Abuse","DOI":"10.1080/08897077.2020.1846664","ISSN":"0889-7077","issue":"4","note":"publisher: Taylor &amp; Francis","page":"767-774","title":"A hospital-wide initiative to redesign substance use disorder care: Impact on pharmacotherapy initiation","volume":"42","author":[{"family":"Wakeman","given":"Sarah E"},{"family":"Kane","given":"Martha"},{"family":"Powell","given":"Elizabeth"},{"family":"Howard","given":"Sydney"},{"family":"Shaw","given":"Christopher"},{"family":"Kehoe","given":"Laura"},{"family":"Rosen","given":"Joy"},{"family":"Quinlan","given":"Joan"},{"family":"Regan","given":"Susan"}],"issued":{"date-parts":[["2021",10,2]]}}}],"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[42]</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068FD829"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discuss treatment options; Pre-discharge schedule appointment; Post discharge bridge prescription</w:t>
            </w:r>
          </w:p>
        </w:tc>
        <w:tc>
          <w:tcPr>
            <w:tcW w:w="1170" w:type="dxa"/>
            <w:tcMar>
              <w:top w:w="30" w:type="dxa"/>
              <w:left w:w="45" w:type="dxa"/>
              <w:bottom w:w="30" w:type="dxa"/>
              <w:right w:w="45" w:type="dxa"/>
            </w:tcMar>
            <w:vAlign w:val="bottom"/>
            <w:hideMark/>
          </w:tcPr>
          <w:p w14:paraId="57644E4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3E1BA1C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 AUD; Methamphetamine &amp; other stimulant UD; Cocaine UD</w:t>
            </w:r>
          </w:p>
        </w:tc>
        <w:tc>
          <w:tcPr>
            <w:tcW w:w="1080" w:type="dxa"/>
            <w:tcMar>
              <w:top w:w="30" w:type="dxa"/>
              <w:left w:w="45" w:type="dxa"/>
              <w:bottom w:w="30" w:type="dxa"/>
              <w:right w:w="45" w:type="dxa"/>
            </w:tcMar>
            <w:vAlign w:val="bottom"/>
            <w:hideMark/>
          </w:tcPr>
          <w:p w14:paraId="451B358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3FE13FC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Methadone; Buprenorphine; Naltrexone</w:t>
            </w:r>
          </w:p>
        </w:tc>
        <w:tc>
          <w:tcPr>
            <w:tcW w:w="1620" w:type="dxa"/>
            <w:tcMar>
              <w:top w:w="30" w:type="dxa"/>
              <w:left w:w="45" w:type="dxa"/>
              <w:bottom w:w="30" w:type="dxa"/>
              <w:right w:w="45" w:type="dxa"/>
            </w:tcMar>
            <w:vAlign w:val="bottom"/>
            <w:hideMark/>
          </w:tcPr>
          <w:p w14:paraId="3F5896E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Multidisciplinary addiction care team; Peers; Medical doctor; Nurse practitioner</w:t>
            </w:r>
          </w:p>
        </w:tc>
        <w:tc>
          <w:tcPr>
            <w:tcW w:w="1800" w:type="dxa"/>
            <w:tcMar>
              <w:top w:w="30" w:type="dxa"/>
              <w:left w:w="45" w:type="dxa"/>
              <w:bottom w:w="30" w:type="dxa"/>
              <w:right w:w="45" w:type="dxa"/>
            </w:tcMar>
            <w:vAlign w:val="bottom"/>
            <w:hideMark/>
          </w:tcPr>
          <w:p w14:paraId="44A2CF9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35020D33"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Nurse; Social worker/case manager; Peer; Medical doctor; Resource Specialist</w:t>
            </w:r>
          </w:p>
        </w:tc>
        <w:tc>
          <w:tcPr>
            <w:tcW w:w="1350" w:type="dxa"/>
            <w:tcMar>
              <w:top w:w="30" w:type="dxa"/>
              <w:left w:w="45" w:type="dxa"/>
              <w:bottom w:w="30" w:type="dxa"/>
              <w:right w:w="45" w:type="dxa"/>
            </w:tcMar>
            <w:vAlign w:val="bottom"/>
            <w:hideMark/>
          </w:tcPr>
          <w:p w14:paraId="2AC12C5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Employed by external organization</w:t>
            </w:r>
          </w:p>
        </w:tc>
        <w:tc>
          <w:tcPr>
            <w:tcW w:w="1890" w:type="dxa"/>
            <w:tcMar>
              <w:top w:w="30" w:type="dxa"/>
              <w:left w:w="45" w:type="dxa"/>
              <w:bottom w:w="30" w:type="dxa"/>
              <w:right w:w="45" w:type="dxa"/>
            </w:tcMar>
            <w:vAlign w:val="bottom"/>
            <w:hideMark/>
          </w:tcPr>
          <w:p w14:paraId="4FCF55D5"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 Treatment with MOUD;  Bridge/short-term clinic; Residential/inpatient treatment providers; ; Primary care providers</w:t>
            </w:r>
          </w:p>
        </w:tc>
      </w:tr>
      <w:tr w:rsidR="00E73159" w:rsidRPr="00E73159" w14:paraId="0EF1DE10" w14:textId="77777777" w:rsidTr="00A01ED0">
        <w:trPr>
          <w:trHeight w:val="315"/>
        </w:trPr>
        <w:tc>
          <w:tcPr>
            <w:tcW w:w="1212" w:type="dxa"/>
            <w:tcMar>
              <w:top w:w="30" w:type="dxa"/>
              <w:left w:w="45" w:type="dxa"/>
              <w:bottom w:w="30" w:type="dxa"/>
              <w:right w:w="45" w:type="dxa"/>
            </w:tcMar>
            <w:vAlign w:val="bottom"/>
            <w:hideMark/>
          </w:tcPr>
          <w:p w14:paraId="44DCB2A1" w14:textId="3D32D55A" w:rsidR="000C3472" w:rsidRPr="00E73159" w:rsidRDefault="000C3472" w:rsidP="00A01ED0">
            <w:pPr>
              <w:spacing w:after="0" w:line="240" w:lineRule="auto"/>
              <w:rPr>
                <w:rFonts w:ascii="Calibri" w:eastAsia="Times New Roman" w:hAnsi="Calibri" w:cs="Calibri"/>
                <w:color w:val="000000" w:themeColor="text1"/>
                <w:sz w:val="18"/>
                <w:szCs w:val="18"/>
                <w:lang w:val="en-US"/>
              </w:rPr>
            </w:pPr>
            <w:proofErr w:type="spellStart"/>
            <w:r w:rsidRPr="00E73159">
              <w:rPr>
                <w:rFonts w:ascii="Calibri" w:eastAsia="Times New Roman" w:hAnsi="Calibri" w:cs="Calibri"/>
                <w:color w:val="000000" w:themeColor="text1"/>
                <w:sz w:val="18"/>
                <w:szCs w:val="18"/>
                <w:lang w:val="en-US"/>
              </w:rPr>
              <w:t>Wakeman</w:t>
            </w:r>
            <w:proofErr w:type="spellEnd"/>
            <w:r w:rsidRPr="00E73159">
              <w:rPr>
                <w:rFonts w:ascii="Calibri" w:eastAsia="Times New Roman" w:hAnsi="Calibri" w:cs="Calibri"/>
                <w:color w:val="000000" w:themeColor="text1"/>
                <w:sz w:val="18"/>
                <w:szCs w:val="18"/>
                <w:lang w:val="en-US"/>
              </w:rPr>
              <w:t>, 2020b</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{"citationID":"uJxVw7Kz","properties":{"formattedCitation":"[43]","plainCitation":"[43]","noteIndex":0},"citationItems":[{"id":10420,"uris":["http://zotero.org/users/11168138/items/PUXDR4ZB"],"itemData":{"id":10420,"type":"article-journal","container-title":"Substance Abuse","DOI":"10.1080/08897077.2020.1809608","ISSN":"0889-7077","issue":"4","note":"publisher: Taylor &amp; Francis","page":"646-653","title":"The effectiveness of post-discharge navigation added to an inpatient addiction consultation for patients with substance use disorder; a randomized controlled trial","volume":"42","author":[{"family":"Wakeman","given":"Sarah E"},{"family":"Rigotti","given":"Nancy A"},{"family":"Herman","given":"Grace E"},{"family":"Regan","given":"Susan"},{"family":"Chang","given":"Yuchiao"},{"family":"Snow","given":"Rachel"},{"family":"Isenberg","given":"Benjamin"},{"family":"Metlay","given":"Joshua P"}],"issued":{"date-parts":[["2021",10,2]]}}}],"schema":"https://github.com/citation-style-language/schema/raw/master/csl-citation.json"}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[43]</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61BDA932"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 Post-discharge care navigation; Post-discharge follow up calls;</w:t>
            </w:r>
          </w:p>
        </w:tc>
        <w:tc>
          <w:tcPr>
            <w:tcW w:w="1170" w:type="dxa"/>
            <w:tcMar>
              <w:top w:w="30" w:type="dxa"/>
              <w:left w:w="45" w:type="dxa"/>
              <w:bottom w:w="30" w:type="dxa"/>
              <w:right w:w="45" w:type="dxa"/>
            </w:tcMar>
            <w:vAlign w:val="bottom"/>
            <w:hideMark/>
          </w:tcPr>
          <w:p w14:paraId="4410D3C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Inpatient hospital</w:t>
            </w:r>
          </w:p>
        </w:tc>
        <w:tc>
          <w:tcPr>
            <w:tcW w:w="1170" w:type="dxa"/>
            <w:tcMar>
              <w:top w:w="30" w:type="dxa"/>
              <w:left w:w="45" w:type="dxa"/>
              <w:bottom w:w="30" w:type="dxa"/>
              <w:right w:w="45" w:type="dxa"/>
            </w:tcMar>
            <w:vAlign w:val="bottom"/>
            <w:hideMark/>
          </w:tcPr>
          <w:p w14:paraId="549979B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(general)</w:t>
            </w:r>
          </w:p>
        </w:tc>
        <w:tc>
          <w:tcPr>
            <w:tcW w:w="1080" w:type="dxa"/>
            <w:tcMar>
              <w:top w:w="30" w:type="dxa"/>
              <w:left w:w="45" w:type="dxa"/>
              <w:bottom w:w="30" w:type="dxa"/>
              <w:right w:w="45" w:type="dxa"/>
            </w:tcMar>
            <w:vAlign w:val="bottom"/>
            <w:hideMark/>
          </w:tcPr>
          <w:p w14:paraId="1EDF6E6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7C9BF24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05A9C3B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Multidisciplinary addiction care team</w:t>
            </w:r>
          </w:p>
        </w:tc>
        <w:tc>
          <w:tcPr>
            <w:tcW w:w="1800" w:type="dxa"/>
            <w:tcMar>
              <w:top w:w="30" w:type="dxa"/>
              <w:left w:w="45" w:type="dxa"/>
              <w:bottom w:w="30" w:type="dxa"/>
              <w:right w:w="45" w:type="dxa"/>
            </w:tcMar>
            <w:vAlign w:val="bottom"/>
            <w:hideMark/>
          </w:tcPr>
          <w:p w14:paraId="5CC51E9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Not specified</w:t>
            </w:r>
          </w:p>
        </w:tc>
        <w:tc>
          <w:tcPr>
            <w:tcW w:w="1530" w:type="dxa"/>
            <w:tcMar>
              <w:top w:w="30" w:type="dxa"/>
              <w:left w:w="45" w:type="dxa"/>
              <w:bottom w:w="30" w:type="dxa"/>
              <w:right w:w="45" w:type="dxa"/>
            </w:tcMar>
            <w:vAlign w:val="bottom"/>
            <w:hideMark/>
          </w:tcPr>
          <w:p w14:paraId="11325C2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Peer</w:t>
            </w:r>
          </w:p>
        </w:tc>
        <w:tc>
          <w:tcPr>
            <w:tcW w:w="1350" w:type="dxa"/>
            <w:tcMar>
              <w:top w:w="30" w:type="dxa"/>
              <w:left w:w="45" w:type="dxa"/>
              <w:bottom w:w="30" w:type="dxa"/>
              <w:right w:w="45" w:type="dxa"/>
            </w:tcMar>
            <w:vAlign w:val="bottom"/>
            <w:hideMark/>
          </w:tcPr>
          <w:p w14:paraId="5406C000"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2200ACC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SUD treatment providers (unspecified)</w:t>
            </w:r>
          </w:p>
        </w:tc>
      </w:tr>
      <w:tr w:rsidR="00E73159" w:rsidRPr="00E73159" w14:paraId="3CF1241B" w14:textId="77777777" w:rsidTr="00A01ED0">
        <w:trPr>
          <w:trHeight w:val="315"/>
        </w:trPr>
        <w:tc>
          <w:tcPr>
            <w:tcW w:w="1212" w:type="dxa"/>
            <w:tcMar>
              <w:top w:w="30" w:type="dxa"/>
              <w:left w:w="45" w:type="dxa"/>
              <w:bottom w:w="30" w:type="dxa"/>
              <w:right w:w="45" w:type="dxa"/>
            </w:tcMar>
            <w:vAlign w:val="bottom"/>
            <w:hideMark/>
          </w:tcPr>
          <w:p w14:paraId="6FE0B805" w14:textId="6C4AB5B0"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Watson, 2021</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{"citationID":"3cmMjAbe","properties":{"formattedCitation":"[44]","plainCitation":"[44]","noteIndex":0},"citationItems":[{"id":10404,"uris":["http://zotero.org/users/11168138/items/AAK2GW75"],"itemData":{"id":10404,"type":"article-journal","abstract":"Background\nIn recent years, a number of emergency department (ED)-based interventions have been developed to provide supports and/or treatment linkage for people who use opioids. However, there is limited research supporting the effectiveness of the majority of these interventions. Project POINT is an ED-based intervention aimed at providing opioid overdose survivors with naloxone and recovery supports and connecting them to evidence-based medications for opioid use disorder (MOUD). An evaluation of POINT was conducted.\nMethods\nA difference-in-difference analysis of electronic health record data was completed to understand the difference in outcomes for patients admitted to the ED when a POINT staff member was working versus times when they were not. The observation window was January 1, 2012 to July 6, 2019, which included N = 1462 unique individuals, of which 802 were in the POINT arm. Outcomes of focus include MOUD opioid prescriptions dispensed, active non-MOUD opioid prescriptions dispensed, naloxone access, and drug poisonings.\nResults\nThe POINT arm had a significant increase in MOUD prescriptions dispensed, non-MOUD prescriptions dispensed, and naloxone access (all p-values &lt; 0.001). There was no significant effect related to subsequent drug poisoning-related hospital admissions.\nConclusions\nThe results support the assertion that POINT is meeting its two primary goals related to increasing naloxone access and connecting patients to MOUD. Generalization of these results is limited; however, the evaluation contributes to a nascent area of research and can serve a foundation for future work.","container-title":"Drug and Alcohol Dependence","DOI":"https://doi.org/10.1016/j.drugalcdep.2021.108595","ISSN":"0376-8716","page":"108595","title":"Evaluation of an emergency department-based opioid overdose survivor intervention: Difference-in-difference analysis of electronic health record data to assess key outcomes","volume":"221","author":[{"family":"Watson","given":"Dennis P"},{"family":"Weathers","given":"Tess"},{"family":"McGuire","given":"Alan"},{"family":"Cohen","given":"Alex"},{"family":"Huynh","given":"Philip"},{"family":"Bowes","given":"Clay"},{"family":"O’Donnell","given":"Daniel"},{"family":"Brucker","given":"Krista"},{"family":"Gupta","given":"Sumedha"}],"issued":{"date-parts":[["2021"]]}}}],"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[44]</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1B00781A"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Post-discharge transportation assistance; Pre-discharge schedule appointment</w:t>
            </w:r>
          </w:p>
        </w:tc>
        <w:tc>
          <w:tcPr>
            <w:tcW w:w="1170" w:type="dxa"/>
            <w:tcMar>
              <w:top w:w="30" w:type="dxa"/>
              <w:left w:w="45" w:type="dxa"/>
              <w:bottom w:w="30" w:type="dxa"/>
              <w:right w:w="45" w:type="dxa"/>
            </w:tcMar>
            <w:vAlign w:val="bottom"/>
            <w:hideMark/>
          </w:tcPr>
          <w:p w14:paraId="7C0C40A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7D19443F"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w:t>
            </w:r>
          </w:p>
        </w:tc>
        <w:tc>
          <w:tcPr>
            <w:tcW w:w="1080" w:type="dxa"/>
            <w:tcMar>
              <w:top w:w="30" w:type="dxa"/>
              <w:left w:w="45" w:type="dxa"/>
              <w:bottom w:w="30" w:type="dxa"/>
              <w:right w:w="45" w:type="dxa"/>
            </w:tcMar>
            <w:vAlign w:val="bottom"/>
            <w:hideMark/>
          </w:tcPr>
          <w:p w14:paraId="4D5C0F3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w:t>
            </w:r>
          </w:p>
        </w:tc>
        <w:tc>
          <w:tcPr>
            <w:tcW w:w="1350" w:type="dxa"/>
            <w:tcMar>
              <w:top w:w="30" w:type="dxa"/>
              <w:left w:w="45" w:type="dxa"/>
              <w:bottom w:w="30" w:type="dxa"/>
              <w:right w:w="45" w:type="dxa"/>
            </w:tcMar>
            <w:vAlign w:val="bottom"/>
            <w:hideMark/>
          </w:tcPr>
          <w:p w14:paraId="5FC05ADD"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 unspecified</w:t>
            </w:r>
          </w:p>
        </w:tc>
        <w:tc>
          <w:tcPr>
            <w:tcW w:w="1620" w:type="dxa"/>
            <w:tcMar>
              <w:top w:w="30" w:type="dxa"/>
              <w:left w:w="45" w:type="dxa"/>
              <w:bottom w:w="30" w:type="dxa"/>
              <w:right w:w="45" w:type="dxa"/>
            </w:tcMar>
            <w:vAlign w:val="bottom"/>
            <w:hideMark/>
          </w:tcPr>
          <w:p w14:paraId="716ABEBA"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Multidisciplinary addiction care team</w:t>
            </w:r>
          </w:p>
        </w:tc>
        <w:tc>
          <w:tcPr>
            <w:tcW w:w="1800" w:type="dxa"/>
            <w:tcMar>
              <w:top w:w="30" w:type="dxa"/>
              <w:left w:w="45" w:type="dxa"/>
              <w:bottom w:w="30" w:type="dxa"/>
              <w:right w:w="45" w:type="dxa"/>
            </w:tcMar>
            <w:vAlign w:val="bottom"/>
            <w:hideMark/>
          </w:tcPr>
          <w:p w14:paraId="2723DBB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25B1800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Multidisciplinary addiction care team; Peer</w:t>
            </w:r>
          </w:p>
        </w:tc>
        <w:tc>
          <w:tcPr>
            <w:tcW w:w="1350" w:type="dxa"/>
            <w:tcMar>
              <w:top w:w="30" w:type="dxa"/>
              <w:left w:w="45" w:type="dxa"/>
              <w:bottom w:w="30" w:type="dxa"/>
              <w:right w:w="45" w:type="dxa"/>
            </w:tcMar>
            <w:vAlign w:val="bottom"/>
            <w:hideMark/>
          </w:tcPr>
          <w:p w14:paraId="258895DC"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Called upon to ED/hospital as a consult</w:t>
            </w:r>
          </w:p>
        </w:tc>
        <w:tc>
          <w:tcPr>
            <w:tcW w:w="1890" w:type="dxa"/>
            <w:tcMar>
              <w:top w:w="30" w:type="dxa"/>
              <w:left w:w="45" w:type="dxa"/>
              <w:bottom w:w="30" w:type="dxa"/>
              <w:right w:w="45" w:type="dxa"/>
            </w:tcMar>
            <w:vAlign w:val="bottom"/>
            <w:hideMark/>
          </w:tcPr>
          <w:p w14:paraId="03E9D731"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SUD treatment providers (unspecified); Treatment with MOUD; </w:t>
            </w:r>
            <w:r w:rsidRPr="00E73159">
              <w:rPr>
                <w:rFonts w:eastAsia="Times New Roman" w:cstheme="minorHAnsi"/>
                <w:color w:val="000000" w:themeColor="text1"/>
                <w:sz w:val="18"/>
                <w:szCs w:val="18"/>
                <w:lang w:val="en-US"/>
              </w:rPr>
              <w:t>Other community resources</w:t>
            </w:r>
          </w:p>
        </w:tc>
      </w:tr>
      <w:tr w:rsidR="00E73159" w:rsidRPr="00E73159" w14:paraId="0D779025" w14:textId="77777777" w:rsidTr="00A01ED0">
        <w:trPr>
          <w:trHeight w:val="1395"/>
        </w:trPr>
        <w:tc>
          <w:tcPr>
            <w:tcW w:w="1212" w:type="dxa"/>
            <w:tcMar>
              <w:top w:w="30" w:type="dxa"/>
              <w:left w:w="45" w:type="dxa"/>
              <w:bottom w:w="30" w:type="dxa"/>
              <w:right w:w="45" w:type="dxa"/>
            </w:tcMar>
            <w:vAlign w:val="bottom"/>
            <w:hideMark/>
          </w:tcPr>
          <w:p w14:paraId="0A02E738" w14:textId="2045D1B3"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Whiteside, 2017</w:t>
            </w:r>
            <w:r w:rsidR="002163B3" w:rsidRPr="00E73159">
              <w:rPr>
                <w:rFonts w:ascii="Calibri" w:eastAsia="Times New Roman" w:hAnsi="Calibri" w:cs="Calibri"/>
                <w:color w:val="000000" w:themeColor="text1"/>
                <w:sz w:val="18"/>
                <w:szCs w:val="18"/>
                <w:lang w:val="en-US"/>
              </w:rPr>
              <w:t xml:space="preserve"> </w:t>
            </w:r>
            <w:r w:rsidR="002163B3" w:rsidRPr="00E73159">
              <w:rPr>
                <w:rFonts w:ascii="Calibri" w:eastAsia="Times New Roman" w:hAnsi="Calibri" w:cs="Calibri"/>
                <w:color w:val="000000" w:themeColor="text1"/>
                <w:sz w:val="18"/>
                <w:szCs w:val="18"/>
                <w:lang w:val="en-US"/>
              </w:rPr>
              <w:fldChar w:fldCharType="begin"/>
            </w:r>
            <w:r w:rsidR="002163B3" w:rsidRPr="00E73159">
              <w:rPr>
                <w:rFonts w:ascii="Calibri" w:eastAsia="Times New Roman" w:hAnsi="Calibri" w:cs="Calibri"/>
                <w:color w:val="000000" w:themeColor="text1"/>
                <w:sz w:val="18"/>
                <w:szCs w:val="18"/>
                <w:lang w:val="en-US"/>
              </w:rPr>
              <w:instrText xml:space="preserve"> ADDIN ZOTERO_ITEM CSL_CITATION {"citationID":"JIC8r04z","properties":{"formattedCitation":"[45]","plainCitation":"[45]","noteIndex":0},"citationItems":[{"id":10383,"uris":["http://zotero.org/users/11168138/items/74CQSCHR"],"itemData":{"id":10383,"type":"article-journal","container-title":"Journal of Substance Abuse Treatment","DOI":"10.1016/j.jsat.2017.08.005","ISSN":"0740-5472","note":"publisher: Elsevier","page":"12-21","title":"Collaborative care from the emergency department for injured patients with prescription drug misuse: An open feasibility study","volume":"82","author":[{"family":"Whiteside","given":"Lauren K"},{"family":"Darnell","given":"Doyanne"},{"family":"Jackson","given":"Karlee"},{"family":"Wang","given":"Jin"},{"family":"Russo","given":"Joan"},{"family":"Donovan","given":"Dennis M"},{"family":"Zatzick","given":"Douglas F"}],"issued":{"date-parts":[["2017",11,1]]}}}],"schema":"https://github.com/citation-style-language/schema/raw/master/csl-citation.json"} </w:instrText>
            </w:r>
            <w:r w:rsidR="002163B3" w:rsidRPr="00E73159">
              <w:rPr>
                <w:rFonts w:ascii="Calibri" w:eastAsia="Times New Roman" w:hAnsi="Calibri" w:cs="Calibri"/>
                <w:color w:val="000000" w:themeColor="text1"/>
                <w:sz w:val="18"/>
                <w:szCs w:val="18"/>
                <w:lang w:val="en-US"/>
              </w:rPr>
              <w:fldChar w:fldCharType="separate"/>
            </w:r>
            <w:r w:rsidR="002163B3" w:rsidRPr="00E73159">
              <w:rPr>
                <w:rFonts w:ascii="Calibri" w:eastAsia="Times New Roman" w:hAnsi="Calibri" w:cs="Calibri"/>
                <w:noProof/>
                <w:color w:val="000000" w:themeColor="text1"/>
                <w:sz w:val="18"/>
                <w:szCs w:val="18"/>
                <w:lang w:val="en-US"/>
              </w:rPr>
              <w:t>[45]</w:t>
            </w:r>
            <w:r w:rsidR="002163B3" w:rsidRPr="00E73159">
              <w:rPr>
                <w:rFonts w:ascii="Calibri" w:eastAsia="Times New Roman" w:hAnsi="Calibri" w:cs="Calibri"/>
                <w:color w:val="000000" w:themeColor="text1"/>
                <w:sz w:val="18"/>
                <w:szCs w:val="18"/>
                <w:lang w:val="en-US"/>
              </w:rPr>
              <w:fldChar w:fldCharType="end"/>
            </w:r>
          </w:p>
        </w:tc>
        <w:tc>
          <w:tcPr>
            <w:tcW w:w="2118" w:type="dxa"/>
            <w:shd w:val="clear" w:color="auto" w:fill="auto"/>
            <w:tcMar>
              <w:top w:w="30" w:type="dxa"/>
              <w:left w:w="45" w:type="dxa"/>
              <w:bottom w:w="30" w:type="dxa"/>
              <w:right w:w="45" w:type="dxa"/>
            </w:tcMar>
            <w:vAlign w:val="bottom"/>
            <w:hideMark/>
          </w:tcPr>
          <w:p w14:paraId="2C6D06CB" w14:textId="77777777" w:rsidR="000C3472" w:rsidRPr="00E73159" w:rsidRDefault="000C3472" w:rsidP="00A01ED0">
            <w:pPr>
              <w:spacing w:after="0" w:line="240" w:lineRule="auto"/>
              <w:rPr>
                <w:rFonts w:eastAsia="Times New Roman" w:cstheme="minorHAnsi"/>
                <w:color w:val="000000" w:themeColor="text1"/>
                <w:sz w:val="18"/>
                <w:szCs w:val="18"/>
                <w:lang w:val="en-US"/>
              </w:rPr>
            </w:pPr>
            <w:r w:rsidRPr="00E73159">
              <w:rPr>
                <w:rFonts w:cstheme="minorHAnsi"/>
                <w:color w:val="000000" w:themeColor="text1"/>
                <w:sz w:val="18"/>
                <w:szCs w:val="18"/>
                <w:shd w:val="clear" w:color="auto" w:fill="FFFFFF"/>
              </w:rPr>
              <w:t>Pre-discharge schedule appointment; Post-discharge follow up calls; Post-discharge care navigation</w:t>
            </w:r>
          </w:p>
        </w:tc>
        <w:tc>
          <w:tcPr>
            <w:tcW w:w="1170" w:type="dxa"/>
            <w:tcMar>
              <w:top w:w="30" w:type="dxa"/>
              <w:left w:w="45" w:type="dxa"/>
              <w:bottom w:w="30" w:type="dxa"/>
              <w:right w:w="45" w:type="dxa"/>
            </w:tcMar>
            <w:vAlign w:val="bottom"/>
            <w:hideMark/>
          </w:tcPr>
          <w:p w14:paraId="6DAA5D1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ED</w:t>
            </w:r>
          </w:p>
        </w:tc>
        <w:tc>
          <w:tcPr>
            <w:tcW w:w="1170" w:type="dxa"/>
            <w:tcMar>
              <w:top w:w="30" w:type="dxa"/>
              <w:left w:w="45" w:type="dxa"/>
              <w:bottom w:w="30" w:type="dxa"/>
              <w:right w:w="45" w:type="dxa"/>
            </w:tcMar>
            <w:vAlign w:val="bottom"/>
            <w:hideMark/>
          </w:tcPr>
          <w:p w14:paraId="3BC2B9F6"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OUD; Sedative UD</w:t>
            </w:r>
          </w:p>
        </w:tc>
        <w:tc>
          <w:tcPr>
            <w:tcW w:w="1080" w:type="dxa"/>
            <w:tcMar>
              <w:top w:w="30" w:type="dxa"/>
              <w:left w:w="45" w:type="dxa"/>
              <w:bottom w:w="30" w:type="dxa"/>
              <w:right w:w="45" w:type="dxa"/>
            </w:tcMar>
            <w:vAlign w:val="bottom"/>
            <w:hideMark/>
          </w:tcPr>
          <w:p w14:paraId="3864F499"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Yes</w:t>
            </w:r>
          </w:p>
        </w:tc>
        <w:tc>
          <w:tcPr>
            <w:tcW w:w="1350" w:type="dxa"/>
            <w:tcMar>
              <w:top w:w="30" w:type="dxa"/>
              <w:left w:w="45" w:type="dxa"/>
              <w:bottom w:w="30" w:type="dxa"/>
              <w:right w:w="45" w:type="dxa"/>
            </w:tcMar>
            <w:vAlign w:val="bottom"/>
            <w:hideMark/>
          </w:tcPr>
          <w:p w14:paraId="14087072"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None</w:t>
            </w:r>
          </w:p>
        </w:tc>
        <w:tc>
          <w:tcPr>
            <w:tcW w:w="1620" w:type="dxa"/>
            <w:tcMar>
              <w:top w:w="30" w:type="dxa"/>
              <w:left w:w="45" w:type="dxa"/>
              <w:bottom w:w="30" w:type="dxa"/>
              <w:right w:w="45" w:type="dxa"/>
            </w:tcMar>
            <w:vAlign w:val="bottom"/>
            <w:hideMark/>
          </w:tcPr>
          <w:p w14:paraId="22CE773E"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Social worker/case manager; Multidisciplinary addiction care team; Medical doctor; Clinical psychologist</w:t>
            </w:r>
          </w:p>
        </w:tc>
        <w:tc>
          <w:tcPr>
            <w:tcW w:w="1800" w:type="dxa"/>
            <w:tcMar>
              <w:top w:w="30" w:type="dxa"/>
              <w:left w:w="45" w:type="dxa"/>
              <w:bottom w:w="30" w:type="dxa"/>
              <w:right w:w="45" w:type="dxa"/>
            </w:tcMar>
            <w:vAlign w:val="bottom"/>
            <w:hideMark/>
          </w:tcPr>
          <w:p w14:paraId="65C1575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530" w:type="dxa"/>
            <w:tcMar>
              <w:top w:w="30" w:type="dxa"/>
              <w:left w:w="45" w:type="dxa"/>
              <w:bottom w:w="30" w:type="dxa"/>
              <w:right w:w="45" w:type="dxa"/>
            </w:tcMar>
            <w:vAlign w:val="bottom"/>
            <w:hideMark/>
          </w:tcPr>
          <w:p w14:paraId="4540B24B"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Multidisciplinary addiction care team; Medical doctor; Research Assistant</w:t>
            </w:r>
          </w:p>
        </w:tc>
        <w:tc>
          <w:tcPr>
            <w:tcW w:w="1350" w:type="dxa"/>
            <w:tcMar>
              <w:top w:w="30" w:type="dxa"/>
              <w:left w:w="45" w:type="dxa"/>
              <w:bottom w:w="30" w:type="dxa"/>
              <w:right w:w="45" w:type="dxa"/>
            </w:tcMar>
            <w:vAlign w:val="bottom"/>
            <w:hideMark/>
          </w:tcPr>
          <w:p w14:paraId="5E04D397"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Work directly in ED/Hospital</w:t>
            </w:r>
          </w:p>
        </w:tc>
        <w:tc>
          <w:tcPr>
            <w:tcW w:w="1890" w:type="dxa"/>
            <w:tcMar>
              <w:top w:w="30" w:type="dxa"/>
              <w:left w:w="45" w:type="dxa"/>
              <w:bottom w:w="30" w:type="dxa"/>
              <w:right w:w="45" w:type="dxa"/>
            </w:tcMar>
            <w:vAlign w:val="bottom"/>
            <w:hideMark/>
          </w:tcPr>
          <w:p w14:paraId="7A363AB8" w14:textId="77777777" w:rsidR="000C3472" w:rsidRPr="00E73159" w:rsidRDefault="000C3472" w:rsidP="00A01ED0">
            <w:pPr>
              <w:spacing w:after="0" w:line="240" w:lineRule="auto"/>
              <w:rPr>
                <w:rFonts w:ascii="Calibri" w:eastAsia="Times New Roman" w:hAnsi="Calibri" w:cs="Calibri"/>
                <w:color w:val="000000" w:themeColor="text1"/>
                <w:sz w:val="18"/>
                <w:szCs w:val="18"/>
                <w:lang w:val="en-US"/>
              </w:rPr>
            </w:pPr>
            <w:r w:rsidRPr="00E73159">
              <w:rPr>
                <w:rFonts w:ascii="Calibri" w:eastAsia="Times New Roman" w:hAnsi="Calibri" w:cs="Calibri"/>
                <w:color w:val="000000" w:themeColor="text1"/>
                <w:sz w:val="18"/>
                <w:szCs w:val="18"/>
                <w:lang w:val="en-US"/>
              </w:rPr>
              <w:t xml:space="preserve">SUD treatment providers (unspecified); Treatment with MOUD; Primary care providers; </w:t>
            </w:r>
            <w:r w:rsidRPr="00E73159">
              <w:rPr>
                <w:rFonts w:eastAsia="Times New Roman" w:cstheme="minorHAnsi"/>
                <w:color w:val="000000" w:themeColor="text1"/>
                <w:sz w:val="18"/>
                <w:szCs w:val="18"/>
                <w:lang w:val="en-US"/>
              </w:rPr>
              <w:t>Other medical and mental health services</w:t>
            </w:r>
          </w:p>
        </w:tc>
      </w:tr>
    </w:tbl>
    <w:p w14:paraId="3EE1931D" w14:textId="77777777" w:rsidR="000C3472" w:rsidRPr="00E73159" w:rsidRDefault="000C3472" w:rsidP="000C3472">
      <w:pPr>
        <w:spacing w:after="0"/>
        <w:rPr>
          <w:color w:val="000000" w:themeColor="text1"/>
          <w:sz w:val="20"/>
          <w:szCs w:val="20"/>
        </w:rPr>
      </w:pPr>
      <w:r w:rsidRPr="00E73159">
        <w:rPr>
          <w:color w:val="000000" w:themeColor="text1"/>
          <w:sz w:val="20"/>
          <w:szCs w:val="20"/>
        </w:rPr>
        <w:t>Note: ED=Emergency Department, SUD= Substance Use Disorder, OUD= Opioid Use Disorder, AUD= Alcohol Use Disorder, UD=Use Disorder, MOUD=Medications for Opioid Use Disorder</w:t>
      </w:r>
    </w:p>
    <w:p w14:paraId="6ED597CC" w14:textId="77777777" w:rsidR="00F14AB9" w:rsidRPr="00E73159" w:rsidRDefault="00F14AB9">
      <w:pPr>
        <w:rPr>
          <w:color w:val="000000" w:themeColor="text1"/>
        </w:rPr>
      </w:pPr>
    </w:p>
    <w:p w14:paraId="2C23F7FF" w14:textId="77777777" w:rsidR="002163B3" w:rsidRPr="00E73159" w:rsidRDefault="002163B3">
      <w:pPr>
        <w:rPr>
          <w:color w:val="000000" w:themeColor="text1"/>
        </w:rPr>
      </w:pPr>
    </w:p>
    <w:p w14:paraId="0CDAF912" w14:textId="77777777" w:rsidR="002163B3" w:rsidRPr="00E73159" w:rsidRDefault="002163B3">
      <w:pPr>
        <w:rPr>
          <w:color w:val="000000" w:themeColor="text1"/>
        </w:rPr>
      </w:pPr>
    </w:p>
    <w:p w14:paraId="4D19A0F0" w14:textId="77777777" w:rsidR="002163B3" w:rsidRPr="00E73159" w:rsidRDefault="002163B3">
      <w:pPr>
        <w:rPr>
          <w:color w:val="000000" w:themeColor="text1"/>
        </w:rPr>
      </w:pPr>
    </w:p>
    <w:p w14:paraId="0E761213" w14:textId="77777777" w:rsidR="002163B3" w:rsidRPr="00E73159" w:rsidRDefault="002163B3">
      <w:pPr>
        <w:rPr>
          <w:color w:val="000000" w:themeColor="text1"/>
        </w:rPr>
      </w:pPr>
    </w:p>
    <w:p w14:paraId="30B5ADDD" w14:textId="77777777" w:rsidR="002163B3" w:rsidRPr="00E73159" w:rsidRDefault="002163B3">
      <w:pPr>
        <w:rPr>
          <w:color w:val="000000" w:themeColor="text1"/>
        </w:rPr>
      </w:pPr>
    </w:p>
    <w:p w14:paraId="3C71B2A6" w14:textId="77777777" w:rsidR="002163B3" w:rsidRPr="00E73159" w:rsidRDefault="002163B3">
      <w:pPr>
        <w:rPr>
          <w:color w:val="000000" w:themeColor="text1"/>
        </w:rPr>
      </w:pPr>
    </w:p>
    <w:p w14:paraId="423791F6" w14:textId="77777777" w:rsidR="002163B3" w:rsidRPr="00E73159" w:rsidRDefault="002163B3">
      <w:pPr>
        <w:rPr>
          <w:color w:val="000000" w:themeColor="text1"/>
        </w:rPr>
      </w:pPr>
    </w:p>
    <w:p w14:paraId="118E84D3" w14:textId="77777777" w:rsidR="002163B3" w:rsidRPr="00E73159" w:rsidRDefault="002163B3">
      <w:pPr>
        <w:rPr>
          <w:color w:val="000000" w:themeColor="text1"/>
        </w:rPr>
      </w:pPr>
    </w:p>
    <w:p w14:paraId="0A667507" w14:textId="77777777" w:rsidR="002163B3" w:rsidRPr="00E73159" w:rsidRDefault="002163B3">
      <w:pPr>
        <w:rPr>
          <w:color w:val="000000" w:themeColor="text1"/>
        </w:rPr>
      </w:pPr>
    </w:p>
    <w:p w14:paraId="121D3CFA" w14:textId="77777777" w:rsidR="002163B3" w:rsidRPr="00E73159" w:rsidRDefault="002163B3">
      <w:pPr>
        <w:rPr>
          <w:color w:val="000000" w:themeColor="text1"/>
        </w:rPr>
      </w:pPr>
    </w:p>
    <w:p w14:paraId="00EA51FE" w14:textId="77777777" w:rsidR="002163B3" w:rsidRPr="00E73159" w:rsidRDefault="002163B3">
      <w:pPr>
        <w:rPr>
          <w:color w:val="000000" w:themeColor="text1"/>
        </w:rPr>
      </w:pPr>
    </w:p>
    <w:p w14:paraId="29D48D1D" w14:textId="77777777" w:rsidR="002163B3" w:rsidRPr="00E73159" w:rsidRDefault="002163B3">
      <w:pPr>
        <w:rPr>
          <w:color w:val="000000" w:themeColor="text1"/>
        </w:rPr>
      </w:pPr>
    </w:p>
    <w:p w14:paraId="74D632A3" w14:textId="77777777" w:rsidR="002163B3" w:rsidRPr="00E73159" w:rsidRDefault="002163B3">
      <w:pPr>
        <w:rPr>
          <w:color w:val="000000" w:themeColor="text1"/>
        </w:rPr>
      </w:pPr>
    </w:p>
    <w:p w14:paraId="345685E5" w14:textId="77777777" w:rsidR="002163B3" w:rsidRPr="00E73159" w:rsidRDefault="002163B3">
      <w:pPr>
        <w:rPr>
          <w:color w:val="000000" w:themeColor="text1"/>
        </w:rPr>
      </w:pPr>
    </w:p>
    <w:p w14:paraId="2EA3B13A" w14:textId="77777777" w:rsidR="002163B3" w:rsidRPr="00E73159" w:rsidRDefault="002163B3">
      <w:pPr>
        <w:rPr>
          <w:color w:val="000000" w:themeColor="text1"/>
        </w:rPr>
      </w:pPr>
    </w:p>
    <w:p w14:paraId="28FA369D" w14:textId="77777777" w:rsidR="002163B3" w:rsidRPr="00E73159" w:rsidRDefault="002163B3">
      <w:pPr>
        <w:rPr>
          <w:color w:val="000000" w:themeColor="text1"/>
        </w:rPr>
      </w:pPr>
    </w:p>
    <w:p w14:paraId="244F8CAF" w14:textId="77777777" w:rsidR="002163B3" w:rsidRPr="00E73159" w:rsidRDefault="002163B3">
      <w:pPr>
        <w:rPr>
          <w:b/>
          <w:bCs/>
          <w:color w:val="000000" w:themeColor="text1"/>
        </w:rPr>
        <w:sectPr w:rsidR="002163B3" w:rsidRPr="00E73159" w:rsidSect="00E73159">
          <w:type w:val="continuous"/>
          <w:pgSz w:w="16834" w:h="11894" w:orient="landscape"/>
          <w:pgMar w:top="720" w:right="720" w:bottom="720" w:left="720" w:header="706" w:footer="706" w:gutter="0"/>
          <w:cols w:space="708"/>
          <w:docGrid w:linePitch="360"/>
        </w:sectPr>
      </w:pPr>
    </w:p>
    <w:p w14:paraId="3F6F9270" w14:textId="58D2C5C7" w:rsidR="002163B3" w:rsidRPr="00E73159" w:rsidRDefault="002163B3">
      <w:pPr>
        <w:rPr>
          <w:b/>
          <w:bCs/>
          <w:color w:val="000000" w:themeColor="text1"/>
        </w:rPr>
      </w:pPr>
      <w:r w:rsidRPr="00E73159">
        <w:rPr>
          <w:b/>
          <w:bCs/>
          <w:color w:val="000000" w:themeColor="text1"/>
        </w:rPr>
        <w:t>References</w:t>
      </w:r>
    </w:p>
    <w:p w14:paraId="360E19CB" w14:textId="77777777" w:rsidR="002163B3" w:rsidRPr="00E73159" w:rsidRDefault="002163B3">
      <w:pPr>
        <w:rPr>
          <w:color w:val="000000" w:themeColor="text1"/>
        </w:rPr>
      </w:pPr>
    </w:p>
    <w:p w14:paraId="3E39DCC0" w14:textId="77777777" w:rsidR="002163B3" w:rsidRPr="00E73159" w:rsidRDefault="002163B3" w:rsidP="002163B3">
      <w:pPr>
        <w:pStyle w:val="Bibliography"/>
        <w:rPr>
          <w:rFonts w:ascii="Calibri" w:cs="Calibri"/>
          <w:color w:val="000000" w:themeColor="text1"/>
        </w:rPr>
      </w:pPr>
      <w:r w:rsidRPr="00E73159">
        <w:rPr>
          <w:color w:val="000000" w:themeColor="text1"/>
        </w:rPr>
        <w:fldChar w:fldCharType="begin"/>
      </w:r>
      <w:r w:rsidRPr="00E73159">
        <w:rPr>
          <w:color w:val="000000" w:themeColor="text1"/>
        </w:rPr>
        <w:instrText xml:space="preserve"> ADDIN ZOTERO_BIBL {"uncited":[],"omitted":[],"custom":[]} CSL_BIBLIOGRAPHY </w:instrText>
      </w:r>
      <w:r w:rsidRPr="00E73159">
        <w:rPr>
          <w:color w:val="000000" w:themeColor="text1"/>
        </w:rPr>
        <w:fldChar w:fldCharType="separate"/>
      </w:r>
      <w:r w:rsidRPr="00E73159">
        <w:rPr>
          <w:rFonts w:ascii="Calibri" w:cs="Calibri"/>
          <w:color w:val="000000" w:themeColor="text1"/>
        </w:rPr>
        <w:t>[1]</w:t>
      </w:r>
      <w:r w:rsidRPr="00E73159">
        <w:rPr>
          <w:rFonts w:ascii="Calibri" w:cs="Calibri"/>
          <w:color w:val="000000" w:themeColor="text1"/>
        </w:rPr>
        <w:tab/>
        <w:t xml:space="preserve">E. S. Anderson </w:t>
      </w:r>
      <w:r w:rsidRPr="00E73159">
        <w:rPr>
          <w:rFonts w:ascii="Calibri" w:cs="Calibri"/>
          <w:i/>
          <w:iCs/>
          <w:color w:val="000000" w:themeColor="text1"/>
        </w:rPr>
        <w:t>et al.</w:t>
      </w:r>
      <w:r w:rsidRPr="00E73159">
        <w:rPr>
          <w:rFonts w:ascii="Calibri" w:cs="Calibri"/>
          <w:color w:val="000000" w:themeColor="text1"/>
        </w:rPr>
        <w:t xml:space="preserve">, “Implementation of Oral and Extended-Release Naltrexone for the Treatment of Emergency Department Patients With Moderate to Severe Alcohol Use Disorder: Feasibility and Initial Outcomes,” </w:t>
      </w:r>
      <w:r w:rsidRPr="00E73159">
        <w:rPr>
          <w:rFonts w:ascii="Calibri" w:cs="Calibri"/>
          <w:i/>
          <w:iCs/>
          <w:color w:val="000000" w:themeColor="text1"/>
        </w:rPr>
        <w:t>Annals of Emergency Medicine</w:t>
      </w:r>
      <w:r w:rsidRPr="00E73159">
        <w:rPr>
          <w:rFonts w:ascii="Calibri" w:cs="Calibri"/>
          <w:color w:val="000000" w:themeColor="text1"/>
        </w:rPr>
        <w:t>, vol. 78, no. 6, pp. 752–758, Dec. 2021, doi: 10.1016/j.annemergmed.2021.05.013.</w:t>
      </w:r>
    </w:p>
    <w:p w14:paraId="4CD69195"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w:t>
      </w:r>
      <w:r w:rsidRPr="00E73159">
        <w:rPr>
          <w:rFonts w:ascii="Calibri" w:cs="Calibri"/>
          <w:color w:val="000000" w:themeColor="text1"/>
        </w:rPr>
        <w:tab/>
        <w:t xml:space="preserve">G. A. Beauchamp </w:t>
      </w:r>
      <w:r w:rsidRPr="00E73159">
        <w:rPr>
          <w:rFonts w:ascii="Calibri" w:cs="Calibri"/>
          <w:i/>
          <w:iCs/>
          <w:color w:val="000000" w:themeColor="text1"/>
        </w:rPr>
        <w:t>et al.</w:t>
      </w:r>
      <w:r w:rsidRPr="00E73159">
        <w:rPr>
          <w:rFonts w:ascii="Calibri" w:cs="Calibri"/>
          <w:color w:val="000000" w:themeColor="text1"/>
        </w:rPr>
        <w:t xml:space="preserve">, “Implementation of a Medication for Addiction Treatment (MAT) and Linkage Program by Leveraging Community Partnerships and Medical Toxicology Expertise,” </w:t>
      </w:r>
      <w:r w:rsidRPr="00E73159">
        <w:rPr>
          <w:rFonts w:ascii="Calibri" w:cs="Calibri"/>
          <w:i/>
          <w:iCs/>
          <w:color w:val="000000" w:themeColor="text1"/>
        </w:rPr>
        <w:t>Journal of Medical Toxicology</w:t>
      </w:r>
      <w:r w:rsidRPr="00E73159">
        <w:rPr>
          <w:rFonts w:ascii="Calibri" w:cs="Calibri"/>
          <w:color w:val="000000" w:themeColor="text1"/>
        </w:rPr>
        <w:t>, vol. 17, no. 2, pp. 176–184, 2021, doi: 10.1007/s13181-020-00813-4.</w:t>
      </w:r>
    </w:p>
    <w:p w14:paraId="5E9BE72E"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w:t>
      </w:r>
      <w:r w:rsidRPr="00E73159">
        <w:rPr>
          <w:rFonts w:ascii="Calibri" w:cs="Calibri"/>
          <w:color w:val="000000" w:themeColor="text1"/>
        </w:rPr>
        <w:tab/>
        <w:t xml:space="preserve">A. M. Beieler, J. W. Klein, E. Bhatraju, M. Iles-Shih, L. Enzian, and S. Dhanireddy, “Evaluation of Bundled Interventions for Patients With Opioid Use Disorder Experiencing Homelessness Receiving Extended Antibiotics for Severe Infection,” </w:t>
      </w:r>
      <w:r w:rsidRPr="00E73159">
        <w:rPr>
          <w:rFonts w:ascii="Calibri" w:cs="Calibri"/>
          <w:i/>
          <w:iCs/>
          <w:color w:val="000000" w:themeColor="text1"/>
        </w:rPr>
        <w:t>Open Forum Infectious Diseases</w:t>
      </w:r>
      <w:r w:rsidRPr="00E73159">
        <w:rPr>
          <w:rFonts w:ascii="Calibri" w:cs="Calibri"/>
          <w:color w:val="000000" w:themeColor="text1"/>
        </w:rPr>
        <w:t>, vol. 8, no. 6, p. ofab285, Jun. 2021, doi: 10.1093/ofid/ofab285.</w:t>
      </w:r>
    </w:p>
    <w:p w14:paraId="1E00B8B0"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[4]</w:t>
      </w:r>
      <w:r w:rsidRPr="00E73159">
        <w:rPr>
          <w:rFonts w:ascii="Calibri" w:cs="Calibri"/>
          <w:color w:val="000000" w:themeColor="text1"/>
        </w:rPr>
        <w:tab/>
        <w:t xml:space="preserve">L. Berger, J. Hernandez-Meier, J. Hyatt, and M. Brondino, “Referral to treatment for hospitalized medical patients with an alcohol use disorder: A proof-of-concept brief intervention study,” </w:t>
      </w:r>
      <w:r w:rsidRPr="00E73159">
        <w:rPr>
          <w:rFonts w:ascii="Calibri" w:cs="Calibri"/>
          <w:i/>
          <w:iCs/>
          <w:color w:val="000000" w:themeColor="text1"/>
        </w:rPr>
        <w:t>Social Work in Health Care</w:t>
      </w:r>
      <w:r w:rsidRPr="00E73159">
        <w:rPr>
          <w:rFonts w:ascii="Calibri" w:cs="Calibri"/>
          <w:color w:val="000000" w:themeColor="text1"/>
        </w:rPr>
        <w:t>, vol. 56, no. 5, pp. 321–334, May 2017, doi: 10.1080/00981389.2017.1299073.</w:t>
      </w:r>
    </w:p>
    <w:p w14:paraId="1CB9FDC6"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[5]</w:t>
      </w:r>
      <w:r w:rsidRPr="00E73159">
        <w:rPr>
          <w:rFonts w:ascii="Calibri" w:cs="Calibri"/>
          <w:color w:val="000000" w:themeColor="text1"/>
        </w:rPr>
        <w:tab/>
        <w:t xml:space="preserve">N. Blanchette-Martin, J. Tremblay, F. Ferland, B. Rush, P. Garceau, and A.-M. Danielson, “Co-location of Addiction Liaison Nurses in Three Quebec City Emergency Departments: Portrait of Services, Patients, and Treatment Trajectories,” </w:t>
      </w:r>
      <w:r w:rsidRPr="00E73159">
        <w:rPr>
          <w:rFonts w:ascii="Calibri" w:cs="Calibri"/>
          <w:i/>
          <w:iCs/>
          <w:color w:val="000000" w:themeColor="text1"/>
        </w:rPr>
        <w:t>Canadian Journal of Addiction</w:t>
      </w:r>
      <w:r w:rsidRPr="00E73159">
        <w:rPr>
          <w:rFonts w:ascii="Calibri" w:cs="Calibri"/>
          <w:color w:val="000000" w:themeColor="text1"/>
        </w:rPr>
        <w:t>, vol. 7, no. 3, 2016, [Online]. Available: https://journals.lww.com/cja/Fulltext/2016/09000/Co_location_of_Addiction_Liaison_Nurses_in_Three.6.aspx</w:t>
      </w:r>
    </w:p>
    <w:p w14:paraId="2649537F"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[6]</w:t>
      </w:r>
      <w:r w:rsidRPr="00E73159">
        <w:rPr>
          <w:rFonts w:ascii="Calibri" w:cs="Calibri"/>
          <w:color w:val="000000" w:themeColor="text1"/>
        </w:rPr>
        <w:tab/>
        <w:t xml:space="preserve">C. Bogan </w:t>
      </w:r>
      <w:r w:rsidRPr="00E73159">
        <w:rPr>
          <w:rFonts w:ascii="Calibri" w:cs="Calibri"/>
          <w:i/>
          <w:iCs/>
          <w:color w:val="000000" w:themeColor="text1"/>
        </w:rPr>
        <w:t>et al.</w:t>
      </w:r>
      <w:r w:rsidRPr="00E73159">
        <w:rPr>
          <w:rFonts w:ascii="Calibri" w:cs="Calibri"/>
          <w:color w:val="000000" w:themeColor="text1"/>
        </w:rPr>
        <w:t xml:space="preserve">, “Implementation of emergency department&amp;#x2013;initiated buprenorphine for opioid use disorder in a rural southern state,” </w:t>
      </w:r>
      <w:r w:rsidRPr="00E73159">
        <w:rPr>
          <w:rFonts w:ascii="Calibri" w:cs="Calibri"/>
          <w:i/>
          <w:iCs/>
          <w:color w:val="000000" w:themeColor="text1"/>
        </w:rPr>
        <w:t>Journal of Substance Abuse Treatment</w:t>
      </w:r>
      <w:r w:rsidRPr="00E73159">
        <w:rPr>
          <w:rFonts w:ascii="Calibri" w:cs="Calibri"/>
          <w:color w:val="000000" w:themeColor="text1"/>
        </w:rPr>
        <w:t>, vol. 112, pp. 73–78, Mar. 2020, doi: 10.1016/j.jsat.2020.02.007.</w:t>
      </w:r>
    </w:p>
    <w:p w14:paraId="6614FC50"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[7]</w:t>
      </w:r>
      <w:r w:rsidRPr="00E73159">
        <w:rPr>
          <w:rFonts w:ascii="Calibri" w:cs="Calibri"/>
          <w:color w:val="000000" w:themeColor="text1"/>
        </w:rPr>
        <w:tab/>
        <w:t xml:space="preserve">T. D. Brothers </w:t>
      </w:r>
      <w:r w:rsidRPr="00E73159">
        <w:rPr>
          <w:rFonts w:ascii="Calibri" w:cs="Calibri"/>
          <w:i/>
          <w:iCs/>
          <w:color w:val="000000" w:themeColor="text1"/>
        </w:rPr>
        <w:t>et al.</w:t>
      </w:r>
      <w:r w:rsidRPr="00E73159">
        <w:rPr>
          <w:rFonts w:ascii="Calibri" w:cs="Calibri"/>
          <w:color w:val="000000" w:themeColor="text1"/>
        </w:rPr>
        <w:t xml:space="preserve">, “Implementation and evaluation of a novel, unofficial, trainee-organized hospital addiction medicine consultation service,” </w:t>
      </w:r>
      <w:r w:rsidRPr="00E73159">
        <w:rPr>
          <w:rFonts w:ascii="Calibri" w:cs="Calibri"/>
          <w:i/>
          <w:iCs/>
          <w:color w:val="000000" w:themeColor="text1"/>
        </w:rPr>
        <w:t>Substance Abuse</w:t>
      </w:r>
      <w:r w:rsidRPr="00E73159">
        <w:rPr>
          <w:rFonts w:ascii="Calibri" w:cs="Calibri"/>
          <w:color w:val="000000" w:themeColor="text1"/>
        </w:rPr>
        <w:t>, vol. 42, no. 4, pp. 433–437, Oct. 2021, doi: 10.1080/08897077.2020.1856291.</w:t>
      </w:r>
    </w:p>
    <w:p w14:paraId="4E206659"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[8]</w:t>
      </w:r>
      <w:r w:rsidRPr="00E73159">
        <w:rPr>
          <w:rFonts w:ascii="Calibri" w:cs="Calibri"/>
          <w:color w:val="000000" w:themeColor="text1"/>
        </w:rPr>
        <w:tab/>
        <w:t xml:space="preserve">K. A. Byrne </w:t>
      </w:r>
      <w:r w:rsidRPr="00E73159">
        <w:rPr>
          <w:rFonts w:ascii="Calibri" w:cs="Calibri"/>
          <w:i/>
          <w:iCs/>
          <w:color w:val="000000" w:themeColor="text1"/>
        </w:rPr>
        <w:t>et al.</w:t>
      </w:r>
      <w:r w:rsidRPr="00E73159">
        <w:rPr>
          <w:rFonts w:ascii="Calibri" w:cs="Calibri"/>
          <w:color w:val="000000" w:themeColor="text1"/>
        </w:rPr>
        <w:t xml:space="preserve">, “Inpatient link to peer recovery coaching: Results from a pilot randomized control trial,” </w:t>
      </w:r>
      <w:r w:rsidRPr="00E73159">
        <w:rPr>
          <w:rFonts w:ascii="Calibri" w:cs="Calibri"/>
          <w:i/>
          <w:iCs/>
          <w:color w:val="000000" w:themeColor="text1"/>
        </w:rPr>
        <w:t>Drug and Alcohol Dependence</w:t>
      </w:r>
      <w:r w:rsidRPr="00E73159">
        <w:rPr>
          <w:rFonts w:ascii="Calibri" w:cs="Calibri"/>
          <w:color w:val="000000" w:themeColor="text1"/>
        </w:rPr>
        <w:t>, vol. 215, p. 108234, 2020, doi: https://doi.org/10.1016/j.drugalcdep.2020.108234.</w:t>
      </w:r>
    </w:p>
    <w:p w14:paraId="4C0343A4"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[9]</w:t>
      </w:r>
      <w:r w:rsidRPr="00E73159">
        <w:rPr>
          <w:rFonts w:ascii="Calibri" w:cs="Calibri"/>
          <w:color w:val="000000" w:themeColor="text1"/>
        </w:rPr>
        <w:tab/>
        <w:t xml:space="preserve">S. L. Calcaterra, L. McBeth, A. M. Keniston, and M. Burden, “The Development and Implementation of a Hospitalist-Directed Addiction Medicine Consultation Service to Address a Treatment Gap,” </w:t>
      </w:r>
      <w:r w:rsidRPr="00E73159">
        <w:rPr>
          <w:rFonts w:ascii="Calibri" w:cs="Calibri"/>
          <w:i/>
          <w:iCs/>
          <w:color w:val="000000" w:themeColor="text1"/>
        </w:rPr>
        <w:t>Journal of General Internal Medicine</w:t>
      </w:r>
      <w:r w:rsidRPr="00E73159">
        <w:rPr>
          <w:rFonts w:ascii="Calibri" w:cs="Calibri"/>
          <w:color w:val="000000" w:themeColor="text1"/>
        </w:rPr>
        <w:t>, vol. 37, no. 5, pp. 1065–1072, 2022, doi: 10.1007/s11606-021-06849-8.</w:t>
      </w:r>
    </w:p>
    <w:p w14:paraId="3446C637"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[10]</w:t>
      </w:r>
      <w:r w:rsidRPr="00E73159">
        <w:rPr>
          <w:rFonts w:ascii="Calibri" w:cs="Calibri"/>
          <w:color w:val="000000" w:themeColor="text1"/>
        </w:rPr>
        <w:tab/>
        <w:t xml:space="preserve">P. A. Cushman, J. M. Liebschutz, B. J. Anderson, M. R. Moreau, and M. D. Stein, “Buprenorphine Initiation and Linkage to Outpatient Buprenorphine do not Reduce Frequency of Injection Opiate Use Following Hospitalization,” </w:t>
      </w:r>
      <w:r w:rsidRPr="00E73159">
        <w:rPr>
          <w:rFonts w:ascii="Calibri" w:cs="Calibri"/>
          <w:i/>
          <w:iCs/>
          <w:color w:val="000000" w:themeColor="text1"/>
        </w:rPr>
        <w:t>Journal of Substance Abuse Treatment</w:t>
      </w:r>
      <w:r w:rsidRPr="00E73159">
        <w:rPr>
          <w:rFonts w:ascii="Calibri" w:cs="Calibri"/>
          <w:color w:val="000000" w:themeColor="text1"/>
        </w:rPr>
        <w:t>, vol. 68, pp. 68–73, Sep. 2016, doi: 10.1016/j.jsat.2016.06.003.</w:t>
      </w:r>
    </w:p>
    <w:p w14:paraId="1A2F0B71"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[11]</w:t>
      </w:r>
      <w:r w:rsidRPr="00E73159">
        <w:rPr>
          <w:rFonts w:ascii="Calibri" w:cs="Calibri"/>
          <w:color w:val="000000" w:themeColor="text1"/>
        </w:rPr>
        <w:tab/>
        <w:t xml:space="preserve">G. D’Onofrio and L. C. Degutis, “Integrating Project ASSERT: A Screening, Intervention, and Referral to Treatment Program for Unhealthy Alcohol and Drug Use Into an Urban Emergency Department,” </w:t>
      </w:r>
      <w:r w:rsidRPr="00E73159">
        <w:rPr>
          <w:rFonts w:ascii="Calibri" w:cs="Calibri"/>
          <w:i/>
          <w:iCs/>
          <w:color w:val="000000" w:themeColor="text1"/>
        </w:rPr>
        <w:t>Academic Emergency Medicine</w:t>
      </w:r>
      <w:r w:rsidRPr="00E73159">
        <w:rPr>
          <w:rFonts w:ascii="Calibri" w:cs="Calibri"/>
          <w:color w:val="000000" w:themeColor="text1"/>
        </w:rPr>
        <w:t>, vol. 17, no. 8, pp. 903–911, Aug. 2010, doi: https://doi.org/10.1111/j.1553-2712.2010.00824.x.</w:t>
      </w:r>
    </w:p>
    <w:p w14:paraId="19D6B144"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[12]</w:t>
      </w:r>
      <w:r w:rsidRPr="00E73159">
        <w:rPr>
          <w:rFonts w:ascii="Calibri" w:cs="Calibri"/>
          <w:color w:val="000000" w:themeColor="text1"/>
        </w:rPr>
        <w:tab/>
        <w:t xml:space="preserve">G. D’Onofrio </w:t>
      </w:r>
      <w:r w:rsidRPr="00E73159">
        <w:rPr>
          <w:rFonts w:ascii="Calibri" w:cs="Calibri"/>
          <w:i/>
          <w:iCs/>
          <w:color w:val="000000" w:themeColor="text1"/>
        </w:rPr>
        <w:t>et al.</w:t>
      </w:r>
      <w:r w:rsidRPr="00E73159">
        <w:rPr>
          <w:rFonts w:ascii="Calibri" w:cs="Calibri"/>
          <w:color w:val="000000" w:themeColor="text1"/>
        </w:rPr>
        <w:t xml:space="preserve">, “Emergency department-initiated buprenorphine/naloxone treatment for opioid dependence: a randomized clinical trial,” </w:t>
      </w:r>
      <w:r w:rsidRPr="00E73159">
        <w:rPr>
          <w:rFonts w:ascii="Calibri" w:cs="Calibri"/>
          <w:i/>
          <w:iCs/>
          <w:color w:val="000000" w:themeColor="text1"/>
        </w:rPr>
        <w:t>JAMA</w:t>
      </w:r>
      <w:r w:rsidRPr="00E73159">
        <w:rPr>
          <w:rFonts w:ascii="Calibri" w:cs="Calibri"/>
          <w:color w:val="000000" w:themeColor="text1"/>
        </w:rPr>
        <w:t>, vol. 313, no. 16, pp. 1636–1644, Apr. 2015, doi: 10.1001/jama.2015.3474.</w:t>
      </w:r>
    </w:p>
    <w:p w14:paraId="5C5B2E8E"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[13]</w:t>
      </w:r>
      <w:r w:rsidRPr="00E73159">
        <w:rPr>
          <w:rFonts w:ascii="Calibri" w:cs="Calibri"/>
          <w:color w:val="000000" w:themeColor="text1"/>
        </w:rPr>
        <w:tab/>
        <w:t xml:space="preserve">G. D’Onofrio </w:t>
      </w:r>
      <w:r w:rsidRPr="00E73159">
        <w:rPr>
          <w:rFonts w:ascii="Calibri" w:cs="Calibri"/>
          <w:i/>
          <w:iCs/>
          <w:color w:val="000000" w:themeColor="text1"/>
        </w:rPr>
        <w:t>et al.</w:t>
      </w:r>
      <w:r w:rsidRPr="00E73159">
        <w:rPr>
          <w:rFonts w:ascii="Calibri" w:cs="Calibri"/>
          <w:color w:val="000000" w:themeColor="text1"/>
        </w:rPr>
        <w:t xml:space="preserve">, “Emergency Department-Initiated Buprenorphine for Opioid Dependence with Continuation in Primary Care: Outcomes During and After Intervention,” </w:t>
      </w:r>
      <w:r w:rsidRPr="00E73159">
        <w:rPr>
          <w:rFonts w:ascii="Calibri" w:cs="Calibri"/>
          <w:i/>
          <w:iCs/>
          <w:color w:val="000000" w:themeColor="text1"/>
        </w:rPr>
        <w:t>Journal of General Internal Medicine</w:t>
      </w:r>
      <w:r w:rsidRPr="00E73159">
        <w:rPr>
          <w:rFonts w:ascii="Calibri" w:cs="Calibri"/>
          <w:color w:val="000000" w:themeColor="text1"/>
        </w:rPr>
        <w:t>, vol. 32, no. 6, pp. 660–666, 2017, doi: 10.1007/s11606-017-3993-2.</w:t>
      </w:r>
    </w:p>
    <w:p w14:paraId="3115E7E9"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[14]</w:t>
      </w:r>
      <w:r w:rsidRPr="00E73159">
        <w:rPr>
          <w:rFonts w:ascii="Calibri" w:cs="Calibri"/>
          <w:color w:val="000000" w:themeColor="text1"/>
        </w:rPr>
        <w:tab/>
        <w:t xml:space="preserve">C. H. (Gina) Dahlem </w:t>
      </w:r>
      <w:r w:rsidRPr="00E73159">
        <w:rPr>
          <w:rFonts w:ascii="Calibri" w:cs="Calibri"/>
          <w:i/>
          <w:iCs/>
          <w:color w:val="000000" w:themeColor="text1"/>
        </w:rPr>
        <w:t>et al.</w:t>
      </w:r>
      <w:r w:rsidRPr="00E73159">
        <w:rPr>
          <w:rFonts w:ascii="Calibri" w:cs="Calibri"/>
          <w:color w:val="000000" w:themeColor="text1"/>
        </w:rPr>
        <w:t xml:space="preserve">, “Recovery opioid overdose team (ROOT) pilot program evaluation: A community-wide post-overdose response strategy,” </w:t>
      </w:r>
      <w:r w:rsidRPr="00E73159">
        <w:rPr>
          <w:rFonts w:ascii="Calibri" w:cs="Calibri"/>
          <w:i/>
          <w:iCs/>
          <w:color w:val="000000" w:themeColor="text1"/>
        </w:rPr>
        <w:t>Substance Abuse</w:t>
      </w:r>
      <w:r w:rsidRPr="00E73159">
        <w:rPr>
          <w:rFonts w:ascii="Calibri" w:cs="Calibri"/>
          <w:color w:val="000000" w:themeColor="text1"/>
        </w:rPr>
        <w:t>, vol. 42, no. 4, pp. 423–427, Oct. 2021, doi: 10.1080/08897077.2020.1847239.</w:t>
      </w:r>
    </w:p>
    <w:p w14:paraId="306EA5D2"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[15]</w:t>
      </w:r>
      <w:r w:rsidRPr="00E73159">
        <w:rPr>
          <w:rFonts w:ascii="Calibri" w:cs="Calibri"/>
          <w:color w:val="000000" w:themeColor="text1"/>
        </w:rPr>
        <w:tab/>
        <w:t xml:space="preserve">C. A. Dunkley </w:t>
      </w:r>
      <w:r w:rsidRPr="00E73159">
        <w:rPr>
          <w:rFonts w:ascii="Calibri" w:cs="Calibri"/>
          <w:i/>
          <w:iCs/>
          <w:color w:val="000000" w:themeColor="text1"/>
        </w:rPr>
        <w:t>et al.</w:t>
      </w:r>
      <w:r w:rsidRPr="00E73159">
        <w:rPr>
          <w:rFonts w:ascii="Calibri" w:cs="Calibri"/>
          <w:color w:val="000000" w:themeColor="text1"/>
        </w:rPr>
        <w:t xml:space="preserve">, “Retrospective Review of a Novel Approach to Buprenorphine Induction in the Emergency Department,” </w:t>
      </w:r>
      <w:r w:rsidRPr="00E73159">
        <w:rPr>
          <w:rFonts w:ascii="Calibri" w:cs="Calibri"/>
          <w:i/>
          <w:iCs/>
          <w:color w:val="000000" w:themeColor="text1"/>
        </w:rPr>
        <w:t>Journal of Emergency Medicine</w:t>
      </w:r>
      <w:r w:rsidRPr="00E73159">
        <w:rPr>
          <w:rFonts w:ascii="Calibri" w:cs="Calibri"/>
          <w:color w:val="000000" w:themeColor="text1"/>
        </w:rPr>
        <w:t>, vol. 57, no. 2, pp. 181–186, Aug. 2019, doi: 10.1016/j.jemermed.2019.03.029.</w:t>
      </w:r>
    </w:p>
    <w:p w14:paraId="1FDC2A67"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[16]</w:t>
      </w:r>
      <w:r w:rsidRPr="00E73159">
        <w:rPr>
          <w:rFonts w:ascii="Calibri" w:cs="Calibri"/>
          <w:color w:val="000000" w:themeColor="text1"/>
        </w:rPr>
        <w:tab/>
        <w:t xml:space="preserve">F. J. Edwards, R. Wicelinski, N. Gallagher, A. McKinzie, R. White, and A. Domingos, “Treating Opioid Withdrawal With Buprenorphine in a Community Hospital Emergency Department: An Outreach Program,” </w:t>
      </w:r>
      <w:r w:rsidRPr="00E73159">
        <w:rPr>
          <w:rFonts w:ascii="Calibri" w:cs="Calibri"/>
          <w:i/>
          <w:iCs/>
          <w:color w:val="000000" w:themeColor="text1"/>
        </w:rPr>
        <w:t>Annals of Emergency Medicine</w:t>
      </w:r>
      <w:r w:rsidRPr="00E73159">
        <w:rPr>
          <w:rFonts w:ascii="Calibri" w:cs="Calibri"/>
          <w:color w:val="000000" w:themeColor="text1"/>
        </w:rPr>
        <w:t>, vol. 75, no. 1, pp. 49–56, Jan. 2020, doi: 10.1016/j.annemergmed.2019.08.420.</w:t>
      </w:r>
    </w:p>
    <w:p w14:paraId="5C538556"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[17]</w:t>
      </w:r>
      <w:r w:rsidRPr="00E73159">
        <w:rPr>
          <w:rFonts w:ascii="Calibri" w:cs="Calibri"/>
          <w:color w:val="000000" w:themeColor="text1"/>
        </w:rPr>
        <w:tab/>
        <w:t xml:space="preserve">H. Englander </w:t>
      </w:r>
      <w:r w:rsidRPr="00E73159">
        <w:rPr>
          <w:rFonts w:ascii="Calibri" w:cs="Calibri"/>
          <w:i/>
          <w:iCs/>
          <w:color w:val="000000" w:themeColor="text1"/>
        </w:rPr>
        <w:t>et al.</w:t>
      </w:r>
      <w:r w:rsidRPr="00E73159">
        <w:rPr>
          <w:rFonts w:ascii="Calibri" w:cs="Calibri"/>
          <w:color w:val="000000" w:themeColor="text1"/>
        </w:rPr>
        <w:t xml:space="preserve">, “Inpatient Addiction Medicine Consultation and Post-Hospital Substance Use Disorder Treatment Engagement: a Propensity-Matched Analysis,” </w:t>
      </w:r>
      <w:r w:rsidRPr="00E73159">
        <w:rPr>
          <w:rFonts w:ascii="Calibri" w:cs="Calibri"/>
          <w:i/>
          <w:iCs/>
          <w:color w:val="000000" w:themeColor="text1"/>
        </w:rPr>
        <w:t>Journal of General Internal Medicine</w:t>
      </w:r>
      <w:r w:rsidRPr="00E73159">
        <w:rPr>
          <w:rFonts w:ascii="Calibri" w:cs="Calibri"/>
          <w:color w:val="000000" w:themeColor="text1"/>
        </w:rPr>
        <w:t>, vol. 34, no. 12, pp. 2796–2803, 2019, doi: 10.1007/s11606-019-05251-9.</w:t>
      </w:r>
    </w:p>
    <w:p w14:paraId="0B2F1EDE"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[18]</w:t>
      </w:r>
      <w:r w:rsidRPr="00E73159">
        <w:rPr>
          <w:rFonts w:ascii="Calibri" w:cs="Calibri"/>
          <w:color w:val="000000" w:themeColor="text1"/>
        </w:rPr>
        <w:tab/>
        <w:t xml:space="preserve">J. Gryczynski, C. D. Nordeck, C. Welsh, S. G. Mitchell, K. E. O’Grady, and R. P. Schwartz, “Preventing Hospital Readmission for Patients With Comorbid Substance Use Disorder,” </w:t>
      </w:r>
      <w:r w:rsidRPr="00E73159">
        <w:rPr>
          <w:rFonts w:ascii="Calibri" w:cs="Calibri"/>
          <w:i/>
          <w:iCs/>
          <w:color w:val="000000" w:themeColor="text1"/>
        </w:rPr>
        <w:t>Annals of Internal Medicine</w:t>
      </w:r>
      <w:r w:rsidRPr="00E73159">
        <w:rPr>
          <w:rFonts w:ascii="Calibri" w:cs="Calibri"/>
          <w:color w:val="000000" w:themeColor="text1"/>
        </w:rPr>
        <w:t>, vol. 174, no. 7, pp. 899–909, Apr. 2021, doi: 10.7326/M20-5475.</w:t>
      </w:r>
    </w:p>
    <w:p w14:paraId="29BFF055"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[19]</w:t>
      </w:r>
      <w:r w:rsidRPr="00E73159">
        <w:rPr>
          <w:rFonts w:ascii="Calibri" w:cs="Calibri"/>
          <w:color w:val="000000" w:themeColor="text1"/>
        </w:rPr>
        <w:tab/>
        <w:t xml:space="preserve">T. Hu, M. Snider-Adler, L. Nijmeh, and A. Pyle, “Buprenorphine/naloxone induction in a Canadian emergency department with rapid access to community-based addictions providers,” </w:t>
      </w:r>
      <w:r w:rsidRPr="00E73159">
        <w:rPr>
          <w:rFonts w:ascii="Calibri" w:cs="Calibri"/>
          <w:i/>
          <w:iCs/>
          <w:color w:val="000000" w:themeColor="text1"/>
        </w:rPr>
        <w:t>CJEM</w:t>
      </w:r>
      <w:r w:rsidRPr="00E73159">
        <w:rPr>
          <w:rFonts w:ascii="Calibri" w:cs="Calibri"/>
          <w:color w:val="000000" w:themeColor="text1"/>
        </w:rPr>
        <w:t>, vol. 21, no. 4, pp. 492–498, 2019, doi: DOI: 10.1017/cem.2019.24.</w:t>
      </w:r>
    </w:p>
    <w:p w14:paraId="4373C3DF"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[20]</w:t>
      </w:r>
      <w:r w:rsidRPr="00E73159">
        <w:rPr>
          <w:rFonts w:ascii="Calibri" w:cs="Calibri"/>
          <w:color w:val="000000" w:themeColor="text1"/>
        </w:rPr>
        <w:tab/>
        <w:t xml:space="preserve">L. K. Jennings </w:t>
      </w:r>
      <w:r w:rsidRPr="00E73159">
        <w:rPr>
          <w:rFonts w:ascii="Calibri" w:cs="Calibri"/>
          <w:i/>
          <w:iCs/>
          <w:color w:val="000000" w:themeColor="text1"/>
        </w:rPr>
        <w:t>et al.</w:t>
      </w:r>
      <w:r w:rsidRPr="00E73159">
        <w:rPr>
          <w:rFonts w:ascii="Calibri" w:cs="Calibri"/>
          <w:color w:val="000000" w:themeColor="text1"/>
        </w:rPr>
        <w:t xml:space="preserve">, “Retention in Treatment after Emergency Department-Initiated Buprenorphine,” </w:t>
      </w:r>
      <w:r w:rsidRPr="00E73159">
        <w:rPr>
          <w:rFonts w:ascii="Calibri" w:cs="Calibri"/>
          <w:i/>
          <w:iCs/>
          <w:color w:val="000000" w:themeColor="text1"/>
        </w:rPr>
        <w:t>Journal of Emergency Medicine</w:t>
      </w:r>
      <w:r w:rsidRPr="00E73159">
        <w:rPr>
          <w:rFonts w:ascii="Calibri" w:cs="Calibri"/>
          <w:color w:val="000000" w:themeColor="text1"/>
        </w:rPr>
        <w:t>, vol. 61, no. 3, pp. 211–221, Sep. 2021, doi: 10.1016/j.jemermed.2021.04.007.</w:t>
      </w:r>
    </w:p>
    <w:p w14:paraId="4B2E176E"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[21]</w:t>
      </w:r>
      <w:r w:rsidRPr="00E73159">
        <w:rPr>
          <w:rFonts w:ascii="Calibri" w:cs="Calibri"/>
          <w:color w:val="000000" w:themeColor="text1"/>
        </w:rPr>
        <w:tab/>
        <w:t xml:space="preserve">K. A. Kaucher </w:t>
      </w:r>
      <w:r w:rsidRPr="00E73159">
        <w:rPr>
          <w:rFonts w:ascii="Calibri" w:cs="Calibri"/>
          <w:i/>
          <w:iCs/>
          <w:color w:val="000000" w:themeColor="text1"/>
        </w:rPr>
        <w:t>et al.</w:t>
      </w:r>
      <w:r w:rsidRPr="00E73159">
        <w:rPr>
          <w:rFonts w:ascii="Calibri" w:cs="Calibri"/>
          <w:color w:val="000000" w:themeColor="text1"/>
        </w:rPr>
        <w:t xml:space="preserve">, “Evaluation of an emergency department buprenorphine induction and medication-assisted treatment referral program,” </w:t>
      </w:r>
      <w:r w:rsidRPr="00E73159">
        <w:rPr>
          <w:rFonts w:ascii="Calibri" w:cs="Calibri"/>
          <w:i/>
          <w:iCs/>
          <w:color w:val="000000" w:themeColor="text1"/>
        </w:rPr>
        <w:t>The American Journal of Emergency Medicine</w:t>
      </w:r>
      <w:r w:rsidRPr="00E73159">
        <w:rPr>
          <w:rFonts w:ascii="Calibri" w:cs="Calibri"/>
          <w:color w:val="000000" w:themeColor="text1"/>
        </w:rPr>
        <w:t>, vol. 38, no. 2, pp. 300–304, 2020, doi: https://doi.org/10.1016/j.ajem.2019.158373.</w:t>
      </w:r>
    </w:p>
    <w:p w14:paraId="4245B37F"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[22]</w:t>
      </w:r>
      <w:r w:rsidRPr="00E73159">
        <w:rPr>
          <w:rFonts w:ascii="Calibri" w:cs="Calibri"/>
          <w:color w:val="000000" w:themeColor="text1"/>
        </w:rPr>
        <w:tab/>
        <w:t xml:space="preserve">T. Kelly, J. A. Hoppe, M. Zuckerman, A. Khoshnoud, B. Sholl, and K. Heard, “A novel social work approach to emergency department buprenorphine induction and warm hand-off to community providers,” </w:t>
      </w:r>
      <w:r w:rsidRPr="00E73159">
        <w:rPr>
          <w:rFonts w:ascii="Calibri" w:cs="Calibri"/>
          <w:i/>
          <w:iCs/>
          <w:color w:val="000000" w:themeColor="text1"/>
        </w:rPr>
        <w:t>The American Journal of Emergency Medicine</w:t>
      </w:r>
      <w:r w:rsidRPr="00E73159">
        <w:rPr>
          <w:rFonts w:ascii="Calibri" w:cs="Calibri"/>
          <w:color w:val="000000" w:themeColor="text1"/>
        </w:rPr>
        <w:t>, vol. 38, no. 6, pp. 1286–1290, 2020, doi: https://doi.org/10.1016/j.ajem.2019.12.038.</w:t>
      </w:r>
    </w:p>
    <w:p w14:paraId="0703F57E"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[23]</w:t>
      </w:r>
      <w:r w:rsidRPr="00E73159">
        <w:rPr>
          <w:rFonts w:ascii="Calibri" w:cs="Calibri"/>
          <w:color w:val="000000" w:themeColor="text1"/>
        </w:rPr>
        <w:tab/>
        <w:t xml:space="preserve">J. Kmiec and B. Suffoletto, “Implementations of a text-message intervention to increase linkage from the emergency department to outpatient treatment for substance use disorders,” </w:t>
      </w:r>
      <w:r w:rsidRPr="00E73159">
        <w:rPr>
          <w:rFonts w:ascii="Calibri" w:cs="Calibri"/>
          <w:i/>
          <w:iCs/>
          <w:color w:val="000000" w:themeColor="text1"/>
        </w:rPr>
        <w:t>Journal of Substance Abuse Treatment</w:t>
      </w:r>
      <w:r w:rsidRPr="00E73159">
        <w:rPr>
          <w:rFonts w:ascii="Calibri" w:cs="Calibri"/>
          <w:color w:val="000000" w:themeColor="text1"/>
        </w:rPr>
        <w:t>, vol. 100, pp. 39–44, May 2019, doi: 10.1016/j.jsat.2019.02.005.</w:t>
      </w:r>
    </w:p>
    <w:p w14:paraId="3DED9AE5"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[24]</w:t>
      </w:r>
      <w:r w:rsidRPr="00E73159">
        <w:rPr>
          <w:rFonts w:ascii="Calibri" w:cs="Calibri"/>
          <w:color w:val="000000" w:themeColor="text1"/>
        </w:rPr>
        <w:tab/>
        <w:t xml:space="preserve">A. Krupski </w:t>
      </w:r>
      <w:r w:rsidRPr="00E73159">
        <w:rPr>
          <w:rFonts w:ascii="Calibri" w:cs="Calibri"/>
          <w:i/>
          <w:iCs/>
          <w:color w:val="000000" w:themeColor="text1"/>
        </w:rPr>
        <w:t>et al.</w:t>
      </w:r>
      <w:r w:rsidRPr="00E73159">
        <w:rPr>
          <w:rFonts w:ascii="Calibri" w:cs="Calibri"/>
          <w:color w:val="000000" w:themeColor="text1"/>
        </w:rPr>
        <w:t xml:space="preserve">, “Impact of brief interventions and brief treatment on admissions to chemical dependency treatment,” </w:t>
      </w:r>
      <w:r w:rsidRPr="00E73159">
        <w:rPr>
          <w:rFonts w:ascii="Calibri" w:cs="Calibri"/>
          <w:i/>
          <w:iCs/>
          <w:color w:val="000000" w:themeColor="text1"/>
        </w:rPr>
        <w:t>Drug and Alcohol Dependence</w:t>
      </w:r>
      <w:r w:rsidRPr="00E73159">
        <w:rPr>
          <w:rFonts w:ascii="Calibri" w:cs="Calibri"/>
          <w:color w:val="000000" w:themeColor="text1"/>
        </w:rPr>
        <w:t>, vol. 110, no. 1, pp. 126–136, 2010, doi: https://doi.org/10.1016/j.drugalcdep.2010.02.018.</w:t>
      </w:r>
    </w:p>
    <w:p w14:paraId="5F5C1EE7"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[25]</w:t>
      </w:r>
      <w:r w:rsidRPr="00E73159">
        <w:rPr>
          <w:rFonts w:ascii="Calibri" w:cs="Calibri"/>
          <w:color w:val="000000" w:themeColor="text1"/>
        </w:rPr>
        <w:tab/>
        <w:t xml:space="preserve">K. T. LeSaint, B. Klapthor, R. C. Wang, and C. Geier, “Buprenorphine for Opioid Use Disorder in the Emergency Department: A Retrospective Chart Review.,” </w:t>
      </w:r>
      <w:r w:rsidRPr="00E73159">
        <w:rPr>
          <w:rFonts w:ascii="Calibri" w:cs="Calibri"/>
          <w:i/>
          <w:iCs/>
          <w:color w:val="000000" w:themeColor="text1"/>
        </w:rPr>
        <w:t>Western Journal of Emergency Medicine: Integrating Emergency Care with Population Health</w:t>
      </w:r>
      <w:r w:rsidRPr="00E73159">
        <w:rPr>
          <w:rFonts w:ascii="Calibri" w:cs="Calibri"/>
          <w:color w:val="000000" w:themeColor="text1"/>
        </w:rPr>
        <w:t>, vol. 21, no. 5, 2020.</w:t>
      </w:r>
    </w:p>
    <w:p w14:paraId="6C1A6A58"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[26]</w:t>
      </w:r>
      <w:r w:rsidRPr="00E73159">
        <w:rPr>
          <w:rFonts w:ascii="Calibri" w:cs="Calibri"/>
          <w:color w:val="000000" w:themeColor="text1"/>
        </w:rPr>
        <w:tab/>
        <w:t xml:space="preserve">P. McLane </w:t>
      </w:r>
      <w:r w:rsidRPr="00E73159">
        <w:rPr>
          <w:rFonts w:ascii="Calibri" w:cs="Calibri"/>
          <w:i/>
          <w:iCs/>
          <w:color w:val="000000" w:themeColor="text1"/>
        </w:rPr>
        <w:t>et al.</w:t>
      </w:r>
      <w:r w:rsidRPr="00E73159">
        <w:rPr>
          <w:rFonts w:ascii="Calibri" w:cs="Calibri"/>
          <w:color w:val="000000" w:themeColor="text1"/>
        </w:rPr>
        <w:t xml:space="preserve">, “Multi-site intervention to improve emergency department care for patients who live with opioid use disorder: A quantitative evaluation,” </w:t>
      </w:r>
      <w:r w:rsidRPr="00E73159">
        <w:rPr>
          <w:rFonts w:ascii="Calibri" w:cs="Calibri"/>
          <w:i/>
          <w:iCs/>
          <w:color w:val="000000" w:themeColor="text1"/>
        </w:rPr>
        <w:t>CJEM</w:t>
      </w:r>
      <w:r w:rsidRPr="00E73159">
        <w:rPr>
          <w:rFonts w:ascii="Calibri" w:cs="Calibri"/>
          <w:color w:val="000000" w:themeColor="text1"/>
        </w:rPr>
        <w:t>, vol. 22, no. 6, pp. 784–792, 2020, doi: DOI: 10.1017/cem.2020.438.</w:t>
      </w:r>
    </w:p>
    <w:p w14:paraId="4C6E976C"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[27]</w:t>
      </w:r>
      <w:r w:rsidRPr="00E73159">
        <w:rPr>
          <w:rFonts w:ascii="Calibri" w:cs="Calibri"/>
          <w:color w:val="000000" w:themeColor="text1"/>
        </w:rPr>
        <w:tab/>
        <w:t xml:space="preserve">L. B. Monico, M. Oros, S. Smith, S. G. Mitchell, J. Gryczynski, and R. Schwartz, “One million screened: Scaling up SBIRT and buprenorphine treatment in hospital emergency departments across Maryland,” </w:t>
      </w:r>
      <w:r w:rsidRPr="00E73159">
        <w:rPr>
          <w:rFonts w:ascii="Calibri" w:cs="Calibri"/>
          <w:i/>
          <w:iCs/>
          <w:color w:val="000000" w:themeColor="text1"/>
        </w:rPr>
        <w:t>The American Journal of Emergency Medicine</w:t>
      </w:r>
      <w:r w:rsidRPr="00E73159">
        <w:rPr>
          <w:rFonts w:ascii="Calibri" w:cs="Calibri"/>
          <w:color w:val="000000" w:themeColor="text1"/>
        </w:rPr>
        <w:t>, vol. 38, no. 7, pp. 1466–1469, 2020, doi: https://doi.org/10.1016/j.ajem.2020.03.005.</w:t>
      </w:r>
    </w:p>
    <w:p w14:paraId="49B3E1FA"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[28]</w:t>
      </w:r>
      <w:r w:rsidRPr="00E73159">
        <w:rPr>
          <w:rFonts w:ascii="Calibri" w:cs="Calibri"/>
          <w:color w:val="000000" w:themeColor="text1"/>
        </w:rPr>
        <w:tab/>
        <w:t xml:space="preserve">C. D. Nordeck </w:t>
      </w:r>
      <w:r w:rsidRPr="00E73159">
        <w:rPr>
          <w:rFonts w:ascii="Calibri" w:cs="Calibri"/>
          <w:i/>
          <w:iCs/>
          <w:color w:val="000000" w:themeColor="text1"/>
        </w:rPr>
        <w:t>et al.</w:t>
      </w:r>
      <w:r w:rsidRPr="00E73159">
        <w:rPr>
          <w:rFonts w:ascii="Calibri" w:cs="Calibri"/>
          <w:color w:val="000000" w:themeColor="text1"/>
        </w:rPr>
        <w:t xml:space="preserve">, “Rehospitalization and substance use disorder (SUD) treatment entry among patients seen by a hospital SUD consultation-liaison service,” </w:t>
      </w:r>
      <w:r w:rsidRPr="00E73159">
        <w:rPr>
          <w:rFonts w:ascii="Calibri" w:cs="Calibri"/>
          <w:i/>
          <w:iCs/>
          <w:color w:val="000000" w:themeColor="text1"/>
        </w:rPr>
        <w:t>Drug and Alcohol Dependence</w:t>
      </w:r>
      <w:r w:rsidRPr="00E73159">
        <w:rPr>
          <w:rFonts w:ascii="Calibri" w:cs="Calibri"/>
          <w:color w:val="000000" w:themeColor="text1"/>
        </w:rPr>
        <w:t>, vol. 186, pp. 23–28, 2018, doi: https://doi.org/10.1016/j.drugalcdep.2017.12.043.</w:t>
      </w:r>
    </w:p>
    <w:p w14:paraId="14F10233"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[29]</w:t>
      </w:r>
      <w:r w:rsidRPr="00E73159">
        <w:rPr>
          <w:rFonts w:ascii="Calibri" w:cs="Calibri"/>
          <w:color w:val="000000" w:themeColor="text1"/>
        </w:rPr>
        <w:tab/>
        <w:t xml:space="preserve">M. J. O’Connell, E. H. Flanagan, M. E. Delphin-Rittmon, and L. Davidson, “Enhancing outcomes for persons with co-occurring disorders through skills training and peer recovery support,” </w:t>
      </w:r>
      <w:r w:rsidRPr="00E73159">
        <w:rPr>
          <w:rFonts w:ascii="Calibri" w:cs="Calibri"/>
          <w:i/>
          <w:iCs/>
          <w:color w:val="000000" w:themeColor="text1"/>
        </w:rPr>
        <w:t>Journal of Mental Health</w:t>
      </w:r>
      <w:r w:rsidRPr="00E73159">
        <w:rPr>
          <w:rFonts w:ascii="Calibri" w:cs="Calibri"/>
          <w:color w:val="000000" w:themeColor="text1"/>
        </w:rPr>
        <w:t>, vol. 29, no. 1, pp. 6–11, Jan. 2020, doi: 10.1080/09638237.2017.1294733.</w:t>
      </w:r>
    </w:p>
    <w:p w14:paraId="7CEE11DA"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[30]</w:t>
      </w:r>
      <w:r w:rsidRPr="00E73159">
        <w:rPr>
          <w:rFonts w:ascii="Calibri" w:cs="Calibri"/>
          <w:color w:val="000000" w:themeColor="text1"/>
        </w:rPr>
        <w:tab/>
        <w:t xml:space="preserve">A. Pecoraro </w:t>
      </w:r>
      <w:r w:rsidRPr="00E73159">
        <w:rPr>
          <w:rFonts w:ascii="Calibri" w:cs="Calibri"/>
          <w:i/>
          <w:iCs/>
          <w:color w:val="000000" w:themeColor="text1"/>
        </w:rPr>
        <w:t>et al.</w:t>
      </w:r>
      <w:r w:rsidRPr="00E73159">
        <w:rPr>
          <w:rFonts w:ascii="Calibri" w:cs="Calibri"/>
          <w:color w:val="000000" w:themeColor="text1"/>
        </w:rPr>
        <w:t xml:space="preserve">, “Early data from project engage: a program to identify and transition medically hospitalized patients into addictions treatment,” </w:t>
      </w:r>
      <w:r w:rsidRPr="00E73159">
        <w:rPr>
          <w:rFonts w:ascii="Calibri" w:cs="Calibri"/>
          <w:i/>
          <w:iCs/>
          <w:color w:val="000000" w:themeColor="text1"/>
        </w:rPr>
        <w:t>Addiction Science &amp; Clinical Practice</w:t>
      </w:r>
      <w:r w:rsidRPr="00E73159">
        <w:rPr>
          <w:rFonts w:ascii="Calibri" w:cs="Calibri"/>
          <w:color w:val="000000" w:themeColor="text1"/>
        </w:rPr>
        <w:t>, vol. 7, no. 1, p. 20, 2012, doi: 10.1186/1940-0640-7-20.</w:t>
      </w:r>
    </w:p>
    <w:p w14:paraId="542FC24B"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[31]</w:t>
      </w:r>
      <w:r w:rsidRPr="00E73159">
        <w:rPr>
          <w:rFonts w:ascii="Calibri" w:cs="Calibri"/>
          <w:color w:val="000000" w:themeColor="text1"/>
        </w:rPr>
        <w:tab/>
        <w:t xml:space="preserve">S. Regan </w:t>
      </w:r>
      <w:r w:rsidRPr="00E73159">
        <w:rPr>
          <w:rFonts w:ascii="Calibri" w:cs="Calibri"/>
          <w:i/>
          <w:iCs/>
          <w:color w:val="000000" w:themeColor="text1"/>
        </w:rPr>
        <w:t>et al.</w:t>
      </w:r>
      <w:r w:rsidRPr="00E73159">
        <w:rPr>
          <w:rFonts w:ascii="Calibri" w:cs="Calibri"/>
          <w:color w:val="000000" w:themeColor="text1"/>
        </w:rPr>
        <w:t xml:space="preserve">, “Emergency Department-initiated Buprenorphine and Referral to Follow-up Addiction Care: A Program Description,” </w:t>
      </w:r>
      <w:r w:rsidRPr="00E73159">
        <w:rPr>
          <w:rFonts w:ascii="Calibri" w:cs="Calibri"/>
          <w:i/>
          <w:iCs/>
          <w:color w:val="000000" w:themeColor="text1"/>
        </w:rPr>
        <w:t>Journal of Addiction Medicine</w:t>
      </w:r>
      <w:r w:rsidRPr="00E73159">
        <w:rPr>
          <w:rFonts w:ascii="Calibri" w:cs="Calibri"/>
          <w:color w:val="000000" w:themeColor="text1"/>
        </w:rPr>
        <w:t>, vol. 16, no. 2, 2022, [Online]. Available: https://journals.lww.com/journaladdictionmedicine/Fulltext/2022/04000/Emergency_Department_initiated_Buprenorphine_and.18.aspx</w:t>
      </w:r>
    </w:p>
    <w:p w14:paraId="473D98E1"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[32]</w:t>
      </w:r>
      <w:r w:rsidRPr="00E73159">
        <w:rPr>
          <w:rFonts w:ascii="Calibri" w:cs="Calibri"/>
          <w:color w:val="000000" w:themeColor="text1"/>
        </w:rPr>
        <w:tab/>
        <w:t xml:space="preserve">S. Rochat, V. Wietlisbach, B. Burnand, U. Landry, and B. Yersin, “Success of Referral for Alcohol Dependent Patients from a General Hospital,” </w:t>
      </w:r>
      <w:r w:rsidRPr="00E73159">
        <w:rPr>
          <w:rFonts w:ascii="Calibri" w:cs="Calibri"/>
          <w:i/>
          <w:iCs/>
          <w:color w:val="000000" w:themeColor="text1"/>
        </w:rPr>
        <w:t>Substance Abuse</w:t>
      </w:r>
      <w:r w:rsidRPr="00E73159">
        <w:rPr>
          <w:rFonts w:ascii="Calibri" w:cs="Calibri"/>
          <w:color w:val="000000" w:themeColor="text1"/>
        </w:rPr>
        <w:t>, vol. 25, no. 1, pp. 9–15, Jun. 2004, doi: 10.1300/J465v25n01_03.</w:t>
      </w:r>
    </w:p>
    <w:p w14:paraId="211EBD37"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[33]</w:t>
      </w:r>
      <w:r w:rsidRPr="00E73159">
        <w:rPr>
          <w:rFonts w:ascii="Calibri" w:cs="Calibri"/>
          <w:color w:val="000000" w:themeColor="text1"/>
        </w:rPr>
        <w:tab/>
        <w:t xml:space="preserve">C. Roncero </w:t>
      </w:r>
      <w:r w:rsidRPr="00E73159">
        <w:rPr>
          <w:rFonts w:ascii="Calibri" w:cs="Calibri"/>
          <w:i/>
          <w:iCs/>
          <w:color w:val="000000" w:themeColor="text1"/>
        </w:rPr>
        <w:t>et al.</w:t>
      </w:r>
      <w:r w:rsidRPr="00E73159">
        <w:rPr>
          <w:rFonts w:ascii="Calibri" w:cs="Calibri"/>
          <w:color w:val="000000" w:themeColor="text1"/>
        </w:rPr>
        <w:t xml:space="preserve">, “Treatment adherence to treatment in substance users referred from Psychiatric Emergency service to outpatient treatment,” </w:t>
      </w:r>
      <w:r w:rsidRPr="00E73159">
        <w:rPr>
          <w:rFonts w:ascii="Calibri" w:cs="Calibri"/>
          <w:i/>
          <w:iCs/>
          <w:color w:val="000000" w:themeColor="text1"/>
        </w:rPr>
        <w:t>Actas Esp Psiquiatr</w:t>
      </w:r>
      <w:r w:rsidRPr="00E73159">
        <w:rPr>
          <w:rFonts w:ascii="Calibri" w:cs="Calibri"/>
          <w:color w:val="000000" w:themeColor="text1"/>
        </w:rPr>
        <w:t>, vol. 40, no. 2, pp. 63–69, 2012.</w:t>
      </w:r>
    </w:p>
    <w:p w14:paraId="334DB9C7"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[34]</w:t>
      </w:r>
      <w:r w:rsidRPr="00E73159">
        <w:rPr>
          <w:rFonts w:ascii="Calibri" w:cs="Calibri"/>
          <w:color w:val="000000" w:themeColor="text1"/>
        </w:rPr>
        <w:tab/>
        <w:t xml:space="preserve">E. A. Samuels, S. L. Bernstein, B. D. L. Marshall, M. Krieger, J. Baird, and M. J. Mello, “Peer navigation and take-home naloxone for opioid overdose emergency department patients: Preliminary patient outcomes,” </w:t>
      </w:r>
      <w:r w:rsidRPr="00E73159">
        <w:rPr>
          <w:rFonts w:ascii="Calibri" w:cs="Calibri"/>
          <w:i/>
          <w:iCs/>
          <w:color w:val="000000" w:themeColor="text1"/>
        </w:rPr>
        <w:t>J Subst Abuse Treat</w:t>
      </w:r>
      <w:r w:rsidRPr="00E73159">
        <w:rPr>
          <w:rFonts w:ascii="Calibri" w:cs="Calibri"/>
          <w:color w:val="000000" w:themeColor="text1"/>
        </w:rPr>
        <w:t>, vol. 94, pp. 29–34, 2018, doi: 10.1016/j.jsat.2018.07.013.</w:t>
      </w:r>
    </w:p>
    <w:p w14:paraId="47DCD61E"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[35]</w:t>
      </w:r>
      <w:r w:rsidRPr="00E73159">
        <w:rPr>
          <w:rFonts w:ascii="Calibri" w:cs="Calibri"/>
          <w:color w:val="000000" w:themeColor="text1"/>
        </w:rPr>
        <w:tab/>
        <w:t xml:space="preserve">A.-S. Schwarz, B. Nielsen, J. Søgaard, and A. Søgaard Nielsen, “Making a bridge between general hospital and specialised community-based treatment for alcohol use disorder—A pragmatic randomised controlled trial,” </w:t>
      </w:r>
      <w:r w:rsidRPr="00E73159">
        <w:rPr>
          <w:rFonts w:ascii="Calibri" w:cs="Calibri"/>
          <w:i/>
          <w:iCs/>
          <w:color w:val="000000" w:themeColor="text1"/>
        </w:rPr>
        <w:t>Drug and Alcohol Dependence</w:t>
      </w:r>
      <w:r w:rsidRPr="00E73159">
        <w:rPr>
          <w:rFonts w:ascii="Calibri" w:cs="Calibri"/>
          <w:color w:val="000000" w:themeColor="text1"/>
        </w:rPr>
        <w:t>, vol. 196, pp. 51–56, 2019, doi: https://doi.org/10.1016/j.drugalcdep.2018.12.017.</w:t>
      </w:r>
    </w:p>
    <w:p w14:paraId="7E0F1A08"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[36]</w:t>
      </w:r>
      <w:r w:rsidRPr="00E73159">
        <w:rPr>
          <w:rFonts w:ascii="Calibri" w:cs="Calibri"/>
          <w:color w:val="000000" w:themeColor="text1"/>
        </w:rPr>
        <w:tab/>
        <w:t xml:space="preserve">C. W. Shanahan, D. Beers, D. P. Alford, E. Brigandi, and J. H. Samet, “A Transitional Opioid Program to Engage Hospitalized Drug Users,” </w:t>
      </w:r>
      <w:r w:rsidRPr="00E73159">
        <w:rPr>
          <w:rFonts w:ascii="Calibri" w:cs="Calibri"/>
          <w:i/>
          <w:iCs/>
          <w:color w:val="000000" w:themeColor="text1"/>
        </w:rPr>
        <w:t>Journal of General Internal Medicine</w:t>
      </w:r>
      <w:r w:rsidRPr="00E73159">
        <w:rPr>
          <w:rFonts w:ascii="Calibri" w:cs="Calibri"/>
          <w:color w:val="000000" w:themeColor="text1"/>
        </w:rPr>
        <w:t>, vol. 25, no. 8, pp. 803–808, 2010, doi: 10.1007/s11606-010-1311-3.</w:t>
      </w:r>
    </w:p>
    <w:p w14:paraId="24669CA5"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[37]</w:t>
      </w:r>
      <w:r w:rsidRPr="00E73159">
        <w:rPr>
          <w:rFonts w:ascii="Calibri" w:cs="Calibri"/>
          <w:color w:val="000000" w:themeColor="text1"/>
        </w:rPr>
        <w:tab/>
        <w:t xml:space="preserve">I. Shaw, K. A. Faryar, R. J. Ryan, R. M. Ancona, F. J. Fernandez, and M. S. Lyons, “Evaluation of low-intensity initiatives to improve linkage to care for emergency department patients with opioid use disorder,” </w:t>
      </w:r>
      <w:r w:rsidRPr="00E73159">
        <w:rPr>
          <w:rFonts w:ascii="Calibri" w:cs="Calibri"/>
          <w:i/>
          <w:iCs/>
          <w:color w:val="000000" w:themeColor="text1"/>
        </w:rPr>
        <w:t>The American Journal of Emergency Medicine</w:t>
      </w:r>
      <w:r w:rsidRPr="00E73159">
        <w:rPr>
          <w:rFonts w:ascii="Calibri" w:cs="Calibri"/>
          <w:color w:val="000000" w:themeColor="text1"/>
        </w:rPr>
        <w:t>, vol. 38, no. 11, pp. 2391–2394, 2020, doi: https://doi.org/10.1016/j.ajem.2020.09.007.</w:t>
      </w:r>
    </w:p>
    <w:p w14:paraId="0F94239C"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[38]</w:t>
      </w:r>
      <w:r w:rsidRPr="00E73159">
        <w:rPr>
          <w:rFonts w:ascii="Calibri" w:cs="Calibri"/>
          <w:color w:val="000000" w:themeColor="text1"/>
        </w:rPr>
        <w:tab/>
        <w:t xml:space="preserve">A. Smith, J. Hansen, and M. Colvard, “Impact of a pharmacist-led substance use disorder transitions of care clinic on postdischarge medication treatment retention,” </w:t>
      </w:r>
      <w:r w:rsidRPr="00E73159">
        <w:rPr>
          <w:rFonts w:ascii="Calibri" w:cs="Calibri"/>
          <w:i/>
          <w:iCs/>
          <w:color w:val="000000" w:themeColor="text1"/>
        </w:rPr>
        <w:t>Journal of Substance Abuse Treatment</w:t>
      </w:r>
      <w:r w:rsidRPr="00E73159">
        <w:rPr>
          <w:rFonts w:ascii="Calibri" w:cs="Calibri"/>
          <w:color w:val="000000" w:themeColor="text1"/>
        </w:rPr>
        <w:t>, vol. 130, Nov. 2021, doi: 10.1016/j.jsat.2021.108440.</w:t>
      </w:r>
    </w:p>
    <w:p w14:paraId="4126DDF4"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[39]</w:t>
      </w:r>
      <w:r w:rsidRPr="00E73159">
        <w:rPr>
          <w:rFonts w:ascii="Calibri" w:cs="Calibri"/>
          <w:color w:val="000000" w:themeColor="text1"/>
        </w:rPr>
        <w:tab/>
        <w:t xml:space="preserve">J. L. Sorensen </w:t>
      </w:r>
      <w:r w:rsidRPr="00E73159">
        <w:rPr>
          <w:rFonts w:ascii="Calibri" w:cs="Calibri"/>
          <w:i/>
          <w:iCs/>
          <w:color w:val="000000" w:themeColor="text1"/>
        </w:rPr>
        <w:t>et al.</w:t>
      </w:r>
      <w:r w:rsidRPr="00E73159">
        <w:rPr>
          <w:rFonts w:ascii="Calibri" w:cs="Calibri"/>
          <w:color w:val="000000" w:themeColor="text1"/>
        </w:rPr>
        <w:t xml:space="preserve">, “Randomized Trial of Drug Abuse Treatment-Linkage Strategies,” </w:t>
      </w:r>
      <w:r w:rsidRPr="00E73159">
        <w:rPr>
          <w:rFonts w:ascii="Calibri" w:cs="Calibri"/>
          <w:i/>
          <w:iCs/>
          <w:color w:val="000000" w:themeColor="text1"/>
        </w:rPr>
        <w:t>Journal of Consulting and Clinical Psychology</w:t>
      </w:r>
      <w:r w:rsidRPr="00E73159">
        <w:rPr>
          <w:rFonts w:ascii="Calibri" w:cs="Calibri"/>
          <w:color w:val="000000" w:themeColor="text1"/>
        </w:rPr>
        <w:t>, vol. 73, no. 6, pp. 1026–1035, 2005.</w:t>
      </w:r>
    </w:p>
    <w:p w14:paraId="0B1DC205"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[40]</w:t>
      </w:r>
      <w:r w:rsidRPr="00E73159">
        <w:rPr>
          <w:rFonts w:ascii="Calibri" w:cs="Calibri"/>
          <w:color w:val="000000" w:themeColor="text1"/>
        </w:rPr>
        <w:tab/>
        <w:t xml:space="preserve">R. W. Sullivan, L. M. Szczesniak, and S. M. Wojcik, “Bridge clinic buprenorphine program decreases emergency department visits,” </w:t>
      </w:r>
      <w:r w:rsidRPr="00E73159">
        <w:rPr>
          <w:rFonts w:ascii="Calibri" w:cs="Calibri"/>
          <w:i/>
          <w:iCs/>
          <w:color w:val="000000" w:themeColor="text1"/>
        </w:rPr>
        <w:t>Journal of Substance Abuse Treatment</w:t>
      </w:r>
      <w:r w:rsidRPr="00E73159">
        <w:rPr>
          <w:rFonts w:ascii="Calibri" w:cs="Calibri"/>
          <w:color w:val="000000" w:themeColor="text1"/>
        </w:rPr>
        <w:t>, vol. 130, p. 108410, 2021, doi: https://doi.org/10.1016/j.jsat.2021.108410.</w:t>
      </w:r>
    </w:p>
    <w:p w14:paraId="0FA8EE45"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[41]</w:t>
      </w:r>
      <w:r w:rsidRPr="00E73159">
        <w:rPr>
          <w:rFonts w:ascii="Calibri" w:cs="Calibri"/>
          <w:color w:val="000000" w:themeColor="text1"/>
        </w:rPr>
        <w:tab/>
        <w:t xml:space="preserve">P. Trowbridge </w:t>
      </w:r>
      <w:r w:rsidRPr="00E73159">
        <w:rPr>
          <w:rFonts w:ascii="Calibri" w:cs="Calibri"/>
          <w:i/>
          <w:iCs/>
          <w:color w:val="000000" w:themeColor="text1"/>
        </w:rPr>
        <w:t>et al.</w:t>
      </w:r>
      <w:r w:rsidRPr="00E73159">
        <w:rPr>
          <w:rFonts w:ascii="Calibri" w:cs="Calibri"/>
          <w:color w:val="000000" w:themeColor="text1"/>
        </w:rPr>
        <w:t xml:space="preserve">, “Addiction consultation services &amp;#x2013; Linking hospitalized patients to outpatient addiction treatment,” </w:t>
      </w:r>
      <w:r w:rsidRPr="00E73159">
        <w:rPr>
          <w:rFonts w:ascii="Calibri" w:cs="Calibri"/>
          <w:i/>
          <w:iCs/>
          <w:color w:val="000000" w:themeColor="text1"/>
        </w:rPr>
        <w:t>Journal of Substance Abuse Treatment</w:t>
      </w:r>
      <w:r w:rsidRPr="00E73159">
        <w:rPr>
          <w:rFonts w:ascii="Calibri" w:cs="Calibri"/>
          <w:color w:val="000000" w:themeColor="text1"/>
        </w:rPr>
        <w:t>, vol. 79, pp. 1–5, Aug. 2017, doi: 10.1016/j.jsat.2017.05.007.</w:t>
      </w:r>
    </w:p>
    <w:p w14:paraId="5EC9863C"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[42]</w:t>
      </w:r>
      <w:r w:rsidRPr="00E73159">
        <w:rPr>
          <w:rFonts w:ascii="Calibri" w:cs="Calibri"/>
          <w:color w:val="000000" w:themeColor="text1"/>
        </w:rPr>
        <w:tab/>
        <w:t xml:space="preserve">S. E. Wakeman </w:t>
      </w:r>
      <w:r w:rsidRPr="00E73159">
        <w:rPr>
          <w:rFonts w:ascii="Calibri" w:cs="Calibri"/>
          <w:i/>
          <w:iCs/>
          <w:color w:val="000000" w:themeColor="text1"/>
        </w:rPr>
        <w:t>et al.</w:t>
      </w:r>
      <w:r w:rsidRPr="00E73159">
        <w:rPr>
          <w:rFonts w:ascii="Calibri" w:cs="Calibri"/>
          <w:color w:val="000000" w:themeColor="text1"/>
        </w:rPr>
        <w:t xml:space="preserve">, “A hospital-wide initiative to redesign substance use disorder care: Impact on pharmacotherapy initiation,” </w:t>
      </w:r>
      <w:r w:rsidRPr="00E73159">
        <w:rPr>
          <w:rFonts w:ascii="Calibri" w:cs="Calibri"/>
          <w:i/>
          <w:iCs/>
          <w:color w:val="000000" w:themeColor="text1"/>
        </w:rPr>
        <w:t>Substance Abuse</w:t>
      </w:r>
      <w:r w:rsidRPr="00E73159">
        <w:rPr>
          <w:rFonts w:ascii="Calibri" w:cs="Calibri"/>
          <w:color w:val="000000" w:themeColor="text1"/>
        </w:rPr>
        <w:t>, vol. 42, no. 4, pp. 767–774, Oct. 2021, doi: 10.1080/08897077.2020.1846664.</w:t>
      </w:r>
    </w:p>
    <w:p w14:paraId="742F9C56"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[43]</w:t>
      </w:r>
      <w:r w:rsidRPr="00E73159">
        <w:rPr>
          <w:rFonts w:ascii="Calibri" w:cs="Calibri"/>
          <w:color w:val="000000" w:themeColor="text1"/>
        </w:rPr>
        <w:tab/>
        <w:t xml:space="preserve">S. E. Wakeman </w:t>
      </w:r>
      <w:r w:rsidRPr="00E73159">
        <w:rPr>
          <w:rFonts w:ascii="Calibri" w:cs="Calibri"/>
          <w:i/>
          <w:iCs/>
          <w:color w:val="000000" w:themeColor="text1"/>
        </w:rPr>
        <w:t>et al.</w:t>
      </w:r>
      <w:r w:rsidRPr="00E73159">
        <w:rPr>
          <w:rFonts w:ascii="Calibri" w:cs="Calibri"/>
          <w:color w:val="000000" w:themeColor="text1"/>
        </w:rPr>
        <w:t xml:space="preserve">, “The effectiveness of post-discharge navigation added to an inpatient addiction consultation for patients with substance use disorder; a randomized controlled trial,” </w:t>
      </w:r>
      <w:r w:rsidRPr="00E73159">
        <w:rPr>
          <w:rFonts w:ascii="Calibri" w:cs="Calibri"/>
          <w:i/>
          <w:iCs/>
          <w:color w:val="000000" w:themeColor="text1"/>
        </w:rPr>
        <w:t>Substance Abuse</w:t>
      </w:r>
      <w:r w:rsidRPr="00E73159">
        <w:rPr>
          <w:rFonts w:ascii="Calibri" w:cs="Calibri"/>
          <w:color w:val="000000" w:themeColor="text1"/>
        </w:rPr>
        <w:t>, vol. 42, no. 4, pp. 646–653, Oct. 2021, doi: 10.1080/08897077.2020.1809608.</w:t>
      </w:r>
    </w:p>
    <w:p w14:paraId="618D88B3"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[44]</w:t>
      </w:r>
      <w:r w:rsidRPr="00E73159">
        <w:rPr>
          <w:rFonts w:ascii="Calibri" w:cs="Calibri"/>
          <w:color w:val="000000" w:themeColor="text1"/>
        </w:rPr>
        <w:tab/>
        <w:t xml:space="preserve">D. P. Watson </w:t>
      </w:r>
      <w:r w:rsidRPr="00E73159">
        <w:rPr>
          <w:rFonts w:ascii="Calibri" w:cs="Calibri"/>
          <w:i/>
          <w:iCs/>
          <w:color w:val="000000" w:themeColor="text1"/>
        </w:rPr>
        <w:t>et al.</w:t>
      </w:r>
      <w:r w:rsidRPr="00E73159">
        <w:rPr>
          <w:rFonts w:ascii="Calibri" w:cs="Calibri"/>
          <w:color w:val="000000" w:themeColor="text1"/>
        </w:rPr>
        <w:t xml:space="preserve">, “Evaluation of an emergency department-based opioid overdose survivor intervention: Difference-in-difference analysis of electronic health record data to assess key outcomes,” </w:t>
      </w:r>
      <w:r w:rsidRPr="00E73159">
        <w:rPr>
          <w:rFonts w:ascii="Calibri" w:cs="Calibri"/>
          <w:i/>
          <w:iCs/>
          <w:color w:val="000000" w:themeColor="text1"/>
        </w:rPr>
        <w:t>Drug and Alcohol Dependence</w:t>
      </w:r>
      <w:r w:rsidRPr="00E73159">
        <w:rPr>
          <w:rFonts w:ascii="Calibri" w:cs="Calibri"/>
          <w:color w:val="000000" w:themeColor="text1"/>
        </w:rPr>
        <w:t>, vol. 221, p. 108595, 2021, doi: https://doi.org/10.1016/j.drugalcdep.2021.108595.</w:t>
      </w:r>
    </w:p>
    <w:p w14:paraId="0DC225CE" w14:textId="77777777" w:rsidR="002163B3" w:rsidRPr="00E73159" w:rsidRDefault="002163B3" w:rsidP="002163B3">
      <w:pPr>
        <w:pStyle w:val="Bibliography"/>
        <w:rPr>
          <w:rFonts w:ascii="Calibri" w:cs="Calibri"/>
          <w:color w:val="000000" w:themeColor="text1"/>
        </w:rPr>
      </w:pPr>
      <w:r w:rsidRPr="00E73159">
        <w:rPr>
          <w:rFonts w:ascii="Calibri" w:cs="Calibri"/>
          <w:color w:val="000000" w:themeColor="text1"/>
        </w:rPr>
        <w:t>[45]</w:t>
      </w:r>
      <w:r w:rsidRPr="00E73159">
        <w:rPr>
          <w:rFonts w:ascii="Calibri" w:cs="Calibri"/>
          <w:color w:val="000000" w:themeColor="text1"/>
        </w:rPr>
        <w:tab/>
        <w:t xml:space="preserve">L. K. Whiteside </w:t>
      </w:r>
      <w:r w:rsidRPr="00E73159">
        <w:rPr>
          <w:rFonts w:ascii="Calibri" w:cs="Calibri"/>
          <w:i/>
          <w:iCs/>
          <w:color w:val="000000" w:themeColor="text1"/>
        </w:rPr>
        <w:t>et al.</w:t>
      </w:r>
      <w:r w:rsidRPr="00E73159">
        <w:rPr>
          <w:rFonts w:ascii="Calibri" w:cs="Calibri"/>
          <w:color w:val="000000" w:themeColor="text1"/>
        </w:rPr>
        <w:t xml:space="preserve">, “Collaborative care from the emergency department for injured patients with prescription drug misuse: An open feasibility study,” </w:t>
      </w:r>
      <w:r w:rsidRPr="00E73159">
        <w:rPr>
          <w:rFonts w:ascii="Calibri" w:cs="Calibri"/>
          <w:i/>
          <w:iCs/>
          <w:color w:val="000000" w:themeColor="text1"/>
        </w:rPr>
        <w:t>Journal of Substance Abuse Treatment</w:t>
      </w:r>
      <w:r w:rsidRPr="00E73159">
        <w:rPr>
          <w:rFonts w:ascii="Calibri" w:cs="Calibri"/>
          <w:color w:val="000000" w:themeColor="text1"/>
        </w:rPr>
        <w:t>, vol. 82, pp. 12–21, Nov. 2017, doi: 10.1016/j.jsat.2017.08.005.</w:t>
      </w:r>
    </w:p>
    <w:p w14:paraId="1AD4E334" w14:textId="77777777" w:rsidR="002163B3" w:rsidRPr="00E73159" w:rsidRDefault="002163B3">
      <w:pPr>
        <w:rPr>
          <w:color w:val="000000" w:themeColor="text1"/>
        </w:rPr>
        <w:sectPr w:rsidR="002163B3" w:rsidRPr="00E73159" w:rsidSect="00E73159">
          <w:type w:val="continuous"/>
          <w:pgSz w:w="11894" w:h="16819"/>
          <w:pgMar w:top="720" w:right="720" w:bottom="720" w:left="720" w:header="706" w:footer="706" w:gutter="0"/>
          <w:cols w:space="708"/>
          <w:docGrid w:linePitch="360"/>
        </w:sectPr>
      </w:pPr>
      <w:r w:rsidRPr="00E73159">
        <w:rPr>
          <w:color w:val="000000" w:themeColor="text1"/>
        </w:rPr>
        <w:fldChar w:fldCharType="end"/>
      </w:r>
    </w:p>
    <w:p w14:paraId="65BCE861" w14:textId="2E6A5078" w:rsidR="002163B3" w:rsidRPr="00E73159" w:rsidRDefault="002163B3">
      <w:pPr>
        <w:rPr>
          <w:color w:val="000000" w:themeColor="text1"/>
        </w:rPr>
      </w:pPr>
    </w:p>
    <w:sectPr w:rsidR="002163B3" w:rsidRPr="00E73159" w:rsidSect="00E73159">
      <w:type w:val="continuous"/>
      <w:pgSz w:w="16834" w:h="11894" w:orient="landscape"/>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035630"/>
    <w:multiLevelType w:val="multilevel"/>
    <w:tmpl w:val="53F44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hideGrammaticalErrors/>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472"/>
    <w:rsid w:val="000C3472"/>
    <w:rsid w:val="002163B3"/>
    <w:rsid w:val="004866F6"/>
    <w:rsid w:val="004E65D7"/>
    <w:rsid w:val="00554F80"/>
    <w:rsid w:val="00610D5F"/>
    <w:rsid w:val="00A343D8"/>
    <w:rsid w:val="00A84C8F"/>
    <w:rsid w:val="00BC0B84"/>
    <w:rsid w:val="00E73159"/>
    <w:rsid w:val="00EB5352"/>
    <w:rsid w:val="00F14AB9"/>
    <w:rsid w:val="00FE0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A7B15"/>
  <w15:chartTrackingRefBased/>
  <w15:docId w15:val="{4E879721-9703-4229-B7A0-D09AB80E0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472"/>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0C3472"/>
    <w:pPr>
      <w:spacing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rsid w:val="000C3472"/>
    <w:rPr>
      <w:rFonts w:eastAsiaTheme="minorEastAsia"/>
      <w:sz w:val="20"/>
      <w:szCs w:val="20"/>
      <w:lang w:val="en-AU" w:eastAsia="zh-CN"/>
    </w:rPr>
  </w:style>
  <w:style w:type="paragraph" w:customStyle="1" w:styleId="Default">
    <w:name w:val="Default"/>
    <w:rsid w:val="000C3472"/>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0C3472"/>
    <w:rPr>
      <w:rFonts w:cs="Times New Roman"/>
      <w:color w:val="auto"/>
    </w:rPr>
  </w:style>
  <w:style w:type="character" w:styleId="Hyperlink">
    <w:name w:val="Hyperlink"/>
    <w:rsid w:val="000C3472"/>
    <w:rPr>
      <w:color w:val="0563C1"/>
      <w:u w:val="single"/>
    </w:rPr>
  </w:style>
  <w:style w:type="paragraph" w:styleId="Header">
    <w:name w:val="header"/>
    <w:basedOn w:val="Normal"/>
    <w:link w:val="HeaderChar"/>
    <w:uiPriority w:val="99"/>
    <w:unhideWhenUsed/>
    <w:rsid w:val="000C3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472"/>
    <w:rPr>
      <w:lang w:val="en-AU"/>
    </w:rPr>
  </w:style>
  <w:style w:type="paragraph" w:styleId="Footer">
    <w:name w:val="footer"/>
    <w:basedOn w:val="Normal"/>
    <w:link w:val="FooterChar"/>
    <w:uiPriority w:val="99"/>
    <w:unhideWhenUsed/>
    <w:rsid w:val="000C3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472"/>
    <w:rPr>
      <w:lang w:val="en-AU"/>
    </w:rPr>
  </w:style>
  <w:style w:type="character" w:styleId="CommentReference">
    <w:name w:val="annotation reference"/>
    <w:basedOn w:val="DefaultParagraphFont"/>
    <w:uiPriority w:val="99"/>
    <w:semiHidden/>
    <w:unhideWhenUsed/>
    <w:rsid w:val="000C3472"/>
    <w:rPr>
      <w:sz w:val="16"/>
      <w:szCs w:val="16"/>
    </w:rPr>
  </w:style>
  <w:style w:type="paragraph" w:styleId="CommentSubject">
    <w:name w:val="annotation subject"/>
    <w:basedOn w:val="CommentText"/>
    <w:next w:val="CommentText"/>
    <w:link w:val="CommentSubjectChar"/>
    <w:uiPriority w:val="99"/>
    <w:semiHidden/>
    <w:unhideWhenUsed/>
    <w:rsid w:val="000C3472"/>
    <w:rPr>
      <w:rFonts w:eastAsiaTheme="minorHAnsi"/>
      <w:b/>
      <w:bCs/>
      <w:lang w:eastAsia="en-US"/>
    </w:rPr>
  </w:style>
  <w:style w:type="character" w:customStyle="1" w:styleId="CommentSubjectChar">
    <w:name w:val="Comment Subject Char"/>
    <w:basedOn w:val="CommentTextChar"/>
    <w:link w:val="CommentSubject"/>
    <w:uiPriority w:val="99"/>
    <w:semiHidden/>
    <w:rsid w:val="000C3472"/>
    <w:rPr>
      <w:rFonts w:eastAsiaTheme="minorEastAsia"/>
      <w:b/>
      <w:bCs/>
      <w:sz w:val="20"/>
      <w:szCs w:val="20"/>
      <w:lang w:val="en-AU" w:eastAsia="zh-CN"/>
    </w:rPr>
  </w:style>
  <w:style w:type="paragraph" w:styleId="BalloonText">
    <w:name w:val="Balloon Text"/>
    <w:basedOn w:val="Normal"/>
    <w:link w:val="BalloonTextChar"/>
    <w:uiPriority w:val="99"/>
    <w:semiHidden/>
    <w:unhideWhenUsed/>
    <w:rsid w:val="000C34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3472"/>
    <w:rPr>
      <w:rFonts w:ascii="Segoe UI" w:hAnsi="Segoe UI" w:cs="Segoe UI"/>
      <w:sz w:val="18"/>
      <w:szCs w:val="18"/>
      <w:lang w:val="en-AU"/>
    </w:rPr>
  </w:style>
  <w:style w:type="paragraph" w:styleId="NormalWeb">
    <w:name w:val="Normal (Web)"/>
    <w:basedOn w:val="Normal"/>
    <w:uiPriority w:val="99"/>
    <w:unhideWhenUsed/>
    <w:rsid w:val="000C347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0C3472"/>
    <w:pPr>
      <w:spacing w:after="0" w:line="240" w:lineRule="auto"/>
    </w:pPr>
    <w:rPr>
      <w:lang w:val="en-AU"/>
    </w:rPr>
  </w:style>
  <w:style w:type="table" w:styleId="TableGrid">
    <w:name w:val="Table Grid"/>
    <w:basedOn w:val="TableNormal"/>
    <w:uiPriority w:val="39"/>
    <w:rsid w:val="000C34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C3472"/>
    <w:rPr>
      <w:color w:val="605E5C"/>
      <w:shd w:val="clear" w:color="auto" w:fill="E1DFDD"/>
    </w:rPr>
  </w:style>
  <w:style w:type="character" w:styleId="PlaceholderText">
    <w:name w:val="Placeholder Text"/>
    <w:basedOn w:val="DefaultParagraphFont"/>
    <w:uiPriority w:val="99"/>
    <w:semiHidden/>
    <w:rsid w:val="000C3472"/>
    <w:rPr>
      <w:color w:val="808080"/>
    </w:rPr>
  </w:style>
  <w:style w:type="table" w:customStyle="1" w:styleId="TableGridLight1">
    <w:name w:val="Table Grid Light1"/>
    <w:basedOn w:val="TableNormal"/>
    <w:uiPriority w:val="40"/>
    <w:rsid w:val="000C34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0C3472"/>
    <w:rPr>
      <w:color w:val="954F72" w:themeColor="followedHyperlink"/>
      <w:u w:val="single"/>
    </w:rPr>
  </w:style>
  <w:style w:type="paragraph" w:styleId="Bibliography">
    <w:name w:val="Bibliography"/>
    <w:basedOn w:val="Normal"/>
    <w:next w:val="Normal"/>
    <w:uiPriority w:val="37"/>
    <w:unhideWhenUsed/>
    <w:rsid w:val="002163B3"/>
    <w:pPr>
      <w:tabs>
        <w:tab w:val="left" w:pos="500"/>
      </w:tabs>
      <w:spacing w:after="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B8C1847CE324171BB3E26C57074AE4B"/>
        <w:category>
          <w:name w:val="General"/>
          <w:gallery w:val="placeholder"/>
        </w:category>
        <w:types>
          <w:type w:val="bbPlcHdr"/>
        </w:types>
        <w:behaviors>
          <w:behavior w:val="content"/>
        </w:behaviors>
        <w:guid w:val="{3CC0405F-4DC4-427A-AAC6-D4124B7C5476}"/>
      </w:docPartPr>
      <w:docPartBody>
        <w:p w:rsidR="003D39F2" w:rsidRDefault="00EB3C39" w:rsidP="00EB3C39">
          <w:pPr>
            <w:pStyle w:val="AB8C1847CE324171BB3E26C57074AE4B"/>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C39"/>
    <w:rsid w:val="002F02DE"/>
    <w:rsid w:val="003D39F2"/>
    <w:rsid w:val="00686153"/>
    <w:rsid w:val="00CA4F98"/>
    <w:rsid w:val="00DC36FE"/>
    <w:rsid w:val="00EB3C39"/>
    <w:rsid w:val="00EB6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3C39"/>
    <w:rPr>
      <w:color w:val="808080"/>
    </w:rPr>
  </w:style>
  <w:style w:type="paragraph" w:customStyle="1" w:styleId="AB8C1847CE324171BB3E26C57074AE4B">
    <w:name w:val="AB8C1847CE324171BB3E26C57074AE4B"/>
    <w:rsid w:val="00EB3C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17825</Words>
  <Characters>101605</Characters>
  <Application>Microsoft Office Word</Application>
  <DocSecurity>0</DocSecurity>
  <Lines>846</Lines>
  <Paragraphs>238</Paragraphs>
  <ScaleCrop>false</ScaleCrop>
  <HeadingPairs>
    <vt:vector size="2" baseType="variant">
      <vt:variant>
        <vt:lpstr>Title</vt:lpstr>
      </vt:variant>
      <vt:variant>
        <vt:i4>1</vt:i4>
      </vt:variant>
    </vt:vector>
  </HeadingPairs>
  <TitlesOfParts>
    <vt:vector size="1" baseType="lpstr">
      <vt:lpstr/>
    </vt:vector>
  </TitlesOfParts>
  <Company>NYU Langone Health</Company>
  <LinksUpToDate>false</LinksUpToDate>
  <CharactersWithSpaces>119192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Rivera, Bianca (Population Health-Epidemiology)</dc:creator>
  <cp:keywords/>
  <dc:description/>
  <cp:lastModifiedBy>Sindhu Chinnaiyan</cp:lastModifiedBy>
  <cp:revision>3</cp:revision>
  <dcterms:created xsi:type="dcterms:W3CDTF">2023-08-17T19:42:00Z</dcterms:created>
  <dcterms:modified xsi:type="dcterms:W3CDTF">2023-10-24T14:49:00Z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zotero-version="6.0.25"&gt;&lt;session id="8ZlnhIBs"/&gt;&lt;style id="http://www.zotero.org/styles/ieee" locale="en-US" hasBibliography="1" bibliographyStyleHasBeenSet="1"/&gt;&lt;prefs&gt;&lt;pref name="fieldType" value="Field"/&gt;&lt;/prefs&gt;&lt;/data&gt;</vt:lpwstr>
  </property>
</Properties>
</file>