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5472F" w14:textId="13DDD344" w:rsidR="00F2127E" w:rsidRDefault="00F2127E">
      <w:pPr>
        <w:rPr>
          <w:b/>
          <w:bCs/>
          <w:lang w:val="en-US"/>
        </w:rPr>
      </w:pPr>
      <w:r w:rsidRPr="00977EEB">
        <w:rPr>
          <w:b/>
          <w:bCs/>
          <w:lang w:val="en-US"/>
        </w:rPr>
        <w:t>Supplementary Appendix</w:t>
      </w:r>
    </w:p>
    <w:p w14:paraId="74C2C98F" w14:textId="474E1FED" w:rsidR="0025644F" w:rsidRPr="004719FE" w:rsidRDefault="0025644F" w:rsidP="0025644F">
      <w:pPr>
        <w:rPr>
          <w:b/>
          <w:bCs/>
          <w:color w:val="000000" w:themeColor="text1"/>
          <w:lang w:val="en-US"/>
        </w:rPr>
      </w:pPr>
      <w:r w:rsidRPr="004719FE">
        <w:rPr>
          <w:b/>
          <w:bCs/>
          <w:color w:val="000000" w:themeColor="text1"/>
          <w:lang w:val="en-US"/>
        </w:rPr>
        <w:t>Supplementary Table 1: Data Extraction Form for Included Studies</w:t>
      </w:r>
    </w:p>
    <w:p w14:paraId="5F66A62C" w14:textId="77777777" w:rsidR="007C7370" w:rsidRDefault="007C7370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C7370" w:rsidRPr="0014343B" w14:paraId="407EF013" w14:textId="77777777" w:rsidTr="00FD1FD2">
        <w:tc>
          <w:tcPr>
            <w:tcW w:w="4508" w:type="dxa"/>
          </w:tcPr>
          <w:p w14:paraId="1FF034BC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Variable Category                </w:t>
            </w:r>
          </w:p>
        </w:tc>
        <w:tc>
          <w:tcPr>
            <w:tcW w:w="4508" w:type="dxa"/>
          </w:tcPr>
          <w:p w14:paraId="5D23C665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 Specific Variables Extracted</w:t>
            </w:r>
          </w:p>
        </w:tc>
      </w:tr>
      <w:tr w:rsidR="007C7370" w:rsidRPr="0014343B" w14:paraId="62093F42" w14:textId="77777777" w:rsidTr="00FD1FD2">
        <w:tc>
          <w:tcPr>
            <w:tcW w:w="4508" w:type="dxa"/>
          </w:tcPr>
          <w:p w14:paraId="60CCEB82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Study Design                    </w:t>
            </w:r>
          </w:p>
        </w:tc>
        <w:tc>
          <w:tcPr>
            <w:tcW w:w="4508" w:type="dxa"/>
          </w:tcPr>
          <w:p w14:paraId="3073B591" w14:textId="77777777" w:rsidR="007C7370" w:rsidRPr="0014343B" w:rsidRDefault="007C7370" w:rsidP="00FD1FD2">
            <w:pPr>
              <w:rPr>
                <w:sz w:val="20"/>
                <w:szCs w:val="20"/>
                <w:lang w:val="en-US"/>
              </w:rPr>
            </w:pPr>
            <w:r w:rsidRPr="0014343B">
              <w:rPr>
                <w:sz w:val="20"/>
                <w:szCs w:val="20"/>
                <w:lang w:val="en-US"/>
              </w:rPr>
              <w:t xml:space="preserve"> Type (e.g., RCT, cohort, case-control), setting</w:t>
            </w:r>
          </w:p>
        </w:tc>
      </w:tr>
      <w:tr w:rsidR="007C7370" w:rsidRPr="0014343B" w14:paraId="636DFAF4" w14:textId="77777777" w:rsidTr="00FD1FD2">
        <w:tc>
          <w:tcPr>
            <w:tcW w:w="4508" w:type="dxa"/>
          </w:tcPr>
          <w:p w14:paraId="17CCC10A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Population Characteristics      </w:t>
            </w:r>
          </w:p>
        </w:tc>
        <w:tc>
          <w:tcPr>
            <w:tcW w:w="4508" w:type="dxa"/>
          </w:tcPr>
          <w:p w14:paraId="25164BFD" w14:textId="77777777" w:rsidR="007C7370" w:rsidRPr="0014343B" w:rsidRDefault="007C7370" w:rsidP="00FD1FD2">
            <w:pPr>
              <w:rPr>
                <w:sz w:val="20"/>
                <w:szCs w:val="20"/>
                <w:lang w:val="en-US"/>
              </w:rPr>
            </w:pPr>
            <w:r w:rsidRPr="0014343B">
              <w:rPr>
                <w:sz w:val="20"/>
                <w:szCs w:val="20"/>
                <w:lang w:val="en-US"/>
              </w:rPr>
              <w:t xml:space="preserve"> Sample size (N), mean age (years), % male, mean BMI (kg/m²), </w:t>
            </w:r>
            <w:r>
              <w:rPr>
                <w:sz w:val="20"/>
                <w:szCs w:val="20"/>
                <w:lang w:val="en-US"/>
              </w:rPr>
              <w:t xml:space="preserve">and </w:t>
            </w:r>
            <w:r w:rsidRPr="0014343B">
              <w:rPr>
                <w:sz w:val="20"/>
                <w:szCs w:val="20"/>
                <w:lang w:val="en-US"/>
              </w:rPr>
              <w:t>AUD status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7C7370" w:rsidRPr="0014343B" w14:paraId="26B8B444" w14:textId="77777777" w:rsidTr="00FD1FD2">
        <w:tc>
          <w:tcPr>
            <w:tcW w:w="4508" w:type="dxa"/>
          </w:tcPr>
          <w:p w14:paraId="0D415EE0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Intervention Details            </w:t>
            </w:r>
          </w:p>
        </w:tc>
        <w:tc>
          <w:tcPr>
            <w:tcW w:w="4508" w:type="dxa"/>
          </w:tcPr>
          <w:p w14:paraId="1FE170FF" w14:textId="77777777" w:rsidR="007C7370" w:rsidRPr="0014343B" w:rsidRDefault="007C7370" w:rsidP="00FD1FD2">
            <w:pPr>
              <w:rPr>
                <w:sz w:val="20"/>
                <w:szCs w:val="20"/>
                <w:lang w:val="en-US"/>
              </w:rPr>
            </w:pPr>
            <w:r w:rsidRPr="0014343B">
              <w:rPr>
                <w:sz w:val="20"/>
                <w:szCs w:val="20"/>
                <w:lang w:val="en-US"/>
              </w:rPr>
              <w:t xml:space="preserve"> GLP-1RA type (e.g., </w:t>
            </w:r>
            <w:proofErr w:type="spellStart"/>
            <w:r w:rsidRPr="0014343B">
              <w:rPr>
                <w:sz w:val="20"/>
                <w:szCs w:val="20"/>
                <w:lang w:val="en-US"/>
              </w:rPr>
              <w:t>semaglutide</w:t>
            </w:r>
            <w:proofErr w:type="spellEnd"/>
            <w:r w:rsidRPr="0014343B">
              <w:rPr>
                <w:sz w:val="20"/>
                <w:szCs w:val="20"/>
                <w:lang w:val="en-US"/>
              </w:rPr>
              <w:t>, liraglutide), dose, duration</w:t>
            </w:r>
          </w:p>
        </w:tc>
      </w:tr>
      <w:tr w:rsidR="007C7370" w:rsidRPr="0014343B" w14:paraId="311F3CEF" w14:textId="77777777" w:rsidTr="00FD1FD2">
        <w:tc>
          <w:tcPr>
            <w:tcW w:w="4508" w:type="dxa"/>
          </w:tcPr>
          <w:p w14:paraId="16E84F13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Comparator                      </w:t>
            </w:r>
          </w:p>
        </w:tc>
        <w:tc>
          <w:tcPr>
            <w:tcW w:w="4508" w:type="dxa"/>
          </w:tcPr>
          <w:p w14:paraId="692E527C" w14:textId="77777777" w:rsidR="007C7370" w:rsidRPr="0014343B" w:rsidRDefault="007C7370" w:rsidP="00FD1FD2">
            <w:pPr>
              <w:rPr>
                <w:sz w:val="20"/>
                <w:szCs w:val="20"/>
                <w:lang w:val="en-US"/>
              </w:rPr>
            </w:pPr>
            <w:r w:rsidRPr="0014343B">
              <w:rPr>
                <w:sz w:val="20"/>
                <w:szCs w:val="20"/>
                <w:lang w:val="en-US"/>
              </w:rPr>
              <w:t xml:space="preserve"> Type (e.g., placebo, no treatment, other pharmacological intervention)</w:t>
            </w:r>
          </w:p>
        </w:tc>
      </w:tr>
      <w:tr w:rsidR="007C7370" w:rsidRPr="0014343B" w14:paraId="696C9AFB" w14:textId="77777777" w:rsidTr="00FD1FD2">
        <w:tc>
          <w:tcPr>
            <w:tcW w:w="4508" w:type="dxa"/>
          </w:tcPr>
          <w:p w14:paraId="16716728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Outcomes                        </w:t>
            </w:r>
          </w:p>
        </w:tc>
        <w:tc>
          <w:tcPr>
            <w:tcW w:w="4508" w:type="dxa"/>
          </w:tcPr>
          <w:p w14:paraId="178F2434" w14:textId="77777777" w:rsidR="007C7370" w:rsidRPr="0014343B" w:rsidRDefault="007C7370" w:rsidP="00FD1FD2">
            <w:pPr>
              <w:rPr>
                <w:sz w:val="20"/>
                <w:szCs w:val="20"/>
                <w:lang w:val="en-US"/>
              </w:rPr>
            </w:pPr>
            <w:r w:rsidRPr="0014343B">
              <w:rPr>
                <w:sz w:val="20"/>
                <w:szCs w:val="20"/>
                <w:lang w:val="en-US"/>
              </w:rPr>
              <w:t xml:space="preserve"> Alcohol consumption (total intake or drinks per drinking day, SMD), AUD incidence/recurrence (HR or OR), alcohol craving (SMD, e.g., Penn Alcohol Craving Scale), heavy drinking days (OR), secondary outcomes (e.g., quality of life, weight change, glycemic control)</w:t>
            </w:r>
          </w:p>
        </w:tc>
      </w:tr>
      <w:tr w:rsidR="007C7370" w:rsidRPr="0014343B" w14:paraId="3E678EC1" w14:textId="77777777" w:rsidTr="00FD1FD2">
        <w:tc>
          <w:tcPr>
            <w:tcW w:w="4508" w:type="dxa"/>
          </w:tcPr>
          <w:p w14:paraId="068282F4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Risk of Bias                    </w:t>
            </w:r>
          </w:p>
        </w:tc>
        <w:tc>
          <w:tcPr>
            <w:tcW w:w="4508" w:type="dxa"/>
          </w:tcPr>
          <w:p w14:paraId="57E6701B" w14:textId="77777777" w:rsidR="007C7370" w:rsidRPr="0014343B" w:rsidRDefault="007C7370" w:rsidP="00FD1FD2">
            <w:pPr>
              <w:rPr>
                <w:sz w:val="20"/>
                <w:szCs w:val="20"/>
                <w:lang w:val="en-US"/>
              </w:rPr>
            </w:pPr>
            <w:r w:rsidRPr="0014343B">
              <w:rPr>
                <w:sz w:val="20"/>
                <w:szCs w:val="20"/>
                <w:lang w:val="en-US"/>
              </w:rPr>
              <w:t xml:space="preserve"> Cochrane </w:t>
            </w:r>
            <w:proofErr w:type="spellStart"/>
            <w:r w:rsidRPr="0014343B">
              <w:rPr>
                <w:sz w:val="20"/>
                <w:szCs w:val="20"/>
                <w:lang w:val="en-US"/>
              </w:rPr>
              <w:t>RoB</w:t>
            </w:r>
            <w:proofErr w:type="spellEnd"/>
            <w:r w:rsidRPr="0014343B">
              <w:rPr>
                <w:sz w:val="20"/>
                <w:szCs w:val="20"/>
                <w:lang w:val="en-US"/>
              </w:rPr>
              <w:t xml:space="preserve"> 2 for RCTs (</w:t>
            </w:r>
            <w:proofErr w:type="spellStart"/>
            <w:r>
              <w:rPr>
                <w:sz w:val="20"/>
                <w:szCs w:val="20"/>
                <w:lang w:val="en-US"/>
              </w:rPr>
              <w:t>randomisation</w:t>
            </w:r>
            <w:proofErr w:type="spellEnd"/>
            <w:r w:rsidRPr="0014343B">
              <w:rPr>
                <w:sz w:val="20"/>
                <w:szCs w:val="20"/>
                <w:lang w:val="en-US"/>
              </w:rPr>
              <w:t>, deviations, missing data, outcome measurement, result selection), Newcastle-Ottawa Scale for observational studies (selection, comparability, outcome/exposure)</w:t>
            </w:r>
          </w:p>
        </w:tc>
      </w:tr>
      <w:tr w:rsidR="007C7370" w:rsidRPr="0014343B" w14:paraId="6B82052F" w14:textId="77777777" w:rsidTr="00FD1FD2">
        <w:tc>
          <w:tcPr>
            <w:tcW w:w="4508" w:type="dxa"/>
          </w:tcPr>
          <w:p w14:paraId="25DC5EE0" w14:textId="77777777" w:rsidR="007C7370" w:rsidRPr="0014343B" w:rsidRDefault="007C7370" w:rsidP="00FD1FD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4343B">
              <w:rPr>
                <w:b/>
                <w:bCs/>
                <w:sz w:val="20"/>
                <w:szCs w:val="20"/>
                <w:lang w:val="en-US"/>
              </w:rPr>
              <w:t xml:space="preserve">Additional Notes                </w:t>
            </w:r>
          </w:p>
        </w:tc>
        <w:tc>
          <w:tcPr>
            <w:tcW w:w="4508" w:type="dxa"/>
          </w:tcPr>
          <w:p w14:paraId="12308C46" w14:textId="77777777" w:rsidR="007C7370" w:rsidRPr="0014343B" w:rsidRDefault="007C7370" w:rsidP="00FD1FD2">
            <w:pPr>
              <w:rPr>
                <w:sz w:val="20"/>
                <w:szCs w:val="20"/>
                <w:lang w:val="en-US"/>
              </w:rPr>
            </w:pPr>
            <w:r w:rsidRPr="0014343B">
              <w:rPr>
                <w:sz w:val="20"/>
                <w:szCs w:val="20"/>
                <w:lang w:val="en-US"/>
              </w:rPr>
              <w:t xml:space="preserve"> Missing data (e.g., effect sizes, standard deviations) obtained from authors, if applicable</w:t>
            </w:r>
          </w:p>
        </w:tc>
      </w:tr>
    </w:tbl>
    <w:p w14:paraId="5F1D2854" w14:textId="77777777" w:rsidR="007C7370" w:rsidRDefault="007C7370">
      <w:pPr>
        <w:rPr>
          <w:b/>
          <w:bCs/>
          <w:lang w:val="en-US"/>
        </w:rPr>
      </w:pPr>
    </w:p>
    <w:p w14:paraId="44B7F4BA" w14:textId="386CA3C5" w:rsidR="00DF3285" w:rsidRPr="004719FE" w:rsidRDefault="00E87402" w:rsidP="00DF3285">
      <w:pPr>
        <w:rPr>
          <w:b/>
          <w:bCs/>
          <w:color w:val="000000" w:themeColor="text1"/>
        </w:rPr>
      </w:pPr>
      <w:r w:rsidRPr="004719FE">
        <w:rPr>
          <w:b/>
          <w:bCs/>
          <w:color w:val="000000" w:themeColor="text1"/>
          <w:lang w:val="en-US"/>
        </w:rPr>
        <w:t xml:space="preserve">Supplementary Table </w:t>
      </w:r>
      <w:r w:rsidR="007C7370" w:rsidRPr="004719FE">
        <w:rPr>
          <w:b/>
          <w:bCs/>
          <w:color w:val="000000" w:themeColor="text1"/>
          <w:lang w:val="en-US"/>
        </w:rPr>
        <w:t>2</w:t>
      </w:r>
      <w:r w:rsidR="00DF3285" w:rsidRPr="004719FE">
        <w:rPr>
          <w:b/>
          <w:bCs/>
          <w:color w:val="000000" w:themeColor="text1"/>
          <w:lang w:val="en-US"/>
        </w:rPr>
        <w:t>:</w:t>
      </w:r>
      <w:r w:rsidR="00DF3285" w:rsidRPr="004719FE">
        <w:rPr>
          <w:b/>
          <w:bCs/>
          <w:color w:val="000000" w:themeColor="text1"/>
        </w:rPr>
        <w:t xml:space="preserve"> </w:t>
      </w:r>
      <w:r w:rsidR="00DF3285" w:rsidRPr="004719FE">
        <w:rPr>
          <w:color w:val="000000" w:themeColor="text1"/>
        </w:rPr>
        <w:t>Summary of Secondary Outcomes Extracted from Included Studies</w:t>
      </w:r>
    </w:p>
    <w:p w14:paraId="3FBC2398" w14:textId="6034541E" w:rsidR="00642870" w:rsidRPr="00642870" w:rsidRDefault="00642870" w:rsidP="00642870">
      <w:pPr>
        <w:rPr>
          <w:b/>
          <w:bCs/>
          <w:lang w:val="en-US"/>
        </w:rPr>
      </w:pPr>
    </w:p>
    <w:tbl>
      <w:tblPr>
        <w:tblStyle w:val="TableGrid"/>
        <w:tblW w:w="9730" w:type="dxa"/>
        <w:tblLook w:val="04A0" w:firstRow="1" w:lastRow="0" w:firstColumn="1" w:lastColumn="0" w:noHBand="0" w:noVBand="1"/>
      </w:tblPr>
      <w:tblGrid>
        <w:gridCol w:w="2431"/>
        <w:gridCol w:w="2433"/>
        <w:gridCol w:w="2433"/>
        <w:gridCol w:w="2433"/>
      </w:tblGrid>
      <w:tr w:rsidR="00A94A72" w:rsidRPr="00A94A72" w14:paraId="4802EF67" w14:textId="77777777" w:rsidTr="00A94A72">
        <w:trPr>
          <w:trHeight w:val="495"/>
        </w:trPr>
        <w:tc>
          <w:tcPr>
            <w:tcW w:w="2431" w:type="dxa"/>
          </w:tcPr>
          <w:p w14:paraId="0A56CCDB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Study (Year) </w:t>
            </w:r>
          </w:p>
        </w:tc>
        <w:tc>
          <w:tcPr>
            <w:tcW w:w="2433" w:type="dxa"/>
          </w:tcPr>
          <w:p w14:paraId="3EFD91AD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Secondary Outcome </w:t>
            </w:r>
          </w:p>
        </w:tc>
        <w:tc>
          <w:tcPr>
            <w:tcW w:w="2433" w:type="dxa"/>
          </w:tcPr>
          <w:p w14:paraId="20CA6275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Findings </w:t>
            </w:r>
          </w:p>
        </w:tc>
        <w:tc>
          <w:tcPr>
            <w:tcW w:w="2433" w:type="dxa"/>
          </w:tcPr>
          <w:p w14:paraId="0F2FD65C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Notes </w:t>
            </w:r>
          </w:p>
        </w:tc>
      </w:tr>
      <w:tr w:rsidR="00A94A72" w:rsidRPr="00A94A72" w14:paraId="6FEB26E5" w14:textId="77777777" w:rsidTr="00A94A72">
        <w:trPr>
          <w:trHeight w:val="1729"/>
        </w:trPr>
        <w:tc>
          <w:tcPr>
            <w:tcW w:w="2431" w:type="dxa"/>
          </w:tcPr>
          <w:p w14:paraId="5BC08837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Hendershot et al. (2025) [14] </w:t>
            </w:r>
          </w:p>
        </w:tc>
        <w:tc>
          <w:tcPr>
            <w:tcW w:w="2433" w:type="dxa"/>
          </w:tcPr>
          <w:p w14:paraId="04367B1A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Weight Change </w:t>
            </w:r>
          </w:p>
        </w:tc>
        <w:tc>
          <w:tcPr>
            <w:tcW w:w="2433" w:type="dxa"/>
          </w:tcPr>
          <w:p w14:paraId="391D551C" w14:textId="60562242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Mean reduction: -2.5 kg (SD 1.2) in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proofErr w:type="spellStart"/>
            <w:r w:rsidRPr="00A94A72">
              <w:rPr>
                <w:rFonts w:cstheme="minorHAnsi"/>
                <w:sz w:val="20"/>
                <w:szCs w:val="20"/>
                <w:lang w:val="en-US"/>
              </w:rPr>
              <w:t>Semaglutide</w:t>
            </w:r>
            <w:proofErr w:type="spellEnd"/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group vs. -0.5 kg (SD 0.8) in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placebo group </w:t>
            </w:r>
          </w:p>
        </w:tc>
        <w:tc>
          <w:tcPr>
            <w:tcW w:w="2433" w:type="dxa"/>
          </w:tcPr>
          <w:p w14:paraId="3556E3A5" w14:textId="18B051EE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Reported in RCT, not pooled due to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a </w:t>
            </w: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single study reporting. </w:t>
            </w:r>
          </w:p>
        </w:tc>
      </w:tr>
      <w:tr w:rsidR="00A94A72" w:rsidRPr="00A94A72" w14:paraId="38BE429F" w14:textId="77777777" w:rsidTr="00A94A72">
        <w:trPr>
          <w:trHeight w:val="1729"/>
        </w:trPr>
        <w:tc>
          <w:tcPr>
            <w:tcW w:w="2431" w:type="dxa"/>
          </w:tcPr>
          <w:p w14:paraId="52FEDA19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Hendershot et al. (2025) [14] </w:t>
            </w:r>
          </w:p>
        </w:tc>
        <w:tc>
          <w:tcPr>
            <w:tcW w:w="2433" w:type="dxa"/>
          </w:tcPr>
          <w:p w14:paraId="1601C95A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Glycemic Control </w:t>
            </w:r>
          </w:p>
        </w:tc>
        <w:tc>
          <w:tcPr>
            <w:tcW w:w="2433" w:type="dxa"/>
          </w:tcPr>
          <w:p w14:paraId="5D96341F" w14:textId="6F0650C9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HbA1c reduction: -0.3% (SD 0.1) in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proofErr w:type="spellStart"/>
            <w:r w:rsidRPr="00A94A72">
              <w:rPr>
                <w:rFonts w:cstheme="minorHAnsi"/>
                <w:sz w:val="20"/>
                <w:szCs w:val="20"/>
                <w:lang w:val="en-US"/>
              </w:rPr>
              <w:t>Semaglutide</w:t>
            </w:r>
            <w:proofErr w:type="spellEnd"/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group vs. no change in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placebo group </w:t>
            </w:r>
          </w:p>
        </w:tc>
        <w:tc>
          <w:tcPr>
            <w:tcW w:w="2433" w:type="dxa"/>
          </w:tcPr>
          <w:p w14:paraId="665A6C77" w14:textId="72DCD05E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Limited to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T2DM subgroup, insufficient for meta-analysis. </w:t>
            </w:r>
          </w:p>
        </w:tc>
      </w:tr>
      <w:tr w:rsidR="00A94A72" w:rsidRPr="00A94A72" w14:paraId="3508FFCD" w14:textId="77777777" w:rsidTr="00A94A72">
        <w:trPr>
          <w:trHeight w:val="1729"/>
        </w:trPr>
        <w:tc>
          <w:tcPr>
            <w:tcW w:w="2431" w:type="dxa"/>
          </w:tcPr>
          <w:p w14:paraId="2AC7D60D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Klausen et al. (2022) [15] </w:t>
            </w:r>
          </w:p>
        </w:tc>
        <w:tc>
          <w:tcPr>
            <w:tcW w:w="2433" w:type="dxa"/>
          </w:tcPr>
          <w:p w14:paraId="4F6B7761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Weight Change </w:t>
            </w:r>
          </w:p>
        </w:tc>
        <w:tc>
          <w:tcPr>
            <w:tcW w:w="2433" w:type="dxa"/>
          </w:tcPr>
          <w:p w14:paraId="68CFA917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Mean reduction: -1.8 kg (SD 1.0) in Exenatide group vs. -0.2 kg (SD 0.6) in placebo group </w:t>
            </w:r>
          </w:p>
        </w:tc>
        <w:tc>
          <w:tcPr>
            <w:tcW w:w="2433" w:type="dxa"/>
          </w:tcPr>
          <w:p w14:paraId="0196C3EE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Reported in RCT, not pooled. </w:t>
            </w:r>
          </w:p>
        </w:tc>
      </w:tr>
      <w:tr w:rsidR="00A94A72" w:rsidRPr="00A94A72" w14:paraId="141202A6" w14:textId="77777777" w:rsidTr="00A94A72">
        <w:trPr>
          <w:trHeight w:val="1719"/>
        </w:trPr>
        <w:tc>
          <w:tcPr>
            <w:tcW w:w="2431" w:type="dxa"/>
          </w:tcPr>
          <w:p w14:paraId="77B1A4EA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 xml:space="preserve"> Probst et al. (2023) [16] </w:t>
            </w:r>
          </w:p>
        </w:tc>
        <w:tc>
          <w:tcPr>
            <w:tcW w:w="2433" w:type="dxa"/>
          </w:tcPr>
          <w:p w14:paraId="75108D1E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Weight Change </w:t>
            </w:r>
          </w:p>
        </w:tc>
        <w:tc>
          <w:tcPr>
            <w:tcW w:w="2433" w:type="dxa"/>
          </w:tcPr>
          <w:p w14:paraId="1702B3E8" w14:textId="2D0F290C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Mean reduction: -2.0 kg (SD 1.1) in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r w:rsidR="000A33DC">
              <w:rPr>
                <w:rFonts w:cstheme="minorHAnsi"/>
                <w:sz w:val="20"/>
                <w:szCs w:val="20"/>
                <w:lang w:val="en-US"/>
              </w:rPr>
              <w:t>Dula</w:t>
            </w: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glutide group vs. -0.3 kg (SD 0.7) in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placebo group </w:t>
            </w:r>
          </w:p>
        </w:tc>
        <w:tc>
          <w:tcPr>
            <w:tcW w:w="2433" w:type="dxa"/>
          </w:tcPr>
          <w:p w14:paraId="5DBC966F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Reported in RCT, not pooled. </w:t>
            </w:r>
          </w:p>
        </w:tc>
      </w:tr>
      <w:tr w:rsidR="00A94A72" w:rsidRPr="00A94A72" w14:paraId="5791CFA2" w14:textId="77777777" w:rsidTr="00A94A72">
        <w:trPr>
          <w:trHeight w:val="1982"/>
        </w:trPr>
        <w:tc>
          <w:tcPr>
            <w:tcW w:w="2431" w:type="dxa"/>
          </w:tcPr>
          <w:p w14:paraId="1601B1B0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Wium-Andersen et al. (2022) [17] </w:t>
            </w:r>
          </w:p>
        </w:tc>
        <w:tc>
          <w:tcPr>
            <w:tcW w:w="2433" w:type="dxa"/>
          </w:tcPr>
          <w:p w14:paraId="5A0A5D0A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Glycemic Control </w:t>
            </w:r>
          </w:p>
        </w:tc>
        <w:tc>
          <w:tcPr>
            <w:tcW w:w="2433" w:type="dxa"/>
          </w:tcPr>
          <w:p w14:paraId="5AA039FF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HbA1c reduction: -0.4% (SD 0.2) in GLP-1RA group vs. -0.1% (SD 0.1) in comparator group </w:t>
            </w:r>
          </w:p>
        </w:tc>
        <w:tc>
          <w:tcPr>
            <w:tcW w:w="2433" w:type="dxa"/>
          </w:tcPr>
          <w:p w14:paraId="4FDDE505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Observational study, T2DM population, not pooled. </w:t>
            </w:r>
          </w:p>
        </w:tc>
      </w:tr>
      <w:tr w:rsidR="00A94A72" w:rsidRPr="00A94A72" w14:paraId="716A492C" w14:textId="77777777" w:rsidTr="00A94A72">
        <w:trPr>
          <w:trHeight w:val="495"/>
        </w:trPr>
        <w:tc>
          <w:tcPr>
            <w:tcW w:w="2431" w:type="dxa"/>
          </w:tcPr>
          <w:p w14:paraId="5198CBA5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>Lähteenvuo</w:t>
            </w:r>
            <w:proofErr w:type="spellEnd"/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et al. (2024) [18] </w:t>
            </w:r>
          </w:p>
        </w:tc>
        <w:tc>
          <w:tcPr>
            <w:tcW w:w="2433" w:type="dxa"/>
          </w:tcPr>
          <w:p w14:paraId="6DC9668F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Weight Change </w:t>
            </w:r>
          </w:p>
        </w:tc>
        <w:tc>
          <w:tcPr>
            <w:tcW w:w="2433" w:type="dxa"/>
          </w:tcPr>
          <w:p w14:paraId="6270722F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Not reported </w:t>
            </w:r>
          </w:p>
        </w:tc>
        <w:tc>
          <w:tcPr>
            <w:tcW w:w="2433" w:type="dxa"/>
          </w:tcPr>
          <w:p w14:paraId="0ED96731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Data not available. </w:t>
            </w:r>
          </w:p>
        </w:tc>
      </w:tr>
      <w:tr w:rsidR="00A94A72" w:rsidRPr="00A94A72" w14:paraId="04D196F8" w14:textId="77777777" w:rsidTr="00A94A72">
        <w:trPr>
          <w:trHeight w:val="1476"/>
        </w:trPr>
        <w:tc>
          <w:tcPr>
            <w:tcW w:w="2431" w:type="dxa"/>
          </w:tcPr>
          <w:p w14:paraId="544E754A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Wang et al. (2024) [19] </w:t>
            </w:r>
          </w:p>
        </w:tc>
        <w:tc>
          <w:tcPr>
            <w:tcW w:w="2433" w:type="dxa"/>
          </w:tcPr>
          <w:p w14:paraId="60F68953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Weight Change </w:t>
            </w:r>
          </w:p>
        </w:tc>
        <w:tc>
          <w:tcPr>
            <w:tcW w:w="2433" w:type="dxa"/>
          </w:tcPr>
          <w:p w14:paraId="6CFF0F24" w14:textId="46B6506B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Mean reduction: -3.0 kg (SD 1.5) in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proofErr w:type="spellStart"/>
            <w:r w:rsidRPr="00A94A72">
              <w:rPr>
                <w:rFonts w:cstheme="minorHAnsi"/>
                <w:sz w:val="20"/>
                <w:szCs w:val="20"/>
                <w:lang w:val="en-US"/>
              </w:rPr>
              <w:t>Semaglutide</w:t>
            </w:r>
            <w:proofErr w:type="spellEnd"/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group vs. -1.0 kg (SD 0.9) in </w:t>
            </w:r>
            <w:r w:rsidR="001F0208">
              <w:rPr>
                <w:rFonts w:cstheme="minorHAnsi"/>
                <w:sz w:val="20"/>
                <w:szCs w:val="20"/>
                <w:lang w:val="en-US"/>
              </w:rPr>
              <w:t xml:space="preserve">the </w:t>
            </w: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comparator group </w:t>
            </w:r>
          </w:p>
        </w:tc>
        <w:tc>
          <w:tcPr>
            <w:tcW w:w="2433" w:type="dxa"/>
          </w:tcPr>
          <w:p w14:paraId="0FF4B7B1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Observational study, obese population, not pooled. </w:t>
            </w:r>
          </w:p>
        </w:tc>
      </w:tr>
      <w:tr w:rsidR="00A94A72" w:rsidRPr="00A94A72" w14:paraId="73B23D07" w14:textId="77777777" w:rsidTr="00A94A72">
        <w:trPr>
          <w:trHeight w:val="145"/>
        </w:trPr>
        <w:tc>
          <w:tcPr>
            <w:tcW w:w="2431" w:type="dxa"/>
          </w:tcPr>
          <w:p w14:paraId="53EFE3F7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>Qeadan</w:t>
            </w:r>
            <w:proofErr w:type="spellEnd"/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et al. (2025) [20] </w:t>
            </w:r>
          </w:p>
        </w:tc>
        <w:tc>
          <w:tcPr>
            <w:tcW w:w="2433" w:type="dxa"/>
          </w:tcPr>
          <w:p w14:paraId="35095F5C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Weight Change </w:t>
            </w:r>
          </w:p>
        </w:tc>
        <w:tc>
          <w:tcPr>
            <w:tcW w:w="2433" w:type="dxa"/>
          </w:tcPr>
          <w:p w14:paraId="439C2417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Not reported </w:t>
            </w:r>
          </w:p>
        </w:tc>
        <w:tc>
          <w:tcPr>
            <w:tcW w:w="2433" w:type="dxa"/>
          </w:tcPr>
          <w:p w14:paraId="58214DC3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Data not available. </w:t>
            </w:r>
          </w:p>
        </w:tc>
      </w:tr>
      <w:tr w:rsidR="00A94A72" w:rsidRPr="00A94A72" w14:paraId="01A31041" w14:textId="77777777" w:rsidTr="00A94A72">
        <w:trPr>
          <w:trHeight w:val="145"/>
        </w:trPr>
        <w:tc>
          <w:tcPr>
            <w:tcW w:w="2431" w:type="dxa"/>
          </w:tcPr>
          <w:p w14:paraId="71F900E4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>Farokhnia</w:t>
            </w:r>
            <w:proofErr w:type="spellEnd"/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et al. (2025) [21] </w:t>
            </w:r>
          </w:p>
        </w:tc>
        <w:tc>
          <w:tcPr>
            <w:tcW w:w="2433" w:type="dxa"/>
          </w:tcPr>
          <w:p w14:paraId="78A4300C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Glycemic Control </w:t>
            </w:r>
          </w:p>
        </w:tc>
        <w:tc>
          <w:tcPr>
            <w:tcW w:w="2433" w:type="dxa"/>
          </w:tcPr>
          <w:p w14:paraId="4DD43B10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HbA1c reduction: -0.5% (SD 0.2) in </w:t>
            </w:r>
            <w:proofErr w:type="spellStart"/>
            <w:r w:rsidRPr="00A94A72">
              <w:rPr>
                <w:rFonts w:cstheme="minorHAnsi"/>
                <w:sz w:val="20"/>
                <w:szCs w:val="20"/>
                <w:lang w:val="en-US"/>
              </w:rPr>
              <w:t>Semaglutide</w:t>
            </w:r>
            <w:proofErr w:type="spellEnd"/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group vs. no change in comparator group </w:t>
            </w:r>
          </w:p>
        </w:tc>
        <w:tc>
          <w:tcPr>
            <w:tcW w:w="2433" w:type="dxa"/>
          </w:tcPr>
          <w:p w14:paraId="61EAB4A5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Observational study, T2DM subgroup, not pooled. </w:t>
            </w:r>
          </w:p>
        </w:tc>
      </w:tr>
      <w:tr w:rsidR="00A94A72" w:rsidRPr="00A94A72" w14:paraId="2DA661B6" w14:textId="77777777" w:rsidTr="00A94A72">
        <w:trPr>
          <w:trHeight w:val="145"/>
        </w:trPr>
        <w:tc>
          <w:tcPr>
            <w:tcW w:w="2431" w:type="dxa"/>
          </w:tcPr>
          <w:p w14:paraId="5FD5638F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Xie et al. (2025) [22] </w:t>
            </w:r>
          </w:p>
        </w:tc>
        <w:tc>
          <w:tcPr>
            <w:tcW w:w="2433" w:type="dxa"/>
          </w:tcPr>
          <w:p w14:paraId="18593D98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Weight Change </w:t>
            </w:r>
          </w:p>
        </w:tc>
        <w:tc>
          <w:tcPr>
            <w:tcW w:w="2433" w:type="dxa"/>
          </w:tcPr>
          <w:p w14:paraId="329C9F20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Mean reduction: -2.8 kg (SD 1.4) in GLP-1RA group vs. -0.8 kg (SD 0.7) in comparator group </w:t>
            </w:r>
          </w:p>
        </w:tc>
        <w:tc>
          <w:tcPr>
            <w:tcW w:w="2433" w:type="dxa"/>
          </w:tcPr>
          <w:p w14:paraId="3D915D3A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Observational study, not pooled. </w:t>
            </w:r>
          </w:p>
        </w:tc>
      </w:tr>
      <w:tr w:rsidR="00A94A72" w:rsidRPr="00A94A72" w14:paraId="54FE995C" w14:textId="77777777" w:rsidTr="00A94A72">
        <w:trPr>
          <w:trHeight w:val="1234"/>
        </w:trPr>
        <w:tc>
          <w:tcPr>
            <w:tcW w:w="2431" w:type="dxa"/>
          </w:tcPr>
          <w:p w14:paraId="7534477F" w14:textId="77777777" w:rsidR="00A94A72" w:rsidRPr="002B55AE" w:rsidRDefault="00A94A72" w:rsidP="00BD2F7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B55AE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All Studies </w:t>
            </w:r>
          </w:p>
        </w:tc>
        <w:tc>
          <w:tcPr>
            <w:tcW w:w="2433" w:type="dxa"/>
          </w:tcPr>
          <w:p w14:paraId="71A7DB34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Quality of Life </w:t>
            </w:r>
          </w:p>
        </w:tc>
        <w:tc>
          <w:tcPr>
            <w:tcW w:w="2433" w:type="dxa"/>
          </w:tcPr>
          <w:p w14:paraId="4F9154B3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Not reported </w:t>
            </w:r>
          </w:p>
        </w:tc>
        <w:tc>
          <w:tcPr>
            <w:tcW w:w="2433" w:type="dxa"/>
          </w:tcPr>
          <w:p w14:paraId="156B25C8" w14:textId="77777777" w:rsidR="00A94A72" w:rsidRPr="00A94A72" w:rsidRDefault="00A94A72" w:rsidP="00BD2F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94A72">
              <w:rPr>
                <w:rFonts w:cstheme="minorHAnsi"/>
                <w:sz w:val="20"/>
                <w:szCs w:val="20"/>
                <w:lang w:val="en-US"/>
              </w:rPr>
              <w:t xml:space="preserve"> No studies reported quality of life related to alcohol use. </w:t>
            </w:r>
          </w:p>
        </w:tc>
      </w:tr>
    </w:tbl>
    <w:p w14:paraId="7905A5AA" w14:textId="77777777" w:rsidR="00642870" w:rsidRPr="00642870" w:rsidRDefault="00642870" w:rsidP="00642870">
      <w:pPr>
        <w:rPr>
          <w:b/>
          <w:bCs/>
          <w:lang w:val="en-US"/>
        </w:rPr>
      </w:pPr>
    </w:p>
    <w:p w14:paraId="031FF3F5" w14:textId="09BAE092" w:rsidR="00977EEB" w:rsidRDefault="00977EEB" w:rsidP="00977EEB">
      <w:r w:rsidRPr="00977EEB">
        <w:rPr>
          <w:b/>
          <w:bCs/>
          <w:lang w:val="en-US"/>
        </w:rPr>
        <w:t xml:space="preserve">Supplementary </w:t>
      </w:r>
      <w:r w:rsidR="005A30B0">
        <w:rPr>
          <w:b/>
          <w:bCs/>
          <w:lang w:val="en-US"/>
        </w:rPr>
        <w:t>T</w:t>
      </w:r>
      <w:r w:rsidRPr="00977EEB">
        <w:rPr>
          <w:b/>
          <w:bCs/>
          <w:lang w:val="en-US"/>
        </w:rPr>
        <w:t xml:space="preserve">able </w:t>
      </w:r>
      <w:r w:rsidR="001F0208">
        <w:rPr>
          <w:b/>
          <w:bCs/>
          <w:lang w:val="en-US"/>
        </w:rPr>
        <w:t>3</w:t>
      </w:r>
      <w:r>
        <w:rPr>
          <w:lang w:val="en-US"/>
        </w:rPr>
        <w:t xml:space="preserve">: </w:t>
      </w:r>
      <w:r w:rsidRPr="00977EEB">
        <w:t xml:space="preserve">Risk of Bias Assessment for RCTs (Cochrane </w:t>
      </w:r>
      <w:proofErr w:type="spellStart"/>
      <w:r w:rsidRPr="00977EEB">
        <w:t>RoB</w:t>
      </w:r>
      <w:proofErr w:type="spellEnd"/>
      <w:r w:rsidRPr="00977EEB">
        <w:t xml:space="preserve"> 2)</w:t>
      </w:r>
    </w:p>
    <w:p w14:paraId="22F1D81A" w14:textId="7B463787" w:rsidR="00F2127E" w:rsidRPr="00977EEB" w:rsidRDefault="001C08C0">
      <w:r w:rsidRPr="001C08C0">
        <w:t>Assessments were conducted using the Cochrane Risk of Bias Tool 2 (</w:t>
      </w:r>
      <w:proofErr w:type="spellStart"/>
      <w:r w:rsidRPr="001C08C0">
        <w:t>RoB</w:t>
      </w:r>
      <w:proofErr w:type="spellEnd"/>
      <w:r w:rsidRPr="001C08C0">
        <w:t xml:space="preserve"> 2). Moderate risks primarily stem from challenges in blinding participants due to the nature of the interventions, with additional concerns about self-reported outcome bias in Probst et al. (2023).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57"/>
        <w:gridCol w:w="1468"/>
        <w:gridCol w:w="1326"/>
        <w:gridCol w:w="1191"/>
        <w:gridCol w:w="1386"/>
        <w:gridCol w:w="1194"/>
        <w:gridCol w:w="1204"/>
      </w:tblGrid>
      <w:tr w:rsidR="00977EEB" w:rsidRPr="00977EEB" w14:paraId="7FE49AE2" w14:textId="77777777" w:rsidTr="0097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2BAFE874" w14:textId="77777777" w:rsidR="00977EEB" w:rsidRPr="00977EEB" w:rsidRDefault="00977EEB" w:rsidP="001436B3">
            <w:pPr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Study</w:t>
            </w:r>
          </w:p>
        </w:tc>
        <w:tc>
          <w:tcPr>
            <w:tcW w:w="1288" w:type="dxa"/>
          </w:tcPr>
          <w:p w14:paraId="16756483" w14:textId="77777777" w:rsidR="00977EEB" w:rsidRPr="00977EEB" w:rsidRDefault="00977EEB" w:rsidP="001436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Randomization Process</w:t>
            </w:r>
          </w:p>
        </w:tc>
        <w:tc>
          <w:tcPr>
            <w:tcW w:w="1288" w:type="dxa"/>
          </w:tcPr>
          <w:p w14:paraId="309DBC2C" w14:textId="77777777" w:rsidR="00977EEB" w:rsidRPr="00977EEB" w:rsidRDefault="00977EEB" w:rsidP="001436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Deviations from Intended Interventions</w:t>
            </w:r>
          </w:p>
        </w:tc>
        <w:tc>
          <w:tcPr>
            <w:tcW w:w="1288" w:type="dxa"/>
          </w:tcPr>
          <w:p w14:paraId="2E48C1DF" w14:textId="77777777" w:rsidR="00977EEB" w:rsidRPr="00977EEB" w:rsidRDefault="00977EEB" w:rsidP="001436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Missing Outcome Data</w:t>
            </w:r>
          </w:p>
        </w:tc>
        <w:tc>
          <w:tcPr>
            <w:tcW w:w="1288" w:type="dxa"/>
          </w:tcPr>
          <w:p w14:paraId="38425257" w14:textId="77777777" w:rsidR="00977EEB" w:rsidRPr="00977EEB" w:rsidRDefault="00977EEB" w:rsidP="001436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Measurement of the Outcome</w:t>
            </w:r>
          </w:p>
        </w:tc>
        <w:tc>
          <w:tcPr>
            <w:tcW w:w="1288" w:type="dxa"/>
          </w:tcPr>
          <w:p w14:paraId="635DB4A3" w14:textId="77777777" w:rsidR="00977EEB" w:rsidRPr="00977EEB" w:rsidRDefault="00977EEB" w:rsidP="001436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Selection of Reported Result</w:t>
            </w:r>
          </w:p>
        </w:tc>
        <w:tc>
          <w:tcPr>
            <w:tcW w:w="1288" w:type="dxa"/>
          </w:tcPr>
          <w:p w14:paraId="1CE7B3AC" w14:textId="77777777" w:rsidR="00977EEB" w:rsidRPr="00977EEB" w:rsidRDefault="00977EEB" w:rsidP="001436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Overall Risk of Bias</w:t>
            </w:r>
          </w:p>
        </w:tc>
      </w:tr>
      <w:tr w:rsidR="00977EEB" w:rsidRPr="00977EEB" w14:paraId="0DD24423" w14:textId="77777777" w:rsidTr="00977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0016C24C" w14:textId="77777777" w:rsidR="00977EEB" w:rsidRPr="00977EEB" w:rsidRDefault="00977EEB" w:rsidP="001436B3">
            <w:pPr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Hendershot et al. (2025)</w:t>
            </w:r>
          </w:p>
        </w:tc>
        <w:tc>
          <w:tcPr>
            <w:tcW w:w="1288" w:type="dxa"/>
          </w:tcPr>
          <w:p w14:paraId="04288A32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224A5691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Moderate (blinding issues)</w:t>
            </w:r>
          </w:p>
        </w:tc>
        <w:tc>
          <w:tcPr>
            <w:tcW w:w="1288" w:type="dxa"/>
          </w:tcPr>
          <w:p w14:paraId="18E7B4DD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0C124ECA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35656051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0D2CE177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 to Moderate</w:t>
            </w:r>
          </w:p>
        </w:tc>
      </w:tr>
      <w:tr w:rsidR="00977EEB" w:rsidRPr="00977EEB" w14:paraId="39C5DCD3" w14:textId="77777777" w:rsidTr="00977E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568CA524" w14:textId="77777777" w:rsidR="00977EEB" w:rsidRPr="00977EEB" w:rsidRDefault="00977EEB" w:rsidP="001436B3">
            <w:pPr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lastRenderedPageBreak/>
              <w:t>Klausen et al. (2022)</w:t>
            </w:r>
          </w:p>
        </w:tc>
        <w:tc>
          <w:tcPr>
            <w:tcW w:w="1288" w:type="dxa"/>
          </w:tcPr>
          <w:p w14:paraId="6CA83948" w14:textId="77777777" w:rsidR="00977EEB" w:rsidRPr="00977EEB" w:rsidRDefault="00977EEB" w:rsidP="00143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0CAA6BE1" w14:textId="77777777" w:rsidR="00977EEB" w:rsidRPr="00977EEB" w:rsidRDefault="00977EEB" w:rsidP="00143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Moderate (blinding issues)</w:t>
            </w:r>
          </w:p>
        </w:tc>
        <w:tc>
          <w:tcPr>
            <w:tcW w:w="1288" w:type="dxa"/>
          </w:tcPr>
          <w:p w14:paraId="00F95FCC" w14:textId="77777777" w:rsidR="00977EEB" w:rsidRPr="00977EEB" w:rsidRDefault="00977EEB" w:rsidP="00143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79DCCC67" w14:textId="77777777" w:rsidR="00977EEB" w:rsidRPr="00977EEB" w:rsidRDefault="00977EEB" w:rsidP="00143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269A8D92" w14:textId="77777777" w:rsidR="00977EEB" w:rsidRPr="00977EEB" w:rsidRDefault="00977EEB" w:rsidP="00143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1235ECB0" w14:textId="77777777" w:rsidR="00977EEB" w:rsidRPr="00977EEB" w:rsidRDefault="00977EEB" w:rsidP="00143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 to Moderate</w:t>
            </w:r>
          </w:p>
        </w:tc>
      </w:tr>
      <w:tr w:rsidR="00977EEB" w:rsidRPr="00977EEB" w14:paraId="254253E7" w14:textId="77777777" w:rsidTr="00977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76B57007" w14:textId="77777777" w:rsidR="00977EEB" w:rsidRPr="00977EEB" w:rsidRDefault="00977EEB" w:rsidP="001436B3">
            <w:pPr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Probst et al. (2023)</w:t>
            </w:r>
          </w:p>
        </w:tc>
        <w:tc>
          <w:tcPr>
            <w:tcW w:w="1288" w:type="dxa"/>
          </w:tcPr>
          <w:p w14:paraId="2997B388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3BCF2CF7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Moderate (blinding issues)</w:t>
            </w:r>
          </w:p>
        </w:tc>
        <w:tc>
          <w:tcPr>
            <w:tcW w:w="1288" w:type="dxa"/>
          </w:tcPr>
          <w:p w14:paraId="15FCE14A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215B9A64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Moderate (self-reported bias)</w:t>
            </w:r>
          </w:p>
        </w:tc>
        <w:tc>
          <w:tcPr>
            <w:tcW w:w="1288" w:type="dxa"/>
          </w:tcPr>
          <w:p w14:paraId="523EC53F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Low</w:t>
            </w:r>
          </w:p>
        </w:tc>
        <w:tc>
          <w:tcPr>
            <w:tcW w:w="1288" w:type="dxa"/>
          </w:tcPr>
          <w:p w14:paraId="4D21D056" w14:textId="77777777" w:rsidR="00977EEB" w:rsidRPr="00977EEB" w:rsidRDefault="00977EEB" w:rsidP="00143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7EEB">
              <w:rPr>
                <w:sz w:val="20"/>
                <w:szCs w:val="20"/>
              </w:rPr>
              <w:t>Moderate</w:t>
            </w:r>
          </w:p>
        </w:tc>
      </w:tr>
    </w:tbl>
    <w:p w14:paraId="7A604A0E" w14:textId="53EC43B6" w:rsidR="00F2127E" w:rsidRDefault="00F2127E" w:rsidP="00977EEB">
      <w:pPr>
        <w:rPr>
          <w:lang w:val="en-US"/>
        </w:rPr>
      </w:pPr>
    </w:p>
    <w:p w14:paraId="004FCF7F" w14:textId="56F298E5" w:rsidR="005B169B" w:rsidRDefault="00977EEB" w:rsidP="00260D78">
      <w:pPr>
        <w:rPr>
          <w:lang w:val="en-US"/>
        </w:rPr>
      </w:pPr>
      <w:r w:rsidRPr="005B169B">
        <w:rPr>
          <w:b/>
          <w:bCs/>
          <w:lang w:val="en-US"/>
        </w:rPr>
        <w:t xml:space="preserve">Supplementary </w:t>
      </w:r>
      <w:r w:rsidR="005A30B0">
        <w:rPr>
          <w:b/>
          <w:bCs/>
          <w:lang w:val="en-US"/>
        </w:rPr>
        <w:t>Table</w:t>
      </w:r>
      <w:r w:rsidRPr="005B169B">
        <w:rPr>
          <w:b/>
          <w:bCs/>
          <w:lang w:val="en-US"/>
        </w:rPr>
        <w:t xml:space="preserve"> </w:t>
      </w:r>
      <w:r w:rsidR="001F0208">
        <w:rPr>
          <w:b/>
          <w:bCs/>
          <w:lang w:val="en-US"/>
        </w:rPr>
        <w:t>4</w:t>
      </w:r>
      <w:r w:rsidR="00260D78">
        <w:rPr>
          <w:lang w:val="en-US"/>
        </w:rPr>
        <w:t xml:space="preserve">: </w:t>
      </w:r>
      <w:r w:rsidR="00041BB3" w:rsidRPr="00041BB3">
        <w:rPr>
          <w:lang w:val="en-US"/>
        </w:rPr>
        <w:t>Risk of Bias Assessment for Observational Studies (NOS and Modified NOS)</w:t>
      </w:r>
    </w:p>
    <w:p w14:paraId="4EEAFA4D" w14:textId="77777777" w:rsidR="00401A23" w:rsidRPr="00401A23" w:rsidRDefault="00401A23" w:rsidP="00401A23">
      <w:r w:rsidRPr="00401A23">
        <w:t>Assessments were conducted using the Newcastle-Ottawa Scale (NOS). Scores range from 0 to 9, with higher scores indicating better quality. Comparability issues often stem from residual confounding or study design limitations (e.g., within-individual designs).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51"/>
        <w:gridCol w:w="1419"/>
        <w:gridCol w:w="1484"/>
        <w:gridCol w:w="1826"/>
        <w:gridCol w:w="1371"/>
        <w:gridCol w:w="1475"/>
      </w:tblGrid>
      <w:tr w:rsidR="00227A5A" w:rsidRPr="00797ACA" w14:paraId="2EBB8C1A" w14:textId="77777777" w:rsidTr="00227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021C1976" w14:textId="77777777" w:rsidR="00227A5A" w:rsidRPr="00797ACA" w:rsidRDefault="00227A5A" w:rsidP="00BF4480">
            <w:pPr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Study</w:t>
            </w:r>
          </w:p>
        </w:tc>
        <w:tc>
          <w:tcPr>
            <w:tcW w:w="1502" w:type="dxa"/>
          </w:tcPr>
          <w:p w14:paraId="0B09709A" w14:textId="77777777" w:rsidR="00227A5A" w:rsidRPr="00797ACA" w:rsidRDefault="00227A5A" w:rsidP="00BF4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Selection (0-4)</w:t>
            </w:r>
          </w:p>
        </w:tc>
        <w:tc>
          <w:tcPr>
            <w:tcW w:w="1503" w:type="dxa"/>
          </w:tcPr>
          <w:p w14:paraId="04318849" w14:textId="77777777" w:rsidR="00227A5A" w:rsidRPr="00797ACA" w:rsidRDefault="00227A5A" w:rsidP="00BF4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Comparability (0-2)</w:t>
            </w:r>
          </w:p>
        </w:tc>
        <w:tc>
          <w:tcPr>
            <w:tcW w:w="1503" w:type="dxa"/>
          </w:tcPr>
          <w:p w14:paraId="7B4615CC" w14:textId="77777777" w:rsidR="00227A5A" w:rsidRPr="00797ACA" w:rsidRDefault="00227A5A" w:rsidP="00BF4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Outcome/Exposure (0-3)</w:t>
            </w:r>
          </w:p>
        </w:tc>
        <w:tc>
          <w:tcPr>
            <w:tcW w:w="1503" w:type="dxa"/>
          </w:tcPr>
          <w:p w14:paraId="4ABF3A62" w14:textId="77777777" w:rsidR="00227A5A" w:rsidRPr="00797ACA" w:rsidRDefault="00227A5A" w:rsidP="00BF4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Total Score (0-9)</w:t>
            </w:r>
          </w:p>
        </w:tc>
        <w:tc>
          <w:tcPr>
            <w:tcW w:w="1503" w:type="dxa"/>
          </w:tcPr>
          <w:p w14:paraId="252F9D8A" w14:textId="77777777" w:rsidR="00227A5A" w:rsidRPr="00797ACA" w:rsidRDefault="00227A5A" w:rsidP="00BF4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Comments</w:t>
            </w:r>
          </w:p>
        </w:tc>
      </w:tr>
      <w:tr w:rsidR="00227A5A" w:rsidRPr="00797ACA" w14:paraId="5F9500D4" w14:textId="77777777" w:rsidTr="0022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6BFA9A88" w14:textId="77777777" w:rsidR="00227A5A" w:rsidRPr="00797ACA" w:rsidRDefault="00227A5A" w:rsidP="00BF4480">
            <w:pPr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Wium-Andersen et al. (2022)</w:t>
            </w:r>
          </w:p>
        </w:tc>
        <w:tc>
          <w:tcPr>
            <w:tcW w:w="1502" w:type="dxa"/>
          </w:tcPr>
          <w:p w14:paraId="0807527D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4</w:t>
            </w:r>
          </w:p>
        </w:tc>
        <w:tc>
          <w:tcPr>
            <w:tcW w:w="1503" w:type="dxa"/>
          </w:tcPr>
          <w:p w14:paraId="1BF43B49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1 (residual confounding)</w:t>
            </w:r>
          </w:p>
        </w:tc>
        <w:tc>
          <w:tcPr>
            <w:tcW w:w="1503" w:type="dxa"/>
          </w:tcPr>
          <w:p w14:paraId="03932A01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14:paraId="3FBF0A9B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8</w:t>
            </w:r>
          </w:p>
        </w:tc>
        <w:tc>
          <w:tcPr>
            <w:tcW w:w="1503" w:type="dxa"/>
          </w:tcPr>
          <w:p w14:paraId="1F06B686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Good quality, minor comparability issues</w:t>
            </w:r>
          </w:p>
        </w:tc>
      </w:tr>
      <w:tr w:rsidR="00227A5A" w:rsidRPr="00797ACA" w14:paraId="089AB6AF" w14:textId="77777777" w:rsidTr="0022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724DB029" w14:textId="77777777" w:rsidR="00227A5A" w:rsidRPr="00797ACA" w:rsidRDefault="00227A5A" w:rsidP="00BF4480">
            <w:pPr>
              <w:rPr>
                <w:sz w:val="20"/>
                <w:szCs w:val="20"/>
              </w:rPr>
            </w:pPr>
            <w:proofErr w:type="spellStart"/>
            <w:r w:rsidRPr="00797ACA">
              <w:rPr>
                <w:sz w:val="20"/>
                <w:szCs w:val="20"/>
              </w:rPr>
              <w:t>Lähteenvuo</w:t>
            </w:r>
            <w:proofErr w:type="spellEnd"/>
            <w:r w:rsidRPr="00797ACA">
              <w:rPr>
                <w:sz w:val="20"/>
                <w:szCs w:val="20"/>
              </w:rPr>
              <w:t xml:space="preserve"> et al. (2024)</w:t>
            </w:r>
          </w:p>
        </w:tc>
        <w:tc>
          <w:tcPr>
            <w:tcW w:w="1502" w:type="dxa"/>
          </w:tcPr>
          <w:p w14:paraId="296C0B5C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4</w:t>
            </w:r>
          </w:p>
        </w:tc>
        <w:tc>
          <w:tcPr>
            <w:tcW w:w="1503" w:type="dxa"/>
          </w:tcPr>
          <w:p w14:paraId="30FC82A4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1 (within-individual design)</w:t>
            </w:r>
          </w:p>
        </w:tc>
        <w:tc>
          <w:tcPr>
            <w:tcW w:w="1503" w:type="dxa"/>
          </w:tcPr>
          <w:p w14:paraId="622CAC96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14:paraId="66E5DC9E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8</w:t>
            </w:r>
          </w:p>
        </w:tc>
        <w:tc>
          <w:tcPr>
            <w:tcW w:w="1503" w:type="dxa"/>
          </w:tcPr>
          <w:p w14:paraId="1B4D8958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Good quality, minor comparability issues</w:t>
            </w:r>
          </w:p>
        </w:tc>
      </w:tr>
      <w:tr w:rsidR="00227A5A" w:rsidRPr="00797ACA" w14:paraId="6783EE09" w14:textId="77777777" w:rsidTr="0022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325F1684" w14:textId="77777777" w:rsidR="00227A5A" w:rsidRPr="00797ACA" w:rsidRDefault="00227A5A" w:rsidP="00BF4480">
            <w:pPr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Wang et al. (2024)</w:t>
            </w:r>
          </w:p>
        </w:tc>
        <w:tc>
          <w:tcPr>
            <w:tcW w:w="1502" w:type="dxa"/>
          </w:tcPr>
          <w:p w14:paraId="04EF8F9D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4</w:t>
            </w:r>
          </w:p>
        </w:tc>
        <w:tc>
          <w:tcPr>
            <w:tcW w:w="1503" w:type="dxa"/>
          </w:tcPr>
          <w:p w14:paraId="75651C59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1 (residual confounding)</w:t>
            </w:r>
          </w:p>
        </w:tc>
        <w:tc>
          <w:tcPr>
            <w:tcW w:w="1503" w:type="dxa"/>
          </w:tcPr>
          <w:p w14:paraId="42FD89E1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14:paraId="139F46D8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8</w:t>
            </w:r>
          </w:p>
        </w:tc>
        <w:tc>
          <w:tcPr>
            <w:tcW w:w="1503" w:type="dxa"/>
          </w:tcPr>
          <w:p w14:paraId="606D9898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Good quality, strong PSM design</w:t>
            </w:r>
          </w:p>
        </w:tc>
      </w:tr>
      <w:tr w:rsidR="00227A5A" w:rsidRPr="00797ACA" w14:paraId="0F61CA9C" w14:textId="77777777" w:rsidTr="0022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4B4FC1E9" w14:textId="77777777" w:rsidR="00227A5A" w:rsidRPr="00797ACA" w:rsidRDefault="00227A5A" w:rsidP="00BF4480">
            <w:pPr>
              <w:rPr>
                <w:sz w:val="20"/>
                <w:szCs w:val="20"/>
              </w:rPr>
            </w:pPr>
            <w:proofErr w:type="spellStart"/>
            <w:r w:rsidRPr="00797ACA">
              <w:rPr>
                <w:sz w:val="20"/>
                <w:szCs w:val="20"/>
              </w:rPr>
              <w:t>Qeadan</w:t>
            </w:r>
            <w:proofErr w:type="spellEnd"/>
            <w:r w:rsidRPr="00797ACA">
              <w:rPr>
                <w:sz w:val="20"/>
                <w:szCs w:val="20"/>
              </w:rPr>
              <w:t xml:space="preserve"> et al. (2025)</w:t>
            </w:r>
          </w:p>
        </w:tc>
        <w:tc>
          <w:tcPr>
            <w:tcW w:w="1502" w:type="dxa"/>
          </w:tcPr>
          <w:p w14:paraId="4DCEDE09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14:paraId="1428E9AC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1 (no control group for AUD)</w:t>
            </w:r>
          </w:p>
        </w:tc>
        <w:tc>
          <w:tcPr>
            <w:tcW w:w="1503" w:type="dxa"/>
          </w:tcPr>
          <w:p w14:paraId="00991C44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14:paraId="0CDE19B3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7</w:t>
            </w:r>
          </w:p>
        </w:tc>
        <w:tc>
          <w:tcPr>
            <w:tcW w:w="1503" w:type="dxa"/>
          </w:tcPr>
          <w:p w14:paraId="3F8C95F6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Moderate quality, retrospective design</w:t>
            </w:r>
          </w:p>
        </w:tc>
      </w:tr>
      <w:tr w:rsidR="00227A5A" w:rsidRPr="00797ACA" w14:paraId="1F4E3507" w14:textId="77777777" w:rsidTr="00227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35A6825D" w14:textId="77777777" w:rsidR="00227A5A" w:rsidRPr="00797ACA" w:rsidRDefault="00227A5A" w:rsidP="00BF4480">
            <w:pPr>
              <w:rPr>
                <w:sz w:val="20"/>
                <w:szCs w:val="20"/>
              </w:rPr>
            </w:pPr>
            <w:proofErr w:type="spellStart"/>
            <w:r w:rsidRPr="00797ACA">
              <w:rPr>
                <w:sz w:val="20"/>
                <w:szCs w:val="20"/>
              </w:rPr>
              <w:t>Farokhnia</w:t>
            </w:r>
            <w:proofErr w:type="spellEnd"/>
            <w:r w:rsidRPr="00797ACA">
              <w:rPr>
                <w:sz w:val="20"/>
                <w:szCs w:val="20"/>
              </w:rPr>
              <w:t xml:space="preserve"> et al. (2025)</w:t>
            </w:r>
          </w:p>
        </w:tc>
        <w:tc>
          <w:tcPr>
            <w:tcW w:w="1502" w:type="dxa"/>
          </w:tcPr>
          <w:p w14:paraId="4FE3EC65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4</w:t>
            </w:r>
          </w:p>
        </w:tc>
        <w:tc>
          <w:tcPr>
            <w:tcW w:w="1503" w:type="dxa"/>
          </w:tcPr>
          <w:p w14:paraId="75F0CAE3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1 (residual confounding)</w:t>
            </w:r>
          </w:p>
        </w:tc>
        <w:tc>
          <w:tcPr>
            <w:tcW w:w="1503" w:type="dxa"/>
          </w:tcPr>
          <w:p w14:paraId="31A44B65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14:paraId="06ED2EF2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8</w:t>
            </w:r>
          </w:p>
        </w:tc>
        <w:tc>
          <w:tcPr>
            <w:tcW w:w="1503" w:type="dxa"/>
          </w:tcPr>
          <w:p w14:paraId="542EB7CE" w14:textId="77777777" w:rsidR="00227A5A" w:rsidRPr="00797ACA" w:rsidRDefault="00227A5A" w:rsidP="00BF44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Good quality, strong PSM design</w:t>
            </w:r>
          </w:p>
        </w:tc>
      </w:tr>
      <w:tr w:rsidR="00227A5A" w:rsidRPr="00797ACA" w14:paraId="4E2D601A" w14:textId="77777777" w:rsidTr="00227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16550332" w14:textId="77777777" w:rsidR="00227A5A" w:rsidRPr="00797ACA" w:rsidRDefault="00227A5A" w:rsidP="00BF4480">
            <w:pPr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Xie et al. (2025)</w:t>
            </w:r>
          </w:p>
        </w:tc>
        <w:tc>
          <w:tcPr>
            <w:tcW w:w="1502" w:type="dxa"/>
          </w:tcPr>
          <w:p w14:paraId="56684ABD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4</w:t>
            </w:r>
          </w:p>
        </w:tc>
        <w:tc>
          <w:tcPr>
            <w:tcW w:w="1503" w:type="dxa"/>
          </w:tcPr>
          <w:p w14:paraId="7A0809A0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1 (residual confounding)</w:t>
            </w:r>
          </w:p>
        </w:tc>
        <w:tc>
          <w:tcPr>
            <w:tcW w:w="1503" w:type="dxa"/>
          </w:tcPr>
          <w:p w14:paraId="21663E95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14:paraId="6A7B8C8E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8</w:t>
            </w:r>
          </w:p>
        </w:tc>
        <w:tc>
          <w:tcPr>
            <w:tcW w:w="1503" w:type="dxa"/>
          </w:tcPr>
          <w:p w14:paraId="20CC06CB" w14:textId="77777777" w:rsidR="00227A5A" w:rsidRPr="00797ACA" w:rsidRDefault="00227A5A" w:rsidP="00BF44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97ACA">
              <w:rPr>
                <w:sz w:val="20"/>
                <w:szCs w:val="20"/>
              </w:rPr>
              <w:t>Good quality, strong PSM design</w:t>
            </w:r>
          </w:p>
        </w:tc>
      </w:tr>
    </w:tbl>
    <w:p w14:paraId="443A71A2" w14:textId="77777777" w:rsidR="005B169B" w:rsidRDefault="005B169B" w:rsidP="00977EEB">
      <w:pPr>
        <w:rPr>
          <w:lang w:val="en-US"/>
        </w:rPr>
      </w:pPr>
    </w:p>
    <w:p w14:paraId="7399927E" w14:textId="45071BC4" w:rsidR="005A30B0" w:rsidRPr="005A30B0" w:rsidRDefault="005A30B0" w:rsidP="005A30B0">
      <w:r w:rsidRPr="005A30B0">
        <w:rPr>
          <w:b/>
          <w:bCs/>
          <w:lang w:val="en-US"/>
        </w:rPr>
        <w:t xml:space="preserve">Supplementary Table </w:t>
      </w:r>
      <w:r w:rsidR="001F0208">
        <w:rPr>
          <w:b/>
          <w:bCs/>
          <w:lang w:val="en-US"/>
        </w:rPr>
        <w:t>5</w:t>
      </w:r>
      <w:r>
        <w:rPr>
          <w:lang w:val="en-US"/>
        </w:rPr>
        <w:t xml:space="preserve">: </w:t>
      </w:r>
      <w:r w:rsidRPr="005A30B0">
        <w:t>GRADE Assessment</w:t>
      </w:r>
    </w:p>
    <w:p w14:paraId="17197E57" w14:textId="7C359A6C" w:rsidR="004E3038" w:rsidRPr="00932A5B" w:rsidRDefault="00932A5B" w:rsidP="00977EEB">
      <w:r w:rsidRPr="00932A5B">
        <w:t xml:space="preserve">GRADE: </w:t>
      </w:r>
      <w:r w:rsidR="00D6553D" w:rsidRPr="00D6553D">
        <w:t>Grading of Recommendations Assessment, Development and Evaluation. Outcomes assessed include standardized mean differences (SMD) for alcohol consumption and craving, and hazard ratios (HR) for alcohol-related events (including AUD incidence/recurrence and alcohol intoxication). The prediction interval was used to assess heterogeneity.</w:t>
      </w:r>
    </w:p>
    <w:p w14:paraId="28C103BD" w14:textId="77777777" w:rsidR="00715D7D" w:rsidRPr="00715D7D" w:rsidRDefault="00715D7D" w:rsidP="00715D7D">
      <w:pPr>
        <w:rPr>
          <w:b/>
          <w:bCs/>
        </w:rPr>
      </w:pPr>
      <w:r w:rsidRPr="00715D7D">
        <w:rPr>
          <w:b/>
          <w:bCs/>
        </w:rPr>
        <w:t>GRADE Assessment for the Effects of Glucagon-Like Peptide-1 Receptor Agonists (GLP-1RAs) on Alcohol-Related Outcomes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325"/>
        <w:gridCol w:w="1347"/>
        <w:gridCol w:w="1071"/>
        <w:gridCol w:w="1334"/>
        <w:gridCol w:w="1224"/>
        <w:gridCol w:w="1186"/>
        <w:gridCol w:w="1147"/>
        <w:gridCol w:w="1021"/>
      </w:tblGrid>
      <w:tr w:rsidR="001D258E" w:rsidRPr="001D258E" w14:paraId="789B101B" w14:textId="77777777" w:rsidTr="001D258E">
        <w:tc>
          <w:tcPr>
            <w:tcW w:w="1235" w:type="dxa"/>
          </w:tcPr>
          <w:p w14:paraId="511ED6E3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256" w:type="dxa"/>
          </w:tcPr>
          <w:p w14:paraId="27269F14" w14:textId="3E8ADF2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Study Design</w:t>
            </w:r>
            <w:r w:rsidR="0059780D">
              <w:rPr>
                <w:b/>
                <w:bCs/>
                <w:sz w:val="20"/>
                <w:szCs w:val="20"/>
              </w:rPr>
              <w:t xml:space="preserve"> (Studies)</w:t>
            </w:r>
          </w:p>
        </w:tc>
        <w:tc>
          <w:tcPr>
            <w:tcW w:w="1002" w:type="dxa"/>
          </w:tcPr>
          <w:p w14:paraId="0FB1893A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Risk of Bias</w:t>
            </w:r>
          </w:p>
        </w:tc>
        <w:tc>
          <w:tcPr>
            <w:tcW w:w="1244" w:type="dxa"/>
          </w:tcPr>
          <w:p w14:paraId="28EA2A13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Inconsistency</w:t>
            </w:r>
          </w:p>
        </w:tc>
        <w:tc>
          <w:tcPr>
            <w:tcW w:w="1143" w:type="dxa"/>
          </w:tcPr>
          <w:p w14:paraId="3A5CD0A0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Indirectness</w:t>
            </w:r>
          </w:p>
        </w:tc>
        <w:tc>
          <w:tcPr>
            <w:tcW w:w="1108" w:type="dxa"/>
          </w:tcPr>
          <w:p w14:paraId="15BC6D09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Imprecision</w:t>
            </w:r>
          </w:p>
        </w:tc>
        <w:tc>
          <w:tcPr>
            <w:tcW w:w="1072" w:type="dxa"/>
          </w:tcPr>
          <w:p w14:paraId="78AF9CC0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Publication Bias</w:t>
            </w:r>
          </w:p>
        </w:tc>
        <w:tc>
          <w:tcPr>
            <w:tcW w:w="1433" w:type="dxa"/>
          </w:tcPr>
          <w:p w14:paraId="041D7195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Certainty of Evidence</w:t>
            </w:r>
          </w:p>
        </w:tc>
      </w:tr>
      <w:tr w:rsidR="001D258E" w:rsidRPr="001D258E" w14:paraId="29AC99D6" w14:textId="77777777" w:rsidTr="001D258E">
        <w:tc>
          <w:tcPr>
            <w:tcW w:w="1235" w:type="dxa"/>
          </w:tcPr>
          <w:p w14:paraId="6FC5D7BD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lastRenderedPageBreak/>
              <w:t>Alcohol Consumption (SMD)</w:t>
            </w:r>
          </w:p>
        </w:tc>
        <w:tc>
          <w:tcPr>
            <w:tcW w:w="1256" w:type="dxa"/>
          </w:tcPr>
          <w:p w14:paraId="13F25849" w14:textId="38726FA9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RCT (3</w:t>
            </w:r>
            <w:r w:rsidR="0059780D">
              <w:rPr>
                <w:sz w:val="20"/>
                <w:szCs w:val="20"/>
              </w:rPr>
              <w:t>)</w:t>
            </w:r>
          </w:p>
        </w:tc>
        <w:tc>
          <w:tcPr>
            <w:tcW w:w="1002" w:type="dxa"/>
          </w:tcPr>
          <w:p w14:paraId="5331AE47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Moderate¹</w:t>
            </w:r>
          </w:p>
        </w:tc>
        <w:tc>
          <w:tcPr>
            <w:tcW w:w="1244" w:type="dxa"/>
          </w:tcPr>
          <w:p w14:paraId="33F7B7C1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Moderate²</w:t>
            </w:r>
          </w:p>
        </w:tc>
        <w:tc>
          <w:tcPr>
            <w:tcW w:w="1143" w:type="dxa"/>
          </w:tcPr>
          <w:p w14:paraId="41513869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</w:t>
            </w:r>
          </w:p>
        </w:tc>
        <w:tc>
          <w:tcPr>
            <w:tcW w:w="1108" w:type="dxa"/>
          </w:tcPr>
          <w:p w14:paraId="63EDF10E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High³</w:t>
            </w:r>
          </w:p>
        </w:tc>
        <w:tc>
          <w:tcPr>
            <w:tcW w:w="1072" w:type="dxa"/>
          </w:tcPr>
          <w:p w14:paraId="3A4588EB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Not detected⁴</w:t>
            </w:r>
          </w:p>
        </w:tc>
        <w:tc>
          <w:tcPr>
            <w:tcW w:w="1433" w:type="dxa"/>
          </w:tcPr>
          <w:p w14:paraId="18A26941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</w:t>
            </w:r>
          </w:p>
        </w:tc>
      </w:tr>
      <w:tr w:rsidR="001D258E" w:rsidRPr="001D258E" w14:paraId="3578BB91" w14:textId="77777777" w:rsidTr="001D258E">
        <w:tc>
          <w:tcPr>
            <w:tcW w:w="1235" w:type="dxa"/>
          </w:tcPr>
          <w:p w14:paraId="5D967B8F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Drinks per Drinking Day (SMD)</w:t>
            </w:r>
          </w:p>
        </w:tc>
        <w:tc>
          <w:tcPr>
            <w:tcW w:w="1256" w:type="dxa"/>
          </w:tcPr>
          <w:p w14:paraId="710F0E77" w14:textId="2EDEFEF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RCT (3</w:t>
            </w:r>
            <w:r w:rsidR="0059780D">
              <w:rPr>
                <w:sz w:val="20"/>
                <w:szCs w:val="20"/>
              </w:rPr>
              <w:t>)</w:t>
            </w:r>
          </w:p>
        </w:tc>
        <w:tc>
          <w:tcPr>
            <w:tcW w:w="1002" w:type="dxa"/>
          </w:tcPr>
          <w:p w14:paraId="69AACC2F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Moderate¹</w:t>
            </w:r>
          </w:p>
        </w:tc>
        <w:tc>
          <w:tcPr>
            <w:tcW w:w="1244" w:type="dxa"/>
          </w:tcPr>
          <w:p w14:paraId="58682913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Moderate⁵</w:t>
            </w:r>
          </w:p>
        </w:tc>
        <w:tc>
          <w:tcPr>
            <w:tcW w:w="1143" w:type="dxa"/>
          </w:tcPr>
          <w:p w14:paraId="2EFC9D5D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</w:t>
            </w:r>
          </w:p>
        </w:tc>
        <w:tc>
          <w:tcPr>
            <w:tcW w:w="1108" w:type="dxa"/>
          </w:tcPr>
          <w:p w14:paraId="2C2DBBFF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High⁶</w:t>
            </w:r>
          </w:p>
        </w:tc>
        <w:tc>
          <w:tcPr>
            <w:tcW w:w="1072" w:type="dxa"/>
          </w:tcPr>
          <w:p w14:paraId="7191FCDA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Not detected⁴</w:t>
            </w:r>
          </w:p>
        </w:tc>
        <w:tc>
          <w:tcPr>
            <w:tcW w:w="1433" w:type="dxa"/>
          </w:tcPr>
          <w:p w14:paraId="089E2186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</w:t>
            </w:r>
          </w:p>
        </w:tc>
      </w:tr>
      <w:tr w:rsidR="001D258E" w:rsidRPr="001D258E" w14:paraId="2799B071" w14:textId="77777777" w:rsidTr="001D258E">
        <w:tc>
          <w:tcPr>
            <w:tcW w:w="1235" w:type="dxa"/>
          </w:tcPr>
          <w:p w14:paraId="73C071C1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Alcohol Craving (SMD)</w:t>
            </w:r>
          </w:p>
        </w:tc>
        <w:tc>
          <w:tcPr>
            <w:tcW w:w="1256" w:type="dxa"/>
          </w:tcPr>
          <w:p w14:paraId="38D8EF47" w14:textId="384903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RCT (2</w:t>
            </w:r>
            <w:r w:rsidR="0059780D">
              <w:rPr>
                <w:sz w:val="20"/>
                <w:szCs w:val="20"/>
              </w:rPr>
              <w:t>)</w:t>
            </w:r>
          </w:p>
        </w:tc>
        <w:tc>
          <w:tcPr>
            <w:tcW w:w="1002" w:type="dxa"/>
          </w:tcPr>
          <w:p w14:paraId="75603B80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Moderate¹</w:t>
            </w:r>
          </w:p>
        </w:tc>
        <w:tc>
          <w:tcPr>
            <w:tcW w:w="1244" w:type="dxa"/>
          </w:tcPr>
          <w:p w14:paraId="07D78CFF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High⁷</w:t>
            </w:r>
          </w:p>
        </w:tc>
        <w:tc>
          <w:tcPr>
            <w:tcW w:w="1143" w:type="dxa"/>
          </w:tcPr>
          <w:p w14:paraId="7348D0E6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</w:t>
            </w:r>
          </w:p>
        </w:tc>
        <w:tc>
          <w:tcPr>
            <w:tcW w:w="1108" w:type="dxa"/>
          </w:tcPr>
          <w:p w14:paraId="4B830595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High⁸</w:t>
            </w:r>
          </w:p>
        </w:tc>
        <w:tc>
          <w:tcPr>
            <w:tcW w:w="1072" w:type="dxa"/>
          </w:tcPr>
          <w:p w14:paraId="7C7A130C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Not detected⁹</w:t>
            </w:r>
          </w:p>
        </w:tc>
        <w:tc>
          <w:tcPr>
            <w:tcW w:w="1433" w:type="dxa"/>
          </w:tcPr>
          <w:p w14:paraId="72399F1B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Very Low</w:t>
            </w:r>
          </w:p>
        </w:tc>
      </w:tr>
      <w:tr w:rsidR="001D258E" w:rsidRPr="001D258E" w14:paraId="1EDE852D" w14:textId="77777777" w:rsidTr="001D258E">
        <w:tc>
          <w:tcPr>
            <w:tcW w:w="1235" w:type="dxa"/>
          </w:tcPr>
          <w:p w14:paraId="4E12AC9A" w14:textId="77777777" w:rsidR="001D258E" w:rsidRPr="001D258E" w:rsidRDefault="001D258E" w:rsidP="00AA7FC7">
            <w:pPr>
              <w:rPr>
                <w:b/>
                <w:bCs/>
                <w:sz w:val="20"/>
                <w:szCs w:val="20"/>
              </w:rPr>
            </w:pPr>
            <w:r w:rsidRPr="001D258E">
              <w:rPr>
                <w:b/>
                <w:bCs/>
                <w:sz w:val="20"/>
                <w:szCs w:val="20"/>
              </w:rPr>
              <w:t>Alcohol-Related Events (HR)</w:t>
            </w:r>
          </w:p>
        </w:tc>
        <w:tc>
          <w:tcPr>
            <w:tcW w:w="1256" w:type="dxa"/>
          </w:tcPr>
          <w:p w14:paraId="3D7469B6" w14:textId="408F59C6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Observational (6</w:t>
            </w:r>
            <w:r w:rsidR="00915704">
              <w:rPr>
                <w:sz w:val="20"/>
                <w:szCs w:val="20"/>
              </w:rPr>
              <w:t>)</w:t>
            </w:r>
          </w:p>
        </w:tc>
        <w:tc>
          <w:tcPr>
            <w:tcW w:w="1002" w:type="dxa"/>
          </w:tcPr>
          <w:p w14:paraId="360835D2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Low¹⁰</w:t>
            </w:r>
          </w:p>
        </w:tc>
        <w:tc>
          <w:tcPr>
            <w:tcW w:w="1244" w:type="dxa"/>
          </w:tcPr>
          <w:p w14:paraId="740596CC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Low¹¹</w:t>
            </w:r>
          </w:p>
        </w:tc>
        <w:tc>
          <w:tcPr>
            <w:tcW w:w="1143" w:type="dxa"/>
          </w:tcPr>
          <w:p w14:paraId="15770453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</w:t>
            </w:r>
          </w:p>
        </w:tc>
        <w:tc>
          <w:tcPr>
            <w:tcW w:w="1108" w:type="dxa"/>
          </w:tcPr>
          <w:p w14:paraId="11EDB381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Low¹²</w:t>
            </w:r>
          </w:p>
        </w:tc>
        <w:tc>
          <w:tcPr>
            <w:tcW w:w="1072" w:type="dxa"/>
          </w:tcPr>
          <w:p w14:paraId="670C1D0D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Not detected¹³</w:t>
            </w:r>
          </w:p>
        </w:tc>
        <w:tc>
          <w:tcPr>
            <w:tcW w:w="1433" w:type="dxa"/>
          </w:tcPr>
          <w:p w14:paraId="56C3569C" w14:textId="77777777" w:rsidR="001D258E" w:rsidRPr="001D258E" w:rsidRDefault="001D258E" w:rsidP="00AA7FC7">
            <w:pPr>
              <w:rPr>
                <w:sz w:val="20"/>
                <w:szCs w:val="20"/>
              </w:rPr>
            </w:pPr>
            <w:r w:rsidRPr="001D258E">
              <w:rPr>
                <w:sz w:val="20"/>
                <w:szCs w:val="20"/>
              </w:rPr>
              <w:t>Moderate</w:t>
            </w:r>
          </w:p>
        </w:tc>
      </w:tr>
    </w:tbl>
    <w:p w14:paraId="1DE96004" w14:textId="77777777" w:rsidR="001D258E" w:rsidRDefault="001D258E" w:rsidP="00665A97"/>
    <w:p w14:paraId="5FB3E0A7" w14:textId="41205368" w:rsidR="00476F6F" w:rsidRDefault="00476F6F" w:rsidP="00476F6F">
      <w:r>
        <w:t>1. Moderate risk due to blinding issues in RCTs (Supplementary Table 1).</w:t>
      </w:r>
    </w:p>
    <w:p w14:paraId="12BE41DC" w14:textId="0CFFEA5C" w:rsidR="00476F6F" w:rsidRDefault="00476F6F" w:rsidP="00476F6F">
      <w:r>
        <w:t>2. Moderate inconsistency (I² = 52.3%, PI: -0.86 to 0.39; Figure 2). Subgroup analysis by GLP-1RA type (Supplementary Figure S3) showed similar heterogeneity (I² = 54.0%, τ² = 0.015, p = 0.113). Sensitivity analysis excluding Probst et al. (2023) (Supplementary Figure S6) showed higher heterogeneity (I² = 74.2%, τ² = 0.078, p = 0.049; PI: -4.83 to 4.37) with a non-significant pooled effect (p = 0.496).</w:t>
      </w:r>
    </w:p>
    <w:p w14:paraId="27F14A93" w14:textId="143BFB3D" w:rsidR="00476F6F" w:rsidRDefault="00476F6F" w:rsidP="00476F6F">
      <w:r>
        <w:t>3. High imprecision due to wide confidence intervals (SMD: -0.23, 95% CI: -0.68, 0.21).</w:t>
      </w:r>
    </w:p>
    <w:p w14:paraId="6EC69EF9" w14:textId="6E0F19DA" w:rsidR="00476F6F" w:rsidRDefault="00476F6F" w:rsidP="00476F6F">
      <w:r>
        <w:t>4. No significant asymmetry in funnel plot; trim-and-fill added no studies (Supplementary Figure S7).</w:t>
      </w:r>
    </w:p>
    <w:p w14:paraId="54CDB1CA" w14:textId="34F30650" w:rsidR="00476F6F" w:rsidRDefault="00476F6F" w:rsidP="00476F6F">
      <w:r>
        <w:t>5. Moderate inconsistency (I² = 44.0%, τ² = 0.009, p = 0.167; PI: -0.79 to 0.33; Supplementary Figure S1). Subgroup analysis by GLP-1RA type (Supplementary Figure S4) showed slightly higher heterogeneity (I² = 46.0%, τ² = 0.010, p = 0.156).</w:t>
      </w:r>
    </w:p>
    <w:p w14:paraId="722A6B9F" w14:textId="7D424CB7" w:rsidR="00476F6F" w:rsidRDefault="00476F6F" w:rsidP="00476F6F">
      <w:r>
        <w:t>6. High imprecision due to wide confidence intervals (SMD: -0.23, 95% CI: -0.64, 0.19).</w:t>
      </w:r>
    </w:p>
    <w:p w14:paraId="606F9969" w14:textId="24EF6FB0" w:rsidR="00476F6F" w:rsidRDefault="00476F6F" w:rsidP="00476F6F">
      <w:r>
        <w:t>7. High inconsistency (I² = 82.9%, τ² = 0.076, p = 0.015; PI: -4.57 to 4.28; Supplementary Figure S2). Subgroup analysis by GLP-1RA type (Supplementary Figure S5) showed slightly lower heterogeneity (I² = 80.3%, τ² = 0.064, p = 0.024).</w:t>
      </w:r>
    </w:p>
    <w:p w14:paraId="345D4BA7" w14:textId="23A45D9B" w:rsidR="00476F6F" w:rsidRDefault="00476F6F" w:rsidP="00476F6F">
      <w:r>
        <w:t>8. High imprecision due to very wide confidence intervals (SMD: -0.14, 95% CI: -2.84, 2.55).</w:t>
      </w:r>
    </w:p>
    <w:p w14:paraId="7A2C1ED4" w14:textId="5A20096C" w:rsidR="00476F6F" w:rsidRDefault="00476F6F" w:rsidP="00476F6F">
      <w:r>
        <w:t>9. Publication bias not formally assessed due to small number of studies (k=2; Supplementary Figure S5).</w:t>
      </w:r>
    </w:p>
    <w:p w14:paraId="09A7B111" w14:textId="580E1602" w:rsidR="00476F6F" w:rsidRDefault="00476F6F" w:rsidP="00476F6F">
      <w:r>
        <w:t>10. Low risk due to robust designs (e.g., propensity-score matching) in most studies (Supplementary Table 2).</w:t>
      </w:r>
    </w:p>
    <w:p w14:paraId="01408B02" w14:textId="60C040BD" w:rsidR="00476F6F" w:rsidRDefault="00476F6F" w:rsidP="00476F6F">
      <w:r>
        <w:t>11. Low inconsistency (I² = 20.5%, τ² = 0.003, p = 0.248; PI: 0.55 to 0.75; Figure 3). Subgroup analyses by outcome type (Supplementary Figure S8) and GLP-1RA type (Supplementary Figure S9) showed low heterogeneity within subgroups (I² = 0% for most subgroups; Section 3.3.1).</w:t>
      </w:r>
    </w:p>
    <w:p w14:paraId="24217730" w14:textId="24BA49E3" w:rsidR="00476F6F" w:rsidRDefault="00476F6F" w:rsidP="00476F6F">
      <w:r>
        <w:lastRenderedPageBreak/>
        <w:t>12. Low imprecision due to large sample size and consistent effect estimates (HR: 0.64, 95% CI: 0.59, 0.69).</w:t>
      </w:r>
    </w:p>
    <w:p w14:paraId="2EE11007" w14:textId="77777777" w:rsidR="000A3184" w:rsidRDefault="00A4086A" w:rsidP="008B6BEE">
      <w:r>
        <w:t xml:space="preserve">13. </w:t>
      </w:r>
      <w:r w:rsidR="00476F6F">
        <w:t>No significant asymmetry in funnel plot; Egger’s test p = 0.555 (Supplementary Figure S11).</w:t>
      </w:r>
      <w:r>
        <w:t xml:space="preserve"> </w:t>
      </w:r>
      <w:r w:rsidR="00476F6F">
        <w:t>Heavy drinking days (OR: 0.84, 95% CI: 0.71, 1.00) was not included in the GRADE assessment as only one study (Hendershot et al., 2025) reported this outcome, precluding meta-analysis.</w:t>
      </w:r>
    </w:p>
    <w:p w14:paraId="3EC0A20B" w14:textId="45EC5501" w:rsidR="000A3184" w:rsidRPr="004719FE" w:rsidRDefault="000A3184" w:rsidP="008B6BEE">
      <w:pPr>
        <w:rPr>
          <w:color w:val="000000" w:themeColor="text1"/>
        </w:rPr>
      </w:pPr>
      <w:r w:rsidRPr="004719FE">
        <w:rPr>
          <w:b/>
          <w:bCs/>
          <w:color w:val="000000" w:themeColor="text1"/>
        </w:rPr>
        <w:t xml:space="preserve">Supplementary Table </w:t>
      </w:r>
      <w:r w:rsidR="001F0208" w:rsidRPr="004719FE">
        <w:rPr>
          <w:b/>
          <w:bCs/>
          <w:color w:val="000000" w:themeColor="text1"/>
        </w:rPr>
        <w:t>6</w:t>
      </w:r>
      <w:r w:rsidRPr="004719FE">
        <w:rPr>
          <w:b/>
          <w:bCs/>
          <w:color w:val="000000" w:themeColor="text1"/>
        </w:rPr>
        <w:t xml:space="preserve">: </w:t>
      </w:r>
      <w:r w:rsidR="0062547C" w:rsidRPr="004719FE">
        <w:rPr>
          <w:color w:val="000000" w:themeColor="text1"/>
        </w:rPr>
        <w:t xml:space="preserve">Sensitivity Analysis Comparing REML and </w:t>
      </w:r>
      <w:proofErr w:type="spellStart"/>
      <w:r w:rsidR="0062547C" w:rsidRPr="004719FE">
        <w:rPr>
          <w:color w:val="000000" w:themeColor="text1"/>
        </w:rPr>
        <w:t>DerSimonian</w:t>
      </w:r>
      <w:proofErr w:type="spellEnd"/>
      <w:r w:rsidR="0062547C" w:rsidRPr="004719FE">
        <w:rPr>
          <w:color w:val="000000" w:themeColor="text1"/>
        </w:rPr>
        <w:t>-Laird (DL) Methods for Pooled Effect Sizes</w:t>
      </w:r>
    </w:p>
    <w:tbl>
      <w:tblPr>
        <w:tblStyle w:val="TableGrid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1842"/>
        <w:gridCol w:w="1636"/>
        <w:gridCol w:w="1625"/>
        <w:gridCol w:w="1701"/>
      </w:tblGrid>
      <w:tr w:rsidR="004719FE" w:rsidRPr="004719FE" w14:paraId="69CD86CF" w14:textId="77777777" w:rsidTr="00FD1FD2">
        <w:tc>
          <w:tcPr>
            <w:tcW w:w="1134" w:type="dxa"/>
          </w:tcPr>
          <w:p w14:paraId="0AA99FE0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Outcome                           </w:t>
            </w:r>
          </w:p>
        </w:tc>
        <w:tc>
          <w:tcPr>
            <w:tcW w:w="1418" w:type="dxa"/>
          </w:tcPr>
          <w:p w14:paraId="28671856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 Study Type   </w:t>
            </w:r>
          </w:p>
        </w:tc>
        <w:tc>
          <w:tcPr>
            <w:tcW w:w="1276" w:type="dxa"/>
          </w:tcPr>
          <w:p w14:paraId="161D6B6B" w14:textId="013AACC5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 Number of Studies</w:t>
            </w:r>
          </w:p>
        </w:tc>
        <w:tc>
          <w:tcPr>
            <w:tcW w:w="1842" w:type="dxa"/>
          </w:tcPr>
          <w:p w14:paraId="01AEA8FD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 REML Pooled Effect (95% CI, p-value) </w:t>
            </w:r>
          </w:p>
        </w:tc>
        <w:tc>
          <w:tcPr>
            <w:tcW w:w="1636" w:type="dxa"/>
          </w:tcPr>
          <w:p w14:paraId="24959F78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>DerSimonian</w:t>
            </w:r>
            <w:proofErr w:type="spellEnd"/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-Laird (DL) Pooled Effect (95% CI, p-value) </w:t>
            </w:r>
          </w:p>
        </w:tc>
        <w:tc>
          <w:tcPr>
            <w:tcW w:w="1625" w:type="dxa"/>
          </w:tcPr>
          <w:p w14:paraId="1B1382DC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 REML Heterogeneity (I², τ², p-value) </w:t>
            </w:r>
          </w:p>
        </w:tc>
        <w:tc>
          <w:tcPr>
            <w:tcW w:w="1701" w:type="dxa"/>
          </w:tcPr>
          <w:p w14:paraId="568FE83E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 Der Simonian-Laird (DL) Heterogeneity (I², τ², p-value)</w:t>
            </w:r>
          </w:p>
        </w:tc>
      </w:tr>
      <w:tr w:rsidR="004719FE" w:rsidRPr="004719FE" w14:paraId="5318418C" w14:textId="77777777" w:rsidTr="00FD1FD2">
        <w:tc>
          <w:tcPr>
            <w:tcW w:w="1134" w:type="dxa"/>
          </w:tcPr>
          <w:p w14:paraId="0CB9AFCF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Total Alcohol Consumption (SMD)   </w:t>
            </w:r>
          </w:p>
        </w:tc>
        <w:tc>
          <w:tcPr>
            <w:tcW w:w="1418" w:type="dxa"/>
          </w:tcPr>
          <w:p w14:paraId="4A9A4E4C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RCTs         </w:t>
            </w:r>
          </w:p>
        </w:tc>
        <w:tc>
          <w:tcPr>
            <w:tcW w:w="1276" w:type="dxa"/>
          </w:tcPr>
          <w:p w14:paraId="1CBA98FF" w14:textId="6DD4B1AB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3 </w:t>
            </w:r>
          </w:p>
        </w:tc>
        <w:tc>
          <w:tcPr>
            <w:tcW w:w="1842" w:type="dxa"/>
          </w:tcPr>
          <w:p w14:paraId="3D8C2AE1" w14:textId="087CD2EC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-0.2</w:t>
            </w:r>
            <w:r w:rsidR="008F7CF2" w:rsidRPr="004719FE">
              <w:rPr>
                <w:color w:val="000000" w:themeColor="text1"/>
                <w:sz w:val="20"/>
                <w:szCs w:val="20"/>
              </w:rPr>
              <w:t>4</w:t>
            </w:r>
            <w:r w:rsidRPr="004719FE">
              <w:rPr>
                <w:color w:val="000000" w:themeColor="text1"/>
                <w:sz w:val="20"/>
                <w:szCs w:val="20"/>
              </w:rPr>
              <w:t xml:space="preserve"> (-0.</w:t>
            </w:r>
            <w:r w:rsidR="008F7CF2" w:rsidRPr="004719FE">
              <w:rPr>
                <w:color w:val="000000" w:themeColor="text1"/>
                <w:sz w:val="20"/>
                <w:szCs w:val="20"/>
              </w:rPr>
              <w:t>70</w:t>
            </w:r>
            <w:r w:rsidRPr="004719FE">
              <w:rPr>
                <w:color w:val="000000" w:themeColor="text1"/>
                <w:sz w:val="20"/>
                <w:szCs w:val="20"/>
              </w:rPr>
              <w:t>, 0.2</w:t>
            </w:r>
            <w:r w:rsidR="008F7CF2" w:rsidRPr="004719FE">
              <w:rPr>
                <w:color w:val="000000" w:themeColor="text1"/>
                <w:sz w:val="20"/>
                <w:szCs w:val="20"/>
              </w:rPr>
              <w:t>3</w:t>
            </w:r>
            <w:r w:rsidRPr="004719FE">
              <w:rPr>
                <w:color w:val="000000" w:themeColor="text1"/>
                <w:sz w:val="20"/>
                <w:szCs w:val="20"/>
              </w:rPr>
              <w:t>, p=0.</w:t>
            </w:r>
            <w:r w:rsidR="00F273D4" w:rsidRPr="004719FE">
              <w:rPr>
                <w:color w:val="000000" w:themeColor="text1"/>
                <w:sz w:val="20"/>
                <w:szCs w:val="20"/>
              </w:rPr>
              <w:t>159</w:t>
            </w:r>
            <w:r w:rsidRPr="004719FE">
              <w:rPr>
                <w:color w:val="000000" w:themeColor="text1"/>
                <w:sz w:val="20"/>
                <w:szCs w:val="20"/>
              </w:rPr>
              <w:t xml:space="preserve">)       </w:t>
            </w:r>
          </w:p>
        </w:tc>
        <w:tc>
          <w:tcPr>
            <w:tcW w:w="1636" w:type="dxa"/>
          </w:tcPr>
          <w:p w14:paraId="4555D513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-0.24 (-0.70, 0.23, p=0.160)                 </w:t>
            </w:r>
          </w:p>
        </w:tc>
        <w:tc>
          <w:tcPr>
            <w:tcW w:w="1625" w:type="dxa"/>
          </w:tcPr>
          <w:p w14:paraId="08DC23DB" w14:textId="5EE27B65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I²=5</w:t>
            </w:r>
            <w:r w:rsidR="0065421C" w:rsidRPr="004719FE">
              <w:rPr>
                <w:color w:val="000000" w:themeColor="text1"/>
                <w:sz w:val="20"/>
                <w:szCs w:val="20"/>
              </w:rPr>
              <w:t>4.1</w:t>
            </w:r>
            <w:r w:rsidRPr="004719FE">
              <w:rPr>
                <w:color w:val="000000" w:themeColor="text1"/>
                <w:sz w:val="20"/>
                <w:szCs w:val="20"/>
              </w:rPr>
              <w:t>%, τ²=0.01</w:t>
            </w:r>
            <w:r w:rsidR="00A12F29" w:rsidRPr="004719FE">
              <w:rPr>
                <w:color w:val="000000" w:themeColor="text1"/>
                <w:sz w:val="20"/>
                <w:szCs w:val="20"/>
              </w:rPr>
              <w:t>5</w:t>
            </w:r>
            <w:r w:rsidRPr="004719FE">
              <w:rPr>
                <w:color w:val="000000" w:themeColor="text1"/>
                <w:sz w:val="20"/>
                <w:szCs w:val="20"/>
              </w:rPr>
              <w:t>, p=0.1</w:t>
            </w:r>
            <w:r w:rsidR="00A12F29" w:rsidRPr="004719FE">
              <w:rPr>
                <w:color w:val="000000" w:themeColor="text1"/>
                <w:sz w:val="20"/>
                <w:szCs w:val="20"/>
              </w:rPr>
              <w:t>1</w:t>
            </w:r>
            <w:r w:rsidRPr="004719FE">
              <w:rPr>
                <w:color w:val="000000" w:themeColor="text1"/>
                <w:sz w:val="20"/>
                <w:szCs w:val="20"/>
              </w:rPr>
              <w:t xml:space="preserve">3        </w:t>
            </w:r>
          </w:p>
        </w:tc>
        <w:tc>
          <w:tcPr>
            <w:tcW w:w="1701" w:type="dxa"/>
          </w:tcPr>
          <w:p w14:paraId="005835E5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I²=54.1%, τ²=0.015, p=0.113</w:t>
            </w:r>
          </w:p>
        </w:tc>
      </w:tr>
      <w:tr w:rsidR="004719FE" w:rsidRPr="004719FE" w14:paraId="2C249BD2" w14:textId="77777777" w:rsidTr="00FD1FD2">
        <w:tc>
          <w:tcPr>
            <w:tcW w:w="1134" w:type="dxa"/>
          </w:tcPr>
          <w:p w14:paraId="649769E8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Drinks per Drinking Day (SMD)   </w:t>
            </w:r>
          </w:p>
        </w:tc>
        <w:tc>
          <w:tcPr>
            <w:tcW w:w="1418" w:type="dxa"/>
          </w:tcPr>
          <w:p w14:paraId="1FC6CD8A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RCTs         </w:t>
            </w:r>
          </w:p>
        </w:tc>
        <w:tc>
          <w:tcPr>
            <w:tcW w:w="1276" w:type="dxa"/>
          </w:tcPr>
          <w:p w14:paraId="28C7DBF6" w14:textId="02189973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3                   </w:t>
            </w:r>
          </w:p>
        </w:tc>
        <w:tc>
          <w:tcPr>
            <w:tcW w:w="1842" w:type="dxa"/>
          </w:tcPr>
          <w:p w14:paraId="164E2205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-0.23 (-0.64, 0.19, p=0.169)       </w:t>
            </w:r>
          </w:p>
        </w:tc>
        <w:tc>
          <w:tcPr>
            <w:tcW w:w="1636" w:type="dxa"/>
          </w:tcPr>
          <w:p w14:paraId="4E7BCF64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-0.23 (-0.65, 0.20, p=0.149)                 </w:t>
            </w:r>
          </w:p>
        </w:tc>
        <w:tc>
          <w:tcPr>
            <w:tcW w:w="1625" w:type="dxa"/>
          </w:tcPr>
          <w:p w14:paraId="7ED0044B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I²=44.0%, τ²=0.009, p=0.167        </w:t>
            </w:r>
          </w:p>
        </w:tc>
        <w:tc>
          <w:tcPr>
            <w:tcW w:w="1701" w:type="dxa"/>
          </w:tcPr>
          <w:p w14:paraId="0D41B0B4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I²=46.1%, τ²=0.012, p=0.156</w:t>
            </w:r>
          </w:p>
        </w:tc>
      </w:tr>
      <w:tr w:rsidR="004719FE" w:rsidRPr="004719FE" w14:paraId="2B862AE0" w14:textId="77777777" w:rsidTr="00FD1FD2">
        <w:tc>
          <w:tcPr>
            <w:tcW w:w="1134" w:type="dxa"/>
          </w:tcPr>
          <w:p w14:paraId="137A8422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Alcohol Craving (SMD)             </w:t>
            </w:r>
          </w:p>
        </w:tc>
        <w:tc>
          <w:tcPr>
            <w:tcW w:w="1418" w:type="dxa"/>
          </w:tcPr>
          <w:p w14:paraId="5E2BD2B5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RCTs         </w:t>
            </w:r>
          </w:p>
        </w:tc>
        <w:tc>
          <w:tcPr>
            <w:tcW w:w="1276" w:type="dxa"/>
          </w:tcPr>
          <w:p w14:paraId="523F5919" w14:textId="5A7C4832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2             </w:t>
            </w:r>
          </w:p>
        </w:tc>
        <w:tc>
          <w:tcPr>
            <w:tcW w:w="1842" w:type="dxa"/>
          </w:tcPr>
          <w:p w14:paraId="6349EAC6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-0.14 (-2.84, 2.55, p=0.156)       </w:t>
            </w:r>
          </w:p>
        </w:tc>
        <w:tc>
          <w:tcPr>
            <w:tcW w:w="1636" w:type="dxa"/>
          </w:tcPr>
          <w:p w14:paraId="25C08DD7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-0.16 (-2.66, 2.35, p=0.576)                 </w:t>
            </w:r>
          </w:p>
        </w:tc>
        <w:tc>
          <w:tcPr>
            <w:tcW w:w="1625" w:type="dxa"/>
          </w:tcPr>
          <w:p w14:paraId="670E37C3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I²=82.9%, τ²=0.076, p=0.016        </w:t>
            </w:r>
          </w:p>
        </w:tc>
        <w:tc>
          <w:tcPr>
            <w:tcW w:w="1701" w:type="dxa"/>
          </w:tcPr>
          <w:p w14:paraId="277E18B2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I²=79.9%, τ²=0.063, p=0.026</w:t>
            </w:r>
          </w:p>
        </w:tc>
      </w:tr>
      <w:tr w:rsidR="004719FE" w:rsidRPr="004719FE" w14:paraId="7CFABC85" w14:textId="77777777" w:rsidTr="00FD1FD2">
        <w:tc>
          <w:tcPr>
            <w:tcW w:w="1134" w:type="dxa"/>
          </w:tcPr>
          <w:p w14:paraId="55278E6B" w14:textId="77777777" w:rsidR="00763064" w:rsidRPr="004719FE" w:rsidRDefault="00763064" w:rsidP="00763064">
            <w:pPr>
              <w:spacing w:after="160" w:line="278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 xml:space="preserve">Alcohol-Related Events (HR)       </w:t>
            </w:r>
          </w:p>
        </w:tc>
        <w:tc>
          <w:tcPr>
            <w:tcW w:w="1418" w:type="dxa"/>
          </w:tcPr>
          <w:p w14:paraId="698F7DCE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Observational </w:t>
            </w:r>
          </w:p>
        </w:tc>
        <w:tc>
          <w:tcPr>
            <w:tcW w:w="1276" w:type="dxa"/>
          </w:tcPr>
          <w:p w14:paraId="40DA26FF" w14:textId="564D04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11</w:t>
            </w:r>
            <w:r w:rsidR="00D16143" w:rsidRPr="004719FE">
              <w:rPr>
                <w:color w:val="000000" w:themeColor="text1"/>
                <w:sz w:val="20"/>
                <w:szCs w:val="20"/>
              </w:rPr>
              <w:t xml:space="preserve"> </w:t>
            </w:r>
            <w:r w:rsidR="004B5F27" w:rsidRPr="004719FE">
              <w:rPr>
                <w:color w:val="000000" w:themeColor="text1"/>
                <w:sz w:val="20"/>
                <w:szCs w:val="20"/>
              </w:rPr>
              <w:t>estimates from 6 studies</w:t>
            </w:r>
            <w:r w:rsidRPr="004719FE">
              <w:rPr>
                <w:color w:val="000000" w:themeColor="text1"/>
                <w:sz w:val="20"/>
                <w:szCs w:val="20"/>
              </w:rPr>
              <w:t xml:space="preserve">       </w:t>
            </w:r>
          </w:p>
        </w:tc>
        <w:tc>
          <w:tcPr>
            <w:tcW w:w="1842" w:type="dxa"/>
          </w:tcPr>
          <w:p w14:paraId="0C16D257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0.64 (0.59, 0.69, p&lt;0.001)         </w:t>
            </w:r>
          </w:p>
        </w:tc>
        <w:tc>
          <w:tcPr>
            <w:tcW w:w="1636" w:type="dxa"/>
          </w:tcPr>
          <w:p w14:paraId="629014F1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0.64 (0.59, 0.69, p&lt;0.001)                   </w:t>
            </w:r>
          </w:p>
        </w:tc>
        <w:tc>
          <w:tcPr>
            <w:tcW w:w="1625" w:type="dxa"/>
          </w:tcPr>
          <w:p w14:paraId="4C804A60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I²=20.5%, τ²=0.003, p=0.249        </w:t>
            </w:r>
          </w:p>
        </w:tc>
        <w:tc>
          <w:tcPr>
            <w:tcW w:w="1701" w:type="dxa"/>
          </w:tcPr>
          <w:p w14:paraId="70B22322" w14:textId="77777777" w:rsidR="00763064" w:rsidRPr="004719FE" w:rsidRDefault="00763064" w:rsidP="00763064">
            <w:pPr>
              <w:spacing w:after="160" w:line="278" w:lineRule="auto"/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 xml:space="preserve"> I²=19.1%, τ²=0.002, p=0.262</w:t>
            </w:r>
          </w:p>
        </w:tc>
      </w:tr>
    </w:tbl>
    <w:p w14:paraId="6F135035" w14:textId="77777777" w:rsidR="000A3184" w:rsidRDefault="000A3184" w:rsidP="008B6BEE"/>
    <w:p w14:paraId="571C8041" w14:textId="4443D0C7" w:rsidR="000B15D4" w:rsidRPr="00766D2D" w:rsidRDefault="000B15D4" w:rsidP="008B6BEE">
      <w:pPr>
        <w:rPr>
          <w:color w:val="EE0000"/>
        </w:rPr>
      </w:pPr>
      <w:r w:rsidRPr="00766D2D">
        <w:rPr>
          <w:b/>
          <w:bCs/>
          <w:color w:val="EE0000"/>
        </w:rPr>
        <w:t>Supplementary Table 7</w:t>
      </w:r>
      <w:r w:rsidRPr="00766D2D">
        <w:rPr>
          <w:color w:val="EE0000"/>
        </w:rPr>
        <w:t xml:space="preserve">: </w:t>
      </w:r>
      <w:r w:rsidR="00736545" w:rsidRPr="00766D2D">
        <w:rPr>
          <w:color w:val="EE0000"/>
        </w:rPr>
        <w:t>Ongoing or recruiting clinical trials investigating pharmaceutical agents for Alcohol Use Disorder (AUD).</w:t>
      </w:r>
    </w:p>
    <w:p w14:paraId="72A5FE7E" w14:textId="194D7E88" w:rsidR="00736545" w:rsidRPr="00F67F81" w:rsidRDefault="00E4752A" w:rsidP="008B6BEE">
      <w:r>
        <w:rPr>
          <w:b/>
          <w:bCs/>
        </w:rPr>
        <w:t>NCT</w:t>
      </w:r>
      <w:r w:rsidR="00B04FC3">
        <w:rPr>
          <w:b/>
          <w:bCs/>
        </w:rPr>
        <w:t xml:space="preserve"> </w:t>
      </w:r>
      <w:r w:rsidR="00B04FC3" w:rsidRPr="00B04FC3">
        <w:t xml:space="preserve">(National Clinical Trial), </w:t>
      </w:r>
      <w:r w:rsidRPr="00E4752A">
        <w:rPr>
          <w:b/>
          <w:bCs/>
        </w:rPr>
        <w:t>AUD</w:t>
      </w:r>
      <w:r w:rsidRPr="00E4752A">
        <w:t xml:space="preserve"> (Alcohol Use Disorder), </w:t>
      </w:r>
      <w:r w:rsidRPr="00E4752A">
        <w:rPr>
          <w:b/>
          <w:bCs/>
        </w:rPr>
        <w:t>GLP-1 RA</w:t>
      </w:r>
      <w:r w:rsidRPr="00E4752A">
        <w:t xml:space="preserve"> (Glucagon-Like Peptide-1 Receptor Agonist), </w:t>
      </w:r>
      <w:r w:rsidRPr="00E4752A">
        <w:rPr>
          <w:b/>
          <w:bCs/>
        </w:rPr>
        <w:t>GIP</w:t>
      </w:r>
      <w:r w:rsidRPr="00E4752A">
        <w:t xml:space="preserve"> (Glucose-Dependent Insulinotropic Polypeptide), </w:t>
      </w:r>
      <w:r w:rsidRPr="00E4752A">
        <w:rPr>
          <w:b/>
          <w:bCs/>
        </w:rPr>
        <w:t>PDE</w:t>
      </w:r>
      <w:r w:rsidRPr="00E4752A">
        <w:t xml:space="preserve"> (Phosphodiesterase), and </w:t>
      </w:r>
      <w:r w:rsidRPr="00E4752A">
        <w:rPr>
          <w:b/>
          <w:bCs/>
        </w:rPr>
        <w:t>RA</w:t>
      </w:r>
      <w:r w:rsidRPr="00E4752A">
        <w:t xml:space="preserve"> (Receptor Agonist).</w:t>
      </w:r>
    </w:p>
    <w:tbl>
      <w:tblPr>
        <w:tblStyle w:val="TableGrid"/>
        <w:tblW w:w="10027" w:type="dxa"/>
        <w:tblInd w:w="-572" w:type="dxa"/>
        <w:tblLook w:val="04A0" w:firstRow="1" w:lastRow="0" w:firstColumn="1" w:lastColumn="0" w:noHBand="0" w:noVBand="1"/>
      </w:tblPr>
      <w:tblGrid>
        <w:gridCol w:w="2153"/>
        <w:gridCol w:w="3135"/>
        <w:gridCol w:w="1498"/>
        <w:gridCol w:w="3241"/>
      </w:tblGrid>
      <w:tr w:rsidR="00AF7694" w:rsidRPr="007D0B8D" w14:paraId="5B7F84EB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1884085F" w14:textId="2D6FA0A1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Study / NCT</w:t>
            </w:r>
            <w:r>
              <w:rPr>
                <w:b/>
                <w:bCs/>
                <w:sz w:val="20"/>
                <w:szCs w:val="20"/>
              </w:rPr>
              <w:t>/[Ref.]</w:t>
            </w:r>
          </w:p>
        </w:tc>
        <w:tc>
          <w:tcPr>
            <w:tcW w:w="3135" w:type="dxa"/>
            <w:noWrap/>
            <w:hideMark/>
          </w:tcPr>
          <w:p w14:paraId="1C41F1EA" w14:textId="77777777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Agent (Mechanism)</w:t>
            </w:r>
          </w:p>
        </w:tc>
        <w:tc>
          <w:tcPr>
            <w:tcW w:w="1498" w:type="dxa"/>
            <w:noWrap/>
            <w:hideMark/>
          </w:tcPr>
          <w:p w14:paraId="28EA69D6" w14:textId="77777777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Status</w:t>
            </w:r>
          </w:p>
        </w:tc>
        <w:tc>
          <w:tcPr>
            <w:tcW w:w="3241" w:type="dxa"/>
            <w:noWrap/>
            <w:hideMark/>
          </w:tcPr>
          <w:p w14:paraId="43EB09B0" w14:textId="77777777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Primary Outcome(s)</w:t>
            </w:r>
          </w:p>
        </w:tc>
      </w:tr>
      <w:tr w:rsidR="00AF7694" w:rsidRPr="007D0B8D" w14:paraId="084B349B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461B23DB" w14:textId="57D17962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NCT06015893 (STAR)</w:t>
            </w:r>
            <w:r>
              <w:rPr>
                <w:b/>
                <w:bCs/>
                <w:sz w:val="20"/>
                <w:szCs w:val="20"/>
              </w:rPr>
              <w:t xml:space="preserve"> [28]</w:t>
            </w:r>
          </w:p>
        </w:tc>
        <w:tc>
          <w:tcPr>
            <w:tcW w:w="3135" w:type="dxa"/>
            <w:noWrap/>
            <w:hideMark/>
          </w:tcPr>
          <w:p w14:paraId="1A3B6566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Semaglutide (GLP1-RA)</w:t>
            </w:r>
          </w:p>
        </w:tc>
        <w:tc>
          <w:tcPr>
            <w:tcW w:w="1498" w:type="dxa"/>
            <w:noWrap/>
            <w:hideMark/>
          </w:tcPr>
          <w:p w14:paraId="73ADAF8D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Recruiting / Active</w:t>
            </w:r>
          </w:p>
        </w:tc>
        <w:tc>
          <w:tcPr>
            <w:tcW w:w="3241" w:type="dxa"/>
            <w:noWrap/>
            <w:hideMark/>
          </w:tcPr>
          <w:p w14:paraId="6934A896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Change in drinks per week, heavy drinking days</w:t>
            </w:r>
          </w:p>
        </w:tc>
      </w:tr>
      <w:tr w:rsidR="00AF7694" w:rsidRPr="007D0B8D" w14:paraId="3F0B0DD7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482DD395" w14:textId="5DE944C0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NCT05891587 (TULSA)</w:t>
            </w:r>
            <w:r>
              <w:rPr>
                <w:b/>
                <w:bCs/>
                <w:sz w:val="20"/>
                <w:szCs w:val="20"/>
              </w:rPr>
              <w:t xml:space="preserve"> [29]</w:t>
            </w:r>
          </w:p>
        </w:tc>
        <w:tc>
          <w:tcPr>
            <w:tcW w:w="3135" w:type="dxa"/>
            <w:noWrap/>
            <w:hideMark/>
          </w:tcPr>
          <w:p w14:paraId="211ADA97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Semaglutide (GLP1-RA)</w:t>
            </w:r>
          </w:p>
        </w:tc>
        <w:tc>
          <w:tcPr>
            <w:tcW w:w="1498" w:type="dxa"/>
            <w:noWrap/>
            <w:hideMark/>
          </w:tcPr>
          <w:p w14:paraId="1E409612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Recruiting / Active</w:t>
            </w:r>
          </w:p>
        </w:tc>
        <w:tc>
          <w:tcPr>
            <w:tcW w:w="3241" w:type="dxa"/>
            <w:noWrap/>
            <w:hideMark/>
          </w:tcPr>
          <w:p w14:paraId="2EC9E165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Reduction in alcohol consumption (e.g. % heavy drinking days)</w:t>
            </w:r>
          </w:p>
        </w:tc>
      </w:tr>
      <w:tr w:rsidR="00AF7694" w:rsidRPr="007D0B8D" w14:paraId="20172005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261ED895" w14:textId="2A967419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lastRenderedPageBreak/>
              <w:t>NCT05892432</w:t>
            </w:r>
            <w:r>
              <w:rPr>
                <w:b/>
                <w:bCs/>
                <w:sz w:val="20"/>
                <w:szCs w:val="20"/>
              </w:rPr>
              <w:t xml:space="preserve"> [30]</w:t>
            </w:r>
          </w:p>
        </w:tc>
        <w:tc>
          <w:tcPr>
            <w:tcW w:w="3135" w:type="dxa"/>
            <w:noWrap/>
            <w:hideMark/>
          </w:tcPr>
          <w:p w14:paraId="0867A00D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Oral Semaglutide (GLP1-RA)</w:t>
            </w:r>
          </w:p>
        </w:tc>
        <w:tc>
          <w:tcPr>
            <w:tcW w:w="1498" w:type="dxa"/>
            <w:noWrap/>
            <w:hideMark/>
          </w:tcPr>
          <w:p w14:paraId="0A73D6FC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Recruiting</w:t>
            </w:r>
          </w:p>
        </w:tc>
        <w:tc>
          <w:tcPr>
            <w:tcW w:w="3241" w:type="dxa"/>
            <w:noWrap/>
            <w:hideMark/>
          </w:tcPr>
          <w:p w14:paraId="190B473C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(Likely alcohol use metrics)</w:t>
            </w:r>
          </w:p>
        </w:tc>
      </w:tr>
      <w:tr w:rsidR="00AF7694" w:rsidRPr="007D0B8D" w14:paraId="6C184E11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323415FE" w14:textId="1C2919AC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NCT05414240</w:t>
            </w:r>
            <w:r>
              <w:rPr>
                <w:b/>
                <w:bCs/>
                <w:sz w:val="20"/>
                <w:szCs w:val="20"/>
              </w:rPr>
              <w:t xml:space="preserve"> [31]</w:t>
            </w:r>
          </w:p>
        </w:tc>
        <w:tc>
          <w:tcPr>
            <w:tcW w:w="3135" w:type="dxa"/>
            <w:noWrap/>
            <w:hideMark/>
          </w:tcPr>
          <w:p w14:paraId="133C7144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proofErr w:type="spellStart"/>
            <w:r w:rsidRPr="007D0B8D">
              <w:rPr>
                <w:sz w:val="20"/>
                <w:szCs w:val="20"/>
              </w:rPr>
              <w:t>Ibudilast</w:t>
            </w:r>
            <w:proofErr w:type="spellEnd"/>
            <w:r w:rsidRPr="007D0B8D">
              <w:rPr>
                <w:sz w:val="20"/>
                <w:szCs w:val="20"/>
              </w:rPr>
              <w:t xml:space="preserve"> (PDE / neuroimmune modulator)</w:t>
            </w:r>
          </w:p>
        </w:tc>
        <w:tc>
          <w:tcPr>
            <w:tcW w:w="1498" w:type="dxa"/>
            <w:noWrap/>
            <w:hideMark/>
          </w:tcPr>
          <w:p w14:paraId="10D1F5D4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Active, Not Recruiting</w:t>
            </w:r>
          </w:p>
        </w:tc>
        <w:tc>
          <w:tcPr>
            <w:tcW w:w="3241" w:type="dxa"/>
            <w:noWrap/>
            <w:hideMark/>
          </w:tcPr>
          <w:p w14:paraId="61D07B5D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Change in heavy drinking days, % days abstinent, safety</w:t>
            </w:r>
          </w:p>
        </w:tc>
      </w:tr>
      <w:tr w:rsidR="00AF7694" w:rsidRPr="007D0B8D" w14:paraId="4277152F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7B77E020" w14:textId="27148A20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NCT06987513 (RECLAIM)</w:t>
            </w:r>
            <w:r>
              <w:rPr>
                <w:b/>
                <w:bCs/>
                <w:sz w:val="20"/>
                <w:szCs w:val="20"/>
              </w:rPr>
              <w:t xml:space="preserve"> [32]</w:t>
            </w:r>
          </w:p>
        </w:tc>
        <w:tc>
          <w:tcPr>
            <w:tcW w:w="3135" w:type="dxa"/>
            <w:noWrap/>
            <w:hideMark/>
          </w:tcPr>
          <w:p w14:paraId="40DE38DD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proofErr w:type="spellStart"/>
            <w:r w:rsidRPr="007D0B8D">
              <w:rPr>
                <w:sz w:val="20"/>
                <w:szCs w:val="20"/>
              </w:rPr>
              <w:t>Pemvidutide</w:t>
            </w:r>
            <w:proofErr w:type="spellEnd"/>
            <w:r w:rsidRPr="007D0B8D">
              <w:rPr>
                <w:sz w:val="20"/>
                <w:szCs w:val="20"/>
              </w:rPr>
              <w:t xml:space="preserve"> (GLP1/ glucagon dual agonist)</w:t>
            </w:r>
          </w:p>
        </w:tc>
        <w:tc>
          <w:tcPr>
            <w:tcW w:w="1498" w:type="dxa"/>
            <w:noWrap/>
            <w:hideMark/>
          </w:tcPr>
          <w:p w14:paraId="28385F43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Ongoing / Recruiting</w:t>
            </w:r>
          </w:p>
        </w:tc>
        <w:tc>
          <w:tcPr>
            <w:tcW w:w="3241" w:type="dxa"/>
            <w:noWrap/>
            <w:hideMark/>
          </w:tcPr>
          <w:p w14:paraId="15AB532D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Change in heavy drinking days (Week 24)</w:t>
            </w:r>
          </w:p>
        </w:tc>
      </w:tr>
      <w:tr w:rsidR="00AF7694" w:rsidRPr="007D0B8D" w14:paraId="35FFCC69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6D74895C" w14:textId="4500672D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NCT07046819</w:t>
            </w:r>
            <w:r>
              <w:rPr>
                <w:b/>
                <w:bCs/>
                <w:sz w:val="20"/>
                <w:szCs w:val="20"/>
              </w:rPr>
              <w:t xml:space="preserve"> [33]</w:t>
            </w:r>
          </w:p>
        </w:tc>
        <w:tc>
          <w:tcPr>
            <w:tcW w:w="3135" w:type="dxa"/>
            <w:noWrap/>
            <w:hideMark/>
          </w:tcPr>
          <w:p w14:paraId="2AC66DBB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proofErr w:type="spellStart"/>
            <w:r w:rsidRPr="007D0B8D">
              <w:rPr>
                <w:sz w:val="20"/>
                <w:szCs w:val="20"/>
              </w:rPr>
              <w:t>Tirzepatide</w:t>
            </w:r>
            <w:proofErr w:type="spellEnd"/>
            <w:r w:rsidRPr="007D0B8D">
              <w:rPr>
                <w:sz w:val="20"/>
                <w:szCs w:val="20"/>
              </w:rPr>
              <w:t xml:space="preserve"> (GIP/GLP1 dual agonist)</w:t>
            </w:r>
          </w:p>
        </w:tc>
        <w:tc>
          <w:tcPr>
            <w:tcW w:w="1498" w:type="dxa"/>
            <w:noWrap/>
            <w:hideMark/>
          </w:tcPr>
          <w:p w14:paraId="196C7A93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Not Yet Recruiting</w:t>
            </w:r>
          </w:p>
        </w:tc>
        <w:tc>
          <w:tcPr>
            <w:tcW w:w="3241" w:type="dxa"/>
            <w:noWrap/>
            <w:hideMark/>
          </w:tcPr>
          <w:p w14:paraId="71A7127F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(Likely measures of alcohol use + liver outcomes)</w:t>
            </w:r>
          </w:p>
        </w:tc>
      </w:tr>
      <w:tr w:rsidR="00AF7694" w:rsidRPr="007D0B8D" w14:paraId="327CC8EC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3151A313" w14:textId="64AF034C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NCT06994338</w:t>
            </w:r>
            <w:r>
              <w:rPr>
                <w:b/>
                <w:bCs/>
                <w:sz w:val="20"/>
                <w:szCs w:val="20"/>
              </w:rPr>
              <w:t xml:space="preserve"> [34]</w:t>
            </w:r>
          </w:p>
        </w:tc>
        <w:tc>
          <w:tcPr>
            <w:tcW w:w="3135" w:type="dxa"/>
            <w:noWrap/>
            <w:hideMark/>
          </w:tcPr>
          <w:p w14:paraId="23E9DBF5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proofErr w:type="spellStart"/>
            <w:r w:rsidRPr="007D0B8D">
              <w:rPr>
                <w:sz w:val="20"/>
                <w:szCs w:val="20"/>
              </w:rPr>
              <w:t>Tirzepatide</w:t>
            </w:r>
            <w:proofErr w:type="spellEnd"/>
            <w:r w:rsidRPr="007D0B8D">
              <w:rPr>
                <w:sz w:val="20"/>
                <w:szCs w:val="20"/>
              </w:rPr>
              <w:t xml:space="preserve"> (GIP/GLP1 dual agonist)</w:t>
            </w:r>
          </w:p>
        </w:tc>
        <w:tc>
          <w:tcPr>
            <w:tcW w:w="1498" w:type="dxa"/>
            <w:noWrap/>
            <w:hideMark/>
          </w:tcPr>
          <w:p w14:paraId="5DA8077D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Planned / Ongoing</w:t>
            </w:r>
          </w:p>
        </w:tc>
        <w:tc>
          <w:tcPr>
            <w:tcW w:w="3241" w:type="dxa"/>
            <w:noWrap/>
            <w:hideMark/>
          </w:tcPr>
          <w:p w14:paraId="12343D2D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(Alcohol use outcomes)</w:t>
            </w:r>
          </w:p>
        </w:tc>
      </w:tr>
      <w:tr w:rsidR="00AF7694" w:rsidRPr="007D0B8D" w14:paraId="5D5A6DF2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7834CB31" w14:textId="117A6EE3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NCT06712602</w:t>
            </w:r>
            <w:r>
              <w:rPr>
                <w:b/>
                <w:bCs/>
                <w:sz w:val="20"/>
                <w:szCs w:val="20"/>
              </w:rPr>
              <w:t xml:space="preserve"> [35]</w:t>
            </w:r>
          </w:p>
        </w:tc>
        <w:tc>
          <w:tcPr>
            <w:tcW w:w="3135" w:type="dxa"/>
            <w:noWrap/>
            <w:hideMark/>
          </w:tcPr>
          <w:p w14:paraId="1C63FF41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PT150 (Glucocorticoid/Androgen receptor modulator)</w:t>
            </w:r>
          </w:p>
        </w:tc>
        <w:tc>
          <w:tcPr>
            <w:tcW w:w="1498" w:type="dxa"/>
            <w:noWrap/>
            <w:hideMark/>
          </w:tcPr>
          <w:p w14:paraId="43441C2E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Recruiting</w:t>
            </w:r>
          </w:p>
        </w:tc>
        <w:tc>
          <w:tcPr>
            <w:tcW w:w="3241" w:type="dxa"/>
            <w:noWrap/>
            <w:hideMark/>
          </w:tcPr>
          <w:p w14:paraId="26F9FA10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Reduction in alcohol use / behavioural and stress alcohol outcomes</w:t>
            </w:r>
          </w:p>
        </w:tc>
      </w:tr>
      <w:tr w:rsidR="00AF7694" w:rsidRPr="007D0B8D" w14:paraId="26D9AFA8" w14:textId="77777777" w:rsidTr="00AF7694">
        <w:trPr>
          <w:trHeight w:val="297"/>
        </w:trPr>
        <w:tc>
          <w:tcPr>
            <w:tcW w:w="2153" w:type="dxa"/>
            <w:noWrap/>
            <w:hideMark/>
          </w:tcPr>
          <w:p w14:paraId="7138D253" w14:textId="6D9880C7" w:rsidR="00AF7694" w:rsidRPr="007D0B8D" w:rsidRDefault="00AF7694" w:rsidP="007D0B8D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7D0B8D">
              <w:rPr>
                <w:b/>
                <w:bCs/>
                <w:sz w:val="20"/>
                <w:szCs w:val="20"/>
              </w:rPr>
              <w:t>NCT06817356</w:t>
            </w:r>
            <w:r>
              <w:rPr>
                <w:b/>
                <w:bCs/>
                <w:sz w:val="20"/>
                <w:szCs w:val="20"/>
              </w:rPr>
              <w:t xml:space="preserve"> [36]</w:t>
            </w:r>
          </w:p>
        </w:tc>
        <w:tc>
          <w:tcPr>
            <w:tcW w:w="3135" w:type="dxa"/>
            <w:noWrap/>
            <w:hideMark/>
          </w:tcPr>
          <w:p w14:paraId="2BE9AC32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proofErr w:type="spellStart"/>
            <w:r w:rsidRPr="007D0B8D">
              <w:rPr>
                <w:sz w:val="20"/>
                <w:szCs w:val="20"/>
              </w:rPr>
              <w:t>Mazdutide</w:t>
            </w:r>
            <w:proofErr w:type="spellEnd"/>
            <w:r w:rsidRPr="007D0B8D">
              <w:rPr>
                <w:sz w:val="20"/>
                <w:szCs w:val="20"/>
              </w:rPr>
              <w:t xml:space="preserve"> (GLP1/ glucagon dual agonist)</w:t>
            </w:r>
          </w:p>
        </w:tc>
        <w:tc>
          <w:tcPr>
            <w:tcW w:w="1498" w:type="dxa"/>
            <w:noWrap/>
            <w:hideMark/>
          </w:tcPr>
          <w:p w14:paraId="3E7FBF53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Proof-of-concept</w:t>
            </w:r>
          </w:p>
        </w:tc>
        <w:tc>
          <w:tcPr>
            <w:tcW w:w="3241" w:type="dxa"/>
            <w:noWrap/>
            <w:hideMark/>
          </w:tcPr>
          <w:p w14:paraId="45DB9FBB" w14:textId="77777777" w:rsidR="00AF7694" w:rsidRPr="007D0B8D" w:rsidRDefault="00AF7694" w:rsidP="007D0B8D">
            <w:pPr>
              <w:spacing w:after="160" w:line="278" w:lineRule="auto"/>
              <w:rPr>
                <w:sz w:val="20"/>
                <w:szCs w:val="20"/>
              </w:rPr>
            </w:pPr>
            <w:r w:rsidRPr="007D0B8D">
              <w:rPr>
                <w:sz w:val="20"/>
                <w:szCs w:val="20"/>
              </w:rPr>
              <w:t>Change in alcohol consumption metrics</w:t>
            </w:r>
          </w:p>
        </w:tc>
      </w:tr>
      <w:tr w:rsidR="00AF7694" w:rsidRPr="007D0B8D" w14:paraId="6F1392E9" w14:textId="77777777" w:rsidTr="00AF7694">
        <w:trPr>
          <w:trHeight w:val="297"/>
        </w:trPr>
        <w:tc>
          <w:tcPr>
            <w:tcW w:w="2153" w:type="dxa"/>
            <w:noWrap/>
          </w:tcPr>
          <w:p w14:paraId="39CBE765" w14:textId="0A6792AE" w:rsidR="00AF7694" w:rsidRPr="004719FE" w:rsidRDefault="00AF7694" w:rsidP="007D0B8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719FE">
              <w:rPr>
                <w:b/>
                <w:bCs/>
                <w:color w:val="000000" w:themeColor="text1"/>
                <w:sz w:val="20"/>
                <w:szCs w:val="20"/>
              </w:rPr>
              <w:t>NCT05895643 [37]</w:t>
            </w:r>
          </w:p>
        </w:tc>
        <w:tc>
          <w:tcPr>
            <w:tcW w:w="3135" w:type="dxa"/>
            <w:noWrap/>
          </w:tcPr>
          <w:p w14:paraId="5E78E7C1" w14:textId="4C3BD166" w:rsidR="00AF7694" w:rsidRPr="004719FE" w:rsidRDefault="00AF7694" w:rsidP="007D0B8D">
            <w:pPr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>Injectable Semaglutide</w:t>
            </w:r>
          </w:p>
        </w:tc>
        <w:tc>
          <w:tcPr>
            <w:tcW w:w="1498" w:type="dxa"/>
            <w:noWrap/>
          </w:tcPr>
          <w:p w14:paraId="5F5FBDB0" w14:textId="1357AC92" w:rsidR="00AF7694" w:rsidRPr="004719FE" w:rsidRDefault="00AF7694" w:rsidP="007D0B8D">
            <w:pPr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>Completed</w:t>
            </w:r>
          </w:p>
        </w:tc>
        <w:tc>
          <w:tcPr>
            <w:tcW w:w="3241" w:type="dxa"/>
            <w:noWrap/>
          </w:tcPr>
          <w:p w14:paraId="76FCFC53" w14:textId="1B2E8308" w:rsidR="00AF7694" w:rsidRPr="004719FE" w:rsidRDefault="00AF7694" w:rsidP="007D0B8D">
            <w:pPr>
              <w:rPr>
                <w:color w:val="000000" w:themeColor="text1"/>
                <w:sz w:val="20"/>
                <w:szCs w:val="20"/>
              </w:rPr>
            </w:pPr>
            <w:r w:rsidRPr="004719FE">
              <w:rPr>
                <w:color w:val="000000" w:themeColor="text1"/>
                <w:sz w:val="20"/>
                <w:szCs w:val="20"/>
              </w:rPr>
              <w:t>Change in heavy drinking days</w:t>
            </w:r>
          </w:p>
        </w:tc>
      </w:tr>
    </w:tbl>
    <w:p w14:paraId="11103A13" w14:textId="77777777" w:rsidR="000B15D4" w:rsidRDefault="000B15D4" w:rsidP="008B6BEE"/>
    <w:p w14:paraId="70935B89" w14:textId="77777777" w:rsidR="00E94607" w:rsidRDefault="00E94607" w:rsidP="008B6BEE"/>
    <w:p w14:paraId="35694794" w14:textId="0B309EEF" w:rsidR="008B6BEE" w:rsidRPr="008B6BEE" w:rsidRDefault="007D2B4E" w:rsidP="008B6BEE">
      <w:r w:rsidRPr="00665A97">
        <w:rPr>
          <w:b/>
          <w:bCs/>
          <w:lang w:val="en-US"/>
        </w:rPr>
        <w:t>Supplementary Figure S1</w:t>
      </w:r>
      <w:r w:rsidR="008B6BEE">
        <w:rPr>
          <w:lang w:val="en-US"/>
        </w:rPr>
        <w:t xml:space="preserve">: </w:t>
      </w:r>
      <w:r w:rsidR="008B6BEE" w:rsidRPr="008B6BEE">
        <w:t xml:space="preserve">Forest plot of the meta-analysis of </w:t>
      </w:r>
      <w:r w:rsidR="009358C8">
        <w:t xml:space="preserve">randomised controlled trials (RCTs) assessing the effect of glucagon-like peptide-1 receptor agonists (GLP-1RAs) on </w:t>
      </w:r>
      <w:r w:rsidR="009358C8" w:rsidRPr="00203DE3">
        <w:rPr>
          <w:b/>
          <w:bCs/>
        </w:rPr>
        <w:t>drinks per drinking day</w:t>
      </w:r>
      <w:r w:rsidR="009358C8">
        <w:t>, measured as standardised</w:t>
      </w:r>
      <w:r w:rsidR="008B6BEE" w:rsidRPr="008B6BEE">
        <w:t xml:space="preserve"> mean difference (SMD). The analysis includes three studies: Hendershot et al. (2025), Klausen et al. (2022), and Probst et al. (2023). </w:t>
      </w:r>
      <w:r w:rsidR="00E042B4" w:rsidRPr="004719FE">
        <w:rPr>
          <w:color w:val="000000" w:themeColor="text1"/>
        </w:rPr>
        <w:t xml:space="preserve">The diamond represents the pooled SMD using a random-effects model with Restricted Maximum Likelihood (REML) estimation and </w:t>
      </w:r>
      <w:r w:rsidR="009358C8" w:rsidRPr="004719FE">
        <w:rPr>
          <w:color w:val="000000" w:themeColor="text1"/>
        </w:rPr>
        <w:t xml:space="preserve">the Hartung-Knapp (HK) adjustment, </w:t>
      </w:r>
      <w:r w:rsidR="009358C8" w:rsidRPr="00C33AC3">
        <w:rPr>
          <w:color w:val="000000" w:themeColor="text1"/>
        </w:rPr>
        <w:t>with a 95% confidence interval (CI) (SMD: -0.23, 95% CI: -0.64 to</w:t>
      </w:r>
      <w:r w:rsidR="008B6BEE" w:rsidRPr="00C33AC3">
        <w:rPr>
          <w:color w:val="000000" w:themeColor="text1"/>
        </w:rPr>
        <w:t xml:space="preserve"> </w:t>
      </w:r>
      <w:r w:rsidR="008B6BEE" w:rsidRPr="008B6BEE">
        <w:t xml:space="preserve">0.19, p = 0.169). Negative SMD values </w:t>
      </w:r>
      <w:r w:rsidR="009358C8">
        <w:t>favour</w:t>
      </w:r>
      <w:r w:rsidR="008B6BEE" w:rsidRPr="008B6BEE">
        <w:t xml:space="preserve"> GLP-1RAs over control. Heterogeneity is reported as I² = 44.0%, τ² = 0.009, p = 0.167, with a prediction interval (PI) of -0.79 to 0.33.</w:t>
      </w:r>
    </w:p>
    <w:p w14:paraId="073F7B22" w14:textId="22EBBB14" w:rsidR="00665A97" w:rsidRPr="00665A97" w:rsidRDefault="00665A97" w:rsidP="00665A97"/>
    <w:p w14:paraId="15B6F2AE" w14:textId="29637210" w:rsidR="00686B22" w:rsidRDefault="00686B22" w:rsidP="004E3038">
      <w:pPr>
        <w:rPr>
          <w:lang w:val="en-US"/>
        </w:rPr>
      </w:pPr>
    </w:p>
    <w:p w14:paraId="1D2E9EF4" w14:textId="1E40AA87" w:rsidR="007D2B4E" w:rsidRDefault="007D2B4E" w:rsidP="004E303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F08797A" wp14:editId="7C4FD8E4">
            <wp:extent cx="5639435" cy="1859280"/>
            <wp:effectExtent l="0" t="0" r="0" b="7620"/>
            <wp:docPr id="2035414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99764" w14:textId="77777777" w:rsidR="00193E7F" w:rsidRDefault="00193E7F" w:rsidP="004E3038">
      <w:pPr>
        <w:rPr>
          <w:lang w:val="en-US"/>
        </w:rPr>
      </w:pPr>
    </w:p>
    <w:p w14:paraId="5BF814E9" w14:textId="203895FF" w:rsidR="00594DDE" w:rsidRPr="00594DDE" w:rsidRDefault="00193E7F" w:rsidP="00594DDE">
      <w:r w:rsidRPr="00AD2937">
        <w:rPr>
          <w:b/>
          <w:bCs/>
          <w:lang w:val="en-US"/>
        </w:rPr>
        <w:t>Supplementary Figure S2:</w:t>
      </w:r>
      <w:r>
        <w:rPr>
          <w:lang w:val="en-US"/>
        </w:rPr>
        <w:t xml:space="preserve"> </w:t>
      </w:r>
      <w:r w:rsidR="00594DDE" w:rsidRPr="00594DDE">
        <w:t xml:space="preserve">Forest plot of the meta-analysis of </w:t>
      </w:r>
      <w:r w:rsidR="00F940FD">
        <w:t xml:space="preserve">randomised controlled trials (RCTs) assessing the effect of glucagon-like peptide-1 receptor agonists (GLP-1RAs) on </w:t>
      </w:r>
      <w:r w:rsidR="00F940FD" w:rsidRPr="00203DE3">
        <w:rPr>
          <w:b/>
          <w:bCs/>
        </w:rPr>
        <w:t>alcohol craving</w:t>
      </w:r>
      <w:r w:rsidR="00F940FD">
        <w:t>, measured via the Penn Alcohol Craving Scale (PACS) as standardised</w:t>
      </w:r>
      <w:r w:rsidR="00594DDE" w:rsidRPr="00594DDE">
        <w:t xml:space="preserve"> mean difference (SMD). The analysis includes two studies: Hendershot et al. (2025) and Klausen et al. (2022). The diamond represents the pooled SMD using a random-effects model with </w:t>
      </w:r>
      <w:r w:rsidR="00F940FD">
        <w:t>the Hartung-Knapp (HK) adjustment, along with a 95% confidence interval (CI) (SMD: -0.14, 95% CI: -2.84 to</w:t>
      </w:r>
      <w:r w:rsidR="00594DDE" w:rsidRPr="00594DDE">
        <w:t xml:space="preserve"> 2.55, p = 0.156). Negative SMD values </w:t>
      </w:r>
      <w:r w:rsidR="00F940FD">
        <w:t>favour</w:t>
      </w:r>
      <w:r w:rsidR="00594DDE" w:rsidRPr="00594DDE">
        <w:t xml:space="preserve"> GLP-1RAs over control. Heterogeneity is reported as I² = 82.9%, τ² = 0.076, p = 0.015, with a prediction interval (PI) of -4.57 to 4.28.</w:t>
      </w:r>
    </w:p>
    <w:p w14:paraId="509E7A1E" w14:textId="57471884" w:rsidR="00AD2937" w:rsidRDefault="00AD2937" w:rsidP="004E3038">
      <w:pPr>
        <w:rPr>
          <w:lang w:val="en-US"/>
        </w:rPr>
      </w:pPr>
    </w:p>
    <w:p w14:paraId="3B74CD6D" w14:textId="640DFD3B" w:rsidR="00193E7F" w:rsidRDefault="00AD2937" w:rsidP="004E303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8F5758" wp14:editId="443C9ADE">
            <wp:extent cx="5858510" cy="1853565"/>
            <wp:effectExtent l="0" t="0" r="8890" b="0"/>
            <wp:docPr id="646829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1110FE" w14:textId="0A7A8903" w:rsidR="00403D11" w:rsidRPr="00403D11" w:rsidRDefault="00C00B15" w:rsidP="004E3038">
      <w:pPr>
        <w:rPr>
          <w:lang w:val="en-US"/>
        </w:rPr>
      </w:pPr>
      <w:r w:rsidRPr="00A5248F">
        <w:rPr>
          <w:b/>
          <w:bCs/>
          <w:lang w:val="en-US"/>
        </w:rPr>
        <w:t>Supplementary Figure S</w:t>
      </w:r>
      <w:r w:rsidR="00AD2937">
        <w:rPr>
          <w:b/>
          <w:bCs/>
          <w:lang w:val="en-US"/>
        </w:rPr>
        <w:t>3</w:t>
      </w:r>
      <w:r w:rsidRPr="00A5248F">
        <w:rPr>
          <w:b/>
          <w:bCs/>
          <w:lang w:val="en-US"/>
        </w:rPr>
        <w:t>:</w:t>
      </w:r>
      <w:r w:rsidR="00F261D2">
        <w:rPr>
          <w:b/>
          <w:bCs/>
          <w:lang w:val="en-US"/>
        </w:rPr>
        <w:t xml:space="preserve"> </w:t>
      </w:r>
      <w:r w:rsidR="00403D11" w:rsidRPr="00403D11">
        <w:rPr>
          <w:lang w:val="en-US"/>
        </w:rPr>
        <w:t xml:space="preserve">Forest plot of the </w:t>
      </w:r>
      <w:r w:rsidR="00403D11" w:rsidRPr="00403D11">
        <w:rPr>
          <w:b/>
          <w:bCs/>
          <w:lang w:val="en-US"/>
        </w:rPr>
        <w:t>subgroup analysis by type of glucagon-like peptide-1 receptor agonist (GLP-1RA)</w:t>
      </w:r>
      <w:r w:rsidR="00403D11" w:rsidRPr="00403D11">
        <w:rPr>
          <w:lang w:val="en-US"/>
        </w:rPr>
        <w:t xml:space="preserve"> used (</w:t>
      </w:r>
      <w:proofErr w:type="spellStart"/>
      <w:r w:rsidR="00403D11" w:rsidRPr="00403D11">
        <w:rPr>
          <w:lang w:val="en-US"/>
        </w:rPr>
        <w:t>semaglutide</w:t>
      </w:r>
      <w:proofErr w:type="spellEnd"/>
      <w:r w:rsidR="00403D11" w:rsidRPr="00403D11">
        <w:rPr>
          <w:lang w:val="en-US"/>
        </w:rPr>
        <w:t xml:space="preserve">, exenatide, </w:t>
      </w:r>
      <w:r w:rsidR="004B5F27">
        <w:rPr>
          <w:lang w:val="en-US"/>
        </w:rPr>
        <w:t>dulaglutide</w:t>
      </w:r>
      <w:r w:rsidR="00403D11" w:rsidRPr="00403D11">
        <w:rPr>
          <w:lang w:val="en-US"/>
        </w:rPr>
        <w:t xml:space="preserve">) for the effect of GLP-1RAs </w:t>
      </w:r>
      <w:r w:rsidR="00403D11" w:rsidRPr="001B1BBD">
        <w:rPr>
          <w:b/>
          <w:bCs/>
          <w:lang w:val="en-US"/>
        </w:rPr>
        <w:t xml:space="preserve">on total alcohol consumption in </w:t>
      </w:r>
      <w:proofErr w:type="spellStart"/>
      <w:r w:rsidR="004B5F27">
        <w:rPr>
          <w:b/>
          <w:bCs/>
          <w:lang w:val="en-US"/>
        </w:rPr>
        <w:t>randomised</w:t>
      </w:r>
      <w:proofErr w:type="spellEnd"/>
      <w:r w:rsidR="00403D11" w:rsidRPr="001B1BBD">
        <w:rPr>
          <w:b/>
          <w:bCs/>
          <w:lang w:val="en-US"/>
        </w:rPr>
        <w:t xml:space="preserve"> controlled trials</w:t>
      </w:r>
      <w:r w:rsidR="00403D11" w:rsidRPr="00403D11">
        <w:rPr>
          <w:lang w:val="en-US"/>
        </w:rPr>
        <w:t xml:space="preserve"> (RCTs). The analysis includes three studies: Hendershot et al. (2025; </w:t>
      </w:r>
      <w:proofErr w:type="spellStart"/>
      <w:r w:rsidR="00403D11" w:rsidRPr="00403D11">
        <w:rPr>
          <w:lang w:val="en-US"/>
        </w:rPr>
        <w:t>semaglutide</w:t>
      </w:r>
      <w:proofErr w:type="spellEnd"/>
      <w:r w:rsidR="00403D11" w:rsidRPr="00403D11">
        <w:rPr>
          <w:lang w:val="en-US"/>
        </w:rPr>
        <w:t xml:space="preserve">, SMD: -0.48, 95% CI: -0.85, -0.11), Klausen et al. (2022; exenatide, SMD: -0.02, 95% CI: -0.29, 0.25), and Probst et al. (2023; </w:t>
      </w:r>
      <w:r w:rsidR="00B62CD3">
        <w:rPr>
          <w:lang w:val="en-US"/>
        </w:rPr>
        <w:t>Dulaglutide</w:t>
      </w:r>
      <w:r w:rsidR="00403D11" w:rsidRPr="00403D11">
        <w:rPr>
          <w:lang w:val="en-US"/>
        </w:rPr>
        <w:t xml:space="preserve">, SMD: -0.26, 95% CI: -0.31, -0.20). The diamond represents the pooled </w:t>
      </w:r>
      <w:proofErr w:type="spellStart"/>
      <w:r w:rsidR="00B62CD3">
        <w:rPr>
          <w:lang w:val="en-US"/>
        </w:rPr>
        <w:t>standardised</w:t>
      </w:r>
      <w:proofErr w:type="spellEnd"/>
      <w:r w:rsidR="00403D11" w:rsidRPr="00403D11">
        <w:rPr>
          <w:lang w:val="en-US"/>
        </w:rPr>
        <w:t xml:space="preserve"> mean difference (SMD) for each subgroup, with </w:t>
      </w:r>
      <w:r w:rsidR="00B62CD3">
        <w:rPr>
          <w:lang w:val="en-US"/>
        </w:rPr>
        <w:t xml:space="preserve">an overall pooled SMD of -0.24 (95% CI: -0.70, 0.23, p = 0.113) using a random-effects model with the </w:t>
      </w:r>
      <w:r w:rsidR="00403D11" w:rsidRPr="00403D11">
        <w:rPr>
          <w:lang w:val="en-US"/>
        </w:rPr>
        <w:t xml:space="preserve">Hartung-Knapp (HK) adjustment. Negative SMD values </w:t>
      </w:r>
      <w:proofErr w:type="spellStart"/>
      <w:r w:rsidR="00B62CD3">
        <w:rPr>
          <w:lang w:val="en-US"/>
        </w:rPr>
        <w:t>favour</w:t>
      </w:r>
      <w:proofErr w:type="spellEnd"/>
      <w:r w:rsidR="00403D11" w:rsidRPr="00403D11">
        <w:rPr>
          <w:lang w:val="en-US"/>
        </w:rPr>
        <w:t xml:space="preserve"> GLP-1RAs over control. Heterogeneity is reported as I² = 54.0%, τ² = 0.015, p = 0.113, with a prediction interval (PI) of -0.90 to 0.43. The test for subgroup differences was not significant (p = 0.113).</w:t>
      </w:r>
    </w:p>
    <w:p w14:paraId="24908781" w14:textId="3AFC440C" w:rsidR="00337BAF" w:rsidRDefault="00337BAF" w:rsidP="004E3038">
      <w:pPr>
        <w:rPr>
          <w:lang w:val="en-US"/>
        </w:rPr>
      </w:pPr>
    </w:p>
    <w:p w14:paraId="4A56F9E5" w14:textId="27F93B1F" w:rsidR="00FB1C85" w:rsidRDefault="00244BB5" w:rsidP="004E3038">
      <w:pPr>
        <w:rPr>
          <w:lang w:val="en-US"/>
        </w:rPr>
      </w:pPr>
      <w:r w:rsidRPr="00244BB5">
        <w:rPr>
          <w:noProof/>
          <w:lang w:val="en-US"/>
        </w:rPr>
        <w:lastRenderedPageBreak/>
        <w:drawing>
          <wp:inline distT="0" distB="0" distL="0" distR="0" wp14:anchorId="1F5DDC58" wp14:editId="4B2C8A40">
            <wp:extent cx="5731510" cy="3375025"/>
            <wp:effectExtent l="0" t="0" r="2540" b="0"/>
            <wp:docPr id="1643236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362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B39CF" w14:textId="0D32F68C" w:rsidR="00D33F8E" w:rsidRDefault="00D33F8E" w:rsidP="004E3038">
      <w:pPr>
        <w:rPr>
          <w:lang w:val="en-US"/>
        </w:rPr>
      </w:pPr>
      <w:r w:rsidRPr="00373973">
        <w:rPr>
          <w:b/>
          <w:bCs/>
          <w:lang w:val="en-US"/>
        </w:rPr>
        <w:t xml:space="preserve">Supplementary Figure </w:t>
      </w:r>
      <w:r w:rsidR="00373973">
        <w:rPr>
          <w:b/>
          <w:bCs/>
          <w:lang w:val="en-US"/>
        </w:rPr>
        <w:t>S</w:t>
      </w:r>
      <w:r w:rsidR="00AD2937">
        <w:rPr>
          <w:b/>
          <w:bCs/>
          <w:lang w:val="en-US"/>
        </w:rPr>
        <w:t>4</w:t>
      </w:r>
      <w:r w:rsidRPr="00373973">
        <w:rPr>
          <w:b/>
          <w:bCs/>
          <w:lang w:val="en-US"/>
        </w:rPr>
        <w:t>:</w:t>
      </w:r>
      <w:r w:rsidR="00373973">
        <w:rPr>
          <w:lang w:val="en-US"/>
        </w:rPr>
        <w:t xml:space="preserve"> </w:t>
      </w:r>
      <w:r w:rsidR="00947C25" w:rsidRPr="00947C25">
        <w:rPr>
          <w:lang w:val="en-US"/>
        </w:rPr>
        <w:t xml:space="preserve">Forest plot of the </w:t>
      </w:r>
      <w:r w:rsidR="00947C25" w:rsidRPr="00947C25">
        <w:rPr>
          <w:b/>
          <w:bCs/>
          <w:lang w:val="en-US"/>
        </w:rPr>
        <w:t>subgroup analysis by type of glucagon-like peptide-1 receptor agonist (GLP1</w:t>
      </w:r>
      <w:r w:rsidR="00BF66CF">
        <w:rPr>
          <w:b/>
          <w:bCs/>
          <w:lang w:val="en-US"/>
        </w:rPr>
        <w:t>-</w:t>
      </w:r>
      <w:r w:rsidR="00947C25" w:rsidRPr="00947C25">
        <w:rPr>
          <w:b/>
          <w:bCs/>
          <w:lang w:val="en-US"/>
        </w:rPr>
        <w:t>RA) used</w:t>
      </w:r>
      <w:r w:rsidR="00947C25" w:rsidRPr="00947C25">
        <w:rPr>
          <w:lang w:val="en-US"/>
        </w:rPr>
        <w:t xml:space="preserve"> (</w:t>
      </w:r>
      <w:proofErr w:type="spellStart"/>
      <w:r w:rsidR="00947C25" w:rsidRPr="00947C25">
        <w:rPr>
          <w:lang w:val="en-US"/>
        </w:rPr>
        <w:t>semaglutide</w:t>
      </w:r>
      <w:proofErr w:type="spellEnd"/>
      <w:r w:rsidR="00947C25" w:rsidRPr="00947C25">
        <w:rPr>
          <w:lang w:val="en-US"/>
        </w:rPr>
        <w:t xml:space="preserve">, exenatide, </w:t>
      </w:r>
      <w:r w:rsidR="00BF66CF">
        <w:rPr>
          <w:lang w:val="en-US"/>
        </w:rPr>
        <w:t>dulaglutide</w:t>
      </w:r>
      <w:r w:rsidR="00947C25" w:rsidRPr="00947C25">
        <w:rPr>
          <w:lang w:val="en-US"/>
        </w:rPr>
        <w:t xml:space="preserve">) for the effect of GLP-1RAs </w:t>
      </w:r>
      <w:r w:rsidR="00947C25" w:rsidRPr="001B1BBD">
        <w:rPr>
          <w:b/>
          <w:bCs/>
          <w:lang w:val="en-US"/>
        </w:rPr>
        <w:t xml:space="preserve">on drinks per drinking day in </w:t>
      </w:r>
      <w:proofErr w:type="spellStart"/>
      <w:r w:rsidR="00BF66CF">
        <w:rPr>
          <w:b/>
          <w:bCs/>
          <w:lang w:val="en-US"/>
        </w:rPr>
        <w:t>randomised</w:t>
      </w:r>
      <w:proofErr w:type="spellEnd"/>
      <w:r w:rsidR="00947C25" w:rsidRPr="001B1BBD">
        <w:rPr>
          <w:b/>
          <w:bCs/>
          <w:lang w:val="en-US"/>
        </w:rPr>
        <w:t xml:space="preserve"> controlled trials</w:t>
      </w:r>
      <w:r w:rsidR="00947C25" w:rsidRPr="00947C25">
        <w:rPr>
          <w:lang w:val="en-US"/>
        </w:rPr>
        <w:t xml:space="preserve"> (RCTs). The analysis includes three studies: Hendershot et al. (2025; </w:t>
      </w:r>
      <w:proofErr w:type="spellStart"/>
      <w:r w:rsidR="00947C25" w:rsidRPr="00947C25">
        <w:rPr>
          <w:lang w:val="en-US"/>
        </w:rPr>
        <w:t>semaglutide</w:t>
      </w:r>
      <w:proofErr w:type="spellEnd"/>
      <w:r w:rsidR="00947C25" w:rsidRPr="00947C25">
        <w:rPr>
          <w:lang w:val="en-US"/>
        </w:rPr>
        <w:t xml:space="preserve">, SMD: -0.41, 95% CI: -0.73, -0.09), Klausen et al. (2022; exenatide, SMD: -0.02, 95% CI: -0.29, 0.25), and Probst et al. (2023; </w:t>
      </w:r>
      <w:r w:rsidR="00BF66CF">
        <w:rPr>
          <w:lang w:val="en-US"/>
        </w:rPr>
        <w:t>dulaglutide</w:t>
      </w:r>
      <w:r w:rsidR="00947C25" w:rsidRPr="00947C25">
        <w:rPr>
          <w:lang w:val="en-US"/>
        </w:rPr>
        <w:t xml:space="preserve">, SMD: -0.26, 95% CI: -0.40, -0.12). The diamond represents the pooled </w:t>
      </w:r>
      <w:proofErr w:type="spellStart"/>
      <w:r w:rsidR="00BF66CF">
        <w:rPr>
          <w:lang w:val="en-US"/>
        </w:rPr>
        <w:t>standardised</w:t>
      </w:r>
      <w:proofErr w:type="spellEnd"/>
      <w:r w:rsidR="00947C25" w:rsidRPr="00947C25">
        <w:rPr>
          <w:lang w:val="en-US"/>
        </w:rPr>
        <w:t xml:space="preserve"> mean difference (SMD) for each subgroup, with </w:t>
      </w:r>
      <w:r w:rsidR="00BF66CF">
        <w:rPr>
          <w:lang w:val="en-US"/>
        </w:rPr>
        <w:t xml:space="preserve">an overall pooled SMD of -0.23 (95% CI: -0.65, 0.20, p = 0.156) using a random-effects model with the </w:t>
      </w:r>
      <w:r w:rsidR="00947C25" w:rsidRPr="00947C25">
        <w:rPr>
          <w:lang w:val="en-US"/>
        </w:rPr>
        <w:t xml:space="preserve">Hartung-Knapp (HK) adjustment. Negative SMD values </w:t>
      </w:r>
      <w:proofErr w:type="spellStart"/>
      <w:r w:rsidR="00BF66CF">
        <w:rPr>
          <w:lang w:val="en-US"/>
        </w:rPr>
        <w:t>favour</w:t>
      </w:r>
      <w:proofErr w:type="spellEnd"/>
      <w:r w:rsidR="00947C25" w:rsidRPr="00947C25">
        <w:rPr>
          <w:lang w:val="en-US"/>
        </w:rPr>
        <w:t xml:space="preserve"> GLP-1RAs over control. Heterogeneity is reported as I² = 46.0%, τ² = 0.010, p = 0.156, with a prediction interval (PI) of -0.82 to 0.37. The test for subgroup differences was not significant (p = 0.156).</w:t>
      </w:r>
    </w:p>
    <w:p w14:paraId="410F9D7B" w14:textId="4C0DAAEC" w:rsidR="00D33F8E" w:rsidRDefault="00D33F8E" w:rsidP="004E3038">
      <w:pPr>
        <w:rPr>
          <w:lang w:val="en-US"/>
        </w:rPr>
      </w:pPr>
    </w:p>
    <w:p w14:paraId="1B6C654B" w14:textId="4FDB2DF7" w:rsidR="00EA7498" w:rsidRDefault="00EA7498" w:rsidP="004E3038">
      <w:pPr>
        <w:rPr>
          <w:lang w:val="en-US"/>
        </w:rPr>
      </w:pPr>
      <w:r w:rsidRPr="00EA7498">
        <w:rPr>
          <w:noProof/>
          <w:lang w:val="en-US"/>
        </w:rPr>
        <w:lastRenderedPageBreak/>
        <w:drawing>
          <wp:inline distT="0" distB="0" distL="0" distR="0" wp14:anchorId="267F3F90" wp14:editId="74A678D4">
            <wp:extent cx="5731510" cy="2972435"/>
            <wp:effectExtent l="0" t="0" r="2540" b="0"/>
            <wp:docPr id="324370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704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CCCF5" w14:textId="21A97DAA" w:rsidR="00795D9A" w:rsidRPr="00795D9A" w:rsidRDefault="00373973" w:rsidP="00795D9A">
      <w:r w:rsidRPr="00795D9A">
        <w:rPr>
          <w:b/>
          <w:bCs/>
          <w:lang w:val="en-US"/>
        </w:rPr>
        <w:t>Supplementary Figure S</w:t>
      </w:r>
      <w:r w:rsidR="00AD2937">
        <w:rPr>
          <w:b/>
          <w:bCs/>
          <w:lang w:val="en-US"/>
        </w:rPr>
        <w:t>5</w:t>
      </w:r>
      <w:r w:rsidRPr="00795D9A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="00BB76D3" w:rsidRPr="00BB76D3">
        <w:rPr>
          <w:lang w:val="en-US"/>
        </w:rPr>
        <w:t xml:space="preserve">Forest plot of the </w:t>
      </w:r>
      <w:r w:rsidR="00BB76D3" w:rsidRPr="00BB76D3">
        <w:rPr>
          <w:b/>
          <w:bCs/>
          <w:lang w:val="en-US"/>
        </w:rPr>
        <w:t>subgroup analysis by type of glucagon-like peptide-1 receptor agonist (GLP-1RA) used</w:t>
      </w:r>
      <w:r w:rsidR="00BB76D3" w:rsidRPr="00BB76D3">
        <w:rPr>
          <w:lang w:val="en-US"/>
        </w:rPr>
        <w:t xml:space="preserve"> (</w:t>
      </w:r>
      <w:proofErr w:type="spellStart"/>
      <w:r w:rsidR="00BB76D3" w:rsidRPr="00BB76D3">
        <w:rPr>
          <w:lang w:val="en-US"/>
        </w:rPr>
        <w:t>semaglutide</w:t>
      </w:r>
      <w:proofErr w:type="spellEnd"/>
      <w:r w:rsidR="00BB76D3" w:rsidRPr="00BB76D3">
        <w:rPr>
          <w:lang w:val="en-US"/>
        </w:rPr>
        <w:t xml:space="preserve">, exenatide) for the effect of GLP-1RAs on alcohol craving (measured via the </w:t>
      </w:r>
      <w:r w:rsidR="00BB76D3" w:rsidRPr="00BB76D3">
        <w:rPr>
          <w:b/>
          <w:bCs/>
          <w:lang w:val="en-US"/>
        </w:rPr>
        <w:t xml:space="preserve">Penn Alcohol Craving Scale [PACS]) in </w:t>
      </w:r>
      <w:proofErr w:type="spellStart"/>
      <w:r w:rsidR="00857892">
        <w:rPr>
          <w:b/>
          <w:bCs/>
          <w:lang w:val="en-US"/>
        </w:rPr>
        <w:t>randomised</w:t>
      </w:r>
      <w:proofErr w:type="spellEnd"/>
      <w:r w:rsidR="00BB76D3" w:rsidRPr="00BB76D3">
        <w:rPr>
          <w:b/>
          <w:bCs/>
          <w:lang w:val="en-US"/>
        </w:rPr>
        <w:t xml:space="preserve"> controlled trials (RCTs)</w:t>
      </w:r>
      <w:r w:rsidR="00BB76D3" w:rsidRPr="00BB76D3">
        <w:rPr>
          <w:lang w:val="en-US"/>
        </w:rPr>
        <w:t xml:space="preserve">. The analysis includes two studies: Hendershot et al. (2025; </w:t>
      </w:r>
      <w:proofErr w:type="spellStart"/>
      <w:r w:rsidR="00BB76D3" w:rsidRPr="00BB76D3">
        <w:rPr>
          <w:lang w:val="en-US"/>
        </w:rPr>
        <w:t>semaglutide</w:t>
      </w:r>
      <w:proofErr w:type="spellEnd"/>
      <w:r w:rsidR="00BB76D3" w:rsidRPr="00BB76D3">
        <w:rPr>
          <w:lang w:val="en-US"/>
        </w:rPr>
        <w:t>, SMD: -0.39, 95% CI: -0.73</w:t>
      </w:r>
      <w:r w:rsidR="00857892">
        <w:rPr>
          <w:lang w:val="en-US"/>
        </w:rPr>
        <w:t xml:space="preserve"> to -0.05) and Klausen et al. (2022; exenatide, SMD: 0.01, 95% CI: -0.08 to</w:t>
      </w:r>
      <w:r w:rsidR="00BB76D3" w:rsidRPr="00BB76D3">
        <w:rPr>
          <w:lang w:val="en-US"/>
        </w:rPr>
        <w:t xml:space="preserve"> 0.10). The diamond represents the pooled </w:t>
      </w:r>
      <w:proofErr w:type="spellStart"/>
      <w:r w:rsidR="00857892">
        <w:rPr>
          <w:lang w:val="en-US"/>
        </w:rPr>
        <w:t>standardised</w:t>
      </w:r>
      <w:proofErr w:type="spellEnd"/>
      <w:r w:rsidR="00BB76D3" w:rsidRPr="00BB76D3">
        <w:rPr>
          <w:lang w:val="en-US"/>
        </w:rPr>
        <w:t xml:space="preserve"> mean difference (SMD) for each subgroup, with </w:t>
      </w:r>
      <w:r w:rsidR="00857892">
        <w:rPr>
          <w:lang w:val="en-US"/>
        </w:rPr>
        <w:t xml:space="preserve">an overall pooled SMD of -0.16 (95% CI: -2.66 to 2.35, p = 0.024) using a random-effects model with the </w:t>
      </w:r>
      <w:r w:rsidR="00BB76D3" w:rsidRPr="00BB76D3">
        <w:rPr>
          <w:lang w:val="en-US"/>
        </w:rPr>
        <w:t xml:space="preserve">Hartung-Knapp (HK) adjustment. Negative SMD values </w:t>
      </w:r>
      <w:proofErr w:type="spellStart"/>
      <w:r w:rsidR="00857892">
        <w:rPr>
          <w:lang w:val="en-US"/>
        </w:rPr>
        <w:t>favour</w:t>
      </w:r>
      <w:proofErr w:type="spellEnd"/>
      <w:r w:rsidR="00BB76D3" w:rsidRPr="00BB76D3">
        <w:rPr>
          <w:lang w:val="en-US"/>
        </w:rPr>
        <w:t xml:space="preserve"> GLP-1RAs over control. Heterogeneity is reported as I² = 80.3%, τ² = 0.064, p = 0.024, with a prediction interval (PI) of -4.24 to 3.92. The test for subgroup differences was significant (p = 0.024).</w:t>
      </w:r>
    </w:p>
    <w:p w14:paraId="461E09C5" w14:textId="376B31E2" w:rsidR="00373973" w:rsidRDefault="00D27A4D" w:rsidP="004E303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6EA87DB" wp14:editId="793DB40C">
            <wp:extent cx="6111013" cy="2388484"/>
            <wp:effectExtent l="19050" t="19050" r="23495" b="12065"/>
            <wp:docPr id="15701003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" t="12032" r="4212" b="12114"/>
                    <a:stretch/>
                  </pic:blipFill>
                  <pic:spPr bwMode="auto">
                    <a:xfrm>
                      <a:off x="0" y="0"/>
                      <a:ext cx="6140242" cy="239990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663D3" w14:textId="168BC8D9" w:rsidR="008B05A2" w:rsidRDefault="00D211E2" w:rsidP="004E3038">
      <w:pPr>
        <w:rPr>
          <w:lang w:val="en-US"/>
        </w:rPr>
      </w:pPr>
      <w:r w:rsidRPr="008B05A2">
        <w:rPr>
          <w:b/>
          <w:bCs/>
          <w:lang w:val="en-US"/>
        </w:rPr>
        <w:t>Supplementary Figure S</w:t>
      </w:r>
      <w:r w:rsidR="00AD2937">
        <w:rPr>
          <w:b/>
          <w:bCs/>
          <w:lang w:val="en-US"/>
        </w:rPr>
        <w:t>6</w:t>
      </w:r>
      <w:r>
        <w:rPr>
          <w:lang w:val="en-US"/>
        </w:rPr>
        <w:t xml:space="preserve">: </w:t>
      </w:r>
      <w:r w:rsidR="00CD508A" w:rsidRPr="00CD508A">
        <w:rPr>
          <w:lang w:val="en-US"/>
        </w:rPr>
        <w:t xml:space="preserve">Forest plot of the </w:t>
      </w:r>
      <w:r w:rsidR="00CD508A" w:rsidRPr="00CD508A">
        <w:rPr>
          <w:b/>
          <w:bCs/>
          <w:lang w:val="en-US"/>
        </w:rPr>
        <w:t xml:space="preserve">sensitivity analysis for the effect of glucagon-like peptide-1 receptor agonists (GLP-1RAs) on total alcohol consumption in </w:t>
      </w:r>
      <w:proofErr w:type="spellStart"/>
      <w:r w:rsidR="00857892">
        <w:rPr>
          <w:b/>
          <w:bCs/>
          <w:lang w:val="en-US"/>
        </w:rPr>
        <w:t>randomised</w:t>
      </w:r>
      <w:proofErr w:type="spellEnd"/>
      <w:r w:rsidR="00CD508A" w:rsidRPr="00CD508A">
        <w:rPr>
          <w:b/>
          <w:bCs/>
          <w:lang w:val="en-US"/>
        </w:rPr>
        <w:t xml:space="preserve"> controlled trials (RCTs),</w:t>
      </w:r>
      <w:r w:rsidR="00CD508A" w:rsidRPr="00CD508A">
        <w:rPr>
          <w:lang w:val="en-US"/>
        </w:rPr>
        <w:t xml:space="preserve"> excluding Probst et al. (2023) due to self-reported outcome bias. The </w:t>
      </w:r>
      <w:r w:rsidR="00CD508A" w:rsidRPr="00CD508A">
        <w:rPr>
          <w:lang w:val="en-US"/>
        </w:rPr>
        <w:lastRenderedPageBreak/>
        <w:t xml:space="preserve">analysis includes two studies: Hendershot et al. (2025) and Klausen et al. (2022). The diamond represents the pooled </w:t>
      </w:r>
      <w:proofErr w:type="spellStart"/>
      <w:r w:rsidR="00857892">
        <w:rPr>
          <w:lang w:val="en-US"/>
        </w:rPr>
        <w:t>standardised</w:t>
      </w:r>
      <w:proofErr w:type="spellEnd"/>
      <w:r w:rsidR="00CD508A" w:rsidRPr="00CD508A">
        <w:rPr>
          <w:lang w:val="en-US"/>
        </w:rPr>
        <w:t xml:space="preserve"> mean difference (SMD) using a random-effects model with Hartung-Knapp (HK) adjustment, with a 95% confidence interval (CI) (SMD: -0.23, 95% CI: -3.15, 2.68, p = 0.496). Negative SMD values </w:t>
      </w:r>
      <w:proofErr w:type="spellStart"/>
      <w:r w:rsidR="00857892">
        <w:rPr>
          <w:lang w:val="en-US"/>
        </w:rPr>
        <w:t>favour</w:t>
      </w:r>
      <w:proofErr w:type="spellEnd"/>
      <w:r w:rsidR="00CD508A" w:rsidRPr="00CD508A">
        <w:rPr>
          <w:lang w:val="en-US"/>
        </w:rPr>
        <w:t xml:space="preserve"> GLP-1RAs over control. Heterogeneity is reported as I² = 74.2%, τ² = 0.078, p = 0.049, with a prediction interval (PI) of -4.83 to 4.37.</w:t>
      </w:r>
      <w:r w:rsidR="00F87143">
        <w:rPr>
          <w:noProof/>
          <w:lang w:val="en-US"/>
        </w:rPr>
        <w:drawing>
          <wp:inline distT="0" distB="0" distL="0" distR="0" wp14:anchorId="3069C04D" wp14:editId="781EA812">
            <wp:extent cx="5670859" cy="1543532"/>
            <wp:effectExtent l="19050" t="19050" r="25400" b="19050"/>
            <wp:docPr id="19808626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2" t="29802" r="7705" b="27954"/>
                    <a:stretch/>
                  </pic:blipFill>
                  <pic:spPr bwMode="auto">
                    <a:xfrm>
                      <a:off x="0" y="0"/>
                      <a:ext cx="5709532" cy="155405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3805F" w14:textId="4C37A40E" w:rsidR="00095EF6" w:rsidRDefault="004A300B" w:rsidP="004E3038">
      <w:pPr>
        <w:rPr>
          <w:lang w:val="en-US"/>
        </w:rPr>
      </w:pPr>
      <w:r w:rsidRPr="00095EF6">
        <w:rPr>
          <w:b/>
          <w:bCs/>
          <w:lang w:val="en-US"/>
        </w:rPr>
        <w:t>Supplementary Figure S</w:t>
      </w:r>
      <w:r w:rsidR="00AD2937">
        <w:rPr>
          <w:b/>
          <w:bCs/>
          <w:lang w:val="en-US"/>
        </w:rPr>
        <w:t>7</w:t>
      </w:r>
      <w:r w:rsidRPr="00095EF6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="0013323F" w:rsidRPr="0013323F">
        <w:rPr>
          <w:b/>
          <w:bCs/>
          <w:lang w:val="en-US"/>
        </w:rPr>
        <w:t>Funnel plot</w:t>
      </w:r>
      <w:r w:rsidR="0013323F" w:rsidRPr="0013323F">
        <w:rPr>
          <w:lang w:val="en-US"/>
        </w:rPr>
        <w:t xml:space="preserve"> assessing publication bias in the meta-analysis of </w:t>
      </w:r>
      <w:proofErr w:type="spellStart"/>
      <w:r w:rsidR="00857892">
        <w:rPr>
          <w:b/>
          <w:bCs/>
          <w:lang w:val="en-US"/>
        </w:rPr>
        <w:t>randomised</w:t>
      </w:r>
      <w:proofErr w:type="spellEnd"/>
      <w:r w:rsidR="0013323F" w:rsidRPr="0013323F">
        <w:rPr>
          <w:b/>
          <w:bCs/>
          <w:lang w:val="en-US"/>
        </w:rPr>
        <w:t xml:space="preserve"> controlled trials</w:t>
      </w:r>
      <w:r w:rsidR="0013323F" w:rsidRPr="0013323F">
        <w:rPr>
          <w:lang w:val="en-US"/>
        </w:rPr>
        <w:t xml:space="preserve"> (RCTs) evaluating the effect of glucagon-like peptide-1 receptor agonists (GLP-1RAs) on total alcohol consumption. The plot includes three studies: Hendershot et al. (2025), Klausen et al. (2022), and Probst et al. (2023). The x-axis represents the </w:t>
      </w:r>
      <w:proofErr w:type="spellStart"/>
      <w:r w:rsidR="00857892">
        <w:rPr>
          <w:lang w:val="en-US"/>
        </w:rPr>
        <w:t>standardised</w:t>
      </w:r>
      <w:proofErr w:type="spellEnd"/>
      <w:r w:rsidR="0013323F" w:rsidRPr="0013323F">
        <w:rPr>
          <w:lang w:val="en-US"/>
        </w:rPr>
        <w:t xml:space="preserve"> mean difference (SMD), and the y-axis represents the standard error. The dashed lines indicate the expected distribution of studies in the absence of publication bias. The trim-and-fill method </w:t>
      </w:r>
      <w:r w:rsidR="00857892">
        <w:rPr>
          <w:lang w:val="en-US"/>
        </w:rPr>
        <w:t>was not applied</w:t>
      </w:r>
      <w:r w:rsidR="0013323F" w:rsidRPr="0013323F">
        <w:rPr>
          <w:lang w:val="en-US"/>
        </w:rPr>
        <w:t>, and Egger’s test was not conducted due to the small number of studies (k &lt; 10).</w:t>
      </w:r>
      <w:r w:rsidR="00135D9F">
        <w:rPr>
          <w:noProof/>
          <w:lang w:val="en-US"/>
        </w:rPr>
        <w:drawing>
          <wp:inline distT="0" distB="0" distL="0" distR="0" wp14:anchorId="41A26209" wp14:editId="070483EA">
            <wp:extent cx="5871174" cy="3744410"/>
            <wp:effectExtent l="0" t="0" r="0" b="8890"/>
            <wp:docPr id="11452761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634" cy="37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1D8E7" w14:textId="77777777" w:rsidR="0013323F" w:rsidRDefault="0013323F" w:rsidP="00D30C33">
      <w:pPr>
        <w:rPr>
          <w:b/>
          <w:bCs/>
          <w:lang w:val="en-US"/>
        </w:rPr>
      </w:pPr>
    </w:p>
    <w:p w14:paraId="4B63060A" w14:textId="77777777" w:rsidR="00FC7640" w:rsidRPr="004719FE" w:rsidRDefault="00C935CE" w:rsidP="00FC7640">
      <w:pPr>
        <w:rPr>
          <w:color w:val="000000" w:themeColor="text1"/>
        </w:rPr>
      </w:pPr>
      <w:r w:rsidRPr="00D30C33">
        <w:rPr>
          <w:b/>
          <w:bCs/>
          <w:lang w:val="en-US"/>
        </w:rPr>
        <w:lastRenderedPageBreak/>
        <w:t>Supplementary Figure S</w:t>
      </w:r>
      <w:r w:rsidR="00AD2937">
        <w:rPr>
          <w:b/>
          <w:bCs/>
          <w:lang w:val="en-US"/>
        </w:rPr>
        <w:t>8</w:t>
      </w:r>
      <w:r w:rsidRPr="00D30C33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="00617DFD" w:rsidRPr="00617DFD">
        <w:rPr>
          <w:lang w:val="en-US"/>
        </w:rPr>
        <w:t xml:space="preserve">Forest plot of the </w:t>
      </w:r>
      <w:r w:rsidR="00617DFD" w:rsidRPr="00617DFD">
        <w:rPr>
          <w:b/>
          <w:bCs/>
          <w:lang w:val="en-US"/>
        </w:rPr>
        <w:t>subgroup analysis by outcome type (Alcohol Use Disorder [AUD] vs. Substance Use Disorder [SUD]) for the effect of glucagon-like peptide-1 receptor agonists (GLP-1RAs) on alcohol-related events</w:t>
      </w:r>
      <w:r w:rsidR="00617DFD" w:rsidRPr="00617DFD">
        <w:rPr>
          <w:lang w:val="en-US"/>
        </w:rPr>
        <w:t>, measured as hazard ratios (HR) or adjusted HR (</w:t>
      </w:r>
      <w:proofErr w:type="spellStart"/>
      <w:r w:rsidR="00617DFD" w:rsidRPr="00617DFD">
        <w:rPr>
          <w:lang w:val="en-US"/>
        </w:rPr>
        <w:t>aHR</w:t>
      </w:r>
      <w:proofErr w:type="spellEnd"/>
      <w:r w:rsidR="00617DFD" w:rsidRPr="00617DFD">
        <w:rPr>
          <w:lang w:val="en-US"/>
        </w:rPr>
        <w:t xml:space="preserve">). The analysis includes 11 estimates from six observational studies: </w:t>
      </w:r>
      <w:proofErr w:type="spellStart"/>
      <w:r w:rsidR="00617DFD" w:rsidRPr="00617DFD">
        <w:rPr>
          <w:lang w:val="en-US"/>
        </w:rPr>
        <w:t>Lähteenvuo</w:t>
      </w:r>
      <w:proofErr w:type="spellEnd"/>
      <w:r w:rsidR="00617DFD" w:rsidRPr="00617DFD">
        <w:rPr>
          <w:lang w:val="en-US"/>
        </w:rPr>
        <w:t xml:space="preserve"> et al. (2024; 4 estimates), Wium-Andersen et al. (2022; 2 estimates), Wang et al. (2024; 2 estimates), </w:t>
      </w:r>
      <w:proofErr w:type="spellStart"/>
      <w:r w:rsidR="00617DFD" w:rsidRPr="00617DFD">
        <w:rPr>
          <w:lang w:val="en-US"/>
        </w:rPr>
        <w:t>Qeadan</w:t>
      </w:r>
      <w:proofErr w:type="spellEnd"/>
      <w:r w:rsidR="00617DFD" w:rsidRPr="00617DFD">
        <w:rPr>
          <w:lang w:val="en-US"/>
        </w:rPr>
        <w:t xml:space="preserve"> et al. (2025; 1 estimate), </w:t>
      </w:r>
      <w:proofErr w:type="spellStart"/>
      <w:r w:rsidR="00617DFD" w:rsidRPr="00617DFD">
        <w:rPr>
          <w:lang w:val="en-US"/>
        </w:rPr>
        <w:t>Farokhnia</w:t>
      </w:r>
      <w:proofErr w:type="spellEnd"/>
      <w:r w:rsidR="00617DFD" w:rsidRPr="00617DFD">
        <w:rPr>
          <w:lang w:val="en-US"/>
        </w:rPr>
        <w:t xml:space="preserve"> et al. (2025; 1 estimate), and Xie et al. (2025; 1 estimate). The AUD subgroup (9 estimates, N = 1,447,840) yielded a pooled HR of 0.67 (95% CI: 0.62, 0.72, I² = 28.6%, τ² = 0.005, p = 0.190), and the SUD subgroup (2 estimates from </w:t>
      </w:r>
      <w:proofErr w:type="spellStart"/>
      <w:r w:rsidR="00617DFD" w:rsidRPr="00617DFD">
        <w:rPr>
          <w:lang w:val="en-US"/>
        </w:rPr>
        <w:t>Lähteenvuo</w:t>
      </w:r>
      <w:proofErr w:type="spellEnd"/>
      <w:r w:rsidR="00617DFD" w:rsidRPr="00617DFD">
        <w:rPr>
          <w:lang w:val="en-US"/>
        </w:rPr>
        <w:t xml:space="preserve"> et al., 2024; N = 227,868) yielded a pooled HR of 0.65 (95% CI: 0.48, 0.88, I² = 22.9%, τ² = 0.005, p = 0.254). The diamond represents the pooled HR for each subgroup</w:t>
      </w:r>
      <w:r w:rsidR="00857892">
        <w:rPr>
          <w:lang w:val="en-US"/>
        </w:rPr>
        <w:t xml:space="preserve">, calculated using a random-effects model with the </w:t>
      </w:r>
      <w:r w:rsidR="00617DFD" w:rsidRPr="00617DFD">
        <w:rPr>
          <w:lang w:val="en-US"/>
        </w:rPr>
        <w:t xml:space="preserve">Hartung-Knapp (HK) adjustment. HR values below 1 </w:t>
      </w:r>
      <w:proofErr w:type="spellStart"/>
      <w:r w:rsidR="00857892">
        <w:rPr>
          <w:lang w:val="en-US"/>
        </w:rPr>
        <w:t>favour</w:t>
      </w:r>
      <w:proofErr w:type="spellEnd"/>
      <w:r w:rsidR="00617DFD" w:rsidRPr="00617DFD">
        <w:rPr>
          <w:lang w:val="en-US"/>
        </w:rPr>
        <w:t xml:space="preserve"> GLP-1RAs over control. The test for subgroup differences was not significant (p = 0.793).</w:t>
      </w:r>
      <w:r w:rsidR="00FC7640">
        <w:rPr>
          <w:lang w:val="en-US"/>
        </w:rPr>
        <w:t xml:space="preserve"> </w:t>
      </w:r>
      <w:proofErr w:type="spellStart"/>
      <w:r w:rsidR="00FC7640" w:rsidRPr="004719FE">
        <w:rPr>
          <w:color w:val="000000" w:themeColor="text1"/>
        </w:rPr>
        <w:t>Qeadan</w:t>
      </w:r>
      <w:proofErr w:type="spellEnd"/>
      <w:r w:rsidR="00FC7640" w:rsidRPr="004719FE">
        <w:rPr>
          <w:color w:val="000000" w:themeColor="text1"/>
        </w:rPr>
        <w:t xml:space="preserve"> et al.’s intoxication outcome (HR = 0.50) is excluded from these panels but included in the overall pooled analysis (Figure 3) and reported narratively in Section 3.3.6.</w:t>
      </w:r>
    </w:p>
    <w:p w14:paraId="6817EBAA" w14:textId="30EB8F44" w:rsidR="00D30C33" w:rsidRDefault="00D30C33" w:rsidP="00D30C33"/>
    <w:p w14:paraId="26ABD53B" w14:textId="74DB2F46" w:rsidR="009F3625" w:rsidRDefault="009F3625" w:rsidP="00D30C33">
      <w:r>
        <w:rPr>
          <w:noProof/>
        </w:rPr>
        <w:drawing>
          <wp:inline distT="0" distB="0" distL="0" distR="0" wp14:anchorId="7D4688E6" wp14:editId="0D5E471F">
            <wp:extent cx="5755005" cy="3152140"/>
            <wp:effectExtent l="0" t="0" r="0" b="0"/>
            <wp:docPr id="17955323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CF535F" w14:textId="057782FD" w:rsidR="00FE64DB" w:rsidRDefault="000A000C" w:rsidP="00D30C33">
      <w:r w:rsidRPr="008F5A51">
        <w:rPr>
          <w:b/>
          <w:bCs/>
        </w:rPr>
        <w:t>Supplementary Figure S</w:t>
      </w:r>
      <w:r w:rsidR="00AD2937">
        <w:rPr>
          <w:b/>
          <w:bCs/>
        </w:rPr>
        <w:t>9</w:t>
      </w:r>
      <w:r w:rsidRPr="008F5A51">
        <w:rPr>
          <w:b/>
          <w:bCs/>
        </w:rPr>
        <w:t>:</w:t>
      </w:r>
      <w:r>
        <w:t xml:space="preserve"> </w:t>
      </w:r>
      <w:r w:rsidR="00FE64DB" w:rsidRPr="00FE64DB">
        <w:t xml:space="preserve">Forest plot of the </w:t>
      </w:r>
      <w:r w:rsidR="00FE64DB" w:rsidRPr="00FE64DB">
        <w:rPr>
          <w:b/>
          <w:bCs/>
        </w:rPr>
        <w:t>subgroup analysis by type of glucagon-like peptide-1 receptor agonist (GLP-1RA) used (Semaglutide, Liraglutide, GIP/GLP-1RAs, Mixed) for the effect of GLP-1RAs on alcohol-related events</w:t>
      </w:r>
      <w:r w:rsidR="00FE64DB" w:rsidRPr="00FE64DB">
        <w:t>, measured as hazard ratios (HR) or adjusted HR (</w:t>
      </w:r>
      <w:proofErr w:type="spellStart"/>
      <w:r w:rsidR="00FE64DB" w:rsidRPr="00FE64DB">
        <w:t>aHR</w:t>
      </w:r>
      <w:proofErr w:type="spellEnd"/>
      <w:r w:rsidR="00FE64DB" w:rsidRPr="00FE64DB">
        <w:t xml:space="preserve">), in observational studies. The analysis includes 11 estimates from six studies: </w:t>
      </w:r>
      <w:proofErr w:type="spellStart"/>
      <w:r w:rsidR="00FE64DB" w:rsidRPr="00FE64DB">
        <w:t>Lähteenvuo</w:t>
      </w:r>
      <w:proofErr w:type="spellEnd"/>
      <w:r w:rsidR="00FE64DB" w:rsidRPr="00FE64DB">
        <w:t xml:space="preserve"> et al. (2024; 4 estimates: Semaglutide AUD, Liraglutide AUD, Semaglutide SUD, Liraglutide SUD), Wium-Andersen et al. (2022; 2 estimates: Mixed), Wang et al. (2024; 2 estimates: </w:t>
      </w:r>
      <w:proofErr w:type="spellStart"/>
      <w:r w:rsidR="00FE64DB" w:rsidRPr="00FE64DB">
        <w:t>Semaglutide</w:t>
      </w:r>
      <w:proofErr w:type="spellEnd"/>
      <w:r w:rsidR="00FE64DB" w:rsidRPr="00FE64DB">
        <w:t xml:space="preserve">), </w:t>
      </w:r>
      <w:proofErr w:type="spellStart"/>
      <w:r w:rsidR="00FE64DB" w:rsidRPr="00FE64DB">
        <w:t>Qeadan</w:t>
      </w:r>
      <w:proofErr w:type="spellEnd"/>
      <w:r w:rsidR="00FE64DB" w:rsidRPr="00FE64DB">
        <w:t xml:space="preserve"> et al. (2025; 1 estimate: GIP/GLP-1RAs), </w:t>
      </w:r>
      <w:proofErr w:type="spellStart"/>
      <w:r w:rsidR="00FE64DB" w:rsidRPr="00FE64DB">
        <w:t>Farokhnia</w:t>
      </w:r>
      <w:proofErr w:type="spellEnd"/>
      <w:r w:rsidR="00FE64DB" w:rsidRPr="00FE64DB">
        <w:t xml:space="preserve"> et al. (2025; 1 estimate: Semaglutide), and Xie et al. (2025; 1 estimate: Mixed). Subgroup results are: Semaglutide (5 estimates, HR: 0.65, 95% CI: 0.60, 0.70, I² = 0%), </w:t>
      </w:r>
      <w:r w:rsidR="00FE64DB" w:rsidRPr="00FE64DB">
        <w:lastRenderedPageBreak/>
        <w:t>Liraglutide (2 estimates, HR: 0.76, 95% CI: 0.54, 1.06, I² = 0%), GIP/GLP-1RAs (1 estimate, HR: 0.50, 95% CI: 0.42, 0.60), and Mixed GLP-1RAs (3 estimates, HR: 0.66, 95% CI: 0.60, 0.73, I² = 0%). The diamond represents the pooled HR for each subgroup</w:t>
      </w:r>
      <w:r w:rsidR="00857892">
        <w:t xml:space="preserve">, calculated using a random-effects model with the </w:t>
      </w:r>
      <w:r w:rsidR="00FE64DB" w:rsidRPr="00FE64DB">
        <w:t xml:space="preserve">Hartung-Knapp (HK) adjustment. HR values below </w:t>
      </w:r>
      <w:r w:rsidR="00857892">
        <w:t>one</w:t>
      </w:r>
      <w:r w:rsidR="00FE64DB" w:rsidRPr="00FE64DB">
        <w:t xml:space="preserve"> </w:t>
      </w:r>
      <w:r w:rsidR="00857892">
        <w:t>favour</w:t>
      </w:r>
      <w:r w:rsidR="00FE64DB" w:rsidRPr="00FE64DB">
        <w:t xml:space="preserve"> GLP-1RAs over control. The test for subgroup differences was significant (p &lt; 0.001).</w:t>
      </w:r>
    </w:p>
    <w:p w14:paraId="1BE933EB" w14:textId="6C6D2272" w:rsidR="000A000C" w:rsidRDefault="004360BB" w:rsidP="00D30C33">
      <w:r>
        <w:rPr>
          <w:noProof/>
        </w:rPr>
        <w:drawing>
          <wp:inline distT="0" distB="0" distL="0" distR="0" wp14:anchorId="69C099E8" wp14:editId="0794BBAB">
            <wp:extent cx="6096635" cy="4603115"/>
            <wp:effectExtent l="0" t="0" r="0" b="6985"/>
            <wp:docPr id="2530661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60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3115A" w14:textId="2C6F4967" w:rsidR="00785C9B" w:rsidRDefault="00836DA2" w:rsidP="00D30C33">
      <w:r w:rsidRPr="008B383C">
        <w:rPr>
          <w:b/>
          <w:bCs/>
        </w:rPr>
        <w:t>Supplementary Figure S</w:t>
      </w:r>
      <w:r w:rsidR="00AD2937">
        <w:rPr>
          <w:b/>
          <w:bCs/>
        </w:rPr>
        <w:t>10</w:t>
      </w:r>
      <w:r w:rsidRPr="008B383C">
        <w:rPr>
          <w:b/>
          <w:bCs/>
        </w:rPr>
        <w:t>:</w:t>
      </w:r>
      <w:r>
        <w:t xml:space="preserve"> </w:t>
      </w:r>
      <w:r w:rsidR="00785C9B" w:rsidRPr="00785C9B">
        <w:t xml:space="preserve">Forest plot of the </w:t>
      </w:r>
      <w:r w:rsidR="00785C9B" w:rsidRPr="00785C9B">
        <w:rPr>
          <w:b/>
          <w:bCs/>
        </w:rPr>
        <w:t>sensitivity analysis for the effect of glucagon-like peptide-1 receptor agonists (GLP-1RAs) on alcohol-related events in observational studies.</w:t>
      </w:r>
      <w:r w:rsidR="00785C9B" w:rsidRPr="00785C9B">
        <w:t xml:space="preserve"> The analysis includes 11 estimates from six studies: </w:t>
      </w:r>
      <w:proofErr w:type="spellStart"/>
      <w:r w:rsidR="00785C9B" w:rsidRPr="00785C9B">
        <w:t>Lähteenvuo</w:t>
      </w:r>
      <w:proofErr w:type="spellEnd"/>
      <w:r w:rsidR="00785C9B" w:rsidRPr="00785C9B">
        <w:t xml:space="preserve"> et al. (2024; 4 estimates), Wium-Andersen et al. (2022; 2 estimates), Wang et al. (2024; 2 estimates), </w:t>
      </w:r>
      <w:proofErr w:type="spellStart"/>
      <w:r w:rsidR="00785C9B" w:rsidRPr="00785C9B">
        <w:t>Qeadan</w:t>
      </w:r>
      <w:proofErr w:type="spellEnd"/>
      <w:r w:rsidR="00785C9B" w:rsidRPr="00785C9B">
        <w:t xml:space="preserve"> et al. (2025; 1 estimate), </w:t>
      </w:r>
      <w:proofErr w:type="spellStart"/>
      <w:r w:rsidR="00785C9B" w:rsidRPr="00785C9B">
        <w:t>Farokhnia</w:t>
      </w:r>
      <w:proofErr w:type="spellEnd"/>
      <w:r w:rsidR="00785C9B" w:rsidRPr="00785C9B">
        <w:t xml:space="preserve"> et al. (2025; 1 estimate), and Xie et al. (2025; 1 estimate). No studies were excluded as all had Newcastle-Ottawa Scale scores ≥7. The diamond represents the pooled hazard ratio (HR) </w:t>
      </w:r>
      <w:r w:rsidR="00857892">
        <w:t>obtained using a random-effects model with the Hartung-Knapp (HK) adjustment, along with a 95% confidence interval (CI) (HR: 0.64, 95% CI: 0.59-</w:t>
      </w:r>
      <w:r w:rsidR="00785C9B" w:rsidRPr="00785C9B">
        <w:t xml:space="preserve">0.69, p &lt; 0.001). HR values below 1 </w:t>
      </w:r>
      <w:r w:rsidR="00857892">
        <w:t>favour</w:t>
      </w:r>
      <w:r w:rsidR="00785C9B" w:rsidRPr="00785C9B">
        <w:t xml:space="preserve"> GLP-1RAs over control. Heterogeneity is reported as I² = 20.5%, τ² = 0.004, p = 0.248.</w:t>
      </w:r>
    </w:p>
    <w:p w14:paraId="2280D296" w14:textId="6380BBD7" w:rsidR="00836DA2" w:rsidRDefault="004D57B4" w:rsidP="00D30C33">
      <w:r>
        <w:rPr>
          <w:noProof/>
        </w:rPr>
        <w:lastRenderedPageBreak/>
        <w:drawing>
          <wp:inline distT="0" distB="0" distL="0" distR="0" wp14:anchorId="366F9F59" wp14:editId="3DD83C28">
            <wp:extent cx="5755005" cy="2451100"/>
            <wp:effectExtent l="0" t="0" r="0" b="6350"/>
            <wp:docPr id="19898161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A8174" w14:textId="228959AA" w:rsidR="00D20AA8" w:rsidRPr="00D20AA8" w:rsidRDefault="005C71CE" w:rsidP="00D20AA8">
      <w:r w:rsidRPr="006B1F62">
        <w:rPr>
          <w:b/>
          <w:bCs/>
        </w:rPr>
        <w:t>Supplementary Figure S</w:t>
      </w:r>
      <w:r w:rsidR="00AD2937">
        <w:rPr>
          <w:b/>
          <w:bCs/>
        </w:rPr>
        <w:t>11</w:t>
      </w:r>
      <w:r w:rsidRPr="006B1F62">
        <w:rPr>
          <w:b/>
          <w:bCs/>
        </w:rPr>
        <w:t>:</w:t>
      </w:r>
      <w:r>
        <w:t xml:space="preserve"> </w:t>
      </w:r>
      <w:r w:rsidR="00544178" w:rsidRPr="00544178">
        <w:rPr>
          <w:b/>
          <w:bCs/>
        </w:rPr>
        <w:t>Funnel plot</w:t>
      </w:r>
      <w:r w:rsidR="00544178" w:rsidRPr="00544178">
        <w:t xml:space="preserve"> assessing publication bias in the meta-analysis of </w:t>
      </w:r>
      <w:r w:rsidR="00544178" w:rsidRPr="00544178">
        <w:rPr>
          <w:b/>
          <w:bCs/>
        </w:rPr>
        <w:t>observational studies</w:t>
      </w:r>
      <w:r w:rsidR="00544178" w:rsidRPr="00544178">
        <w:t xml:space="preserve"> evaluating the effect of glucagon-like peptide-1 receptor agonists (GLP-1RAs) on alcohol-related events. The plot includes 11 estimates from six studies: </w:t>
      </w:r>
      <w:proofErr w:type="spellStart"/>
      <w:r w:rsidR="00544178" w:rsidRPr="00544178">
        <w:t>Lähteenvuo</w:t>
      </w:r>
      <w:proofErr w:type="spellEnd"/>
      <w:r w:rsidR="00544178" w:rsidRPr="00544178">
        <w:t xml:space="preserve"> et al. (2024; 4 estimates), Wium-Andersen et al. (2022; 2 estimates), Wang et al. (2024; 2 estimates), </w:t>
      </w:r>
      <w:proofErr w:type="spellStart"/>
      <w:r w:rsidR="00544178" w:rsidRPr="00544178">
        <w:t>Qeadan</w:t>
      </w:r>
      <w:proofErr w:type="spellEnd"/>
      <w:r w:rsidR="00544178" w:rsidRPr="00544178">
        <w:t xml:space="preserve"> et al. (2025; 1 estimate), </w:t>
      </w:r>
      <w:proofErr w:type="spellStart"/>
      <w:r w:rsidR="00544178" w:rsidRPr="00544178">
        <w:t>Farokhnia</w:t>
      </w:r>
      <w:proofErr w:type="spellEnd"/>
      <w:r w:rsidR="00544178" w:rsidRPr="00544178">
        <w:t xml:space="preserve"> et al. (2025; 1 estimate), and Xie et al. (2025; 1 estimate). The x-axis represents the log hazard ratio (log HR), and the y-axis represents the standard error. The dashed lines indicate the expected distribution of studies in the absence of publication bias. Egger’s test showed no significant asymmetry (p = 0.555).</w:t>
      </w:r>
    </w:p>
    <w:p w14:paraId="6AF63A47" w14:textId="7F0C8E71" w:rsidR="006B1F62" w:rsidRPr="00D30C33" w:rsidRDefault="006B1F62" w:rsidP="00D30C33"/>
    <w:p w14:paraId="603618B1" w14:textId="55048DBE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 xml:space="preserve">1: </w:t>
      </w:r>
      <w:proofErr w:type="spellStart"/>
      <w:r w:rsidRPr="00851D23">
        <w:rPr>
          <w:lang w:val="en-US"/>
        </w:rPr>
        <w:t>Lähteenvuo</w:t>
      </w:r>
      <w:proofErr w:type="spellEnd"/>
      <w:r w:rsidRPr="00851D23">
        <w:rPr>
          <w:lang w:val="en-US"/>
        </w:rPr>
        <w:t xml:space="preserve"> et al. (2024): </w:t>
      </w:r>
      <w:proofErr w:type="spellStart"/>
      <w:r w:rsidRPr="00851D23">
        <w:rPr>
          <w:lang w:val="en-US"/>
        </w:rPr>
        <w:t>Semaglutide</w:t>
      </w:r>
      <w:proofErr w:type="spellEnd"/>
      <w:r w:rsidRPr="00851D23">
        <w:rPr>
          <w:lang w:val="en-US"/>
        </w:rPr>
        <w:t xml:space="preserve"> AUD</w:t>
      </w:r>
    </w:p>
    <w:p w14:paraId="165E2D59" w14:textId="2ABE9681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 xml:space="preserve">2: </w:t>
      </w:r>
      <w:proofErr w:type="spellStart"/>
      <w:r w:rsidRPr="00851D23">
        <w:rPr>
          <w:lang w:val="en-US"/>
        </w:rPr>
        <w:t>Lähteenvuo</w:t>
      </w:r>
      <w:proofErr w:type="spellEnd"/>
      <w:r w:rsidRPr="00851D23">
        <w:rPr>
          <w:lang w:val="en-US"/>
        </w:rPr>
        <w:t xml:space="preserve"> et al. (2024): Liraglutide AUD </w:t>
      </w:r>
    </w:p>
    <w:p w14:paraId="35FE6A27" w14:textId="2BA792AE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 xml:space="preserve">3: </w:t>
      </w:r>
      <w:proofErr w:type="spellStart"/>
      <w:r w:rsidRPr="00851D23">
        <w:rPr>
          <w:lang w:val="en-US"/>
        </w:rPr>
        <w:t>Lähteenvuo</w:t>
      </w:r>
      <w:proofErr w:type="spellEnd"/>
      <w:r w:rsidRPr="00851D23">
        <w:rPr>
          <w:lang w:val="en-US"/>
        </w:rPr>
        <w:t xml:space="preserve"> et al. (2024): </w:t>
      </w:r>
      <w:proofErr w:type="spellStart"/>
      <w:r w:rsidRPr="00851D23">
        <w:rPr>
          <w:lang w:val="en-US"/>
        </w:rPr>
        <w:t>Semaglutide</w:t>
      </w:r>
      <w:proofErr w:type="spellEnd"/>
      <w:r w:rsidRPr="00851D23">
        <w:rPr>
          <w:lang w:val="en-US"/>
        </w:rPr>
        <w:t xml:space="preserve"> SUD</w:t>
      </w:r>
    </w:p>
    <w:p w14:paraId="7C3B2432" w14:textId="030D95D4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 xml:space="preserve">4: </w:t>
      </w:r>
      <w:proofErr w:type="spellStart"/>
      <w:r w:rsidRPr="00851D23">
        <w:rPr>
          <w:lang w:val="en-US"/>
        </w:rPr>
        <w:t>Lähteenvuo</w:t>
      </w:r>
      <w:proofErr w:type="spellEnd"/>
      <w:r w:rsidRPr="00851D23">
        <w:rPr>
          <w:lang w:val="en-US"/>
        </w:rPr>
        <w:t xml:space="preserve"> et al. (2024): Liraglutide SUD</w:t>
      </w:r>
    </w:p>
    <w:p w14:paraId="03E87DB1" w14:textId="4F3553DF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>5: Wium-Andersen et al. (2022): Cohort</w:t>
      </w:r>
    </w:p>
    <w:p w14:paraId="092A9598" w14:textId="45E28F32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>6: Wium-Andersen et al. (2022): Self-controlled</w:t>
      </w:r>
    </w:p>
    <w:p w14:paraId="41B994BA" w14:textId="7211FD37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 xml:space="preserve">7: Wang et al. (2024): </w:t>
      </w:r>
      <w:proofErr w:type="spellStart"/>
      <w:r w:rsidRPr="00851D23">
        <w:rPr>
          <w:lang w:val="en-US"/>
        </w:rPr>
        <w:t>Semaglutide</w:t>
      </w:r>
      <w:proofErr w:type="spellEnd"/>
      <w:r w:rsidRPr="00851D23">
        <w:rPr>
          <w:lang w:val="en-US"/>
        </w:rPr>
        <w:t xml:space="preserve"> incident AUD</w:t>
      </w:r>
    </w:p>
    <w:p w14:paraId="078B795E" w14:textId="33CDE645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 xml:space="preserve">8: Wang et al. (2024): </w:t>
      </w:r>
      <w:proofErr w:type="spellStart"/>
      <w:r w:rsidRPr="00851D23">
        <w:rPr>
          <w:lang w:val="en-US"/>
        </w:rPr>
        <w:t>Semaglutide</w:t>
      </w:r>
      <w:proofErr w:type="spellEnd"/>
      <w:r w:rsidRPr="00851D23">
        <w:rPr>
          <w:lang w:val="en-US"/>
        </w:rPr>
        <w:t xml:space="preserve"> AUD recurrence</w:t>
      </w:r>
    </w:p>
    <w:p w14:paraId="0CBBBDCE" w14:textId="2216FE49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 xml:space="preserve">9: </w:t>
      </w:r>
      <w:proofErr w:type="spellStart"/>
      <w:r w:rsidRPr="00851D23">
        <w:rPr>
          <w:lang w:val="en-US"/>
        </w:rPr>
        <w:t>Qeadan</w:t>
      </w:r>
      <w:proofErr w:type="spellEnd"/>
      <w:r w:rsidRPr="00851D23">
        <w:rPr>
          <w:lang w:val="en-US"/>
        </w:rPr>
        <w:t xml:space="preserve"> et al. (2025): GIP/GLP-1RAs</w:t>
      </w:r>
    </w:p>
    <w:p w14:paraId="196D3339" w14:textId="77769D1C" w:rsidR="00851D23" w:rsidRPr="00851D23" w:rsidRDefault="00851D23" w:rsidP="00851D23">
      <w:pPr>
        <w:rPr>
          <w:lang w:val="en-US"/>
        </w:rPr>
      </w:pPr>
      <w:r w:rsidRPr="00851D23">
        <w:rPr>
          <w:lang w:val="en-US"/>
        </w:rPr>
        <w:t xml:space="preserve">10: </w:t>
      </w:r>
      <w:proofErr w:type="spellStart"/>
      <w:r w:rsidRPr="00851D23">
        <w:rPr>
          <w:lang w:val="en-US"/>
        </w:rPr>
        <w:t>Farokhnia</w:t>
      </w:r>
      <w:proofErr w:type="spellEnd"/>
      <w:r w:rsidRPr="00851D23">
        <w:rPr>
          <w:lang w:val="en-US"/>
        </w:rPr>
        <w:t xml:space="preserve"> et al. (2025): </w:t>
      </w:r>
      <w:proofErr w:type="spellStart"/>
      <w:r w:rsidRPr="00851D23">
        <w:rPr>
          <w:lang w:val="en-US"/>
        </w:rPr>
        <w:t>Semaglutide</w:t>
      </w:r>
      <w:proofErr w:type="spellEnd"/>
      <w:r w:rsidRPr="00851D23">
        <w:rPr>
          <w:lang w:val="en-US"/>
        </w:rPr>
        <w:t xml:space="preserve"> AUD incidence</w:t>
      </w:r>
    </w:p>
    <w:p w14:paraId="2518C9A3" w14:textId="7E401ADB" w:rsidR="00135D9F" w:rsidRDefault="00851D23" w:rsidP="00851D23">
      <w:pPr>
        <w:rPr>
          <w:lang w:val="en-US"/>
        </w:rPr>
      </w:pPr>
      <w:r w:rsidRPr="00851D23">
        <w:rPr>
          <w:lang w:val="en-US"/>
        </w:rPr>
        <w:t>11: Xie et al. (2025)</w:t>
      </w:r>
    </w:p>
    <w:p w14:paraId="79EBC997" w14:textId="77777777" w:rsidR="00417C69" w:rsidRDefault="00417C69" w:rsidP="004E3038">
      <w:pPr>
        <w:rPr>
          <w:lang w:val="en-US"/>
        </w:rPr>
      </w:pPr>
    </w:p>
    <w:p w14:paraId="1298D166" w14:textId="6FB9C7D2" w:rsidR="00417C69" w:rsidRDefault="00417C69" w:rsidP="00417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</w:p>
    <w:p w14:paraId="2999BC3A" w14:textId="77777777" w:rsidR="008F351F" w:rsidRDefault="008F351F" w:rsidP="00417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</w:p>
    <w:p w14:paraId="3E8C2E66" w14:textId="601EDD7C" w:rsidR="008F351F" w:rsidRDefault="008F351F" w:rsidP="008F3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</w:p>
    <w:p w14:paraId="40140918" w14:textId="77777777" w:rsidR="004271D6" w:rsidRDefault="004271D6" w:rsidP="008F3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</w:p>
    <w:p w14:paraId="1E9BF363" w14:textId="7DBD4611" w:rsidR="00655E94" w:rsidRPr="00655E94" w:rsidRDefault="00655E94" w:rsidP="00655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655E94">
        <w:rPr>
          <w:rFonts w:ascii="Times New Roman" w:eastAsia="Times New Roman" w:hAnsi="Times New Roman" w:cs="Times New Roman"/>
          <w:noProof/>
          <w:kern w:val="0"/>
          <w:lang w:eastAsia="en-IN"/>
          <w14:ligatures w14:val="none"/>
        </w:rPr>
        <w:drawing>
          <wp:inline distT="0" distB="0" distL="0" distR="0" wp14:anchorId="5784D994" wp14:editId="2FC03EE5">
            <wp:extent cx="5731510" cy="5645427"/>
            <wp:effectExtent l="19050" t="19050" r="21590" b="12700"/>
            <wp:docPr id="4675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2"/>
                    <a:stretch/>
                  </pic:blipFill>
                  <pic:spPr bwMode="auto">
                    <a:xfrm>
                      <a:off x="0" y="0"/>
                      <a:ext cx="5731510" cy="56454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FDA21" w14:textId="113C70FF" w:rsidR="008B24E9" w:rsidRPr="008B24E9" w:rsidRDefault="007230D3" w:rsidP="008B24E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  <w:r w:rsidRPr="007230D3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Supplementary Figure S12:</w:t>
      </w:r>
      <w:r w:rsidR="008B24E9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 </w:t>
      </w:r>
      <w:r w:rsidR="008B24E9" w:rsidRPr="008B24E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Subgroup Analysis of AUD Outcomes by GLP-1RA Type (Excluding </w:t>
      </w:r>
      <w:proofErr w:type="spellStart"/>
      <w:r w:rsidR="008B24E9" w:rsidRPr="008B24E9">
        <w:rPr>
          <w:rFonts w:ascii="Calibri" w:eastAsia="Times New Roman" w:hAnsi="Calibri" w:cs="Calibri"/>
          <w:kern w:val="0"/>
          <w:lang w:eastAsia="en-IN"/>
          <w14:ligatures w14:val="none"/>
        </w:rPr>
        <w:t>Qeadan</w:t>
      </w:r>
      <w:proofErr w:type="spellEnd"/>
      <w:r w:rsidR="008B24E9" w:rsidRPr="008B24E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et al.). Forest plot showing the effect of glucagon-like peptide-1 receptor agonists (GLP-1RAs) on alcohol use disorder (AUD) outcomes, stratified by GLP-1RA type (Semaglutide: k = 4, HR = 0.66, 95% CI: 0.60–0.72, I² = 0.0%; Liraglutide: k = 1, HR = 0.78, 95% CI: 0.58–1.05; Mixed GLP-1RAs: k = 3, HR = 0.66, 95% CI: 0.60–0.73, I² = 0.0%). The random-effects model with Restricted Maximum Likelihood (REML) estimation and Hartung-Knapp (HK) adjustment was used. No significant subgroup differences were found (p = 0.532). HR values below 1 </w:t>
      </w:r>
      <w:r w:rsidR="008B24E9">
        <w:rPr>
          <w:rFonts w:ascii="Calibri" w:eastAsia="Times New Roman" w:hAnsi="Calibri" w:cs="Calibri"/>
          <w:kern w:val="0"/>
          <w:lang w:eastAsia="en-IN"/>
          <w14:ligatures w14:val="none"/>
        </w:rPr>
        <w:t>favour</w:t>
      </w:r>
      <w:r w:rsidR="008B24E9" w:rsidRPr="008B24E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GLP-1RAs over the control</w:t>
      </w:r>
      <w:r w:rsidR="008B24E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</w:t>
      </w:r>
    </w:p>
    <w:p w14:paraId="0C655BE2" w14:textId="699FFF2C" w:rsidR="004271D6" w:rsidRDefault="004271D6" w:rsidP="004271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</w:p>
    <w:p w14:paraId="69A4FFD7" w14:textId="145D5E9B" w:rsidR="007230D3" w:rsidRPr="007230D3" w:rsidRDefault="006D0129" w:rsidP="004271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lang w:eastAsia="en-IN"/>
          <w14:ligatures w14:val="none"/>
        </w:rPr>
        <w:drawing>
          <wp:inline distT="0" distB="0" distL="0" distR="0" wp14:anchorId="074D2511" wp14:editId="3B78623C">
            <wp:extent cx="5529580" cy="3304540"/>
            <wp:effectExtent l="0" t="0" r="0" b="0"/>
            <wp:docPr id="7566557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10FFB" w14:textId="7EED5058" w:rsidR="008B4B19" w:rsidRPr="008B4B19" w:rsidRDefault="006D0129" w:rsidP="008B4B1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6D0129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Supplementary Figure S13: </w:t>
      </w:r>
      <w:r w:rsidR="008B4B19" w:rsidRPr="008B4B1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Subgroup Analysis of SUD Outcomes by GLP-1RA Type. Forest plot showing the effect of glucagon-like peptide-1 receptor agonists (GLP-1RAs) on substance use disorder (SUD) outcomes, stratified by GLP-1RA type (Semaglutide: k = 1, HR = 0.60, 95% CI: 0.47–0.76; Liraglutide: k = 1, HR = 0.74, 95% CI: 0.56–0.97). The random-effects model with REML estimation and HK adjustment was used. Statistical comparison of subgroups was not feasible due to </w:t>
      </w:r>
      <w:r w:rsidR="00C6560B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the single-study nature of the </w:t>
      </w:r>
      <w:r w:rsidR="008B4B19" w:rsidRPr="008B4B1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subgroups. HR values below 1 </w:t>
      </w:r>
      <w:r w:rsidR="00C6560B">
        <w:rPr>
          <w:rFonts w:ascii="Calibri" w:eastAsia="Times New Roman" w:hAnsi="Calibri" w:cs="Calibri"/>
          <w:kern w:val="0"/>
          <w:lang w:eastAsia="en-IN"/>
          <w14:ligatures w14:val="none"/>
        </w:rPr>
        <w:t>favour</w:t>
      </w:r>
      <w:r w:rsidR="008B4B19" w:rsidRPr="008B4B1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GLP-1RAs over the control.</w:t>
      </w:r>
    </w:p>
    <w:p w14:paraId="3181C4F8" w14:textId="560ED0EC" w:rsidR="004271D6" w:rsidRDefault="004271D6" w:rsidP="008F351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</w:p>
    <w:p w14:paraId="6052AB87" w14:textId="023BD574" w:rsidR="006D0129" w:rsidRPr="006D0129" w:rsidRDefault="00815628" w:rsidP="008F351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lang w:eastAsia="en-IN"/>
          <w14:ligatures w14:val="none"/>
        </w:rPr>
        <w:drawing>
          <wp:inline distT="0" distB="0" distL="0" distR="0" wp14:anchorId="56393FEA" wp14:editId="26616A68">
            <wp:extent cx="5767070" cy="2103120"/>
            <wp:effectExtent l="0" t="0" r="5080" b="0"/>
            <wp:docPr id="17357974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78719" w14:textId="77777777" w:rsidR="007417AE" w:rsidRPr="007417AE" w:rsidRDefault="00C47545" w:rsidP="007417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en-IN"/>
          <w14:ligatures w14:val="none"/>
        </w:rPr>
      </w:pPr>
      <w:r w:rsidRPr="00C47545">
        <w:rPr>
          <w:rFonts w:eastAsia="Times New Roman" w:cstheme="minorHAnsi"/>
          <w:b/>
          <w:bCs/>
          <w:kern w:val="0"/>
          <w:lang w:eastAsia="en-IN"/>
          <w14:ligatures w14:val="none"/>
        </w:rPr>
        <w:t>Supplementary Figure S14</w:t>
      </w:r>
      <w:r w:rsidRPr="007417AE">
        <w:rPr>
          <w:rFonts w:eastAsia="Times New Roman" w:cstheme="minorHAnsi"/>
          <w:kern w:val="0"/>
          <w:lang w:eastAsia="en-IN"/>
          <w14:ligatures w14:val="none"/>
        </w:rPr>
        <w:t>:</w:t>
      </w:r>
      <w:r w:rsidR="008B4B19" w:rsidRPr="007417AE">
        <w:rPr>
          <w:rFonts w:eastAsia="Times New Roman" w:cstheme="minorHAnsi"/>
          <w:kern w:val="0"/>
          <w:lang w:eastAsia="en-IN"/>
          <w14:ligatures w14:val="none"/>
        </w:rPr>
        <w:t xml:space="preserve"> </w:t>
      </w:r>
      <w:r w:rsidR="007417AE" w:rsidRPr="007417AE">
        <w:rPr>
          <w:rFonts w:eastAsia="Times New Roman" w:cstheme="minorHAnsi"/>
          <w:kern w:val="0"/>
          <w:lang w:eastAsia="en-IN"/>
          <w14:ligatures w14:val="none"/>
        </w:rPr>
        <w:t xml:space="preserve">Funnel Plot for AUD Outcomes (Excluding </w:t>
      </w:r>
      <w:proofErr w:type="spellStart"/>
      <w:r w:rsidR="007417AE" w:rsidRPr="007417AE">
        <w:rPr>
          <w:rFonts w:eastAsia="Times New Roman" w:cstheme="minorHAnsi"/>
          <w:kern w:val="0"/>
          <w:lang w:eastAsia="en-IN"/>
          <w14:ligatures w14:val="none"/>
        </w:rPr>
        <w:t>Qeadan</w:t>
      </w:r>
      <w:proofErr w:type="spellEnd"/>
      <w:r w:rsidR="007417AE" w:rsidRPr="007417AE">
        <w:rPr>
          <w:rFonts w:eastAsia="Times New Roman" w:cstheme="minorHAnsi"/>
          <w:kern w:val="0"/>
          <w:lang w:eastAsia="en-IN"/>
          <w14:ligatures w14:val="none"/>
        </w:rPr>
        <w:t xml:space="preserve"> et al.). Contour-enhanced funnel plot for the meta-analysis of alcohol use disorder (AUD) outcomes (k = 8 estimates), plotting log hazard ratios against standard errors. Contours represent </w:t>
      </w:r>
      <w:r w:rsidR="007417AE" w:rsidRPr="007417AE">
        <w:rPr>
          <w:rFonts w:eastAsia="Times New Roman" w:cstheme="minorHAnsi"/>
          <w:kern w:val="0"/>
          <w:lang w:eastAsia="en-IN"/>
          <w14:ligatures w14:val="none"/>
        </w:rPr>
        <w:lastRenderedPageBreak/>
        <w:t>significance levels (p &gt; 0.10, p &lt; 0.05, p &lt; 0.01). Visual inspection shows no clear asymmetry, suggesting no evidence of publication bias. Egger’s test was not conducted due to k &lt; 10.</w:t>
      </w:r>
    </w:p>
    <w:p w14:paraId="0D0BD35A" w14:textId="2F568F18" w:rsidR="008F351F" w:rsidRDefault="008F351F" w:rsidP="00417C6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en-IN"/>
          <w14:ligatures w14:val="none"/>
        </w:rPr>
      </w:pPr>
    </w:p>
    <w:p w14:paraId="7ADA4224" w14:textId="639CEE29" w:rsidR="00C47545" w:rsidRPr="00C47545" w:rsidRDefault="00C76F68" w:rsidP="00417C6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en-IN"/>
          <w14:ligatures w14:val="none"/>
        </w:rPr>
      </w:pPr>
      <w:r>
        <w:rPr>
          <w:rFonts w:eastAsia="Times New Roman" w:cstheme="minorHAnsi"/>
          <w:b/>
          <w:bCs/>
          <w:noProof/>
          <w:kern w:val="0"/>
          <w:lang w:eastAsia="en-IN"/>
          <w14:ligatures w14:val="none"/>
        </w:rPr>
        <w:drawing>
          <wp:inline distT="0" distB="0" distL="0" distR="0" wp14:anchorId="00D427D1" wp14:editId="7793291B">
            <wp:extent cx="5535930" cy="3218815"/>
            <wp:effectExtent l="0" t="0" r="7620" b="635"/>
            <wp:docPr id="772060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E1EC1" w14:textId="77777777" w:rsidR="007417AE" w:rsidRPr="007417AE" w:rsidRDefault="00C76F68" w:rsidP="007417AE">
      <w:pPr>
        <w:rPr>
          <w:b/>
          <w:bCs/>
        </w:rPr>
      </w:pPr>
      <w:r w:rsidRPr="00C76F68">
        <w:rPr>
          <w:b/>
          <w:bCs/>
          <w:lang w:val="en-US"/>
        </w:rPr>
        <w:t xml:space="preserve">Supplementary Figure S15: </w:t>
      </w:r>
      <w:r w:rsidR="007417AE" w:rsidRPr="007417AE">
        <w:t>Funnel Plot for SUD Outcomes. Contour-enhanced funnel plot for the meta-analysis of substance use disorder (SUD) outcomes (k = 2 estimates), plotting log hazard ratios against standard errors. Contours represent significance levels (p &gt; 0.10, p &lt; 0.05, p &lt; 0.01). Visual inspection is limited by k = 2, and Egger’s test was not conducted due to insufficient studies.</w:t>
      </w:r>
    </w:p>
    <w:p w14:paraId="04FC442B" w14:textId="3FBEA43C" w:rsidR="00417C69" w:rsidRDefault="00417C69" w:rsidP="004E3038">
      <w:pPr>
        <w:rPr>
          <w:b/>
          <w:bCs/>
          <w:lang w:val="en-US"/>
        </w:rPr>
      </w:pPr>
    </w:p>
    <w:p w14:paraId="25F84DA7" w14:textId="30DAD2B7" w:rsidR="00C76F68" w:rsidRPr="00C76F68" w:rsidRDefault="00121C21" w:rsidP="004E3038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5E4D1ECE" wp14:editId="520EED4D">
            <wp:extent cx="5340350" cy="3103059"/>
            <wp:effectExtent l="0" t="0" r="0" b="2540"/>
            <wp:docPr id="36335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08" cy="3106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76F68" w:rsidRPr="00C76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DB5B4D"/>
    <w:multiLevelType w:val="multilevel"/>
    <w:tmpl w:val="C608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30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7E"/>
    <w:rsid w:val="00041BB3"/>
    <w:rsid w:val="00064A31"/>
    <w:rsid w:val="00076190"/>
    <w:rsid w:val="00095EF6"/>
    <w:rsid w:val="000A000C"/>
    <w:rsid w:val="000A3184"/>
    <w:rsid w:val="000A33DC"/>
    <w:rsid w:val="000B15D4"/>
    <w:rsid w:val="000D6488"/>
    <w:rsid w:val="000F3BE0"/>
    <w:rsid w:val="00121C21"/>
    <w:rsid w:val="0013323F"/>
    <w:rsid w:val="00135D9F"/>
    <w:rsid w:val="0014271B"/>
    <w:rsid w:val="0014343B"/>
    <w:rsid w:val="00193E7F"/>
    <w:rsid w:val="001B1BBD"/>
    <w:rsid w:val="001C08C0"/>
    <w:rsid w:val="001D258E"/>
    <w:rsid w:val="001F0208"/>
    <w:rsid w:val="00203DE3"/>
    <w:rsid w:val="00227A5A"/>
    <w:rsid w:val="002377D5"/>
    <w:rsid w:val="00244BB5"/>
    <w:rsid w:val="0025644F"/>
    <w:rsid w:val="002574D5"/>
    <w:rsid w:val="00260D78"/>
    <w:rsid w:val="00282863"/>
    <w:rsid w:val="002B55AE"/>
    <w:rsid w:val="00310C6A"/>
    <w:rsid w:val="00334CE1"/>
    <w:rsid w:val="00337BAF"/>
    <w:rsid w:val="00357AA8"/>
    <w:rsid w:val="00373973"/>
    <w:rsid w:val="003911FF"/>
    <w:rsid w:val="00401A23"/>
    <w:rsid w:val="00403D11"/>
    <w:rsid w:val="00417C69"/>
    <w:rsid w:val="00422119"/>
    <w:rsid w:val="004271D6"/>
    <w:rsid w:val="004360BB"/>
    <w:rsid w:val="004719FE"/>
    <w:rsid w:val="00476F6F"/>
    <w:rsid w:val="004A300B"/>
    <w:rsid w:val="004B5F27"/>
    <w:rsid w:val="004C4FEB"/>
    <w:rsid w:val="004D57B4"/>
    <w:rsid w:val="004E3038"/>
    <w:rsid w:val="004E5874"/>
    <w:rsid w:val="00544178"/>
    <w:rsid w:val="00570DD1"/>
    <w:rsid w:val="00594DDE"/>
    <w:rsid w:val="0059780D"/>
    <w:rsid w:val="005A30B0"/>
    <w:rsid w:val="005B169B"/>
    <w:rsid w:val="005C71CE"/>
    <w:rsid w:val="00617DFD"/>
    <w:rsid w:val="0062547C"/>
    <w:rsid w:val="00632006"/>
    <w:rsid w:val="006425FE"/>
    <w:rsid w:val="00642870"/>
    <w:rsid w:val="0065421C"/>
    <w:rsid w:val="00655E94"/>
    <w:rsid w:val="00665A97"/>
    <w:rsid w:val="006733DA"/>
    <w:rsid w:val="00686B22"/>
    <w:rsid w:val="006A2F3F"/>
    <w:rsid w:val="006B1F62"/>
    <w:rsid w:val="006C34F1"/>
    <w:rsid w:val="006D0129"/>
    <w:rsid w:val="00715D7D"/>
    <w:rsid w:val="007230D3"/>
    <w:rsid w:val="00736545"/>
    <w:rsid w:val="007417AE"/>
    <w:rsid w:val="007528E7"/>
    <w:rsid w:val="00763064"/>
    <w:rsid w:val="00765BFB"/>
    <w:rsid w:val="00766D2D"/>
    <w:rsid w:val="00776436"/>
    <w:rsid w:val="00785C9B"/>
    <w:rsid w:val="00794D60"/>
    <w:rsid w:val="00795D9A"/>
    <w:rsid w:val="00797ACA"/>
    <w:rsid w:val="007C2452"/>
    <w:rsid w:val="007C4B78"/>
    <w:rsid w:val="007C7370"/>
    <w:rsid w:val="007D0B8D"/>
    <w:rsid w:val="007D2B4E"/>
    <w:rsid w:val="00803B18"/>
    <w:rsid w:val="00815628"/>
    <w:rsid w:val="00823814"/>
    <w:rsid w:val="00836DA2"/>
    <w:rsid w:val="00851D23"/>
    <w:rsid w:val="008547D4"/>
    <w:rsid w:val="00857892"/>
    <w:rsid w:val="00873949"/>
    <w:rsid w:val="00892C29"/>
    <w:rsid w:val="008B05A2"/>
    <w:rsid w:val="008B24E9"/>
    <w:rsid w:val="008B383C"/>
    <w:rsid w:val="008B4B19"/>
    <w:rsid w:val="008B6BEE"/>
    <w:rsid w:val="008D7067"/>
    <w:rsid w:val="008F351F"/>
    <w:rsid w:val="008F5A51"/>
    <w:rsid w:val="008F7CF2"/>
    <w:rsid w:val="0091513E"/>
    <w:rsid w:val="00915704"/>
    <w:rsid w:val="00932A5B"/>
    <w:rsid w:val="009358C8"/>
    <w:rsid w:val="00936926"/>
    <w:rsid w:val="00947B1A"/>
    <w:rsid w:val="00947C25"/>
    <w:rsid w:val="009775C4"/>
    <w:rsid w:val="00977EEB"/>
    <w:rsid w:val="009B1516"/>
    <w:rsid w:val="009C2E14"/>
    <w:rsid w:val="009F3625"/>
    <w:rsid w:val="009F4EF6"/>
    <w:rsid w:val="00A12F29"/>
    <w:rsid w:val="00A4086A"/>
    <w:rsid w:val="00A5248F"/>
    <w:rsid w:val="00A65056"/>
    <w:rsid w:val="00A83769"/>
    <w:rsid w:val="00A94A72"/>
    <w:rsid w:val="00AB51A9"/>
    <w:rsid w:val="00AD2937"/>
    <w:rsid w:val="00AF7694"/>
    <w:rsid w:val="00B04FC3"/>
    <w:rsid w:val="00B11745"/>
    <w:rsid w:val="00B62CD3"/>
    <w:rsid w:val="00B70D91"/>
    <w:rsid w:val="00B902E4"/>
    <w:rsid w:val="00BB76D3"/>
    <w:rsid w:val="00BC67F0"/>
    <w:rsid w:val="00BC7BA5"/>
    <w:rsid w:val="00BF070E"/>
    <w:rsid w:val="00BF66CF"/>
    <w:rsid w:val="00C00B15"/>
    <w:rsid w:val="00C17F92"/>
    <w:rsid w:val="00C33AC3"/>
    <w:rsid w:val="00C47545"/>
    <w:rsid w:val="00C6560B"/>
    <w:rsid w:val="00C76F68"/>
    <w:rsid w:val="00C935CE"/>
    <w:rsid w:val="00CA4D41"/>
    <w:rsid w:val="00CD508A"/>
    <w:rsid w:val="00CF2FE6"/>
    <w:rsid w:val="00D06F73"/>
    <w:rsid w:val="00D118B2"/>
    <w:rsid w:val="00D16143"/>
    <w:rsid w:val="00D20AA8"/>
    <w:rsid w:val="00D211E2"/>
    <w:rsid w:val="00D24191"/>
    <w:rsid w:val="00D27A4D"/>
    <w:rsid w:val="00D30C33"/>
    <w:rsid w:val="00D33F8E"/>
    <w:rsid w:val="00D40C6D"/>
    <w:rsid w:val="00D6553D"/>
    <w:rsid w:val="00DF3285"/>
    <w:rsid w:val="00E042B4"/>
    <w:rsid w:val="00E4752A"/>
    <w:rsid w:val="00E87402"/>
    <w:rsid w:val="00E94607"/>
    <w:rsid w:val="00E9558C"/>
    <w:rsid w:val="00EA7498"/>
    <w:rsid w:val="00EC6DD9"/>
    <w:rsid w:val="00ED0C6F"/>
    <w:rsid w:val="00F03749"/>
    <w:rsid w:val="00F2127E"/>
    <w:rsid w:val="00F23BF5"/>
    <w:rsid w:val="00F261D2"/>
    <w:rsid w:val="00F273D4"/>
    <w:rsid w:val="00F67F81"/>
    <w:rsid w:val="00F87143"/>
    <w:rsid w:val="00F87348"/>
    <w:rsid w:val="00F940FD"/>
    <w:rsid w:val="00FB1C85"/>
    <w:rsid w:val="00FC7640"/>
    <w:rsid w:val="00FE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A129A"/>
  <w15:chartTrackingRefBased/>
  <w15:docId w15:val="{97783BF7-555F-4109-BAA9-4397DD10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2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2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2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2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2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2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2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2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2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27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21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77E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5B169B"/>
    <w:rPr>
      <w:rFonts w:ascii="Times New Roman" w:hAnsi="Times New Roman" w:cs="Times New Roman"/>
    </w:rPr>
  </w:style>
  <w:style w:type="table" w:styleId="TableGridLight">
    <w:name w:val="Grid Table Light"/>
    <w:basedOn w:val="TableNormal"/>
    <w:uiPriority w:val="40"/>
    <w:rsid w:val="00686B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15D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5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17</Pages>
  <Words>3501</Words>
  <Characters>19957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SAMIT GHOSAL</dc:creator>
  <cp:keywords/>
  <dc:description/>
  <cp:lastModifiedBy>SAMIT GHOSAL</cp:lastModifiedBy>
  <cp:revision>164</cp:revision>
  <dcterms:created xsi:type="dcterms:W3CDTF">2025-05-04T03:28:00Z</dcterms:created>
  <dcterms:modified xsi:type="dcterms:W3CDTF">2025-11-22T03:11:00Z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e4b80c2b-a58d-4ee3-9d71-acf353e50200</vt:lpwstr>
  </property>
</Properties>
</file>