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Material</w:t>
      </w:r>
    </w:p>
    <w:p w:rsidR="00000000" w:rsidDel="00000000" w:rsidP="00000000" w:rsidRDefault="00000000" w:rsidRPr="00000000" w14:paraId="00000002">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Undertreatment of Wernicke encephalopathy in alcohol-related clinical contexts: a scoping review of diagnosis, thiamine regimens, and clinical management</w:t>
      </w:r>
    </w:p>
    <w:p w:rsidR="00000000" w:rsidDel="00000000" w:rsidP="00000000" w:rsidRDefault="00000000" w:rsidRPr="00000000" w14:paraId="00000004">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Method A. Database Search Strategies (through September 19, 2025)</w:t>
      </w:r>
    </w:p>
    <w:p w:rsidR="00000000" w:rsidDel="00000000" w:rsidP="00000000" w:rsidRDefault="00000000" w:rsidRPr="00000000" w14:paraId="00000007">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8">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Full reproducible strategies for PubMed/MEDLINE, Embase, PsycInfo, Web of Science, CINAHL, Scopus, CENTRAL, and ClinicalTrials.gov. No language or date restrictions.</w:t>
      </w:r>
    </w:p>
    <w:p w:rsidR="00000000" w:rsidDel="00000000" w:rsidP="00000000" w:rsidRDefault="00000000" w:rsidRPr="00000000" w14:paraId="00000009">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PubMed</w:t>
      </w:r>
    </w:p>
    <w:p w:rsidR="00000000" w:rsidDel="00000000" w:rsidP="00000000" w:rsidRDefault="00000000" w:rsidRPr="00000000" w14:paraId="0000000B">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(Thiamine[mh] OR Thiamin*[tiab] OR Vitamin B1[tiab] OR Aneurin*[tiab] OR Vitamin B 1[tiab] OR Vitamin B-1[tiab] OR Fursultiamin*[tiab] OR Cocarboxylas*[tiab] OR Berolas*[tiab] OR Tiamin*[tiab] OR Thyamin*[tiab] OR benerva[tiab] OR beneuran[tiab] OR beneurin[tiab] OR betabion[tiab] OR betalin[tiab] OR betaxin[tiab] OR bethiamin[tiab] OR bevitine[tiab] OR bewon[tiab] OR biamine[tiab] OR "eskay's theranates"[tiab] OR metabolin[tiab] OR pabiamine[tiab] OR sheramin[tiab] OR vibex[tiab])</w:t>
      </w:r>
    </w:p>
    <w:p w:rsidR="00000000" w:rsidDel="00000000" w:rsidP="00000000" w:rsidRDefault="00000000" w:rsidRPr="00000000" w14:paraId="0000000C">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w:t>
      </w:r>
    </w:p>
    <w:p w:rsidR="00000000" w:rsidDel="00000000" w:rsidP="00000000" w:rsidRDefault="00000000" w:rsidRPr="00000000" w14:paraId="0000000D">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(Wernicke Encephalopathy[mh] OR Wernick*[tiab] OR Cerebral Beriberi*[tiab] OR Gayet-Wernick*[tiab] OR Korsakoff Syndrome[mh] OR Korsakoff*[tiab] OR "acute haemorrhagic polioencephalitis"[tiab] OR "acute hemorrhagic polioencephalitis"[tiab] OR "encephalopathia haemorrhagica"[tiab] OR "encephalopathia hemorrhagica"[tiab] OR "encephalopathy haemorrhagic superior"[tiab] OR "encephalopathy hemorrhagic superior"[tiab] OR "polioencephalopathia haemorrhagica superior"[tiab] OR "polioencephalopathia hemorrhagica superior"[tiab] OR "polioencephalopathy haemorrhagic superior"[tiab] OR "polioencephalopathy hemorrhagic superior"[tiab])</w:t>
      </w:r>
    </w:p>
    <w:p w:rsidR="00000000" w:rsidDel="00000000" w:rsidP="00000000" w:rsidRDefault="00000000" w:rsidRPr="00000000" w14:paraId="0000000E">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Embase</w:t>
      </w:r>
    </w:p>
    <w:p w:rsidR="00000000" w:rsidDel="00000000" w:rsidP="00000000" w:rsidRDefault="00000000" w:rsidRPr="00000000" w14:paraId="0000001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('thiamine'/exp OR (Thiamin* OR 'Vitamin B1' OR Aneurin* OR 'Vitamin B 1' OR 'Vitamin B-1' OR Fursultiamin* OR Cocarboxylas* OR Berolas* OR Tiamin* OR Thyamin* OR benerva OR beneuran OR beneurin OR betabion OR betalin OR betaxin OR bethiamin OR bevitine OR bewon OR biamine OR 'eskay`s theranates' OR metabolin OR pabiamine OR sheramin OR vibex):ti,ab,kw) </w:t>
      </w:r>
    </w:p>
    <w:p w:rsidR="00000000" w:rsidDel="00000000" w:rsidP="00000000" w:rsidRDefault="00000000" w:rsidRPr="00000000" w14:paraId="0000001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w:t>
      </w:r>
    </w:p>
    <w:p w:rsidR="00000000" w:rsidDel="00000000" w:rsidP="00000000" w:rsidRDefault="00000000" w:rsidRPr="00000000" w14:paraId="0000001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('Wernicke encephalopathy'/exp OR 'Wernicke Korsakoff syndrome'/exp OR 'Korsakoff psychosis'/exp OR (Wernick* OR 'Cerebral Beriberi*' OR 'Gayet-Wernick*' OR Korsakoff* OR 'acute haemorrhagic polioencephalitis' OR 'acute hemorrhagic polioencephalitis' OR 'encephalopathia haemorrhagica' OR</w:t>
      </w:r>
    </w:p>
    <w:p w:rsidR="00000000" w:rsidDel="00000000" w:rsidP="00000000" w:rsidRDefault="00000000" w:rsidRPr="00000000" w14:paraId="0000001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'encephalopathia hemorrhagica' OR 'encephalopathy haemorrhagic superior' OR 'encephalopathy hemorrhagic superior' OR 'polioencephalopathia haemorrhagica superior' OR 'polioencephalopathia hemorrhagica superior' OR 'polioencephalopathy haemorrhagic superior' OR 'polioencephalopathy hemorrhagic superior'):ti,ab,kw)</w:t>
      </w:r>
    </w:p>
    <w:p w:rsidR="00000000" w:rsidDel="00000000" w:rsidP="00000000" w:rsidRDefault="00000000" w:rsidRPr="00000000" w14:paraId="0000001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w:t>
      </w:r>
    </w:p>
    <w:p w:rsidR="00000000" w:rsidDel="00000000" w:rsidP="00000000" w:rsidRDefault="00000000" w:rsidRPr="00000000" w14:paraId="0000001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[embase]/lim NOT ([embase]/lim AND [medline]/lim)</w:t>
      </w:r>
    </w:p>
    <w:p w:rsidR="00000000" w:rsidDel="00000000" w:rsidP="00000000" w:rsidRDefault="00000000" w:rsidRPr="00000000" w14:paraId="00000016">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PsycInfo</w:t>
      </w:r>
    </w:p>
    <w:p w:rsidR="00000000" w:rsidDel="00000000" w:rsidP="00000000" w:rsidRDefault="00000000" w:rsidRPr="00000000" w14:paraId="0000001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((IndexTermsFilt: ("Wernicke Encephalopathy") OR IndexTermsFilt: ("Korsakoff Syndrome")) OR (title: (Wernick*) OR title: ("Cerebral Beriberi*") OR title:</w:t>
      </w:r>
    </w:p>
    <w:p w:rsidR="00000000" w:rsidDel="00000000" w:rsidP="00000000" w:rsidRDefault="00000000" w:rsidRPr="00000000" w14:paraId="0000001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("Gayet-Wernick*") OR title: (Korsakoff*) OR title: ("acute haemorrhagic polioencephalitis") OR title: ("acute hemorrhagic polioencephalitis") OR title:</w:t>
      </w:r>
    </w:p>
    <w:p w:rsidR="00000000" w:rsidDel="00000000" w:rsidP="00000000" w:rsidRDefault="00000000" w:rsidRPr="00000000" w14:paraId="0000001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("encephalopathia haemorrhagica") OR title: ("encephalopathia hemorrhagica") OR title: ("encephalopathy haemorrhagic superior") OR title: ("encephalopathy hemorrhagic superior") OR title: ("polioencephalopathia haemorrhagica superior") OR title: ("polioencephalopathia hemorrhagica superior") OR title: ("polioencephalopathy haemorrhagic superior") OR title: ("polioencephalopathy hemorrhagic superior")) OR (abstract: (Wernick*) OR abstract: ("Cerebral Beriberi*") OR abstract: ("Gayet-Wernick*") OR abstract: (Korsakoff*) OR abstract: ("acute haemorrhagic polioencephalitis") OR abstract: ("acute hemorrhagic polioencephalitis") OR abstract: ("encephalopathia haemorrhagica") OR abstract: ("encephalopathia hemorrhagica") OR abstract: ("encephalopathy haemorrhagic superior") OR abstract: ("encephalopathy hemorrhagic superior") OR abstract: ("polioencephalopathia haemorrhagica superior") OR abstract: ("polioencephalopathia hemorrhagica superior") OR abstract: ("polioencephalopathy haemorrhagic superior") OR abstract: ("polioencephalopathy hemorrhagic superior")) OR (Keywords: (Wernick*) OR Keywords: ("Cerebral Beriberi*") OR Keywords: ("Gayet-Wernick*") OR Keywords: (Korsakoff*) OR Keywords: ("acute haemorrhagic polioencephalitis") OR Keywords: ("acute hemorrhagic polioencephalitis") OR Keywords: ("encephalopathia haemorrhagica") OR Keywords: ("encephalopathia hemorrhagica") OR Keywords: ("encephalopathy haemorrhagic superior") OR Keywords: ("encephalopathy hemorrhagic superior") OR Keywords: ("polioencephalopathia haemorrhagica superior") OR Keywords: ("polioencephalopathia hemorrhagica superior") OR Keywords: ("polioencephalopathy haemorrhagic superior") OR Keywords: ("polioencephalopathy hemorrhagic superior"))) </w:t>
      </w:r>
    </w:p>
    <w:p w:rsidR="00000000" w:rsidDel="00000000" w:rsidP="00000000" w:rsidRDefault="00000000" w:rsidRPr="00000000" w14:paraId="0000001B">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w:t>
      </w:r>
    </w:p>
    <w:p w:rsidR="00000000" w:rsidDel="00000000" w:rsidP="00000000" w:rsidRDefault="00000000" w:rsidRPr="00000000" w14:paraId="0000001C">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((title: (Thiamin*) OR title: ("Vitamin B1") OR title: (Aneurin*) OR title: ("Vitamin B 1") OR title: ("Vitamin B- 1") OR title: (Fursultiamin*) OR title: (Cocarboxylas*) OR title: (Berolas*) OR title: (Tiamin*) OR title: (Thyamin*) OR title: (benerva) OR title: (beneuran) OR title: (beneurin) OR title: (betabion) OR title: (betalin) OR title: (betaxin) OR title: (bethiamin) OR title: (bevitine) OR title: (bewon) OR title: (biamine) OR title: ("eskay`s theranates") OR title: (metabolin) OR title: (pabiamine) OR title: (sheramin) OR title: (vibex)) OR (abstract: (Thiamin*) OR abstract: ("Vitamin B1") OR abstract: (Aneurin*) OR abstract: ("Vitamin B 1") OR abstract: ("Vitamin B-1") OR abstract: (Fursultiamin*) OR abstract: (Cocarboxylas*) OR abstract: (Berolas*) OR abstract: (Tiamin*) OR abstract: (Thyamin*) OR abstract: (benerva) OR abstract: (beneuran) OR abstract: (beneurin) OR abstract: (betabion) OR abstract:</w:t>
      </w:r>
    </w:p>
    <w:p w:rsidR="00000000" w:rsidDel="00000000" w:rsidP="00000000" w:rsidRDefault="00000000" w:rsidRPr="00000000" w14:paraId="0000001D">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(betalin) OR abstract: (betaxin) OR abstract: (bethiamin) OR abstract: (bevitine) OR abstract: (bewon) OR abstract: (biamine) OR abstract: ("eskay`s theranates") OR abstract: (metabolin) OR abstract: (pabiamine) OR abstract: (sheramin) OR abstract: (vibex)) OR (Keywords: (Thiamin*) OR Keywords: ("Vitamin B1") OR Keywords: (Aneurin*) OR Keywords: ("Vitamin B 1") OR Keywords: ("Vitamin B-1") OR Keywords: (Fursultiamin*) OR Keywords: (Cocarboxylas*) OR Keywords: (Berolas*) OR Keywords: (Tiamin*) OR Keywords: (Thyamin*) OR Keywords: (benerva) OR Keywords: (beneuran) OR Keywords: (beneurin) OR Keywords: (betabion) OR Keywords: (betalin) OR Keywords: (betaxin) OR Keywords: (bethiamin) OR Keywords: (bevitine) OR Keywords: (bewon) OR Keywords: (biamine) OR Keywords: ("eskay`s theranates") OR Keywords: (metabolin) OR Keywords: (pabiamine) OR Keywords: (sheramin) OR Keywords: (vibex))) </w:t>
      </w:r>
    </w:p>
    <w:p w:rsidR="00000000" w:rsidDel="00000000" w:rsidP="00000000" w:rsidRDefault="00000000" w:rsidRPr="00000000" w14:paraId="0000001E">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Web of Science</w:t>
      </w:r>
    </w:p>
    <w:p w:rsidR="00000000" w:rsidDel="00000000" w:rsidP="00000000" w:rsidRDefault="00000000" w:rsidRPr="00000000" w14:paraId="0000002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TS=(Thiamin* OR "Vitamin B1" OR Aneurin* OR "Vitamin B 1" OR "Vitamin B-1" OR Fursultiamin* OR Cocarboxylas* OR Berolas* OR Tiamin* OR Thyamin* OR benerva OR beneuran OR beneurin OR betabion OR betalin OR betaxin OR bethiamin OR bevitine OR bewon OR biamine OR "eskay`s theranates" OR metabolin OR pabiamine OR sheramin OR vibex) </w:t>
      </w:r>
    </w:p>
    <w:p w:rsidR="00000000" w:rsidDel="00000000" w:rsidP="00000000" w:rsidRDefault="00000000" w:rsidRPr="00000000" w14:paraId="0000002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w:t>
      </w:r>
    </w:p>
    <w:p w:rsidR="00000000" w:rsidDel="00000000" w:rsidP="00000000" w:rsidRDefault="00000000" w:rsidRPr="00000000" w14:paraId="0000002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TS=(Wernick* OR "Cerebral Beriberi*" OR "Gayet-Wernick*" OR Korsakoff* OR "acute haemorrhagic polioencephalitis" OR "acute hemorrhagic polioencephalitis" OR "encephalopathia haemorrhagica" OR "encephalopathia hemorrhagica" OR "encephalopathy haemorrhagic superior" OR "encephalopathy hemorrhagic superior" OR "polioencephalopathia haemorrhagica superior" OR "polioencephalopathia hemorrhagica superior" OR "polioencephalopathy haemorrhagic superior" OR "polioencephalopathy hemorrhagic superior") </w:t>
      </w:r>
    </w:p>
    <w:p w:rsidR="00000000" w:rsidDel="00000000" w:rsidP="00000000" w:rsidRDefault="00000000" w:rsidRPr="00000000" w14:paraId="00000023">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CINAHL</w:t>
      </w:r>
    </w:p>
    <w:p w:rsidR="00000000" w:rsidDel="00000000" w:rsidP="00000000" w:rsidRDefault="00000000" w:rsidRPr="00000000" w14:paraId="0000002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(MH Thiamine OR TI ( Thiamin* OR "Vitamin B1" OR Aneurin* OR "Vitamin B 1" OR "Vitamin B-1" OR Fursultiamin* OR Cocarboxylas* OR Berolas* OR Tiamin* OR Thyamin* OR benerva OR beneuran OR beneurin OR betabion OR betalin OR betaxin OR bethiamin OR bevitine OR bewon OR biamine OR "eskay`s theranates" OR metabolin OR pabiamine OR sheramin OR vibex ) OR AB ( Thiamin* OR "Vitamin B1" OR Aneurin* OR "Vitamin B 1" OR "Vitamin B-1" OR Fursultiamin* OR Cocarboxylas* OR Berolas* OR Tiamin* OR Thyamin* OR benerva OR beneuran OR beneurin OR betabion OR betalin OR betaxin OR bethiamin OR bevitine OR bewon OR biamine OR "eskay`s theranates" OR metabolin OR pabiamine OR sheramin OR vibex ) OR SU ( Thiamin* OR "Vitamin B1" OR Aneurin* OR "Vitamin B 1" OR "Vitamin B-1" OR Fursultiamin* OR Cocarboxylas* OR Berolas* OR Tiamin* OR Thyamin* OR benerva OR beneuran OR beneurin OR betabion OR betalin OR betaxin OR bethiamin OR bevitine OR bewon OR biamine OR "eskay`s theranates" OR metabolin OR pabiamine OR sheramin OR vibex ))</w:t>
      </w:r>
    </w:p>
    <w:p w:rsidR="00000000" w:rsidDel="00000000" w:rsidP="00000000" w:rsidRDefault="00000000" w:rsidRPr="00000000" w14:paraId="0000002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w:t>
      </w:r>
    </w:p>
    <w:p w:rsidR="00000000" w:rsidDel="00000000" w:rsidP="00000000" w:rsidRDefault="00000000" w:rsidRPr="00000000" w14:paraId="0000002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(MH ( "Wernicke Encephalopathy" OR "Korsakoff Syndrome" ) OR TI ( Wernick* OR "Cerebral Beriberi*" OR "Gayet-Wernick*" OR Korsakoff* OR "acute haemorrhagic polioencephalitis" OR "acute hemorrhagic polioencephalitis" OR "encephalopathia haemorrhagica" OR "encephalopathia hemorrhagica" OR "encephalopathy haemorrhagic superior" OR "encephalopathy hemorrhagic superior" OR "polioencephalopathia haemorrhagica superior" OR "polioencephalopathia hemorrhagica superior" OR "polioencephalopathy haemorrhagic superior" OR "polioencephalopathy hemorrhagic superior" ) OR AB ( Wernick* OR "Cerebral Beriberi*" OR "Gayet-Wernick*" OR Korsakoff* OR "acute haemorrhagic polioencephalitis" OR "acute hemorrhagic polioencephalitis" OR "encephalopathia haemorrhagica" OR "encephalopathia hemorrhagica" OR "encephalopathy haemorrhagic superior" OR "encephalopathy hemorrhagic superior" OR "polioencephalopathia haemorrhagica superior" OR "polioencephalopathia hemorrhagica superior" OR "polioencephalopathy haemorrhagic superior" OR "polioencephalopathy hemorrhagic superior" ) OR SU ( Wernick* OR "Cerebral Beriberi*" OR "Gayet-Wernick*" OR Korsakoff* OR "acute haemorrhagic polioencephalitis" OR "acute hemorrhagic polioencephalitis" OR "encephalopathia haemorrhagica" OR "encephalopathia hemorrhagica" OR "encephalopathy haemorrhagic superior" OR "encephalopathy hemorrhagic superior" OR "polioencephalopathia haemorrhagica superior" OR "polioencephalopathia hemorrhagica superior" OR "polioencephalopathy haemorrhagic superior" OR "polioencephalopathy hemorrhagic superior" ))</w:t>
      </w:r>
    </w:p>
    <w:p w:rsidR="00000000" w:rsidDel="00000000" w:rsidP="00000000" w:rsidRDefault="00000000" w:rsidRPr="00000000" w14:paraId="00000028">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Scopus </w:t>
      </w:r>
    </w:p>
    <w:p w:rsidR="00000000" w:rsidDel="00000000" w:rsidP="00000000" w:rsidRDefault="00000000" w:rsidRPr="00000000" w14:paraId="0000002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TITLE-ABS-KEY(Thiamin* OR "Vitamin B1" OR Aneurin* OR "Vitamin B 1" OR "Vitamin B-1" OR Fursultiamin* OR Cocarboxylas* OR Berolas* OR Tiamin* OR</w:t>
      </w:r>
    </w:p>
    <w:p w:rsidR="00000000" w:rsidDel="00000000" w:rsidP="00000000" w:rsidRDefault="00000000" w:rsidRPr="00000000" w14:paraId="0000002B">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Thyamin* OR benerva OR beneuran OR beneurin OR betabion OR betalin OR betaxin OR bethiamin OR bevitine OR bewon OR biamine OR "eskay`s theranates" OR metabolin OR pabiamine OR sheramin OR vibex)</w:t>
      </w:r>
    </w:p>
    <w:p w:rsidR="00000000" w:rsidDel="00000000" w:rsidP="00000000" w:rsidRDefault="00000000" w:rsidRPr="00000000" w14:paraId="0000002C">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w:t>
      </w:r>
    </w:p>
    <w:p w:rsidR="00000000" w:rsidDel="00000000" w:rsidP="00000000" w:rsidRDefault="00000000" w:rsidRPr="00000000" w14:paraId="0000002D">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TITLE-ABS-KEY(Wernick* OR "Cerebral Beriberi*" OR "Gayet-Wernick*" OR Korsakoff* OR "acute haemorrhagic polioencephalitis" OR "acute hemorrhagic</w:t>
      </w:r>
    </w:p>
    <w:p w:rsidR="00000000" w:rsidDel="00000000" w:rsidP="00000000" w:rsidRDefault="00000000" w:rsidRPr="00000000" w14:paraId="0000002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polioencephalitis" OR "encephalopathia haemorrhagica" OR "encephalopathia hemorrhagica" OR "encephalopathy haemorrhagic superior" OR "encephalopathy hemorrhagic superior" OR "polioencephalopathia haemorrhagica superior" OR "polioencephalopathia hemorrhagica superior" OR "polioencephalopathy haemorrhagic superior" OR "polioencephalopathy hemorrhagic superior") </w:t>
      </w:r>
    </w:p>
    <w:p w:rsidR="00000000" w:rsidDel="00000000" w:rsidP="00000000" w:rsidRDefault="00000000" w:rsidRPr="00000000" w14:paraId="0000002F">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CENTRAL</w:t>
      </w:r>
    </w:p>
    <w:p w:rsidR="00000000" w:rsidDel="00000000" w:rsidP="00000000" w:rsidRDefault="00000000" w:rsidRPr="00000000" w14:paraId="0000003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 Search Hits</w:t>
      </w:r>
    </w:p>
    <w:p w:rsidR="00000000" w:rsidDel="00000000" w:rsidP="00000000" w:rsidRDefault="00000000" w:rsidRPr="00000000" w14:paraId="0000003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MeSH descriptor: [Thiamine] explode all trees 344</w:t>
      </w:r>
    </w:p>
    <w:p w:rsidR="00000000" w:rsidDel="00000000" w:rsidP="00000000" w:rsidRDefault="00000000" w:rsidRPr="00000000" w14:paraId="0000003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Thiamin* OR "Vitamin B1" OR Aneurin* OR "Vitamin B 1" OR "Vitamin B-1" OR Fursultiamin* OR Cocarboxylas* OR Berolas* OR Tiamin* OR Thyamin* OR benerva OR beneuran OR beneurin OR betabion OR betalin OR betaxin OR bethiamin OR bevitine OR bewon OR biamine OR "eskay`s theranates" OR metabolin OR pabiamine OR sheramin OR vibex 1296</w:t>
      </w:r>
    </w:p>
    <w:p w:rsidR="00000000" w:rsidDel="00000000" w:rsidP="00000000" w:rsidRDefault="00000000" w:rsidRPr="00000000" w14:paraId="0000003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#1 OR #2 1296</w:t>
      </w:r>
    </w:p>
    <w:p w:rsidR="00000000" w:rsidDel="00000000" w:rsidP="00000000" w:rsidRDefault="00000000" w:rsidRPr="00000000" w14:paraId="0000003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MeSH descriptor: [Wernicke Encephalopathy] explode all trees 6</w:t>
      </w:r>
    </w:p>
    <w:p w:rsidR="00000000" w:rsidDel="00000000" w:rsidP="00000000" w:rsidRDefault="00000000" w:rsidRPr="00000000" w14:paraId="0000003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MeSH descriptor: [Korsakoff Syndrome] explode all trees 13</w:t>
      </w:r>
    </w:p>
    <w:p w:rsidR="00000000" w:rsidDel="00000000" w:rsidP="00000000" w:rsidRDefault="00000000" w:rsidRPr="00000000" w14:paraId="0000003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Wernick* OR "Cerebral Beriberi*" OR "Gayet-Wernick*" OR Korsakoff* OR "acute haemorrhagic polioencephalitis" OR "acute hemorrhagic polioencephalitis" OR "encephalopathia haemorrhagica" OR "encephalopathia hemorrhagica" OR "encephalopathy haemorrhagic superior" OR "encephalopathy hemorrhagic superior" OR "polioencephalopathia haemorrhagica superior" OR "polioencephalopathia hemorrhagica superior" OR "polioencephalopathy haemorrhagic superior" OR "polioencephalopathy hemorrhagic superior" 362 </w:t>
      </w:r>
    </w:p>
    <w:p w:rsidR="00000000" w:rsidDel="00000000" w:rsidP="00000000" w:rsidRDefault="00000000" w:rsidRPr="00000000" w14:paraId="0000003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#4 OR #5 OR #6 362</w:t>
      </w:r>
    </w:p>
    <w:p w:rsidR="00000000" w:rsidDel="00000000" w:rsidP="00000000" w:rsidRDefault="00000000" w:rsidRPr="00000000" w14:paraId="0000003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#3 AND #7 26</w:t>
      </w:r>
    </w:p>
    <w:p w:rsidR="00000000" w:rsidDel="00000000" w:rsidP="00000000" w:rsidRDefault="00000000" w:rsidRPr="00000000" w14:paraId="0000003A">
      <w:pPr>
        <w:spacing w:line="276"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B">
      <w:pPr>
        <w:spacing w:line="276" w:lineRule="auto"/>
        <w:rPr>
          <w:rFonts w:ascii="Times New Roman" w:cs="Times New Roman" w:eastAsia="Times New Roman" w:hAnsi="Times New Roman"/>
          <w:b w:val="1"/>
          <w:bCs w:val="1"/>
          <w:sz w:val="24"/>
          <w:szCs w:val="24"/>
        </w:rPr>
        <w:sectPr>
          <w:pgSz w:h="16834" w:w="11909"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3C">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Method B. Retrieval of Unavailable Full Texts </w:t>
      </w:r>
    </w:p>
    <w:p w:rsidR="00000000" w:rsidDel="00000000" w:rsidP="00000000" w:rsidRDefault="00000000" w:rsidRPr="00000000" w14:paraId="0000003D">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E">
      <w:pPr>
        <w:spacing w:line="276"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attempted to retrieve 13 legacy/non-digitized records via a standardized process: (i) checked publisher sites and library holdings (no digitized PDFs), (ii) searched authors on ResearchGate/Google Scholar and emailed available contacts, and (iii) requested copies from journal offices. Outcome: 0/13 obtained. Most records were non-English and pre-2000; several appeared to be reviews (an exclusion criterion). Full details appear in </w:t>
      </w:r>
      <w:r w:rsidDel="00000000" w:rsidR="00000000" w:rsidRPr="00000000">
        <w:rPr>
          <w:rFonts w:ascii="Times New Roman" w:cs="Times New Roman" w:eastAsia="Times New Roman" w:hAnsi="Times New Roman"/>
          <w:b w:val="1"/>
          <w:bCs w:val="1"/>
          <w:sz w:val="24"/>
          <w:szCs w:val="24"/>
          <w:rtl w:val="0"/>
        </w:rPr>
        <w:t xml:space="preserve">Supplementary Table 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F">
      <w:pPr>
        <w:spacing w:line="276"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Table A: Characteristics of Articles Not Retrieved Despite Retrieval Efforts</w:t>
      </w:r>
    </w:p>
    <w:p w:rsidR="00000000" w:rsidDel="00000000" w:rsidP="00000000" w:rsidRDefault="00000000" w:rsidRPr="00000000" w14:paraId="00000041">
      <w:pPr>
        <w:spacing w:line="276" w:lineRule="auto"/>
        <w:rPr>
          <w:rFonts w:ascii="Times New Roman" w:cs="Times New Roman" w:eastAsia="Times New Roman" w:hAnsi="Times New Roman"/>
          <w:b w:val="1"/>
          <w:bCs w:val="1"/>
          <w:sz w:val="24"/>
          <w:szCs w:val="24"/>
        </w:rPr>
      </w:pPr>
      <w:r w:rsidDel="00000000" w:rsidR="00000000" w:rsidRPr="00000000">
        <w:rPr>
          <w:rtl w:val="0"/>
        </w:rPr>
      </w:r>
    </w:p>
    <w:tbl>
      <w:tblPr>
        <w:tblStyle w:val="Table1"/>
        <w:tblW w:w="1350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87.5"/>
        <w:gridCol w:w="1687.5"/>
        <w:gridCol w:w="1687.5"/>
        <w:gridCol w:w="1687.5"/>
        <w:gridCol w:w="1687.5"/>
        <w:gridCol w:w="1687.5"/>
        <w:gridCol w:w="1687.5"/>
        <w:gridCol w:w="1687.5"/>
        <w:tblGridChange w:id="0">
          <w:tblGrid>
            <w:gridCol w:w="1687.5"/>
            <w:gridCol w:w="1687.5"/>
            <w:gridCol w:w="1687.5"/>
            <w:gridCol w:w="1687.5"/>
            <w:gridCol w:w="1687.5"/>
            <w:gridCol w:w="1687.5"/>
            <w:gridCol w:w="1687.5"/>
            <w:gridCol w:w="1687.5"/>
          </w:tblGrid>
        </w:tblGridChange>
      </w:tblGrid>
      <w:tr>
        <w:trPr>
          <w:cantSplit w:val="0"/>
          <w:trHeight w:val="450" w:hRule="atLeast"/>
          <w:tblHeader w:val="0"/>
        </w:trPr>
        <w:tc>
          <w:tcPr>
            <w:tcBorders>
              <w:top w:color="cccccc" w:space="0" w:sz="6" w:val="single"/>
              <w:left w:color="cccccc" w:space="0" w:sz="6" w:val="single"/>
              <w:bottom w:color="cccccc" w:space="0" w:sz="6" w:val="single"/>
              <w:right w:color="cccccc" w:space="0" w:sz="6" w:val="single"/>
            </w:tcBorders>
            <w:shd w:fill="efefef" w:val="clear"/>
            <w:tcMar>
              <w:top w:w="96.0" w:type="dxa"/>
              <w:left w:w="96.0" w:type="dxa"/>
              <w:bottom w:w="96.0" w:type="dxa"/>
              <w:right w:w="96.0" w:type="dxa"/>
            </w:tcMar>
            <w:vAlign w:val="center"/>
          </w:tcPr>
          <w:p w:rsidR="00000000" w:rsidDel="00000000" w:rsidP="00000000" w:rsidRDefault="00000000" w:rsidRPr="00000000" w14:paraId="00000042">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Publication Year</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efefef" w:val="clear"/>
            <w:tcMar>
              <w:top w:w="96.0" w:type="dxa"/>
              <w:left w:w="96.0" w:type="dxa"/>
              <w:bottom w:w="96.0" w:type="dxa"/>
              <w:right w:w="96.0" w:type="dxa"/>
            </w:tcMar>
            <w:vAlign w:val="center"/>
          </w:tcPr>
          <w:p w:rsidR="00000000" w:rsidDel="00000000" w:rsidP="00000000" w:rsidRDefault="00000000" w:rsidRPr="00000000" w14:paraId="00000043">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Author</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efefef" w:val="clear"/>
            <w:tcMar>
              <w:top w:w="96.0" w:type="dxa"/>
              <w:left w:w="96.0" w:type="dxa"/>
              <w:bottom w:w="96.0" w:type="dxa"/>
              <w:right w:w="96.0" w:type="dxa"/>
            </w:tcMar>
            <w:vAlign w:val="center"/>
          </w:tcPr>
          <w:p w:rsidR="00000000" w:rsidDel="00000000" w:rsidP="00000000" w:rsidRDefault="00000000" w:rsidRPr="00000000" w14:paraId="00000044">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Title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efefef" w:val="clear"/>
            <w:tcMar>
              <w:top w:w="96.0" w:type="dxa"/>
              <w:left w:w="96.0" w:type="dxa"/>
              <w:bottom w:w="96.0" w:type="dxa"/>
              <w:right w:w="96.0" w:type="dxa"/>
            </w:tcMar>
            <w:vAlign w:val="center"/>
          </w:tcPr>
          <w:p w:rsidR="00000000" w:rsidDel="00000000" w:rsidP="00000000" w:rsidRDefault="00000000" w:rsidRPr="00000000" w14:paraId="00000045">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Publication Title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efefef" w:val="clear"/>
            <w:tcMar>
              <w:top w:w="96.0" w:type="dxa"/>
              <w:left w:w="96.0" w:type="dxa"/>
              <w:bottom w:w="96.0" w:type="dxa"/>
              <w:right w:w="96.0" w:type="dxa"/>
            </w:tcMar>
            <w:vAlign w:val="center"/>
          </w:tcPr>
          <w:p w:rsidR="00000000" w:rsidDel="00000000" w:rsidP="00000000" w:rsidRDefault="00000000" w:rsidRPr="00000000" w14:paraId="00000046">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Pages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efefef" w:val="clear"/>
            <w:tcMar>
              <w:top w:w="96.0" w:type="dxa"/>
              <w:left w:w="96.0" w:type="dxa"/>
              <w:bottom w:w="96.0" w:type="dxa"/>
              <w:right w:w="96.0" w:type="dxa"/>
            </w:tcMar>
            <w:vAlign w:val="center"/>
          </w:tcPr>
          <w:p w:rsidR="00000000" w:rsidDel="00000000" w:rsidP="00000000" w:rsidRDefault="00000000" w:rsidRPr="00000000" w14:paraId="00000047">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Issue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efefef" w:val="clear"/>
            <w:tcMar>
              <w:top w:w="96.0" w:type="dxa"/>
              <w:left w:w="96.0" w:type="dxa"/>
              <w:bottom w:w="96.0" w:type="dxa"/>
              <w:right w:w="96.0" w:type="dxa"/>
            </w:tcMar>
            <w:vAlign w:val="center"/>
          </w:tcPr>
          <w:p w:rsidR="00000000" w:rsidDel="00000000" w:rsidP="00000000" w:rsidRDefault="00000000" w:rsidRPr="00000000" w14:paraId="00000048">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Volume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efefef" w:val="clear"/>
            <w:tcMar>
              <w:top w:w="96.0" w:type="dxa"/>
              <w:left w:w="96.0" w:type="dxa"/>
              <w:bottom w:w="96.0" w:type="dxa"/>
              <w:right w:w="96.0" w:type="dxa"/>
            </w:tcMar>
            <w:vAlign w:val="center"/>
          </w:tcPr>
          <w:p w:rsidR="00000000" w:rsidDel="00000000" w:rsidP="00000000" w:rsidRDefault="00000000" w:rsidRPr="00000000" w14:paraId="00000049">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Language</w:t>
            </w:r>
            <w:r w:rsidDel="00000000" w:rsidR="00000000" w:rsidRPr="00000000">
              <w:rPr>
                <w:rtl w:val="0"/>
              </w:rPr>
            </w:r>
          </w:p>
        </w:tc>
      </w:tr>
      <w:tr>
        <w:trPr>
          <w:cantSplit w:val="0"/>
          <w:trHeight w:val="518" w:hRule="atLeast"/>
          <w:tblHeader w:val="0"/>
        </w:trPr>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4A">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1964</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4B">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VILLARD, H.P.; BEAUREGARD, J.M.</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4C">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DEFICIENCY ALCOHOLIC ENCEPHALOPATHY AND MAGNESIUM: GAYET-WERNICKE SYNDROME.</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4D">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L'unión médicale du Canada</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4E">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50-53</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4F">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50">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93</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51">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French</w:t>
            </w:r>
          </w:p>
        </w:tc>
      </w:tr>
      <w:tr>
        <w:trPr>
          <w:cantSplit w:val="0"/>
          <w:trHeight w:val="375" w:hRule="atLeast"/>
          <w:tblHeader w:val="0"/>
        </w:trPr>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52">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1969</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53">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Silfverskiöld, B P</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54">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Wernicke-Korsakoff syndrome and ataxia in alcoholics</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55">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Lakartidningen</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56">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4773-4778</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57">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58">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66</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59">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Swedish</w:t>
            </w:r>
          </w:p>
        </w:tc>
      </w:tr>
      <w:tr>
        <w:trPr>
          <w:cantSplit w:val="0"/>
          <w:trHeight w:val="535" w:hRule="atLeast"/>
          <w:tblHeader w:val="0"/>
        </w:trPr>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5A">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1977</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5B">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Itokawa, Y.</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5C">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Thiamine (Vitamin B1) and diseases related to vitamin B1 deficiencies</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5D">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Journal of Applied Nutrition</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5E">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5-16</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5F">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60">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61">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English</w:t>
            </w:r>
          </w:p>
        </w:tc>
      </w:tr>
      <w:tr>
        <w:trPr>
          <w:cantSplit w:val="0"/>
          <w:trHeight w:val="460" w:hRule="atLeast"/>
          <w:tblHeader w:val="0"/>
        </w:trPr>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62">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1977</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63">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Neundörfer, B; Gössinger, S</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64">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Clinical diagnosis and course of wernicke's encephalopathy (author's transl)</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65">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Nervenarzt</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66">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500-504</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67">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68">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69">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German</w:t>
            </w:r>
          </w:p>
        </w:tc>
      </w:tr>
      <w:tr>
        <w:trPr>
          <w:cantSplit w:val="0"/>
          <w:trHeight w:val="325" w:hRule="atLeast"/>
          <w:tblHeader w:val="0"/>
        </w:trPr>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6A">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1978</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6B">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Laplane, D.</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6C">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Indications for vitamin B therapy in neurology</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6D">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Revue de Medecine de Tours</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6E">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657-659</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6F">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70">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71">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French</w:t>
            </w:r>
          </w:p>
        </w:tc>
      </w:tr>
      <w:tr>
        <w:trPr>
          <w:cantSplit w:val="0"/>
          <w:trHeight w:val="370" w:hRule="atLeast"/>
          <w:tblHeader w:val="0"/>
        </w:trPr>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72">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1978</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73">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Silfverskiold, B.</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74">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Vitamin B1 deficient enzyme anomaly in Wernicke Korsakoff patients</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75">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Lakartidningen</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76">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294-295</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77">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78">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79">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Swedish</w:t>
            </w:r>
          </w:p>
        </w:tc>
      </w:tr>
      <w:tr>
        <w:trPr>
          <w:cantSplit w:val="0"/>
          <w:trHeight w:val="370" w:hRule="atLeast"/>
          <w:tblHeader w:val="0"/>
        </w:trPr>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7A">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1980</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7B">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Waldenlind, L.</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7C">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Thiamine and thiamine deficiency in alcoholics</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7D">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Lakartidningen</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7E">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1536-1538</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7F">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80">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77</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81">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Swedish</w:t>
            </w:r>
          </w:p>
        </w:tc>
      </w:tr>
      <w:tr>
        <w:trPr>
          <w:cantSplit w:val="0"/>
          <w:trHeight w:val="400" w:hRule="atLeast"/>
          <w:tblHeader w:val="0"/>
        </w:trPr>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82">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1981</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83">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Woerz, R.</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84">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Alcohol withdrawal syndrome and immediate treatment</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85">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Notfall Medizin</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86">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545-548</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87">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88">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89">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German</w:t>
            </w:r>
          </w:p>
        </w:tc>
      </w:tr>
      <w:tr>
        <w:trPr>
          <w:cantSplit w:val="0"/>
          <w:trHeight w:val="1451" w:hRule="atLeast"/>
          <w:tblHeader w:val="0"/>
        </w:trPr>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8A">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1983</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8B">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Fontanari, D.; Paladin, F.; Russo Perez, G.; Fassetta, G.; Tambato, E.; Toso, V.; Zanetti, R.; Cocco, G.; Colles, L.</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8C">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Nutritional neurologic pathology in the alcoholic</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8D">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Rivista di Neurobiologia</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8E">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208-228</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8F">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90">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91">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Italian</w:t>
            </w:r>
          </w:p>
        </w:tc>
      </w:tr>
      <w:tr>
        <w:trPr>
          <w:cantSplit w:val="0"/>
          <w:trHeight w:val="670" w:hRule="atLeast"/>
          <w:tblHeader w:val="0"/>
        </w:trPr>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92">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1988</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93">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Iwata, M.</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94">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Central nervous system diseases associated with alcoholism</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95">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Nippon rinsho. Japanese journal of clinical medicine</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96">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1686-1690</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97">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98">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99">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Japanese</w:t>
            </w:r>
          </w:p>
        </w:tc>
      </w:tr>
      <w:tr>
        <w:trPr>
          <w:cantSplit w:val="0"/>
          <w:trHeight w:val="340" w:hRule="atLeast"/>
          <w:tblHeader w:val="0"/>
        </w:trPr>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9A">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1990</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9B">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Jouanny, P.; Barroche, G.</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9C">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Nutritional neurological diseases. 1. Nutritional diseases related to alcoholism</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9D">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Gazette Medicale</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9E">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31-34</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9F">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A0">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97</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A1">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French</w:t>
            </w:r>
          </w:p>
        </w:tc>
      </w:tr>
      <w:tr>
        <w:trPr>
          <w:cantSplit w:val="0"/>
          <w:trHeight w:val="770" w:hRule="atLeast"/>
          <w:tblHeader w:val="0"/>
        </w:trPr>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A2">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1991</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A3">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Lindenstrøm, E S; Christiansen, L W; Simonsen, E</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A4">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[Wernicke-Korsakoff syndrome at the Rikshospitalet in 1979-1988. A retrospective study]</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A5">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Ugeskr Laeger</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A6">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2819-2822</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A7">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A8">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153</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A9">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Danish</w:t>
            </w:r>
          </w:p>
        </w:tc>
      </w:tr>
      <w:tr>
        <w:trPr>
          <w:cantSplit w:val="0"/>
          <w:trHeight w:val="505" w:hRule="atLeast"/>
          <w:tblHeader w:val="0"/>
        </w:trPr>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AA">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1996</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AB">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Moltó, J M</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AC">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[Neurological complications associated with vitamin B1 deficiency(thiamine)]</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AD">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 Neurol</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AE">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389-391</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AF">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128</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B0">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p>
        </w:tc>
        <w:tc>
          <w:tcPr>
            <w:tcBorders>
              <w:top w:color="cccccc" w:space="0" w:sz="6" w:val="single"/>
              <w:left w:color="cccccc" w:space="0" w:sz="6" w:val="single"/>
              <w:bottom w:color="cccccc" w:space="0" w:sz="6" w:val="single"/>
              <w:right w:color="cccccc" w:space="0" w:sz="6" w:val="single"/>
            </w:tcBorders>
            <w:tcMar>
              <w:top w:w="96.0" w:type="dxa"/>
              <w:left w:w="96.0" w:type="dxa"/>
              <w:bottom w:w="96.0" w:type="dxa"/>
              <w:right w:w="96.0" w:type="dxa"/>
            </w:tcMar>
            <w:vAlign w:val="center"/>
          </w:tcPr>
          <w:p w:rsidR="00000000" w:rsidDel="00000000" w:rsidP="00000000" w:rsidRDefault="00000000" w:rsidRPr="00000000" w14:paraId="000000B1">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Spanish</w:t>
            </w:r>
          </w:p>
        </w:tc>
      </w:tr>
    </w:tbl>
    <w:p w:rsidR="00000000" w:rsidDel="00000000" w:rsidP="00000000" w:rsidRDefault="00000000" w:rsidRPr="00000000" w14:paraId="000000B2">
      <w:pPr>
        <w:spacing w:line="276" w:lineRule="auto"/>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B3">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Table B. Characteristics and Outcome Data of Included Studies </w:t>
      </w:r>
    </w:p>
    <w:p w:rsidR="00000000" w:rsidDel="00000000" w:rsidP="00000000" w:rsidRDefault="00000000" w:rsidRPr="00000000" w14:paraId="000000B4">
      <w:pPr>
        <w:spacing w:line="276" w:lineRule="auto"/>
        <w:rPr>
          <w:rFonts w:ascii="Times New Roman" w:cs="Times New Roman" w:eastAsia="Times New Roman" w:hAnsi="Times New Roman"/>
          <w:b w:val="1"/>
          <w:bCs w:val="1"/>
          <w:sz w:val="24"/>
          <w:szCs w:val="24"/>
        </w:rPr>
      </w:pPr>
      <w:r w:rsidDel="00000000" w:rsidR="00000000" w:rsidRPr="00000000">
        <w:rPr>
          <w:rtl w:val="0"/>
        </w:rPr>
      </w:r>
    </w:p>
    <w:tbl>
      <w:tblPr>
        <w:tblStyle w:val="Table2"/>
        <w:tblW w:w="14850.000000000004"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42.3076923076924"/>
        <w:gridCol w:w="1142.3076923076924"/>
        <w:gridCol w:w="1142.3076923076924"/>
        <w:gridCol w:w="1142.3076923076924"/>
        <w:gridCol w:w="1142.3076923076924"/>
        <w:gridCol w:w="1142.3076923076924"/>
        <w:gridCol w:w="1142.3076923076924"/>
        <w:gridCol w:w="1142.3076923076924"/>
        <w:gridCol w:w="1142.3076923076924"/>
        <w:gridCol w:w="1142.3076923076924"/>
        <w:gridCol w:w="1142.3076923076924"/>
        <w:gridCol w:w="1142.3076923076924"/>
        <w:gridCol w:w="1142.3076923076924"/>
        <w:tblGridChange w:id="0">
          <w:tblGrid>
            <w:gridCol w:w="1142.3076923076924"/>
            <w:gridCol w:w="1142.3076923076924"/>
            <w:gridCol w:w="1142.3076923076924"/>
            <w:gridCol w:w="1142.3076923076924"/>
            <w:gridCol w:w="1142.3076923076924"/>
            <w:gridCol w:w="1142.3076923076924"/>
            <w:gridCol w:w="1142.3076923076924"/>
            <w:gridCol w:w="1142.3076923076924"/>
            <w:gridCol w:w="1142.3076923076924"/>
            <w:gridCol w:w="1142.3076923076924"/>
            <w:gridCol w:w="1142.3076923076924"/>
            <w:gridCol w:w="1142.3076923076924"/>
            <w:gridCol w:w="1142.3076923076924"/>
          </w:tblGrid>
        </w:tblGridChange>
      </w:tblGrid>
      <w:tr>
        <w:trPr>
          <w:cantSplit w:val="0"/>
          <w:trHeight w:val="1095" w:hRule="atLeast"/>
          <w:tblHeader w:val="0"/>
        </w:trPr>
        <w:tc>
          <w:tcPr>
            <w:tcBorders>
              <w:top w:color="cccccc" w:space="0" w:sz="6" w:val="single"/>
              <w:left w:color="cccccc" w:space="0" w:sz="6" w:val="single"/>
              <w:bottom w:color="cccccc" w:space="0" w:sz="6" w:val="single"/>
              <w:right w:color="cccccc" w:space="0" w:sz="6" w:val="single"/>
            </w:tcBorders>
            <w:shd w:fill="d9d9d9" w:val="clear"/>
            <w:tcMar>
              <w:top w:w="40.0" w:type="dxa"/>
              <w:left w:w="40.0" w:type="dxa"/>
              <w:bottom w:w="40.0" w:type="dxa"/>
              <w:right w:w="40.0" w:type="dxa"/>
            </w:tcMar>
            <w:vAlign w:val="center"/>
          </w:tcPr>
          <w:p w:rsidR="00000000" w:rsidDel="00000000" w:rsidP="00000000" w:rsidRDefault="00000000" w:rsidRPr="00000000" w14:paraId="000000B5">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First Author</w:t>
            </w:r>
          </w:p>
          <w:p w:rsidR="00000000" w:rsidDel="00000000" w:rsidP="00000000" w:rsidRDefault="00000000" w:rsidRPr="00000000" w14:paraId="000000B6">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Publication year</w:t>
            </w:r>
          </w:p>
        </w:tc>
        <w:tc>
          <w:tcPr>
            <w:tcBorders>
              <w:top w:color="cccccc" w:space="0" w:sz="6" w:val="single"/>
              <w:left w:color="cccccc" w:space="0" w:sz="6" w:val="single"/>
              <w:bottom w:color="cccccc" w:space="0" w:sz="6" w:val="single"/>
              <w:right w:color="cccccc" w:space="0" w:sz="6" w:val="single"/>
            </w:tcBorders>
            <w:shd w:fill="d9d9d9" w:val="clear"/>
            <w:tcMar>
              <w:top w:w="40.0" w:type="dxa"/>
              <w:left w:w="40.0" w:type="dxa"/>
              <w:bottom w:w="40.0" w:type="dxa"/>
              <w:right w:w="40.0" w:type="dxa"/>
            </w:tcMar>
            <w:vAlign w:val="center"/>
          </w:tcPr>
          <w:p w:rsidR="00000000" w:rsidDel="00000000" w:rsidP="00000000" w:rsidRDefault="00000000" w:rsidRPr="00000000" w14:paraId="000000B7">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Age (mean ± SD)</w:t>
            </w:r>
          </w:p>
        </w:tc>
        <w:tc>
          <w:tcPr>
            <w:tcBorders>
              <w:top w:color="cccccc" w:space="0" w:sz="6" w:val="single"/>
              <w:left w:color="cccccc" w:space="0" w:sz="6" w:val="single"/>
              <w:bottom w:color="cccccc" w:space="0" w:sz="6" w:val="single"/>
              <w:right w:color="cccccc" w:space="0" w:sz="6" w:val="single"/>
            </w:tcBorders>
            <w:shd w:fill="d9d9d9" w:val="clear"/>
            <w:tcMar>
              <w:top w:w="40.0" w:type="dxa"/>
              <w:left w:w="40.0" w:type="dxa"/>
              <w:bottom w:w="40.0" w:type="dxa"/>
              <w:right w:w="40.0" w:type="dxa"/>
            </w:tcMar>
            <w:vAlign w:val="center"/>
          </w:tcPr>
          <w:p w:rsidR="00000000" w:rsidDel="00000000" w:rsidP="00000000" w:rsidRDefault="00000000" w:rsidRPr="00000000" w14:paraId="000000B8">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Clinical context (Inpatient, Outpatient)</w:t>
            </w:r>
          </w:p>
        </w:tc>
        <w:tc>
          <w:tcPr>
            <w:tcBorders>
              <w:top w:color="cccccc" w:space="0" w:sz="6" w:val="single"/>
              <w:left w:color="cccccc" w:space="0" w:sz="6" w:val="single"/>
              <w:bottom w:color="cccccc" w:space="0" w:sz="6" w:val="single"/>
              <w:right w:color="cccccc" w:space="0" w:sz="6" w:val="single"/>
            </w:tcBorders>
            <w:shd w:fill="d9d9d9" w:val="clear"/>
            <w:tcMar>
              <w:top w:w="40.0" w:type="dxa"/>
              <w:left w:w="40.0" w:type="dxa"/>
              <w:bottom w:w="40.0" w:type="dxa"/>
              <w:right w:w="40.0" w:type="dxa"/>
            </w:tcMar>
            <w:vAlign w:val="center"/>
          </w:tcPr>
          <w:p w:rsidR="00000000" w:rsidDel="00000000" w:rsidP="00000000" w:rsidRDefault="00000000" w:rsidRPr="00000000" w14:paraId="000000B9">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Specified Psychiatric comorbidities</w:t>
            </w:r>
          </w:p>
        </w:tc>
        <w:tc>
          <w:tcPr>
            <w:tcBorders>
              <w:top w:color="cccccc" w:space="0" w:sz="6" w:val="single"/>
              <w:left w:color="cccccc" w:space="0" w:sz="6" w:val="single"/>
              <w:bottom w:color="cccccc" w:space="0" w:sz="6" w:val="single"/>
              <w:right w:color="cccccc" w:space="0" w:sz="6" w:val="single"/>
            </w:tcBorders>
            <w:shd w:fill="d9d9d9" w:val="clear"/>
            <w:tcMar>
              <w:top w:w="40.0" w:type="dxa"/>
              <w:left w:w="40.0" w:type="dxa"/>
              <w:bottom w:w="40.0" w:type="dxa"/>
              <w:right w:w="40.0" w:type="dxa"/>
            </w:tcMar>
            <w:vAlign w:val="center"/>
          </w:tcPr>
          <w:p w:rsidR="00000000" w:rsidDel="00000000" w:rsidP="00000000" w:rsidRDefault="00000000" w:rsidRPr="00000000" w14:paraId="000000BA">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Specified Non-Psychiatric Comorbidities</w:t>
            </w:r>
          </w:p>
        </w:tc>
        <w:tc>
          <w:tcPr>
            <w:tcBorders>
              <w:top w:color="cccccc" w:space="0" w:sz="6" w:val="single"/>
              <w:left w:color="cccccc" w:space="0" w:sz="6" w:val="single"/>
              <w:bottom w:color="cccccc" w:space="0" w:sz="6" w:val="single"/>
              <w:right w:color="cccccc" w:space="0" w:sz="6" w:val="single"/>
            </w:tcBorders>
            <w:shd w:fill="d9d9d9" w:val="clear"/>
            <w:tcMar>
              <w:top w:w="40.0" w:type="dxa"/>
              <w:left w:w="40.0" w:type="dxa"/>
              <w:bottom w:w="40.0" w:type="dxa"/>
              <w:right w:w="40.0" w:type="dxa"/>
            </w:tcMar>
            <w:vAlign w:val="center"/>
          </w:tcPr>
          <w:p w:rsidR="00000000" w:rsidDel="00000000" w:rsidP="00000000" w:rsidRDefault="00000000" w:rsidRPr="00000000" w14:paraId="000000BB">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Alcohol Diagnosis Method Details</w:t>
            </w:r>
          </w:p>
        </w:tc>
        <w:tc>
          <w:tcPr>
            <w:tcBorders>
              <w:top w:color="cccccc" w:space="0" w:sz="6" w:val="single"/>
              <w:left w:color="cccccc" w:space="0" w:sz="6" w:val="single"/>
              <w:bottom w:color="cccccc" w:space="0" w:sz="6" w:val="single"/>
              <w:right w:color="cccccc" w:space="0" w:sz="6" w:val="single"/>
            </w:tcBorders>
            <w:shd w:fill="d9d9d9" w:val="clear"/>
            <w:tcMar>
              <w:top w:w="40.0" w:type="dxa"/>
              <w:left w:w="40.0" w:type="dxa"/>
              <w:bottom w:w="40.0" w:type="dxa"/>
              <w:right w:w="40.0" w:type="dxa"/>
            </w:tcMar>
            <w:vAlign w:val="center"/>
          </w:tcPr>
          <w:p w:rsidR="00000000" w:rsidDel="00000000" w:rsidP="00000000" w:rsidRDefault="00000000" w:rsidRPr="00000000" w14:paraId="000000BC">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Alcohol Severity Quantification Method</w:t>
            </w:r>
          </w:p>
        </w:tc>
        <w:tc>
          <w:tcPr>
            <w:tcBorders>
              <w:top w:color="cccccc" w:space="0" w:sz="6" w:val="single"/>
              <w:left w:color="cccccc" w:space="0" w:sz="6" w:val="single"/>
              <w:bottom w:color="cccccc" w:space="0" w:sz="6" w:val="single"/>
              <w:right w:color="cccccc" w:space="0" w:sz="6" w:val="single"/>
            </w:tcBorders>
            <w:shd w:fill="d9d9d9" w:val="clear"/>
            <w:tcMar>
              <w:top w:w="40.0" w:type="dxa"/>
              <w:left w:w="40.0" w:type="dxa"/>
              <w:bottom w:w="40.0" w:type="dxa"/>
              <w:right w:w="40.0" w:type="dxa"/>
            </w:tcMar>
            <w:vAlign w:val="center"/>
          </w:tcPr>
          <w:p w:rsidR="00000000" w:rsidDel="00000000" w:rsidP="00000000" w:rsidRDefault="00000000" w:rsidRPr="00000000" w14:paraId="000000BD">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AUD severity according to authors</w:t>
            </w:r>
          </w:p>
        </w:tc>
        <w:tc>
          <w:tcPr>
            <w:tcBorders>
              <w:top w:color="cccccc" w:space="0" w:sz="6" w:val="single"/>
              <w:left w:color="cccccc" w:space="0" w:sz="6" w:val="single"/>
              <w:bottom w:color="cccccc" w:space="0" w:sz="6" w:val="single"/>
              <w:right w:color="cccccc" w:space="0" w:sz="6" w:val="single"/>
            </w:tcBorders>
            <w:shd w:fill="d9d9d9" w:val="clear"/>
            <w:tcMar>
              <w:top w:w="40.0" w:type="dxa"/>
              <w:left w:w="40.0" w:type="dxa"/>
              <w:bottom w:w="40.0" w:type="dxa"/>
              <w:right w:w="40.0" w:type="dxa"/>
            </w:tcMar>
            <w:vAlign w:val="center"/>
          </w:tcPr>
          <w:p w:rsidR="00000000" w:rsidDel="00000000" w:rsidP="00000000" w:rsidRDefault="00000000" w:rsidRPr="00000000" w14:paraId="000000BE">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Wernicke encephalopathy diagnosis criteria details</w:t>
            </w:r>
          </w:p>
        </w:tc>
        <w:tc>
          <w:tcPr>
            <w:tcBorders>
              <w:top w:color="cccccc" w:space="0" w:sz="6" w:val="single"/>
              <w:left w:color="cccccc" w:space="0" w:sz="6" w:val="single"/>
              <w:bottom w:color="cccccc" w:space="0" w:sz="6" w:val="single"/>
              <w:right w:color="cccccc" w:space="0" w:sz="6" w:val="single"/>
            </w:tcBorders>
            <w:shd w:fill="d9d9d9" w:val="clear"/>
            <w:tcMar>
              <w:top w:w="40.0" w:type="dxa"/>
              <w:left w:w="40.0" w:type="dxa"/>
              <w:bottom w:w="40.0" w:type="dxa"/>
              <w:right w:w="40.0" w:type="dxa"/>
            </w:tcMar>
            <w:vAlign w:val="center"/>
          </w:tcPr>
          <w:p w:rsidR="00000000" w:rsidDel="00000000" w:rsidP="00000000" w:rsidRDefault="00000000" w:rsidRPr="00000000" w14:paraId="000000BF">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Primary Outcomes</w:t>
            </w:r>
          </w:p>
        </w:tc>
        <w:tc>
          <w:tcPr>
            <w:tcBorders>
              <w:top w:color="cccccc" w:space="0" w:sz="6" w:val="single"/>
              <w:left w:color="cccccc" w:space="0" w:sz="6" w:val="single"/>
              <w:bottom w:color="cccccc" w:space="0" w:sz="6" w:val="single"/>
              <w:right w:color="cccccc" w:space="0" w:sz="6" w:val="single"/>
            </w:tcBorders>
            <w:shd w:fill="d9d9d9" w:val="clear"/>
            <w:tcMar>
              <w:top w:w="40.0" w:type="dxa"/>
              <w:left w:w="40.0" w:type="dxa"/>
              <w:bottom w:w="40.0" w:type="dxa"/>
              <w:right w:w="40.0" w:type="dxa"/>
            </w:tcMar>
            <w:vAlign w:val="center"/>
          </w:tcPr>
          <w:p w:rsidR="00000000" w:rsidDel="00000000" w:rsidP="00000000" w:rsidRDefault="00000000" w:rsidRPr="00000000" w14:paraId="000000C0">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Secondary Outcomes</w:t>
            </w:r>
          </w:p>
        </w:tc>
        <w:tc>
          <w:tcPr>
            <w:tcBorders>
              <w:top w:color="cccccc" w:space="0" w:sz="6" w:val="single"/>
              <w:left w:color="cccccc" w:space="0" w:sz="6" w:val="single"/>
              <w:bottom w:color="cccccc" w:space="0" w:sz="6" w:val="single"/>
              <w:right w:color="cccccc" w:space="0" w:sz="6" w:val="single"/>
            </w:tcBorders>
            <w:shd w:fill="d9d9d9" w:val="clear"/>
            <w:tcMar>
              <w:top w:w="40.0" w:type="dxa"/>
              <w:left w:w="40.0" w:type="dxa"/>
              <w:bottom w:w="40.0" w:type="dxa"/>
              <w:right w:w="40.0" w:type="dxa"/>
            </w:tcMar>
            <w:vAlign w:val="center"/>
          </w:tcPr>
          <w:p w:rsidR="00000000" w:rsidDel="00000000" w:rsidP="00000000" w:rsidRDefault="00000000" w:rsidRPr="00000000" w14:paraId="000000C1">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Tools and Measurements</w:t>
            </w:r>
          </w:p>
        </w:tc>
        <w:tc>
          <w:tcPr>
            <w:tcBorders>
              <w:top w:color="cccccc" w:space="0" w:sz="6" w:val="single"/>
              <w:left w:color="cccccc" w:space="0" w:sz="6" w:val="single"/>
              <w:bottom w:color="cccccc" w:space="0" w:sz="6" w:val="single"/>
              <w:right w:color="cccccc" w:space="0" w:sz="6" w:val="single"/>
            </w:tcBorders>
            <w:shd w:fill="d9d9d9" w:val="clear"/>
            <w:tcMar>
              <w:top w:w="40.0" w:type="dxa"/>
              <w:left w:w="40.0" w:type="dxa"/>
              <w:bottom w:w="40.0" w:type="dxa"/>
              <w:right w:w="40.0" w:type="dxa"/>
            </w:tcMar>
            <w:vAlign w:val="center"/>
          </w:tcPr>
          <w:p w:rsidR="00000000" w:rsidDel="00000000" w:rsidP="00000000" w:rsidRDefault="00000000" w:rsidRPr="00000000" w14:paraId="000000C2">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Observations and Limitations</w:t>
            </w:r>
          </w:p>
        </w:tc>
      </w:tr>
      <w:tr>
        <w:trPr>
          <w:cantSplit w:val="0"/>
          <w:trHeight w:val="2370"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C3">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Ambrose</w:t>
            </w:r>
          </w:p>
          <w:p w:rsidR="00000000" w:rsidDel="00000000" w:rsidP="00000000" w:rsidRDefault="00000000" w:rsidRPr="00000000" w14:paraId="000000C4">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2001</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C5">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C6">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Inpatient</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C7">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C8">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C9">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DSM-IV diagnostic criteria</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CA">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Daily alcohol intake + duration of alcohol use​</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CB">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Severe</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CC">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Inferred Methods (ataxia, eye movement abnormalities, and cognitive performance)</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CD">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Thiamine dose effects on working memory in alcohol-dependent individuals.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CE">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Dosage effects on delayed alternation tasks.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CF">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MMSE, delayed alternation task.</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D0">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High noncompletion rate; small groups; short treatment duration; no clear dose-response relationship.</w:t>
            </w:r>
          </w:p>
        </w:tc>
      </w:tr>
      <w:tr>
        <w:trPr>
          <w:cantSplit w:val="0"/>
          <w:trHeight w:val="2370"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D1">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Baker</w:t>
            </w:r>
          </w:p>
          <w:p w:rsidR="00000000" w:rsidDel="00000000" w:rsidP="00000000" w:rsidRDefault="00000000" w:rsidRPr="00000000" w14:paraId="000000D2">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1976</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D3">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D4">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Inpatient</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D5">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D6">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Liver disease, neurological abnormalities, hypovitaminosis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D7">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Hypovitaminosis, presence of liver and neurological diseases, biomarkers (RBC transketolase activity)</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D8">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D9">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DA">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Inferred Methods (clinical signs: e.g., lateral rectos palsy, confabulation, ataxia, and peripheral neuropathy)</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DB">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Thiamine activity in blood, RBCs, CSF, and urine with lipid-soluble allithiamines.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DC">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Restoration of transketolase activity in alcoholics.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DD">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Thiamine activity assays, RBC transketolase, urine analysis, Ochromonas danica bioassay.</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DE">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Single-center study; predominantly male sample; absorption differences between water- and lipid-soluble thiamines.</w:t>
            </w:r>
          </w:p>
        </w:tc>
      </w:tr>
      <w:tr>
        <w:trPr>
          <w:cantSplit w:val="0"/>
          <w:trHeight w:val="2747.4169921875005"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DF">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Baron</w:t>
            </w:r>
          </w:p>
          <w:p w:rsidR="00000000" w:rsidDel="00000000" w:rsidP="00000000" w:rsidRDefault="00000000" w:rsidRPr="00000000" w14:paraId="000000E0">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2024</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E1">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55.8 ± 14.1</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E2">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Inpatient</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E3">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E4">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E5">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ICD-9 codes to identify alcohol-related diagnoses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E6">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E7">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E8">
            <w:pPr>
              <w:spacing w:line="276" w:lineRule="auto"/>
              <w:jc w:val="center"/>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Inferred Methods (it infers the risk of WE based on patient populations defined by alcohol-related diagnoses (using ICD-9 codes) and elevated alcohol levels (≥80 mg/dL)</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E9">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Prescribing rates of high-dose thiamine in AUD patients.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EA">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Time-to-prescription of high-dose thiamine.</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EB">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EHR-based intervention, Statistical Process Control Charts, Kaplan-Meier plots.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EC">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Single-center design; lack of educational interventions; non-randomized; limited optimal prescribing data.</w:t>
            </w:r>
          </w:p>
        </w:tc>
      </w:tr>
      <w:tr>
        <w:trPr>
          <w:cantSplit w:val="0"/>
          <w:trHeight w:val="3292.565917968751"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ED">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Blackmore</w:t>
            </w:r>
          </w:p>
          <w:p w:rsidR="00000000" w:rsidDel="00000000" w:rsidP="00000000" w:rsidRDefault="00000000" w:rsidRPr="00000000" w14:paraId="000000EE">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2014</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EF">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48,18 ± 21,59</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F0">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Inpatient</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F1">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Suicide attempt (2,5% of sample)</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F2">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Severe trauma injury</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F3">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Blood alcohol level (BAL) testing at admission, with specific thresholds to identify intoxication and assess chronic alcohol use potential. Documentation of a history of alcohol abuse in patient medical records.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F4">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F5">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F6">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Inferred Methods (WE risk, focusing on clinical signs, blood alcohol level (BAL) monitoring, and the administration of thiamine as a preventive measure)</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F7">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Delirium prevention via thiamine prophylaxis in trauma patients.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F8">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incidence in alcohol abuse and malnutrition.</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F9">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Blood alcohol level (BAL), Alberta Trauma Registry, electronic medical records.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FA">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Small subgroup sizes; no standard protocols; electronic documentation issues.</w:t>
            </w:r>
          </w:p>
        </w:tc>
      </w:tr>
      <w:tr>
        <w:trPr>
          <w:cantSplit w:val="0"/>
          <w:trHeight w:val="1926.3574218750005"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FB">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Collet</w:t>
            </w:r>
          </w:p>
          <w:p w:rsidR="00000000" w:rsidDel="00000000" w:rsidP="00000000" w:rsidRDefault="00000000" w:rsidRPr="00000000" w14:paraId="000000FC">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2019</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FD">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FE">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Both</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FF">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00">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01">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General patient history of alcohol consumption, complications like liver disease, or observed cognitive deficits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02">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03">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04">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Inferred Methods (suspected WE based on signs such as malnutrition, cognitive impairment, or alcohol-induced health conditions)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05">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Parenteral thiamine prescribing in alcohol withdrawal patients; effectiveness in complex cases.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06">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Prescription factors (e.g., care center type, practitioner experience).</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07">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Self-administered questionnaire, Caine criteria for WE, statistical tools.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08">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Regional sample; practice/training variability; self-reported data; no standardized criteria across centers.</w:t>
            </w:r>
          </w:p>
        </w:tc>
      </w:tr>
      <w:tr>
        <w:trPr>
          <w:cantSplit w:val="0"/>
          <w:trHeight w:val="3373.476562500001"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09">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Coulbault</w:t>
            </w:r>
          </w:p>
          <w:p w:rsidR="00000000" w:rsidDel="00000000" w:rsidP="00000000" w:rsidRDefault="00000000" w:rsidRPr="00000000" w14:paraId="0000010A">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2019</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0B">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45.2 ± 9.4 (of the AUD group)</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0C">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Both</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0D">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Cognitive impairment</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0E">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0F">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DSM-IV</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10">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AUDIT score</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11">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Severe</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12">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Inferred Methods (The Brief Evaluation of Alcohol-Related Neuropsychological Impairments (BEARNI) and the</w:t>
            </w:r>
          </w:p>
          <w:p w:rsidR="00000000" w:rsidDel="00000000" w:rsidP="00000000" w:rsidRDefault="00000000" w:rsidRPr="00000000" w14:paraId="00000113">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Montreal Cognitive Assessment (MoCA) scores)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14">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Chronic alcohol consumption effects on thiamine metabolites and cognitive deficits.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15">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Thiamine metabolism and neuropsychological relationships.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16">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BEARNI, MoCA, liquid chromatography with fluorimetric detection.</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17">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Small sample; no baseline thiamine levels; dietary variations; unreported prior supplementation.</w:t>
            </w:r>
          </w:p>
        </w:tc>
      </w:tr>
      <w:tr>
        <w:trPr>
          <w:cantSplit w:val="0"/>
          <w:trHeight w:val="2370"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18">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Damsgaard</w:t>
            </w:r>
          </w:p>
          <w:p w:rsidR="00000000" w:rsidDel="00000000" w:rsidP="00000000" w:rsidRDefault="00000000" w:rsidRPr="00000000" w14:paraId="00000119">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2010</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1A">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52.0 ± 7.1</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1B">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Inpatient</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1C">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1D">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1E">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Assessment of alcohol consumption history and withdrawal symptoms during hospital admissions for detoxification</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1F">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20">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21">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Inferred Methods (presence of at least one of the classic triad symptoms)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22">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Incidence of Wernicke's Encephalopathy (WE) symptoms in alcohol withdrawal patients.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23">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Drinking history prior to admission; impact of phenobarbital on WE incidence.</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24">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Clinical examination, phenobarbital dosage, retrospective alcohol consumption history.</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25">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Descriptive study; clinical diagnosis prone to over-reporting; small subset with retrospective drinking data.</w:t>
            </w:r>
          </w:p>
        </w:tc>
      </w:tr>
      <w:tr>
        <w:trPr>
          <w:cantSplit w:val="0"/>
          <w:trHeight w:val="3826.655273437501"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26">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Day</w:t>
            </w:r>
          </w:p>
          <w:p w:rsidR="00000000" w:rsidDel="00000000" w:rsidP="00000000" w:rsidRDefault="00000000" w:rsidRPr="00000000" w14:paraId="00000127">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2015</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28">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29">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Inpatient</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2A">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2B">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2C">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Patients at risk of thiamine deficiency; alcohol use not explicitly stated but inferable as a primary cause due to study context</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2D">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2E">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2F">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Inferred Methods (While the study mentions populations at risk of thiamine deficiency (e.g., alcohol misuse, malnourished patients), it does not describe a formal diagnostic approach or criteria used to confirm WE in these patients.)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30">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Parenteral thiamine prescribing rates across university hospitals.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31">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Protocol impact on prescribing patterns.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32">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Pharmacy information systems.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33">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Limited to Canadian academic hospitals; anonymized data; non-generalizable to non-academic settings.</w:t>
            </w:r>
          </w:p>
        </w:tc>
      </w:tr>
      <w:tr>
        <w:trPr>
          <w:cantSplit w:val="0"/>
          <w:trHeight w:val="1510.2978515625005"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34">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Dingwall</w:t>
            </w:r>
          </w:p>
          <w:p w:rsidR="00000000" w:rsidDel="00000000" w:rsidP="00000000" w:rsidRDefault="00000000" w:rsidRPr="00000000" w14:paraId="00000135">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2022</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36">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 ± 11,55</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37">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Inpatient</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38">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39">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3A">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AUDIT-C &gt; 4</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3B">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Daily alcohol intake + AUDIT-C score</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3C">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Mild</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3D">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Caine Criteria</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3E">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Optimum thiamine dosage for preventing/treating WE and WKS.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3F">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Neurological function improvements (ataxia, oculomotor issues, confusion).</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40">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RUDAS, CogState tests, Story Recall Memory Test, neurological assessments.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41">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High attrition; small symptomatic group; baseline variability; treatment adherence ranged from 39–93%.</w:t>
            </w:r>
          </w:p>
        </w:tc>
      </w:tr>
      <w:tr>
        <w:trPr>
          <w:cantSplit w:val="0"/>
          <w:trHeight w:val="3579.536132812501"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42">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Ferguson</w:t>
            </w:r>
          </w:p>
          <w:p w:rsidR="00000000" w:rsidDel="00000000" w:rsidP="00000000" w:rsidRDefault="00000000" w:rsidRPr="00000000" w14:paraId="00000143">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2000</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44">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42,2</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45">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Inpatient</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46">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47">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Traumatic brain injury (100%)</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48">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Alcohol consumption history recorded in patient notes, including history of drinking prior to injury, breath smelling of alcohol, positive alcometer reading, or positive blood-alcohol level.</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49">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4A">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4B">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Inferred Methods (clinical signs and associated risk factors (e.g., administration of intravenous glucose without thiamine supplementation)</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4C">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Thiamine administration survey in head injury patients at WKS risk.</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4D">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Alcohol history association with administration.</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4E">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Clinical signs (e.g., ataxia, confusion), lab tests (LFTs, hematology), glucose loads, thiamine treatment.</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4F">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protocols; inconsistent thiamine use; retrospective design; small sample; incomplete thiamine status data.</w:t>
            </w:r>
          </w:p>
        </w:tc>
      </w:tr>
      <w:tr>
        <w:trPr>
          <w:cantSplit w:val="0"/>
          <w:trHeight w:val="2115"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50">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Guirguis</w:t>
            </w:r>
          </w:p>
          <w:p w:rsidR="00000000" w:rsidDel="00000000" w:rsidP="00000000" w:rsidRDefault="00000000" w:rsidRPr="00000000" w14:paraId="00000151">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2017</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52">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44,68</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53">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Inpatient</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54">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Anxiety disorders, depressive disorders, bipolar disorders, and psychotic disorders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55">
            <w:pPr>
              <w:spacing w:line="276" w:lineRule="auto"/>
              <w:jc w:val="center"/>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Diabetes, HIV, cancer, dementia, epilepsy, BMI ≥ 40, and chronic renal failure</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56">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Retrospective chart review for evidence of alcohol dependence</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57">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58">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59">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Caine Criteria</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5A">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frequency and management in psychiatric inpatients.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5B">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None explicitly stated.</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5C">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Caine's diagnostic criteria, retrospective chart review.</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5D">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Retrospective; single-site; small sample; high underdiagnosis/undertreatment rates; difficulty in post-discharge follow-up.</w:t>
            </w:r>
          </w:p>
        </w:tc>
      </w:tr>
      <w:tr>
        <w:trPr>
          <w:cantSplit w:val="0"/>
          <w:trHeight w:val="3900"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5E">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Isenberg-Grzeda</w:t>
            </w:r>
          </w:p>
          <w:p w:rsidR="00000000" w:rsidDel="00000000" w:rsidP="00000000" w:rsidRDefault="00000000" w:rsidRPr="00000000" w14:paraId="0000015F">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2014</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60">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49 ± 6,5</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61">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Inpatient</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62">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 of the patients had neuro/psychiatric comorbidities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63">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cardiovascular (28.4%), metabolic (18.0%), gastrointestinal (17.5%), infectious (16.9%), hepatic (15.8%), and respiratory (8.7%</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64">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Referred to addiction psychiatry service for AUD</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65">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66">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67">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Inferred Methods (patients with alcohol use disorders and high-risk individuals based on comorbid conditions like alcohol intoxication, withdrawal, or delirium tremens)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68">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Thiamine prescribing for inpatients with AUD.</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69">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None mentioned.</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6A">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Medical records analysis, Chi-square tests.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6B">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Single hospital; no U.S. thiamine dosing guidelines; small sample relative to national scope.</w:t>
            </w:r>
          </w:p>
        </w:tc>
      </w:tr>
      <w:tr>
        <w:trPr>
          <w:cantSplit w:val="0"/>
          <w:trHeight w:val="2370"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6C">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Lin</w:t>
            </w:r>
          </w:p>
          <w:p w:rsidR="00000000" w:rsidDel="00000000" w:rsidP="00000000" w:rsidRDefault="00000000" w:rsidRPr="00000000" w14:paraId="0000016D">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2019</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6E">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 ± 13</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6F">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Inpatient</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70">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affective disorder (91%) and schizophrenia spectrum disorder (3%)​</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71">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Charlson comorbidity score 2,3 in Caine positive group</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72">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Patients from an inpatient psychiatric unit with history of alcohol use</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73">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AUDIT score</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74">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Severe</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75">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Caine Criteria</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76">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Prevalence of Caine-positive WKS among psychiatric inpatients; neurocognitive improvement post-IV thiamine.</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77">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Frequency of substance use and related memory/coordination impairments.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78">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MoCA, 5-item delayed recall, gait/coordination tests, oculomotor examination.</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79">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Small sample size; single-center study; self-reported substance use; no diagnostic biomarkers; underreporting likely.</w:t>
            </w:r>
          </w:p>
        </w:tc>
      </w:tr>
      <w:tr>
        <w:trPr>
          <w:cantSplit w:val="0"/>
          <w:trHeight w:val="3390"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7A">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Linder</w:t>
            </w:r>
          </w:p>
          <w:p w:rsidR="00000000" w:rsidDel="00000000" w:rsidP="00000000" w:rsidRDefault="00000000" w:rsidRPr="00000000" w14:paraId="0000017B">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2018</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7C">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 ± 11,5</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7D">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Inpatient</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7E">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Major depressive disorder (25%), Anxiety disorder (14%)</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7F">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Gastrointestinal disease or procedure - Cancer - Conditions with recurrent vomiting - Malnourished states - Neurocognitive deficits - Systemic disease (eg, HIV/AIDS)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80">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ICD-9</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81">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82">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83">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Caine Criteria</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84">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Thiamine use characterization in AUD patients and WE risk evaluation.</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85">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None explicitly stated.</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86">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Retrospective chart review, χ² analysis, ICD-9 coding.</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87">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Small parenteral group; retrospective design; no baseline thiamine levels; psychiatric patients only.</w:t>
            </w:r>
          </w:p>
        </w:tc>
      </w:tr>
      <w:tr>
        <w:trPr>
          <w:cantSplit w:val="0"/>
          <w:trHeight w:val="2370"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88">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McIntosh</w:t>
            </w:r>
          </w:p>
          <w:p w:rsidR="00000000" w:rsidDel="00000000" w:rsidP="00000000" w:rsidRDefault="00000000" w:rsidRPr="00000000" w14:paraId="00000189">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2005</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8A">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*41-50 (median)</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8B">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Inpatient</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8C">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8D">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8E">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Retrospective chart review of inpatients admitted to the Alcohol Problems Clinic for alcohol detoxification</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8F">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90">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91">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Classic/ICD Criteria</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92">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Adherence to thiamine guidelines post-intervention.</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93">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Improved outcomes in WKS risk patients.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94">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Case note audits, logistic regression, symptom records.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95">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Retrospective case-note study; likely underestimation of need; population differences; small sample size.</w:t>
            </w:r>
          </w:p>
        </w:tc>
      </w:tr>
      <w:tr>
        <w:trPr>
          <w:cantSplit w:val="0"/>
          <w:trHeight w:val="2625"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96">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Mifsud</w:t>
            </w:r>
          </w:p>
          <w:p w:rsidR="00000000" w:rsidDel="00000000" w:rsidP="00000000" w:rsidRDefault="00000000" w:rsidRPr="00000000" w14:paraId="00000197">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2022</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98">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 (49-64) (median, Q1-Q3)</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99">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Inpatient</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9A">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Mood disorders (12,5%)</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9B">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88% of patients had at least one comorbidity, including liver, lung, heart, kidney, pancreatic, neurological, or psychiatric diseases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9C">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History of alcohol use documented in medical records, assessed retrospectively during case review</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9D">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9E">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9F">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Caine criteria</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A0">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Clinical and radiological heterogeneity in thiamine deficiency.</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A1">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Neurological and systemic symptom evaluation.</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A2">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Brain MRI, clinical criteria, nutritional assessment (BMI, serum albumin).</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A3">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Single-center retrospective design; variability in thiamine protocols; limited statistical power.</w:t>
            </w:r>
          </w:p>
        </w:tc>
      </w:tr>
      <w:tr>
        <w:trPr>
          <w:cantSplit w:val="0"/>
          <w:trHeight w:val="2370"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A4">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Nakamura</w:t>
            </w:r>
          </w:p>
          <w:p w:rsidR="00000000" w:rsidDel="00000000" w:rsidP="00000000" w:rsidRDefault="00000000" w:rsidRPr="00000000" w14:paraId="000001A5">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2018</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A6">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 ± 14</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A7">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Inpatient</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A8">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A9">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AA">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Patients at risk of thiamine deficiency; alcohol use not explicitly stated but inferable as a primary cause due to study context</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AB">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AC">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AD">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Inferred Methods (altered mental status)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AE">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Thiamine prescribing practices and outcomes in encephalopathy patients.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AF">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HDIV thiamine association with clinical characteristics and mortality.</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B0">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Electronic medical records, logistic regression, Chi-square tests.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B1">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Retrospective; few receiving guideline-concordant doses; potential unmeasured confounders.</w:t>
            </w:r>
          </w:p>
        </w:tc>
      </w:tr>
      <w:tr>
        <w:trPr>
          <w:cantSplit w:val="0"/>
          <w:trHeight w:val="3900"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B2">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Novo-Veleiro</w:t>
            </w:r>
          </w:p>
          <w:p w:rsidR="00000000" w:rsidDel="00000000" w:rsidP="00000000" w:rsidRDefault="00000000" w:rsidRPr="00000000" w14:paraId="000001B3">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2023</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B4">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54.6 years (range 20.9–89.0 years)* median</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B5">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Inpatient</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B6">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B7">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Malnutrition (30.4%), folic acid deficiency (34.7%), and other deficiencies are highlighted.</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B8">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High-risk alcohol consumption (&gt;28 SDU/week or 280 g ethanol/week for men and &gt;17 SDU/week or 170 g ethanol/week for women) or active alcohol consumption with a previously established diagnosis.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B9">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BA">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BB">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Caine criteria</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BC">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Thiamine dosage, frequency, and administration effects on WE recovery/mortality.</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BD">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Clinical features (e.g., altered mental status, folic acid deficiency) and outcomes.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BE">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Caine criteria, MRI, biochemical markers, ICD coding, statistical analysis (χ² test, logistic regression).</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BF">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Retrospective design; treatment variability; bias toward severe cases; no long-term follow-up.</w:t>
            </w:r>
          </w:p>
        </w:tc>
      </w:tr>
      <w:tr>
        <w:trPr>
          <w:cantSplit w:val="0"/>
          <w:trHeight w:val="2625"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C0">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Ramayya</w:t>
            </w:r>
          </w:p>
          <w:p w:rsidR="00000000" w:rsidDel="00000000" w:rsidP="00000000" w:rsidRDefault="00000000" w:rsidRPr="00000000" w14:paraId="000001C1">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1997</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C2">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53,4 ± 8,78</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C3">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Inpatient</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C4">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C5">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C6">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Patient case records, including alcohol histories, medical histories, psychiatric histories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C7">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C8">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C9">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Classic/ICD Criteria</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CA">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Korsakoff's psychosis incidence and characteristics in Glasgow (1990-1995).</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CB">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Male-to-female ratio, response to treatment, alcohol consumption patterns.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CC">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ICD-9/ICD-10, DSM-IV criteria, demographic and clinical records (SMR).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CD">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Retrospective; small catchment area; underdiagnosis likely; limited nutritional data; anaphylaxis concerns with parenteral thiamine.</w:t>
            </w:r>
          </w:p>
        </w:tc>
      </w:tr>
      <w:tr>
        <w:trPr>
          <w:cantSplit w:val="0"/>
          <w:trHeight w:val="2370"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CE">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Rees</w:t>
            </w:r>
          </w:p>
          <w:p w:rsidR="00000000" w:rsidDel="00000000" w:rsidP="00000000" w:rsidRDefault="00000000" w:rsidRPr="00000000" w14:paraId="000001CF">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2013</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D0">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43,3</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D1">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Inpatient</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D2">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D3">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mention factors such as diabetic status and liver function test results but does not explicitly report non-psychiatric comorbidities.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D4">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DSM-IV</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D5">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Daily alcohol intake</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D6">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Severe</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D7">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Inferred Methods (blood thiamine level tests)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D8">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Mandatory thiamine enrichment impact on blood levels in alcohol-dependent individuals.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D9">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Dietary intake, supplementation, and blood thiamine levels.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DA">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HPLC, dietary interviews, blood tests.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DB">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Small control group (n=20); dietary intake not quantified; alcohol effects on thiamine uptake not addressed.</w:t>
            </w:r>
          </w:p>
        </w:tc>
      </w:tr>
      <w:tr>
        <w:trPr>
          <w:cantSplit w:val="0"/>
          <w:trHeight w:val="1605"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DC">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Sgouros</w:t>
            </w:r>
          </w:p>
          <w:p w:rsidR="00000000" w:rsidDel="00000000" w:rsidP="00000000" w:rsidRDefault="00000000" w:rsidRPr="00000000" w14:paraId="000001DD">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2004</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DE">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42,36 ± 11,65</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DF">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Inpatient</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E0">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E1">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86.2% presented with clinical and/or laboratory evidence of liver dysfunction</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E2">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ICD-10</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E3">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SADQ + MAST scores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E4">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Severe</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E5">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Inferred Methods (red blood cell thiamine)</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E6">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Development of the Thiamine Deficiency Questionnaire (TDQ).</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E7">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TDQ predictive power and impact of nutritional/clinical variables.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E8">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TPP concentration (HPLC), MAST, BMI, GGT.</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E9">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Small sample (n=58); single-center; requires validation in larger populations.</w:t>
            </w:r>
          </w:p>
        </w:tc>
      </w:tr>
      <w:tr>
        <w:trPr>
          <w:cantSplit w:val="0"/>
          <w:trHeight w:val="1605"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EA">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Silva</w:t>
            </w:r>
          </w:p>
          <w:p w:rsidR="00000000" w:rsidDel="00000000" w:rsidP="00000000" w:rsidRDefault="00000000" w:rsidRPr="00000000" w14:paraId="000001EB">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2023</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EC">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 ± 13,3</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ED">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Inpatient</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EE">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EF">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Liver steatosis, steatohepatitis, cirrhosis, peripheral neuropathy</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F0">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Consumption of more than 280-g alcohol/week for men and 170-g alcohol/week for women</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F1">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F2">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F3">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Caine criteria</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F4">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Timing of imaging and thiamine replacement effects on MRI findings in WE.</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F5">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Correlation between poor diet and specific MRI hyperintensities.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F6">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MRI, clinical data, statistical models (Kolmogorov–Smirnov test).</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F7">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Retrospective design; small sample size; single-center data; variable MRI protocols.</w:t>
            </w:r>
          </w:p>
        </w:tc>
      </w:tr>
      <w:tr>
        <w:trPr>
          <w:cantSplit w:val="0"/>
          <w:trHeight w:val="2625"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F8">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Sinclair</w:t>
            </w:r>
          </w:p>
          <w:p w:rsidR="00000000" w:rsidDel="00000000" w:rsidP="00000000" w:rsidRDefault="00000000" w:rsidRPr="00000000" w14:paraId="000001F9">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2023</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FA">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 (median)</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FB">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Inpatient</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FC">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mood disorders (28%), personality disorders (22%), and neurotic disorders (19%)</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FD">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Alcohol-related liver disease (13%), Epilepsy (1%), Sleep disorders (1%)</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FE">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ICD-10</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FF">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Daily alcohol intake + duration of alcohol use​</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00">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01">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Inferred Methods (clinical signs and symptoms documented in patient records, such as disorientation/confusion, ataxia, and ophthalmoplegia/nystagmus)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02">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Comparison of MAAW in mental health vs. addiction units.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03">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Evidence-based practices in MAAW (e.g., thiamine use, relapse prevention).</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04">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Clinical records audit, SPSS data analysis, bespoke data collection tool.</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05">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Small subgroups; reliance on documentation; potential bias; non-generalizable outside UK.</w:t>
            </w:r>
          </w:p>
        </w:tc>
      </w:tr>
      <w:tr>
        <w:trPr>
          <w:cantSplit w:val="0"/>
          <w:trHeight w:val="1499.23828125"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06">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Talbot</w:t>
            </w:r>
          </w:p>
          <w:p w:rsidR="00000000" w:rsidDel="00000000" w:rsidP="00000000" w:rsidRDefault="00000000" w:rsidRPr="00000000" w14:paraId="00000207">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2011</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08">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42,5 ± 7,56</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09">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Inpatient</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0A">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0B">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Cirrhosis in 1 case</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0C">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CAGE</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0D">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CIWAr score</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0E">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Mild-Moderate</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0F">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Classic/ICD Criteria</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10">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Efficacy of oral thiamine in preventing WE in alcohol withdrawal.</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11">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Time-to-treatment impact and therapy compliance.</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12">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CIWA-AR score, CAGE assessment, random glucose, urine ketones.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13">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Small sample; single-center jail setting; protocol adherence impacts results.</w:t>
            </w:r>
          </w:p>
        </w:tc>
      </w:tr>
      <w:tr>
        <w:trPr>
          <w:cantSplit w:val="0"/>
          <w:trHeight w:val="5513.774414062501"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14">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Tallaksen</w:t>
            </w:r>
          </w:p>
          <w:p w:rsidR="00000000" w:rsidDel="00000000" w:rsidP="00000000" w:rsidRDefault="00000000" w:rsidRPr="00000000" w14:paraId="00000215">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1992</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16">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17">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Inpatient</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18">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19">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chronic pancreatitis (4), alcoholic cirrhosis (3), alcoholic fatty liver(2), esophagitis (I), seizures (I), delirium tremens (2), diabetes (4), polyneuropathy (15), stroke (I), alcoholic dementia (I), congestive heart failure (3), epilepsy (I), chronic obstructive respiratory disease (I), and pneumonia (I).</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1A">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Patients fulfilled the criteria for alcohol dependence syndrome, but the framework or reference (e.g., DSM or ICD) was not explicitly stated.</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1B">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1C">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1D">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Classic/ICD Criteria</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1E">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Thiamine/phosphate ester concentrations pre-/post-treatment.</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1F">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Clinical condition associations (e.g., polyneuropathy, WE).</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20">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HPLC, biochemical assays, clinical history/examinations.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21">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Small sample; retrospective; baseline thiamine variability; no long-term follow-up.</w:t>
            </w:r>
          </w:p>
        </w:tc>
      </w:tr>
      <w:tr>
        <w:trPr>
          <w:cantSplit w:val="0"/>
          <w:trHeight w:val="2595"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22">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Wood</w:t>
            </w:r>
          </w:p>
          <w:p w:rsidR="00000000" w:rsidDel="00000000" w:rsidP="00000000" w:rsidRDefault="00000000" w:rsidRPr="00000000" w14:paraId="00000223">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1977</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24">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49,7 ± 10</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25">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Inpatient</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26">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27">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30.1% had liver disease.</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28">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Chronic alcohol intake assessed as greater than 100 grams of ethanol per day.</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29">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Daily alcohol intake + alcohol-related comorbities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2A">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Severe</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2B">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Classic/ICD Criteria</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2C">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Biochemical evidence of thiamine deficiency in alcoholics.</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2D">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incidence (11.3%).</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2E">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Erythrocyte transketolase assay, thiamine pyrophosphate effect, urinary thiamine excretion.</w:t>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2F">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Limited to chronic alcoholics; single-site study; no age/sex-matched controls; difficulty correlating TPP effect.</w:t>
            </w:r>
          </w:p>
        </w:tc>
      </w:tr>
    </w:tbl>
    <w:p w:rsidR="00000000" w:rsidDel="00000000" w:rsidP="00000000" w:rsidRDefault="00000000" w:rsidRPr="00000000" w14:paraId="00000230">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Table C. Risk of Bias—Cohort Studies (Newcastle–Ottawa Scale)</w:t>
      </w:r>
    </w:p>
    <w:p w:rsidR="00000000" w:rsidDel="00000000" w:rsidP="00000000" w:rsidRDefault="00000000" w:rsidRPr="00000000" w14:paraId="00000231">
      <w:pPr>
        <w:spacing w:line="276" w:lineRule="auto"/>
        <w:rPr>
          <w:rFonts w:ascii="Times New Roman" w:cs="Times New Roman" w:eastAsia="Times New Roman" w:hAnsi="Times New Roman"/>
          <w:b w:val="1"/>
          <w:bCs w:val="1"/>
          <w:sz w:val="24"/>
          <w:szCs w:val="24"/>
        </w:rPr>
      </w:pPr>
      <w:r w:rsidDel="00000000" w:rsidR="00000000" w:rsidRPr="00000000">
        <w:rPr>
          <w:rtl w:val="0"/>
        </w:rPr>
      </w:r>
    </w:p>
    <w:tbl>
      <w:tblPr>
        <w:tblStyle w:val="Table3"/>
        <w:tblW w:w="10420.0" w:type="dxa"/>
        <w:jc w:val="left"/>
        <w:tblLayout w:type="fixed"/>
        <w:tblLook w:val="0600"/>
      </w:tblPr>
      <w:tblGrid>
        <w:gridCol w:w="800"/>
        <w:gridCol w:w="800"/>
        <w:gridCol w:w="800"/>
        <w:gridCol w:w="800"/>
        <w:gridCol w:w="980"/>
        <w:gridCol w:w="640"/>
        <w:gridCol w:w="1120"/>
        <w:gridCol w:w="400"/>
        <w:gridCol w:w="880"/>
        <w:gridCol w:w="800"/>
        <w:gridCol w:w="800"/>
        <w:gridCol w:w="800"/>
        <w:gridCol w:w="800"/>
        <w:tblGridChange w:id="0">
          <w:tblGrid>
            <w:gridCol w:w="800"/>
            <w:gridCol w:w="800"/>
            <w:gridCol w:w="800"/>
            <w:gridCol w:w="800"/>
            <w:gridCol w:w="980"/>
            <w:gridCol w:w="640"/>
            <w:gridCol w:w="1120"/>
            <w:gridCol w:w="400"/>
            <w:gridCol w:w="880"/>
            <w:gridCol w:w="800"/>
            <w:gridCol w:w="800"/>
            <w:gridCol w:w="800"/>
            <w:gridCol w:w="800"/>
          </w:tblGrid>
        </w:tblGridChange>
      </w:tblGrid>
      <w:tr>
        <w:trPr>
          <w:cantSplit w:val="0"/>
          <w:trHeight w:val="315" w:hRule="atLeast"/>
          <w:tblHeader w:val="0"/>
        </w:trPr>
        <w:tc>
          <w:tcPr>
            <w:tcBorders>
              <w:bottom w:color="000000" w:space="0" w:sz="12" w:val="single"/>
            </w:tcBorders>
            <w:tcMar>
              <w:top w:w="40.0" w:type="dxa"/>
              <w:left w:w="40.0" w:type="dxa"/>
              <w:bottom w:w="40.0" w:type="dxa"/>
              <w:right w:w="40.0" w:type="dxa"/>
            </w:tcMar>
            <w:vAlign w:val="bottom"/>
          </w:tcPr>
          <w:p w:rsidR="00000000" w:rsidDel="00000000" w:rsidP="00000000" w:rsidRDefault="00000000" w:rsidRPr="00000000" w14:paraId="00000232">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gridSpan w:val="4"/>
            <w:tcBorders>
              <w:bottom w:color="000000" w:space="0" w:sz="12" w:val="single"/>
            </w:tcBorders>
            <w:tcMar>
              <w:top w:w="40.0" w:type="dxa"/>
              <w:left w:w="40.0" w:type="dxa"/>
              <w:bottom w:w="40.0" w:type="dxa"/>
              <w:right w:w="40.0" w:type="dxa"/>
            </w:tcMar>
            <w:vAlign w:val="bottom"/>
          </w:tcPr>
          <w:p w:rsidR="00000000" w:rsidDel="00000000" w:rsidP="00000000" w:rsidRDefault="00000000" w:rsidRPr="00000000" w14:paraId="00000233">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Selection</w:t>
            </w:r>
            <w:r w:rsidDel="00000000" w:rsidR="00000000" w:rsidRPr="00000000">
              <w:rPr>
                <w:rtl w:val="0"/>
              </w:rPr>
            </w:r>
          </w:p>
        </w:tc>
        <w:tc>
          <w:tcPr>
            <w:tcBorders>
              <w:bottom w:color="000000" w:space="0" w:sz="12" w:val="single"/>
            </w:tcBorders>
            <w:shd w:fill="auto" w:val="clear"/>
            <w:tcMar>
              <w:top w:w="40.0" w:type="dxa"/>
              <w:left w:w="40.0" w:type="dxa"/>
              <w:bottom w:w="40.0" w:type="dxa"/>
              <w:right w:w="40.0" w:type="dxa"/>
            </w:tcMar>
            <w:vAlign w:val="bottom"/>
          </w:tcPr>
          <w:p w:rsidR="00000000" w:rsidDel="00000000" w:rsidP="00000000" w:rsidRDefault="00000000" w:rsidRPr="00000000" w14:paraId="00000237">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tcBorders>
              <w:bottom w:color="000000" w:space="0" w:sz="12" w:val="single"/>
            </w:tcBorders>
            <w:shd w:fill="auto" w:val="clear"/>
            <w:tcMar>
              <w:top w:w="40.0" w:type="dxa"/>
              <w:left w:w="40.0" w:type="dxa"/>
              <w:bottom w:w="40.0" w:type="dxa"/>
              <w:right w:w="40.0" w:type="dxa"/>
            </w:tcMar>
            <w:vAlign w:val="bottom"/>
          </w:tcPr>
          <w:p w:rsidR="00000000" w:rsidDel="00000000" w:rsidP="00000000" w:rsidRDefault="00000000" w:rsidRPr="00000000" w14:paraId="00000238">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Comparability</w:t>
            </w:r>
            <w:r w:rsidDel="00000000" w:rsidR="00000000" w:rsidRPr="00000000">
              <w:rPr>
                <w:rtl w:val="0"/>
              </w:rPr>
            </w:r>
          </w:p>
        </w:tc>
        <w:tc>
          <w:tcPr>
            <w:tcBorders>
              <w:bottom w:color="000000" w:space="0" w:sz="12" w:val="single"/>
            </w:tcBorders>
            <w:shd w:fill="auto" w:val="clear"/>
            <w:tcMar>
              <w:top w:w="40.0" w:type="dxa"/>
              <w:left w:w="40.0" w:type="dxa"/>
              <w:bottom w:w="40.0" w:type="dxa"/>
              <w:right w:w="40.0" w:type="dxa"/>
            </w:tcMar>
            <w:vAlign w:val="bottom"/>
          </w:tcPr>
          <w:p w:rsidR="00000000" w:rsidDel="00000000" w:rsidP="00000000" w:rsidRDefault="00000000" w:rsidRPr="00000000" w14:paraId="00000239">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gridSpan w:val="3"/>
            <w:tcBorders>
              <w:bottom w:color="000000" w:space="0" w:sz="12" w:val="single"/>
            </w:tcBorders>
            <w:shd w:fill="auto" w:val="clear"/>
            <w:tcMar>
              <w:top w:w="40.0" w:type="dxa"/>
              <w:left w:w="40.0" w:type="dxa"/>
              <w:bottom w:w="40.0" w:type="dxa"/>
              <w:right w:w="40.0" w:type="dxa"/>
            </w:tcMar>
            <w:vAlign w:val="bottom"/>
          </w:tcPr>
          <w:p w:rsidR="00000000" w:rsidDel="00000000" w:rsidP="00000000" w:rsidRDefault="00000000" w:rsidRPr="00000000" w14:paraId="0000023A">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Outcome</w:t>
            </w:r>
            <w:r w:rsidDel="00000000" w:rsidR="00000000" w:rsidRPr="00000000">
              <w:rPr>
                <w:rtl w:val="0"/>
              </w:rPr>
            </w:r>
          </w:p>
        </w:tc>
        <w:tc>
          <w:tcPr>
            <w:tcBorders>
              <w:bottom w:color="000000" w:space="0" w:sz="12" w:val="single"/>
            </w:tcBorders>
            <w:shd w:fill="auto" w:val="clear"/>
            <w:tcMar>
              <w:top w:w="40.0" w:type="dxa"/>
              <w:left w:w="40.0" w:type="dxa"/>
              <w:bottom w:w="40.0" w:type="dxa"/>
              <w:right w:w="40.0" w:type="dxa"/>
            </w:tcMar>
            <w:vAlign w:val="bottom"/>
          </w:tcPr>
          <w:p w:rsidR="00000000" w:rsidDel="00000000" w:rsidP="00000000" w:rsidRDefault="00000000" w:rsidRPr="00000000" w14:paraId="0000023D">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tcBorders>
              <w:bottom w:color="000000" w:space="0" w:sz="12" w:val="single"/>
            </w:tcBorders>
            <w:shd w:fill="auto" w:val="clear"/>
            <w:tcMar>
              <w:top w:w="40.0" w:type="dxa"/>
              <w:left w:w="40.0" w:type="dxa"/>
              <w:bottom w:w="40.0" w:type="dxa"/>
              <w:right w:w="40.0" w:type="dxa"/>
            </w:tcMar>
            <w:vAlign w:val="bottom"/>
          </w:tcPr>
          <w:p w:rsidR="00000000" w:rsidDel="00000000" w:rsidP="00000000" w:rsidRDefault="00000000" w:rsidRPr="00000000" w14:paraId="0000023E">
            <w:pPr>
              <w:widowControl w:val="0"/>
              <w:spacing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15" w:hRule="atLeast"/>
          <w:tblHeader w:val="0"/>
        </w:trPr>
        <w:tc>
          <w:tcPr>
            <w:vMerge w:val="restart"/>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3F">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Study</w:t>
            </w:r>
          </w:p>
        </w:tc>
        <w:tc>
          <w:tcPr>
            <w:vMerge w:val="restart"/>
            <w:tcBorders>
              <w:top w:color="000000" w:space="0" w:sz="12" w:val="single"/>
              <w:bottom w:color="000000" w:space="0" w:sz="6" w:val="single"/>
            </w:tcBorders>
            <w:tcMar>
              <w:top w:w="40.0" w:type="dxa"/>
              <w:left w:w="40.0" w:type="dxa"/>
              <w:bottom w:w="40.0" w:type="dxa"/>
              <w:right w:w="40.0" w:type="dxa"/>
            </w:tcMar>
            <w:vAlign w:val="center"/>
          </w:tcPr>
          <w:p w:rsidR="00000000" w:rsidDel="00000000" w:rsidP="00000000" w:rsidRDefault="00000000" w:rsidRPr="00000000" w14:paraId="00000240">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Representativeness of the exposed cohort</w:t>
            </w:r>
          </w:p>
        </w:tc>
        <w:tc>
          <w:tcPr>
            <w:vMerge w:val="restart"/>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41">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Selection of the non exposed cohort</w:t>
            </w:r>
          </w:p>
        </w:tc>
        <w:tc>
          <w:tcPr>
            <w:vMerge w:val="restart"/>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42">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Ascertainment of exposure</w:t>
            </w:r>
          </w:p>
        </w:tc>
        <w:tc>
          <w:tcPr>
            <w:vMerge w:val="restart"/>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43">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Demonstration that outcome of interest was not present at start of study</w:t>
            </w:r>
          </w:p>
        </w:tc>
        <w:tc>
          <w:tcPr>
            <w:shd w:fill="auto" w:val="clear"/>
            <w:tcMar>
              <w:top w:w="40.0" w:type="dxa"/>
              <w:left w:w="40.0" w:type="dxa"/>
              <w:bottom w:w="40.0" w:type="dxa"/>
              <w:right w:w="40.0" w:type="dxa"/>
            </w:tcMar>
            <w:vAlign w:val="center"/>
          </w:tcPr>
          <w:p w:rsidR="00000000" w:rsidDel="00000000" w:rsidP="00000000" w:rsidRDefault="00000000" w:rsidRPr="00000000" w14:paraId="00000244">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restart"/>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45">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Comparability of cohorts on the basis of the design or analysis</w:t>
            </w:r>
          </w:p>
        </w:tc>
        <w:tc>
          <w:tcPr>
            <w:shd w:fill="auto" w:val="clear"/>
            <w:tcMar>
              <w:top w:w="40.0" w:type="dxa"/>
              <w:left w:w="40.0" w:type="dxa"/>
              <w:bottom w:w="40.0" w:type="dxa"/>
              <w:right w:w="40.0" w:type="dxa"/>
            </w:tcMar>
            <w:vAlign w:val="center"/>
          </w:tcPr>
          <w:p w:rsidR="00000000" w:rsidDel="00000000" w:rsidP="00000000" w:rsidRDefault="00000000" w:rsidRPr="00000000" w14:paraId="00000246">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restart"/>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47">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Assessment of the outcome</w:t>
            </w:r>
          </w:p>
        </w:tc>
        <w:tc>
          <w:tcPr>
            <w:vMerge w:val="restart"/>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48">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follow-up long enough for outcomes to occur</w:t>
            </w:r>
          </w:p>
        </w:tc>
        <w:tc>
          <w:tcPr>
            <w:vMerge w:val="restart"/>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49">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Adequacy of follow up of cohorts</w:t>
            </w:r>
          </w:p>
        </w:tc>
        <w:tc>
          <w:tcPr>
            <w:shd w:fill="auto" w:val="clear"/>
            <w:tcMar>
              <w:top w:w="40.0" w:type="dxa"/>
              <w:left w:w="40.0" w:type="dxa"/>
              <w:bottom w:w="40.0" w:type="dxa"/>
              <w:right w:w="40.0" w:type="dxa"/>
            </w:tcMar>
            <w:vAlign w:val="center"/>
          </w:tcPr>
          <w:p w:rsidR="00000000" w:rsidDel="00000000" w:rsidP="00000000" w:rsidRDefault="00000000" w:rsidRPr="00000000" w14:paraId="0000024A">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restart"/>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4B">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 stars</w:t>
            </w:r>
          </w:p>
        </w:tc>
      </w:tr>
      <w:tr>
        <w:trPr>
          <w:cantSplit w:val="0"/>
          <w:trHeight w:val="315" w:hRule="atLeast"/>
          <w:tblHeader w:val="0"/>
        </w:trPr>
        <w:tc>
          <w:tcPr>
            <w:vMerge w:val="continue"/>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4C">
            <w:pPr>
              <w:widowControl w:val="0"/>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12" w:val="single"/>
              <w:bottom w:color="000000" w:space="0" w:sz="6" w:val="single"/>
            </w:tcBorders>
            <w:tcMar>
              <w:top w:w="40.0" w:type="dxa"/>
              <w:left w:w="40.0" w:type="dxa"/>
              <w:bottom w:w="40.0" w:type="dxa"/>
              <w:right w:w="40.0" w:type="dxa"/>
            </w:tcMar>
            <w:vAlign w:val="center"/>
          </w:tcPr>
          <w:p w:rsidR="00000000" w:rsidDel="00000000" w:rsidP="00000000" w:rsidRDefault="00000000" w:rsidRPr="00000000" w14:paraId="0000024D">
            <w:pPr>
              <w:widowControl w:val="0"/>
              <w:rPr>
                <w:rFonts w:ascii="Times New Roman" w:cs="Times New Roman" w:eastAsia="Times New Roman" w:hAnsi="Times New Roman"/>
                <w:sz w:val="24"/>
                <w:szCs w:val="24"/>
              </w:rPr>
            </w:pPr>
            <w:r w:rsidDel="00000000" w:rsidR="00000000" w:rsidRPr="00000000">
              <w:rPr>
                <w:rtl w:val="0"/>
              </w:rPr>
            </w:r>
          </w:p>
        </w:tc>
        <w:tc>
          <w:tcPr>
            <w:vMerge w:val="continue"/>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4E">
            <w:pPr>
              <w:widowControl w:val="0"/>
              <w:rPr>
                <w:rFonts w:ascii="Times New Roman" w:cs="Times New Roman" w:eastAsia="Times New Roman" w:hAnsi="Times New Roman"/>
                <w:sz w:val="24"/>
                <w:szCs w:val="24"/>
              </w:rPr>
            </w:pPr>
            <w:r w:rsidDel="00000000" w:rsidR="00000000" w:rsidRPr="00000000">
              <w:rPr>
                <w:rtl w:val="0"/>
              </w:rPr>
            </w:r>
          </w:p>
        </w:tc>
        <w:tc>
          <w:tcPr>
            <w:vMerge w:val="continue"/>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4F">
            <w:pPr>
              <w:widowControl w:val="0"/>
              <w:rPr>
                <w:rFonts w:ascii="Times New Roman" w:cs="Times New Roman" w:eastAsia="Times New Roman" w:hAnsi="Times New Roman"/>
                <w:sz w:val="24"/>
                <w:szCs w:val="24"/>
              </w:rPr>
            </w:pPr>
            <w:r w:rsidDel="00000000" w:rsidR="00000000" w:rsidRPr="00000000">
              <w:rPr>
                <w:rtl w:val="0"/>
              </w:rPr>
            </w:r>
          </w:p>
        </w:tc>
        <w:tc>
          <w:tcPr>
            <w:vMerge w:val="continue"/>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50">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51">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continue"/>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52">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53">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continue"/>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54">
            <w:pPr>
              <w:widowControl w:val="0"/>
              <w:rPr>
                <w:rFonts w:ascii="Times New Roman" w:cs="Times New Roman" w:eastAsia="Times New Roman" w:hAnsi="Times New Roman"/>
                <w:sz w:val="24"/>
                <w:szCs w:val="24"/>
              </w:rPr>
            </w:pPr>
            <w:r w:rsidDel="00000000" w:rsidR="00000000" w:rsidRPr="00000000">
              <w:rPr>
                <w:rtl w:val="0"/>
              </w:rPr>
            </w:r>
          </w:p>
        </w:tc>
        <w:tc>
          <w:tcPr>
            <w:vMerge w:val="continue"/>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55">
            <w:pPr>
              <w:widowControl w:val="0"/>
              <w:rPr>
                <w:rFonts w:ascii="Times New Roman" w:cs="Times New Roman" w:eastAsia="Times New Roman" w:hAnsi="Times New Roman"/>
                <w:sz w:val="24"/>
                <w:szCs w:val="24"/>
              </w:rPr>
            </w:pPr>
            <w:r w:rsidDel="00000000" w:rsidR="00000000" w:rsidRPr="00000000">
              <w:rPr>
                <w:rtl w:val="0"/>
              </w:rPr>
            </w:r>
          </w:p>
        </w:tc>
        <w:tc>
          <w:tcPr>
            <w:vMerge w:val="continue"/>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56">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57">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continue"/>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58">
            <w:pPr>
              <w:widowControl w:val="0"/>
              <w:rPr>
                <w:rFonts w:ascii="Times New Roman" w:cs="Times New Roman" w:eastAsia="Times New Roman" w:hAnsi="Times New Roman"/>
                <w:sz w:val="24"/>
                <w:szCs w:val="24"/>
              </w:rPr>
            </w:pPr>
            <w:r w:rsidDel="00000000" w:rsidR="00000000" w:rsidRPr="00000000">
              <w:rPr>
                <w:rtl w:val="0"/>
              </w:rPr>
            </w:r>
          </w:p>
        </w:tc>
      </w:tr>
      <w:tr>
        <w:trPr>
          <w:cantSplit w:val="0"/>
          <w:trHeight w:val="315" w:hRule="atLeast"/>
          <w:tblHeader w:val="0"/>
        </w:trPr>
        <w:tc>
          <w:tcPr>
            <w:vMerge w:val="continue"/>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59">
            <w:pPr>
              <w:widowControl w:val="0"/>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12" w:val="single"/>
              <w:bottom w:color="000000" w:space="0" w:sz="6" w:val="single"/>
            </w:tcBorders>
            <w:tcMar>
              <w:top w:w="40.0" w:type="dxa"/>
              <w:left w:w="40.0" w:type="dxa"/>
              <w:bottom w:w="40.0" w:type="dxa"/>
              <w:right w:w="40.0" w:type="dxa"/>
            </w:tcMar>
            <w:vAlign w:val="center"/>
          </w:tcPr>
          <w:p w:rsidR="00000000" w:rsidDel="00000000" w:rsidP="00000000" w:rsidRDefault="00000000" w:rsidRPr="00000000" w14:paraId="0000025A">
            <w:pPr>
              <w:widowControl w:val="0"/>
              <w:rPr>
                <w:rFonts w:ascii="Times New Roman" w:cs="Times New Roman" w:eastAsia="Times New Roman" w:hAnsi="Times New Roman"/>
                <w:sz w:val="24"/>
                <w:szCs w:val="24"/>
              </w:rPr>
            </w:pPr>
            <w:r w:rsidDel="00000000" w:rsidR="00000000" w:rsidRPr="00000000">
              <w:rPr>
                <w:rtl w:val="0"/>
              </w:rPr>
            </w:r>
          </w:p>
        </w:tc>
        <w:tc>
          <w:tcPr>
            <w:vMerge w:val="continue"/>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5B">
            <w:pPr>
              <w:widowControl w:val="0"/>
              <w:rPr>
                <w:rFonts w:ascii="Times New Roman" w:cs="Times New Roman" w:eastAsia="Times New Roman" w:hAnsi="Times New Roman"/>
                <w:sz w:val="24"/>
                <w:szCs w:val="24"/>
              </w:rPr>
            </w:pPr>
            <w:r w:rsidDel="00000000" w:rsidR="00000000" w:rsidRPr="00000000">
              <w:rPr>
                <w:rtl w:val="0"/>
              </w:rPr>
            </w:r>
          </w:p>
        </w:tc>
        <w:tc>
          <w:tcPr>
            <w:vMerge w:val="continue"/>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5C">
            <w:pPr>
              <w:widowControl w:val="0"/>
              <w:rPr>
                <w:rFonts w:ascii="Times New Roman" w:cs="Times New Roman" w:eastAsia="Times New Roman" w:hAnsi="Times New Roman"/>
                <w:sz w:val="24"/>
                <w:szCs w:val="24"/>
              </w:rPr>
            </w:pPr>
            <w:r w:rsidDel="00000000" w:rsidR="00000000" w:rsidRPr="00000000">
              <w:rPr>
                <w:rtl w:val="0"/>
              </w:rPr>
            </w:r>
          </w:p>
        </w:tc>
        <w:tc>
          <w:tcPr>
            <w:vMerge w:val="continue"/>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5D">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5E">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continue"/>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5F">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60">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continue"/>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61">
            <w:pPr>
              <w:widowControl w:val="0"/>
              <w:rPr>
                <w:rFonts w:ascii="Times New Roman" w:cs="Times New Roman" w:eastAsia="Times New Roman" w:hAnsi="Times New Roman"/>
                <w:sz w:val="24"/>
                <w:szCs w:val="24"/>
              </w:rPr>
            </w:pPr>
            <w:r w:rsidDel="00000000" w:rsidR="00000000" w:rsidRPr="00000000">
              <w:rPr>
                <w:rtl w:val="0"/>
              </w:rPr>
            </w:r>
          </w:p>
        </w:tc>
        <w:tc>
          <w:tcPr>
            <w:vMerge w:val="continue"/>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62">
            <w:pPr>
              <w:widowControl w:val="0"/>
              <w:rPr>
                <w:rFonts w:ascii="Times New Roman" w:cs="Times New Roman" w:eastAsia="Times New Roman" w:hAnsi="Times New Roman"/>
                <w:sz w:val="24"/>
                <w:szCs w:val="24"/>
              </w:rPr>
            </w:pPr>
            <w:r w:rsidDel="00000000" w:rsidR="00000000" w:rsidRPr="00000000">
              <w:rPr>
                <w:rtl w:val="0"/>
              </w:rPr>
            </w:r>
          </w:p>
        </w:tc>
        <w:tc>
          <w:tcPr>
            <w:vMerge w:val="continue"/>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63">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64">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continue"/>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65">
            <w:pPr>
              <w:widowControl w:val="0"/>
              <w:rPr>
                <w:rFonts w:ascii="Times New Roman" w:cs="Times New Roman" w:eastAsia="Times New Roman" w:hAnsi="Times New Roman"/>
                <w:sz w:val="24"/>
                <w:szCs w:val="24"/>
              </w:rPr>
            </w:pPr>
            <w:r w:rsidDel="00000000" w:rsidR="00000000" w:rsidRPr="00000000">
              <w:rPr>
                <w:rtl w:val="0"/>
              </w:rPr>
            </w:r>
          </w:p>
        </w:tc>
      </w:tr>
      <w:tr>
        <w:trPr>
          <w:cantSplit w:val="0"/>
          <w:trHeight w:val="395" w:hRule="atLeast"/>
          <w:tblHeader w:val="0"/>
        </w:trPr>
        <w:tc>
          <w:tcPr>
            <w:shd w:fill="auto" w:val="clear"/>
            <w:tcMar>
              <w:top w:w="40.0" w:type="dxa"/>
              <w:left w:w="40.0" w:type="dxa"/>
              <w:bottom w:w="40.0" w:type="dxa"/>
              <w:right w:w="40.0" w:type="dxa"/>
            </w:tcMar>
            <w:vAlign w:val="bottom"/>
          </w:tcPr>
          <w:p w:rsidR="00000000" w:rsidDel="00000000" w:rsidP="00000000" w:rsidRDefault="00000000" w:rsidRPr="00000000" w14:paraId="00000266">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Ramayya </w:t>
            </w:r>
            <w:r w:rsidDel="00000000" w:rsidR="00000000" w:rsidRPr="00000000">
              <w:rPr>
                <w:rFonts w:ascii="Times New Roman" w:cs="Times New Roman" w:eastAsia="Times New Roman" w:hAnsi="Times New Roman"/>
                <w:i w:val="1"/>
                <w:iCs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1997</w:t>
            </w:r>
          </w:p>
        </w:tc>
        <w:tc>
          <w:tcPr>
            <w:shd w:fill="auto" w:val="clear"/>
            <w:tcMar>
              <w:top w:w="40.0" w:type="dxa"/>
              <w:left w:w="40.0" w:type="dxa"/>
              <w:bottom w:w="40.0" w:type="dxa"/>
              <w:right w:w="40.0" w:type="dxa"/>
            </w:tcMar>
            <w:vAlign w:val="bottom"/>
          </w:tcPr>
          <w:p w:rsidR="00000000" w:rsidDel="00000000" w:rsidP="00000000" w:rsidRDefault="00000000" w:rsidRPr="00000000" w14:paraId="00000267">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68">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69">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6A">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6B">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6C">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6D">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6E">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6F">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70">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71">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72">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rHeight w:val="395" w:hRule="atLeast"/>
          <w:tblHeader w:val="0"/>
        </w:trPr>
        <w:tc>
          <w:tcPr>
            <w:shd w:fill="auto" w:val="clear"/>
            <w:tcMar>
              <w:top w:w="40.0" w:type="dxa"/>
              <w:left w:w="40.0" w:type="dxa"/>
              <w:bottom w:w="40.0" w:type="dxa"/>
              <w:right w:w="40.0" w:type="dxa"/>
            </w:tcMar>
            <w:vAlign w:val="bottom"/>
          </w:tcPr>
          <w:p w:rsidR="00000000" w:rsidDel="00000000" w:rsidP="00000000" w:rsidRDefault="00000000" w:rsidRPr="00000000" w14:paraId="00000273">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Guirguis </w:t>
            </w:r>
            <w:r w:rsidDel="00000000" w:rsidR="00000000" w:rsidRPr="00000000">
              <w:rPr>
                <w:rFonts w:ascii="Times New Roman" w:cs="Times New Roman" w:eastAsia="Times New Roman" w:hAnsi="Times New Roman"/>
                <w:i w:val="1"/>
                <w:iCs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2017</w:t>
            </w:r>
          </w:p>
        </w:tc>
        <w:tc>
          <w:tcPr>
            <w:shd w:fill="auto" w:val="clear"/>
            <w:tcMar>
              <w:top w:w="40.0" w:type="dxa"/>
              <w:left w:w="40.0" w:type="dxa"/>
              <w:bottom w:w="40.0" w:type="dxa"/>
              <w:right w:w="40.0" w:type="dxa"/>
            </w:tcMar>
            <w:vAlign w:val="bottom"/>
          </w:tcPr>
          <w:p w:rsidR="00000000" w:rsidDel="00000000" w:rsidP="00000000" w:rsidRDefault="00000000" w:rsidRPr="00000000" w14:paraId="00000274">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75">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76">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77">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78">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79">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7A">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7B">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7C">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7D">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7E">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7F">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rHeight w:val="395" w:hRule="atLeast"/>
          <w:tblHeader w:val="0"/>
        </w:trPr>
        <w:tc>
          <w:tcPr>
            <w:shd w:fill="auto" w:val="clear"/>
            <w:tcMar>
              <w:top w:w="40.0" w:type="dxa"/>
              <w:left w:w="40.0" w:type="dxa"/>
              <w:bottom w:w="40.0" w:type="dxa"/>
              <w:right w:w="40.0" w:type="dxa"/>
            </w:tcMar>
            <w:vAlign w:val="bottom"/>
          </w:tcPr>
          <w:p w:rsidR="00000000" w:rsidDel="00000000" w:rsidP="00000000" w:rsidRDefault="00000000" w:rsidRPr="00000000" w14:paraId="00000280">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Linder </w:t>
            </w:r>
            <w:r w:rsidDel="00000000" w:rsidR="00000000" w:rsidRPr="00000000">
              <w:rPr>
                <w:rFonts w:ascii="Times New Roman" w:cs="Times New Roman" w:eastAsia="Times New Roman" w:hAnsi="Times New Roman"/>
                <w:i w:val="1"/>
                <w:iCs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2018</w:t>
            </w:r>
          </w:p>
        </w:tc>
        <w:tc>
          <w:tcPr>
            <w:shd w:fill="auto" w:val="clear"/>
            <w:tcMar>
              <w:top w:w="40.0" w:type="dxa"/>
              <w:left w:w="40.0" w:type="dxa"/>
              <w:bottom w:w="40.0" w:type="dxa"/>
              <w:right w:w="40.0" w:type="dxa"/>
            </w:tcMar>
            <w:vAlign w:val="bottom"/>
          </w:tcPr>
          <w:p w:rsidR="00000000" w:rsidDel="00000000" w:rsidP="00000000" w:rsidRDefault="00000000" w:rsidRPr="00000000" w14:paraId="00000281">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82">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83">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84">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85">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86">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87">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88">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89">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8A">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8B">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8C">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rHeight w:val="395" w:hRule="atLeast"/>
          <w:tblHeader w:val="0"/>
        </w:trPr>
        <w:tc>
          <w:tcPr>
            <w:shd w:fill="auto" w:val="clear"/>
            <w:tcMar>
              <w:top w:w="40.0" w:type="dxa"/>
              <w:left w:w="40.0" w:type="dxa"/>
              <w:bottom w:w="40.0" w:type="dxa"/>
              <w:right w:w="40.0" w:type="dxa"/>
            </w:tcMar>
            <w:vAlign w:val="bottom"/>
          </w:tcPr>
          <w:p w:rsidR="00000000" w:rsidDel="00000000" w:rsidP="00000000" w:rsidRDefault="00000000" w:rsidRPr="00000000" w14:paraId="0000028D">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Nakamura </w:t>
            </w:r>
            <w:r w:rsidDel="00000000" w:rsidR="00000000" w:rsidRPr="00000000">
              <w:rPr>
                <w:rFonts w:ascii="Times New Roman" w:cs="Times New Roman" w:eastAsia="Times New Roman" w:hAnsi="Times New Roman"/>
                <w:i w:val="1"/>
                <w:iCs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2018</w:t>
            </w:r>
          </w:p>
        </w:tc>
        <w:tc>
          <w:tcPr>
            <w:shd w:fill="auto" w:val="clear"/>
            <w:tcMar>
              <w:top w:w="40.0" w:type="dxa"/>
              <w:left w:w="40.0" w:type="dxa"/>
              <w:bottom w:w="40.0" w:type="dxa"/>
              <w:right w:w="40.0" w:type="dxa"/>
            </w:tcMar>
            <w:vAlign w:val="bottom"/>
          </w:tcPr>
          <w:p w:rsidR="00000000" w:rsidDel="00000000" w:rsidP="00000000" w:rsidRDefault="00000000" w:rsidRPr="00000000" w14:paraId="0000028E">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8F">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90">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91">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92">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93">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94">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95">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96">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97">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98">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99">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395" w:hRule="atLeast"/>
          <w:tblHeader w:val="0"/>
        </w:trPr>
        <w:tc>
          <w:tcPr>
            <w:shd w:fill="auto" w:val="clear"/>
            <w:tcMar>
              <w:top w:w="40.0" w:type="dxa"/>
              <w:left w:w="40.0" w:type="dxa"/>
              <w:bottom w:w="40.0" w:type="dxa"/>
              <w:right w:w="40.0" w:type="dxa"/>
            </w:tcMar>
            <w:vAlign w:val="bottom"/>
          </w:tcPr>
          <w:p w:rsidR="00000000" w:rsidDel="00000000" w:rsidP="00000000" w:rsidRDefault="00000000" w:rsidRPr="00000000" w14:paraId="0000029A">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Mifsud </w:t>
            </w:r>
            <w:r w:rsidDel="00000000" w:rsidR="00000000" w:rsidRPr="00000000">
              <w:rPr>
                <w:rFonts w:ascii="Times New Roman" w:cs="Times New Roman" w:eastAsia="Times New Roman" w:hAnsi="Times New Roman"/>
                <w:i w:val="1"/>
                <w:iCs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2022</w:t>
            </w:r>
          </w:p>
        </w:tc>
        <w:tc>
          <w:tcPr>
            <w:shd w:fill="auto" w:val="clear"/>
            <w:tcMar>
              <w:top w:w="40.0" w:type="dxa"/>
              <w:left w:w="40.0" w:type="dxa"/>
              <w:bottom w:w="40.0" w:type="dxa"/>
              <w:right w:w="40.0" w:type="dxa"/>
            </w:tcMar>
            <w:vAlign w:val="bottom"/>
          </w:tcPr>
          <w:p w:rsidR="00000000" w:rsidDel="00000000" w:rsidP="00000000" w:rsidRDefault="00000000" w:rsidRPr="00000000" w14:paraId="0000029B">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9C">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9D">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9E">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9F">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A0">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A1">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A2">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A3">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A4">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A5">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A6">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rHeight w:val="395" w:hRule="atLeast"/>
          <w:tblHeader w:val="0"/>
        </w:trPr>
        <w:tc>
          <w:tcPr>
            <w:shd w:fill="auto" w:val="clear"/>
            <w:tcMar>
              <w:top w:w="40.0" w:type="dxa"/>
              <w:left w:w="40.0" w:type="dxa"/>
              <w:bottom w:w="40.0" w:type="dxa"/>
              <w:right w:w="40.0" w:type="dxa"/>
            </w:tcMar>
            <w:vAlign w:val="bottom"/>
          </w:tcPr>
          <w:p w:rsidR="00000000" w:rsidDel="00000000" w:rsidP="00000000" w:rsidRDefault="00000000" w:rsidRPr="00000000" w14:paraId="000002A7">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Novo-Veleiro </w:t>
            </w:r>
            <w:r w:rsidDel="00000000" w:rsidR="00000000" w:rsidRPr="00000000">
              <w:rPr>
                <w:rFonts w:ascii="Times New Roman" w:cs="Times New Roman" w:eastAsia="Times New Roman" w:hAnsi="Times New Roman"/>
                <w:i w:val="1"/>
                <w:iCs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2023</w:t>
            </w:r>
          </w:p>
        </w:tc>
        <w:tc>
          <w:tcPr>
            <w:shd w:fill="auto" w:val="clear"/>
            <w:tcMar>
              <w:top w:w="40.0" w:type="dxa"/>
              <w:left w:w="40.0" w:type="dxa"/>
              <w:bottom w:w="40.0" w:type="dxa"/>
              <w:right w:w="40.0" w:type="dxa"/>
            </w:tcMar>
            <w:vAlign w:val="bottom"/>
          </w:tcPr>
          <w:p w:rsidR="00000000" w:rsidDel="00000000" w:rsidP="00000000" w:rsidRDefault="00000000" w:rsidRPr="00000000" w14:paraId="000002A8">
            <w:pPr>
              <w:widowControl w:val="0"/>
              <w:spacing w:line="27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A9">
            <w:pPr>
              <w:widowControl w:val="0"/>
              <w:spacing w:line="276" w:lineRule="auto"/>
              <w:rPr>
                <w:rFonts w:ascii="Times New Roman" w:cs="Times New Roman" w:eastAsia="Times New Roman" w:hAnsi="Times New Roman"/>
                <w:sz w:val="24"/>
                <w:szCs w:val="24"/>
                <w:highlight w:val="yellow"/>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AA">
            <w:pPr>
              <w:widowControl w:val="0"/>
              <w:spacing w:line="27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AB">
            <w:pPr>
              <w:widowControl w:val="0"/>
              <w:spacing w:line="27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AC">
            <w:pPr>
              <w:widowControl w:val="0"/>
              <w:spacing w:line="276" w:lineRule="auto"/>
              <w:rPr>
                <w:rFonts w:ascii="Times New Roman" w:cs="Times New Roman" w:eastAsia="Times New Roman" w:hAnsi="Times New Roman"/>
                <w:sz w:val="24"/>
                <w:szCs w:val="24"/>
                <w:highlight w:val="yellow"/>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AD">
            <w:pPr>
              <w:widowControl w:val="0"/>
              <w:spacing w:line="27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AE">
            <w:pPr>
              <w:widowControl w:val="0"/>
              <w:spacing w:line="276" w:lineRule="auto"/>
              <w:rPr>
                <w:rFonts w:ascii="Times New Roman" w:cs="Times New Roman" w:eastAsia="Times New Roman" w:hAnsi="Times New Roman"/>
                <w:sz w:val="24"/>
                <w:szCs w:val="24"/>
                <w:highlight w:val="yellow"/>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AF">
            <w:pPr>
              <w:widowControl w:val="0"/>
              <w:spacing w:line="27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B0">
            <w:pPr>
              <w:widowControl w:val="0"/>
              <w:spacing w:line="27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B1">
            <w:pPr>
              <w:widowControl w:val="0"/>
              <w:spacing w:line="276" w:lineRule="auto"/>
              <w:rPr>
                <w:rFonts w:ascii="Times New Roman" w:cs="Times New Roman" w:eastAsia="Times New Roman" w:hAnsi="Times New Roman"/>
                <w:sz w:val="24"/>
                <w:szCs w:val="24"/>
                <w:highlight w:val="yellow"/>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B2">
            <w:pPr>
              <w:widowControl w:val="0"/>
              <w:spacing w:line="276" w:lineRule="auto"/>
              <w:rPr>
                <w:rFonts w:ascii="Times New Roman" w:cs="Times New Roman" w:eastAsia="Times New Roman" w:hAnsi="Times New Roman"/>
                <w:sz w:val="24"/>
                <w:szCs w:val="24"/>
                <w:highlight w:val="yellow"/>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B3">
            <w:pPr>
              <w:widowControl w:val="0"/>
              <w:spacing w:line="27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tl w:val="0"/>
              </w:rPr>
            </w:r>
          </w:p>
        </w:tc>
      </w:tr>
      <w:tr>
        <w:trPr>
          <w:cantSplit w:val="0"/>
          <w:trHeight w:val="452" w:hRule="atLeast"/>
          <w:tblHeader w:val="0"/>
        </w:trPr>
        <w:tc>
          <w:tcPr>
            <w:tcBorders>
              <w:bottom w:color="000000" w:space="0" w:sz="12" w:val="single"/>
            </w:tcBorders>
            <w:shd w:fill="auto" w:val="clear"/>
            <w:tcMar>
              <w:top w:w="40.0" w:type="dxa"/>
              <w:left w:w="40.0" w:type="dxa"/>
              <w:bottom w:w="40.0" w:type="dxa"/>
              <w:right w:w="40.0" w:type="dxa"/>
            </w:tcMar>
            <w:vAlign w:val="center"/>
          </w:tcPr>
          <w:p w:rsidR="00000000" w:rsidDel="00000000" w:rsidP="00000000" w:rsidRDefault="00000000" w:rsidRPr="00000000" w14:paraId="000002B4">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Silva </w:t>
            </w:r>
            <w:r w:rsidDel="00000000" w:rsidR="00000000" w:rsidRPr="00000000">
              <w:rPr>
                <w:rFonts w:ascii="Times New Roman" w:cs="Times New Roman" w:eastAsia="Times New Roman" w:hAnsi="Times New Roman"/>
                <w:i w:val="1"/>
                <w:iCs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2023</w:t>
            </w:r>
          </w:p>
        </w:tc>
        <w:tc>
          <w:tcPr>
            <w:tcBorders>
              <w:bottom w:color="000000" w:space="0" w:sz="12" w:val="single"/>
            </w:tcBorders>
            <w:shd w:fill="auto" w:val="clear"/>
            <w:tcMar>
              <w:top w:w="40.0" w:type="dxa"/>
              <w:left w:w="40.0" w:type="dxa"/>
              <w:bottom w:w="40.0" w:type="dxa"/>
              <w:right w:w="40.0" w:type="dxa"/>
            </w:tcMar>
            <w:vAlign w:val="center"/>
          </w:tcPr>
          <w:p w:rsidR="00000000" w:rsidDel="00000000" w:rsidP="00000000" w:rsidRDefault="00000000" w:rsidRPr="00000000" w14:paraId="000002B5">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bottom w:color="000000" w:space="0" w:sz="12" w:val="single"/>
            </w:tcBorders>
            <w:shd w:fill="auto" w:val="clear"/>
            <w:tcMar>
              <w:top w:w="40.0" w:type="dxa"/>
              <w:left w:w="40.0" w:type="dxa"/>
              <w:bottom w:w="40.0" w:type="dxa"/>
              <w:right w:w="40.0" w:type="dxa"/>
            </w:tcMar>
            <w:vAlign w:val="center"/>
          </w:tcPr>
          <w:p w:rsidR="00000000" w:rsidDel="00000000" w:rsidP="00000000" w:rsidRDefault="00000000" w:rsidRPr="00000000" w14:paraId="000002B6">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bottom w:color="000000" w:space="0" w:sz="12" w:val="single"/>
            </w:tcBorders>
            <w:shd w:fill="auto" w:val="clear"/>
            <w:tcMar>
              <w:top w:w="40.0" w:type="dxa"/>
              <w:left w:w="40.0" w:type="dxa"/>
              <w:bottom w:w="40.0" w:type="dxa"/>
              <w:right w:w="40.0" w:type="dxa"/>
            </w:tcMar>
            <w:vAlign w:val="center"/>
          </w:tcPr>
          <w:p w:rsidR="00000000" w:rsidDel="00000000" w:rsidP="00000000" w:rsidRDefault="00000000" w:rsidRPr="00000000" w14:paraId="000002B7">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bottom w:color="000000" w:space="0" w:sz="12" w:val="single"/>
            </w:tcBorders>
            <w:shd w:fill="auto" w:val="clear"/>
            <w:tcMar>
              <w:top w:w="40.0" w:type="dxa"/>
              <w:left w:w="40.0" w:type="dxa"/>
              <w:bottom w:w="40.0" w:type="dxa"/>
              <w:right w:w="40.0" w:type="dxa"/>
            </w:tcMar>
            <w:vAlign w:val="center"/>
          </w:tcPr>
          <w:p w:rsidR="00000000" w:rsidDel="00000000" w:rsidP="00000000" w:rsidRDefault="00000000" w:rsidRPr="00000000" w14:paraId="000002B8">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tcBorders>
              <w:bottom w:color="000000" w:space="0" w:sz="12" w:val="single"/>
            </w:tcBorders>
            <w:shd w:fill="auto" w:val="clear"/>
            <w:tcMar>
              <w:top w:w="40.0" w:type="dxa"/>
              <w:left w:w="40.0" w:type="dxa"/>
              <w:bottom w:w="40.0" w:type="dxa"/>
              <w:right w:w="40.0" w:type="dxa"/>
            </w:tcMar>
            <w:vAlign w:val="center"/>
          </w:tcPr>
          <w:p w:rsidR="00000000" w:rsidDel="00000000" w:rsidP="00000000" w:rsidRDefault="00000000" w:rsidRPr="00000000" w14:paraId="000002B9">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tcBorders>
              <w:bottom w:color="000000" w:space="0" w:sz="12" w:val="single"/>
            </w:tcBorders>
            <w:shd w:fill="auto" w:val="clear"/>
            <w:tcMar>
              <w:top w:w="40.0" w:type="dxa"/>
              <w:left w:w="40.0" w:type="dxa"/>
              <w:bottom w:w="40.0" w:type="dxa"/>
              <w:right w:w="40.0" w:type="dxa"/>
            </w:tcMar>
            <w:vAlign w:val="center"/>
          </w:tcPr>
          <w:p w:rsidR="00000000" w:rsidDel="00000000" w:rsidP="00000000" w:rsidRDefault="00000000" w:rsidRPr="00000000" w14:paraId="000002BA">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bottom w:color="000000" w:space="0" w:sz="12" w:val="single"/>
            </w:tcBorders>
            <w:shd w:fill="auto" w:val="clear"/>
            <w:tcMar>
              <w:top w:w="40.0" w:type="dxa"/>
              <w:left w:w="40.0" w:type="dxa"/>
              <w:bottom w:w="40.0" w:type="dxa"/>
              <w:right w:w="40.0" w:type="dxa"/>
            </w:tcMar>
            <w:vAlign w:val="center"/>
          </w:tcPr>
          <w:p w:rsidR="00000000" w:rsidDel="00000000" w:rsidP="00000000" w:rsidRDefault="00000000" w:rsidRPr="00000000" w14:paraId="000002BB">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tcBorders>
              <w:bottom w:color="000000" w:space="0" w:sz="12" w:val="single"/>
            </w:tcBorders>
            <w:shd w:fill="auto" w:val="clear"/>
            <w:tcMar>
              <w:top w:w="40.0" w:type="dxa"/>
              <w:left w:w="40.0" w:type="dxa"/>
              <w:bottom w:w="40.0" w:type="dxa"/>
              <w:right w:w="40.0" w:type="dxa"/>
            </w:tcMar>
            <w:vAlign w:val="center"/>
          </w:tcPr>
          <w:p w:rsidR="00000000" w:rsidDel="00000000" w:rsidP="00000000" w:rsidRDefault="00000000" w:rsidRPr="00000000" w14:paraId="000002BC">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bottom w:color="000000" w:space="0" w:sz="12" w:val="single"/>
            </w:tcBorders>
            <w:shd w:fill="auto" w:val="clear"/>
            <w:tcMar>
              <w:top w:w="40.0" w:type="dxa"/>
              <w:left w:w="40.0" w:type="dxa"/>
              <w:bottom w:w="40.0" w:type="dxa"/>
              <w:right w:w="40.0" w:type="dxa"/>
            </w:tcMar>
            <w:vAlign w:val="center"/>
          </w:tcPr>
          <w:p w:rsidR="00000000" w:rsidDel="00000000" w:rsidP="00000000" w:rsidRDefault="00000000" w:rsidRPr="00000000" w14:paraId="000002BD">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bottom w:color="000000" w:space="0" w:sz="12" w:val="single"/>
            </w:tcBorders>
            <w:shd w:fill="auto" w:val="clear"/>
            <w:tcMar>
              <w:top w:w="40.0" w:type="dxa"/>
              <w:left w:w="40.0" w:type="dxa"/>
              <w:bottom w:w="40.0" w:type="dxa"/>
              <w:right w:w="40.0" w:type="dxa"/>
            </w:tcMar>
            <w:vAlign w:val="center"/>
          </w:tcPr>
          <w:p w:rsidR="00000000" w:rsidDel="00000000" w:rsidP="00000000" w:rsidRDefault="00000000" w:rsidRPr="00000000" w14:paraId="000002BE">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bottom w:color="000000" w:space="0" w:sz="12" w:val="single"/>
            </w:tcBorders>
            <w:shd w:fill="auto" w:val="clear"/>
            <w:tcMar>
              <w:top w:w="40.0" w:type="dxa"/>
              <w:left w:w="40.0" w:type="dxa"/>
              <w:bottom w:w="40.0" w:type="dxa"/>
              <w:right w:w="40.0" w:type="dxa"/>
            </w:tcMar>
            <w:vAlign w:val="center"/>
          </w:tcPr>
          <w:p w:rsidR="00000000" w:rsidDel="00000000" w:rsidP="00000000" w:rsidRDefault="00000000" w:rsidRPr="00000000" w14:paraId="000002BF">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tcBorders>
              <w:bottom w:color="000000" w:space="0" w:sz="12" w:val="single"/>
            </w:tcBorders>
            <w:shd w:fill="auto" w:val="clear"/>
            <w:tcMar>
              <w:top w:w="40.0" w:type="dxa"/>
              <w:left w:w="40.0" w:type="dxa"/>
              <w:bottom w:w="40.0" w:type="dxa"/>
              <w:right w:w="40.0" w:type="dxa"/>
            </w:tcMar>
            <w:vAlign w:val="center"/>
          </w:tcPr>
          <w:p w:rsidR="00000000" w:rsidDel="00000000" w:rsidP="00000000" w:rsidRDefault="00000000" w:rsidRPr="00000000" w14:paraId="000002C0">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p w:rsidR="00000000" w:rsidDel="00000000" w:rsidP="00000000" w:rsidRDefault="00000000" w:rsidRPr="00000000" w14:paraId="000002C1">
            <w:pPr>
              <w:widowControl w:val="0"/>
              <w:spacing w:line="276" w:lineRule="auto"/>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C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Footnote: NOS domains: Selection (max 4★), Comparability (max 2★), Outcome (max 3★); total 0–9★.</w:t>
      </w:r>
      <w:r w:rsidDel="00000000" w:rsidR="00000000" w:rsidRPr="00000000">
        <w:br w:type="page"/>
      </w:r>
      <w:r w:rsidDel="00000000" w:rsidR="00000000" w:rsidRPr="00000000">
        <w:rPr>
          <w:rtl w:val="0"/>
        </w:rPr>
      </w:r>
    </w:p>
    <w:p w:rsidR="00000000" w:rsidDel="00000000" w:rsidP="00000000" w:rsidRDefault="00000000" w:rsidRPr="00000000" w14:paraId="000002C3">
      <w:pPr>
        <w:keepNext w:val="1"/>
        <w:keepLines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Table D. Risk of Bias—Cross-Sectional Studies (Newcastle–Ottawa Scale)</w:t>
      </w:r>
      <w:r w:rsidDel="00000000" w:rsidR="00000000" w:rsidRPr="00000000">
        <w:rPr>
          <w:rtl w:val="0"/>
        </w:rPr>
      </w:r>
    </w:p>
    <w:p w:rsidR="00000000" w:rsidDel="00000000" w:rsidP="00000000" w:rsidRDefault="00000000" w:rsidRPr="00000000" w14:paraId="000002C4">
      <w:pPr>
        <w:keepNext w:val="1"/>
        <w:keepLines w:val="1"/>
        <w:spacing w:line="276" w:lineRule="auto"/>
        <w:rPr>
          <w:rFonts w:ascii="Times New Roman" w:cs="Times New Roman" w:eastAsia="Times New Roman" w:hAnsi="Times New Roman"/>
          <w:b w:val="1"/>
          <w:bCs w:val="1"/>
          <w:sz w:val="24"/>
          <w:szCs w:val="24"/>
        </w:rPr>
      </w:pPr>
      <w:r w:rsidDel="00000000" w:rsidR="00000000" w:rsidRPr="00000000">
        <w:rPr>
          <w:rtl w:val="0"/>
        </w:rPr>
      </w:r>
    </w:p>
    <w:tbl>
      <w:tblPr>
        <w:tblStyle w:val="Table4"/>
        <w:tblW w:w="10540.0" w:type="dxa"/>
        <w:jc w:val="left"/>
        <w:tblLayout w:type="fixed"/>
        <w:tblLook w:val="0600"/>
      </w:tblPr>
      <w:tblGrid>
        <w:gridCol w:w="960"/>
        <w:gridCol w:w="960"/>
        <w:gridCol w:w="960"/>
        <w:gridCol w:w="960"/>
        <w:gridCol w:w="960"/>
        <w:gridCol w:w="1440"/>
        <w:gridCol w:w="460"/>
        <w:gridCol w:w="960"/>
        <w:gridCol w:w="960"/>
        <w:gridCol w:w="960"/>
        <w:gridCol w:w="960"/>
        <w:tblGridChange w:id="0">
          <w:tblGrid>
            <w:gridCol w:w="960"/>
            <w:gridCol w:w="960"/>
            <w:gridCol w:w="960"/>
            <w:gridCol w:w="960"/>
            <w:gridCol w:w="960"/>
            <w:gridCol w:w="1440"/>
            <w:gridCol w:w="460"/>
            <w:gridCol w:w="960"/>
            <w:gridCol w:w="960"/>
            <w:gridCol w:w="960"/>
            <w:gridCol w:w="960"/>
          </w:tblGrid>
        </w:tblGridChange>
      </w:tblGrid>
      <w:tr>
        <w:trPr>
          <w:cantSplit w:val="0"/>
          <w:trHeight w:val="315" w:hRule="atLeast"/>
          <w:tblHeader w:val="0"/>
        </w:trPr>
        <w:tc>
          <w:tcPr>
            <w:tcBorders>
              <w:bottom w:color="000000" w:space="0" w:sz="12" w:val="single"/>
            </w:tcBorders>
            <w:tcMar>
              <w:top w:w="40.0" w:type="dxa"/>
              <w:left w:w="40.0" w:type="dxa"/>
              <w:bottom w:w="40.0" w:type="dxa"/>
              <w:right w:w="40.0" w:type="dxa"/>
            </w:tcMar>
            <w:vAlign w:val="bottom"/>
          </w:tcPr>
          <w:p w:rsidR="00000000" w:rsidDel="00000000" w:rsidP="00000000" w:rsidRDefault="00000000" w:rsidRPr="00000000" w14:paraId="000002C5">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gridSpan w:val="4"/>
            <w:tcBorders>
              <w:bottom w:color="000000" w:space="0" w:sz="12" w:val="single"/>
            </w:tcBorders>
            <w:tcMar>
              <w:top w:w="40.0" w:type="dxa"/>
              <w:left w:w="40.0" w:type="dxa"/>
              <w:bottom w:w="40.0" w:type="dxa"/>
              <w:right w:w="40.0" w:type="dxa"/>
            </w:tcMar>
            <w:vAlign w:val="bottom"/>
          </w:tcPr>
          <w:p w:rsidR="00000000" w:rsidDel="00000000" w:rsidP="00000000" w:rsidRDefault="00000000" w:rsidRPr="00000000" w14:paraId="000002C6">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Selection</w:t>
            </w:r>
            <w:r w:rsidDel="00000000" w:rsidR="00000000" w:rsidRPr="00000000">
              <w:rPr>
                <w:rtl w:val="0"/>
              </w:rPr>
            </w:r>
          </w:p>
        </w:tc>
        <w:tc>
          <w:tcPr>
            <w:tcBorders>
              <w:bottom w:color="000000" w:space="0" w:sz="12" w:val="single"/>
            </w:tcBorders>
            <w:shd w:fill="auto" w:val="clear"/>
            <w:tcMar>
              <w:top w:w="40.0" w:type="dxa"/>
              <w:left w:w="40.0" w:type="dxa"/>
              <w:bottom w:w="40.0" w:type="dxa"/>
              <w:right w:w="40.0" w:type="dxa"/>
            </w:tcMar>
            <w:vAlign w:val="bottom"/>
          </w:tcPr>
          <w:p w:rsidR="00000000" w:rsidDel="00000000" w:rsidP="00000000" w:rsidRDefault="00000000" w:rsidRPr="00000000" w14:paraId="000002CA">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Comparability</w:t>
            </w:r>
            <w:r w:rsidDel="00000000" w:rsidR="00000000" w:rsidRPr="00000000">
              <w:rPr>
                <w:rtl w:val="0"/>
              </w:rPr>
            </w:r>
          </w:p>
        </w:tc>
        <w:tc>
          <w:tcPr>
            <w:tcBorders>
              <w:bottom w:color="000000" w:space="0" w:sz="12" w:val="single"/>
            </w:tcBorders>
            <w:shd w:fill="auto" w:val="clear"/>
            <w:tcMar>
              <w:top w:w="40.0" w:type="dxa"/>
              <w:left w:w="40.0" w:type="dxa"/>
              <w:bottom w:w="40.0" w:type="dxa"/>
              <w:right w:w="40.0" w:type="dxa"/>
            </w:tcMar>
            <w:vAlign w:val="bottom"/>
          </w:tcPr>
          <w:p w:rsidR="00000000" w:rsidDel="00000000" w:rsidP="00000000" w:rsidRDefault="00000000" w:rsidRPr="00000000" w14:paraId="000002CB">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gridSpan w:val="2"/>
            <w:tcBorders>
              <w:bottom w:color="000000" w:space="0" w:sz="12" w:val="single"/>
            </w:tcBorders>
            <w:shd w:fill="auto" w:val="clear"/>
            <w:tcMar>
              <w:top w:w="40.0" w:type="dxa"/>
              <w:left w:w="40.0" w:type="dxa"/>
              <w:bottom w:w="40.0" w:type="dxa"/>
              <w:right w:w="40.0" w:type="dxa"/>
            </w:tcMar>
            <w:vAlign w:val="bottom"/>
          </w:tcPr>
          <w:p w:rsidR="00000000" w:rsidDel="00000000" w:rsidP="00000000" w:rsidRDefault="00000000" w:rsidRPr="00000000" w14:paraId="000002CC">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Outcome</w:t>
            </w:r>
            <w:r w:rsidDel="00000000" w:rsidR="00000000" w:rsidRPr="00000000">
              <w:rPr>
                <w:rtl w:val="0"/>
              </w:rPr>
            </w:r>
          </w:p>
        </w:tc>
        <w:tc>
          <w:tcPr>
            <w:tcBorders>
              <w:bottom w:color="000000" w:space="0" w:sz="12" w:val="single"/>
            </w:tcBorders>
            <w:shd w:fill="auto" w:val="clear"/>
            <w:tcMar>
              <w:top w:w="100.0" w:type="dxa"/>
              <w:left w:w="100.0" w:type="dxa"/>
              <w:bottom w:w="100.0" w:type="dxa"/>
              <w:right w:w="100.0" w:type="dxa"/>
            </w:tcMar>
          </w:tcPr>
          <w:p w:rsidR="00000000" w:rsidDel="00000000" w:rsidP="00000000" w:rsidRDefault="00000000" w:rsidRPr="00000000" w14:paraId="000002CE">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tcBorders>
              <w:bottom w:color="000000" w:space="0" w:sz="12" w:val="single"/>
            </w:tcBorders>
            <w:shd w:fill="auto" w:val="clear"/>
            <w:tcMar>
              <w:top w:w="100.0" w:type="dxa"/>
              <w:left w:w="100.0" w:type="dxa"/>
              <w:bottom w:w="100.0" w:type="dxa"/>
              <w:right w:w="100.0" w:type="dxa"/>
            </w:tcMar>
          </w:tcPr>
          <w:p w:rsidR="00000000" w:rsidDel="00000000" w:rsidP="00000000" w:rsidRDefault="00000000" w:rsidRPr="00000000" w14:paraId="000002CF">
            <w:pPr>
              <w:widowControl w:val="0"/>
              <w:spacing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15" w:hRule="atLeast"/>
          <w:tblHeader w:val="0"/>
        </w:trPr>
        <w:tc>
          <w:tcPr>
            <w:vMerge w:val="restart"/>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D0">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Study</w:t>
            </w:r>
          </w:p>
        </w:tc>
        <w:tc>
          <w:tcPr>
            <w:vMerge w:val="restart"/>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D1">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Representativeness of the exposed sample</w:t>
            </w:r>
          </w:p>
        </w:tc>
        <w:tc>
          <w:tcPr>
            <w:vMerge w:val="restart"/>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D2">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Non-respondents</w:t>
            </w:r>
          </w:p>
        </w:tc>
        <w:tc>
          <w:tcPr>
            <w:vMerge w:val="restart"/>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D3">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Ascertainment of the exposure (risk factor)</w:t>
            </w:r>
          </w:p>
        </w:tc>
        <w:tc>
          <w:tcPr>
            <w:shd w:fill="auto" w:val="clear"/>
            <w:tcMar>
              <w:top w:w="40.0" w:type="dxa"/>
              <w:left w:w="40.0" w:type="dxa"/>
              <w:bottom w:w="40.0" w:type="dxa"/>
              <w:right w:w="40.0" w:type="dxa"/>
            </w:tcMar>
            <w:vAlign w:val="center"/>
          </w:tcPr>
          <w:p w:rsidR="00000000" w:rsidDel="00000000" w:rsidP="00000000" w:rsidRDefault="00000000" w:rsidRPr="00000000" w14:paraId="000002D4">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restart"/>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D5">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subjects in different outcome groups are comparable, based on the study design or analysis. Confounding factors are controlled</w:t>
            </w:r>
          </w:p>
        </w:tc>
        <w:tc>
          <w:tcPr>
            <w:tcBorders>
              <w:top w:color="000000" w:space="0" w:sz="12" w:val="single"/>
            </w:tcBorders>
            <w:shd w:fill="auto" w:val="clear"/>
            <w:tcMar>
              <w:top w:w="40.0" w:type="dxa"/>
              <w:left w:w="40.0" w:type="dxa"/>
              <w:bottom w:w="40.0" w:type="dxa"/>
              <w:right w:w="40.0" w:type="dxa"/>
            </w:tcMar>
            <w:vAlign w:val="center"/>
          </w:tcPr>
          <w:p w:rsidR="00000000" w:rsidDel="00000000" w:rsidP="00000000" w:rsidRDefault="00000000" w:rsidRPr="00000000" w14:paraId="000002D6">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restart"/>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D7">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Assessment of the outcome</w:t>
            </w:r>
          </w:p>
        </w:tc>
        <w:tc>
          <w:tcPr>
            <w:vMerge w:val="restart"/>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D8">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Statistical test</w:t>
            </w:r>
          </w:p>
        </w:tc>
        <w:tc>
          <w:tcPr>
            <w:shd w:fill="auto" w:val="clear"/>
            <w:tcMar>
              <w:top w:w="40.0" w:type="dxa"/>
              <w:left w:w="40.0" w:type="dxa"/>
              <w:bottom w:w="40.0" w:type="dxa"/>
              <w:right w:w="40.0" w:type="dxa"/>
            </w:tcMar>
            <w:vAlign w:val="center"/>
          </w:tcPr>
          <w:p w:rsidR="00000000" w:rsidDel="00000000" w:rsidP="00000000" w:rsidRDefault="00000000" w:rsidRPr="00000000" w14:paraId="000002D9">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restart"/>
            <w:tcBorders>
              <w:bottom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DA">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 stars</w:t>
            </w:r>
          </w:p>
        </w:tc>
      </w:tr>
      <w:tr>
        <w:trPr>
          <w:cantSplit w:val="0"/>
          <w:trHeight w:val="315" w:hRule="atLeast"/>
          <w:tblHeader w:val="0"/>
        </w:trPr>
        <w:tc>
          <w:tcPr>
            <w:vMerge w:val="continue"/>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DB">
            <w:pPr>
              <w:widowControl w:val="0"/>
              <w:rPr>
                <w:rFonts w:ascii="Times New Roman" w:cs="Times New Roman" w:eastAsia="Times New Roman" w:hAnsi="Times New Roman"/>
                <w:sz w:val="24"/>
                <w:szCs w:val="24"/>
              </w:rPr>
            </w:pPr>
            <w:r w:rsidDel="00000000" w:rsidR="00000000" w:rsidRPr="00000000">
              <w:rPr>
                <w:rtl w:val="0"/>
              </w:rPr>
            </w:r>
          </w:p>
        </w:tc>
        <w:tc>
          <w:tcPr>
            <w:vMerge w:val="continue"/>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DC">
            <w:pPr>
              <w:widowControl w:val="0"/>
              <w:rPr>
                <w:rFonts w:ascii="Times New Roman" w:cs="Times New Roman" w:eastAsia="Times New Roman" w:hAnsi="Times New Roman"/>
                <w:sz w:val="24"/>
                <w:szCs w:val="24"/>
              </w:rPr>
            </w:pPr>
            <w:r w:rsidDel="00000000" w:rsidR="00000000" w:rsidRPr="00000000">
              <w:rPr>
                <w:rtl w:val="0"/>
              </w:rPr>
            </w:r>
          </w:p>
        </w:tc>
        <w:tc>
          <w:tcPr>
            <w:vMerge w:val="continue"/>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DD">
            <w:pPr>
              <w:widowControl w:val="0"/>
              <w:rPr>
                <w:rFonts w:ascii="Times New Roman" w:cs="Times New Roman" w:eastAsia="Times New Roman" w:hAnsi="Times New Roman"/>
                <w:sz w:val="24"/>
                <w:szCs w:val="24"/>
              </w:rPr>
            </w:pPr>
            <w:r w:rsidDel="00000000" w:rsidR="00000000" w:rsidRPr="00000000">
              <w:rPr>
                <w:rtl w:val="0"/>
              </w:rPr>
            </w:r>
          </w:p>
        </w:tc>
        <w:tc>
          <w:tcPr>
            <w:vMerge w:val="continue"/>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DE">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center"/>
          </w:tcPr>
          <w:p w:rsidR="00000000" w:rsidDel="00000000" w:rsidP="00000000" w:rsidRDefault="00000000" w:rsidRPr="00000000" w14:paraId="000002DF">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continue"/>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E0">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center"/>
          </w:tcPr>
          <w:p w:rsidR="00000000" w:rsidDel="00000000" w:rsidP="00000000" w:rsidRDefault="00000000" w:rsidRPr="00000000" w14:paraId="000002E1">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continue"/>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E2">
            <w:pPr>
              <w:widowControl w:val="0"/>
              <w:rPr>
                <w:rFonts w:ascii="Times New Roman" w:cs="Times New Roman" w:eastAsia="Times New Roman" w:hAnsi="Times New Roman"/>
                <w:sz w:val="24"/>
                <w:szCs w:val="24"/>
              </w:rPr>
            </w:pPr>
            <w:r w:rsidDel="00000000" w:rsidR="00000000" w:rsidRPr="00000000">
              <w:rPr>
                <w:rtl w:val="0"/>
              </w:rPr>
            </w:r>
          </w:p>
        </w:tc>
        <w:tc>
          <w:tcPr>
            <w:vMerge w:val="continue"/>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E3">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center"/>
          </w:tcPr>
          <w:p w:rsidR="00000000" w:rsidDel="00000000" w:rsidP="00000000" w:rsidRDefault="00000000" w:rsidRPr="00000000" w14:paraId="000002E4">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continue"/>
            <w:tcBorders>
              <w:bottom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E5">
            <w:pPr>
              <w:widowControl w:val="0"/>
              <w:rPr>
                <w:rFonts w:ascii="Times New Roman" w:cs="Times New Roman" w:eastAsia="Times New Roman" w:hAnsi="Times New Roman"/>
                <w:sz w:val="24"/>
                <w:szCs w:val="24"/>
              </w:rPr>
            </w:pPr>
            <w:r w:rsidDel="00000000" w:rsidR="00000000" w:rsidRPr="00000000">
              <w:rPr>
                <w:rtl w:val="0"/>
              </w:rPr>
            </w:r>
          </w:p>
        </w:tc>
      </w:tr>
      <w:tr>
        <w:trPr>
          <w:cantSplit w:val="0"/>
          <w:trHeight w:val="315" w:hRule="atLeast"/>
          <w:tblHeader w:val="0"/>
        </w:trPr>
        <w:tc>
          <w:tcPr>
            <w:vMerge w:val="continue"/>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E6">
            <w:pPr>
              <w:widowControl w:val="0"/>
              <w:rPr>
                <w:rFonts w:ascii="Times New Roman" w:cs="Times New Roman" w:eastAsia="Times New Roman" w:hAnsi="Times New Roman"/>
                <w:sz w:val="24"/>
                <w:szCs w:val="24"/>
              </w:rPr>
            </w:pPr>
            <w:r w:rsidDel="00000000" w:rsidR="00000000" w:rsidRPr="00000000">
              <w:rPr>
                <w:rtl w:val="0"/>
              </w:rPr>
            </w:r>
          </w:p>
        </w:tc>
        <w:tc>
          <w:tcPr>
            <w:vMerge w:val="continue"/>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E7">
            <w:pPr>
              <w:widowControl w:val="0"/>
              <w:rPr>
                <w:rFonts w:ascii="Times New Roman" w:cs="Times New Roman" w:eastAsia="Times New Roman" w:hAnsi="Times New Roman"/>
                <w:sz w:val="24"/>
                <w:szCs w:val="24"/>
              </w:rPr>
            </w:pPr>
            <w:r w:rsidDel="00000000" w:rsidR="00000000" w:rsidRPr="00000000">
              <w:rPr>
                <w:rtl w:val="0"/>
              </w:rPr>
            </w:r>
          </w:p>
        </w:tc>
        <w:tc>
          <w:tcPr>
            <w:vMerge w:val="continue"/>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E8">
            <w:pPr>
              <w:widowControl w:val="0"/>
              <w:rPr>
                <w:rFonts w:ascii="Times New Roman" w:cs="Times New Roman" w:eastAsia="Times New Roman" w:hAnsi="Times New Roman"/>
                <w:sz w:val="24"/>
                <w:szCs w:val="24"/>
              </w:rPr>
            </w:pPr>
            <w:r w:rsidDel="00000000" w:rsidR="00000000" w:rsidRPr="00000000">
              <w:rPr>
                <w:rtl w:val="0"/>
              </w:rPr>
            </w:r>
          </w:p>
        </w:tc>
        <w:tc>
          <w:tcPr>
            <w:vMerge w:val="continue"/>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E9">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center"/>
          </w:tcPr>
          <w:p w:rsidR="00000000" w:rsidDel="00000000" w:rsidP="00000000" w:rsidRDefault="00000000" w:rsidRPr="00000000" w14:paraId="000002EA">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continue"/>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EB">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center"/>
          </w:tcPr>
          <w:p w:rsidR="00000000" w:rsidDel="00000000" w:rsidP="00000000" w:rsidRDefault="00000000" w:rsidRPr="00000000" w14:paraId="000002EC">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continue"/>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ED">
            <w:pPr>
              <w:widowControl w:val="0"/>
              <w:rPr>
                <w:rFonts w:ascii="Times New Roman" w:cs="Times New Roman" w:eastAsia="Times New Roman" w:hAnsi="Times New Roman"/>
                <w:sz w:val="24"/>
                <w:szCs w:val="24"/>
              </w:rPr>
            </w:pPr>
            <w:r w:rsidDel="00000000" w:rsidR="00000000" w:rsidRPr="00000000">
              <w:rPr>
                <w:rtl w:val="0"/>
              </w:rPr>
            </w:r>
          </w:p>
        </w:tc>
        <w:tc>
          <w:tcPr>
            <w:vMerge w:val="continue"/>
            <w:tcBorders>
              <w:bottom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EE">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center"/>
          </w:tcPr>
          <w:p w:rsidR="00000000" w:rsidDel="00000000" w:rsidP="00000000" w:rsidRDefault="00000000" w:rsidRPr="00000000" w14:paraId="000002EF">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continue"/>
            <w:tcBorders>
              <w:bottom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F0">
            <w:pPr>
              <w:widowControl w:val="0"/>
              <w:rPr>
                <w:rFonts w:ascii="Times New Roman" w:cs="Times New Roman" w:eastAsia="Times New Roman" w:hAnsi="Times New Roman"/>
                <w:sz w:val="24"/>
                <w:szCs w:val="24"/>
              </w:rPr>
            </w:pPr>
            <w:r w:rsidDel="00000000" w:rsidR="00000000" w:rsidRPr="00000000">
              <w:rPr>
                <w:rtl w:val="0"/>
              </w:rPr>
            </w:r>
          </w:p>
        </w:tc>
      </w:tr>
      <w:tr>
        <w:trPr>
          <w:cantSplit w:val="0"/>
          <w:trHeight w:val="375" w:hRule="atLeast"/>
          <w:tblHeader w:val="0"/>
        </w:trPr>
        <w:tc>
          <w:tcPr>
            <w:shd w:fill="auto" w:val="clear"/>
            <w:tcMar>
              <w:top w:w="40.0" w:type="dxa"/>
              <w:left w:w="40.0" w:type="dxa"/>
              <w:bottom w:w="40.0" w:type="dxa"/>
              <w:right w:w="40.0" w:type="dxa"/>
            </w:tcMar>
            <w:vAlign w:val="bottom"/>
          </w:tcPr>
          <w:p w:rsidR="00000000" w:rsidDel="00000000" w:rsidP="00000000" w:rsidRDefault="00000000" w:rsidRPr="00000000" w14:paraId="000002F1">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Wood </w:t>
            </w:r>
            <w:r w:rsidDel="00000000" w:rsidR="00000000" w:rsidRPr="00000000">
              <w:rPr>
                <w:rFonts w:ascii="Times New Roman" w:cs="Times New Roman" w:eastAsia="Times New Roman" w:hAnsi="Times New Roman"/>
                <w:i w:val="1"/>
                <w:iCs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1977</w:t>
            </w:r>
          </w:p>
        </w:tc>
        <w:tc>
          <w:tcPr>
            <w:shd w:fill="auto" w:val="clear"/>
            <w:tcMar>
              <w:top w:w="40.0" w:type="dxa"/>
              <w:left w:w="40.0" w:type="dxa"/>
              <w:bottom w:w="40.0" w:type="dxa"/>
              <w:right w:w="40.0" w:type="dxa"/>
            </w:tcMar>
            <w:vAlign w:val="bottom"/>
          </w:tcPr>
          <w:p w:rsidR="00000000" w:rsidDel="00000000" w:rsidP="00000000" w:rsidRDefault="00000000" w:rsidRPr="00000000" w14:paraId="000002F2">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F3">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F4">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F5">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F6">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F7">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F8">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F9">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FA">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FB">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375" w:hRule="atLeast"/>
          <w:tblHeader w:val="0"/>
        </w:trPr>
        <w:tc>
          <w:tcPr>
            <w:shd w:fill="ffffff" w:val="clear"/>
            <w:tcMar>
              <w:top w:w="40.0" w:type="dxa"/>
              <w:left w:w="40.0" w:type="dxa"/>
              <w:bottom w:w="40.0" w:type="dxa"/>
              <w:right w:w="40.0" w:type="dxa"/>
            </w:tcMar>
            <w:vAlign w:val="bottom"/>
          </w:tcPr>
          <w:p w:rsidR="00000000" w:rsidDel="00000000" w:rsidP="00000000" w:rsidRDefault="00000000" w:rsidRPr="00000000" w14:paraId="000002FC">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Ferguson </w:t>
            </w:r>
            <w:r w:rsidDel="00000000" w:rsidR="00000000" w:rsidRPr="00000000">
              <w:rPr>
                <w:rFonts w:ascii="Times New Roman" w:cs="Times New Roman" w:eastAsia="Times New Roman" w:hAnsi="Times New Roman"/>
                <w:i w:val="1"/>
                <w:iCs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2000</w:t>
            </w:r>
          </w:p>
        </w:tc>
        <w:tc>
          <w:tcPr>
            <w:shd w:fill="auto" w:val="clear"/>
            <w:tcMar>
              <w:top w:w="40.0" w:type="dxa"/>
              <w:left w:w="40.0" w:type="dxa"/>
              <w:bottom w:w="40.0" w:type="dxa"/>
              <w:right w:w="40.0" w:type="dxa"/>
            </w:tcMar>
            <w:vAlign w:val="bottom"/>
          </w:tcPr>
          <w:p w:rsidR="00000000" w:rsidDel="00000000" w:rsidP="00000000" w:rsidRDefault="00000000" w:rsidRPr="00000000" w14:paraId="000002FD">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2FE">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2FF">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300">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301">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302">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303">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304">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305">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306">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375" w:hRule="atLeast"/>
          <w:tblHeader w:val="0"/>
        </w:trPr>
        <w:tc>
          <w:tcPr>
            <w:shd w:fill="ffffff" w:val="clear"/>
            <w:tcMar>
              <w:top w:w="40.0" w:type="dxa"/>
              <w:left w:w="40.0" w:type="dxa"/>
              <w:bottom w:w="40.0" w:type="dxa"/>
              <w:right w:w="40.0" w:type="dxa"/>
            </w:tcMar>
            <w:vAlign w:val="bottom"/>
          </w:tcPr>
          <w:p w:rsidR="00000000" w:rsidDel="00000000" w:rsidP="00000000" w:rsidRDefault="00000000" w:rsidRPr="00000000" w14:paraId="00000307">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Sgouros </w:t>
            </w:r>
            <w:r w:rsidDel="00000000" w:rsidR="00000000" w:rsidRPr="00000000">
              <w:rPr>
                <w:rFonts w:ascii="Times New Roman" w:cs="Times New Roman" w:eastAsia="Times New Roman" w:hAnsi="Times New Roman"/>
                <w:i w:val="1"/>
                <w:iCs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2004</w:t>
            </w:r>
          </w:p>
        </w:tc>
        <w:tc>
          <w:tcPr>
            <w:shd w:fill="auto" w:val="clear"/>
            <w:tcMar>
              <w:top w:w="40.0" w:type="dxa"/>
              <w:left w:w="40.0" w:type="dxa"/>
              <w:bottom w:w="40.0" w:type="dxa"/>
              <w:right w:w="40.0" w:type="dxa"/>
            </w:tcMar>
            <w:vAlign w:val="bottom"/>
          </w:tcPr>
          <w:p w:rsidR="00000000" w:rsidDel="00000000" w:rsidP="00000000" w:rsidRDefault="00000000" w:rsidRPr="00000000" w14:paraId="00000308">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309">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30A">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30B">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30C">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30D">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30E">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gridSpan w:val="2"/>
            <w:shd w:fill="auto" w:val="clear"/>
            <w:tcMar>
              <w:top w:w="40.0" w:type="dxa"/>
              <w:left w:w="40.0" w:type="dxa"/>
              <w:bottom w:w="40.0" w:type="dxa"/>
              <w:right w:w="40.0" w:type="dxa"/>
            </w:tcMar>
            <w:vAlign w:val="bottom"/>
          </w:tcPr>
          <w:p w:rsidR="00000000" w:rsidDel="00000000" w:rsidP="00000000" w:rsidRDefault="00000000" w:rsidRPr="00000000" w14:paraId="0000030F">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311">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rHeight w:val="375" w:hRule="atLeast"/>
          <w:tblHeader w:val="0"/>
        </w:trPr>
        <w:tc>
          <w:tcPr>
            <w:shd w:fill="ffffff" w:val="clear"/>
            <w:tcMar>
              <w:top w:w="40.0" w:type="dxa"/>
              <w:left w:w="40.0" w:type="dxa"/>
              <w:bottom w:w="40.0" w:type="dxa"/>
              <w:right w:w="40.0" w:type="dxa"/>
            </w:tcMar>
            <w:vAlign w:val="bottom"/>
          </w:tcPr>
          <w:p w:rsidR="00000000" w:rsidDel="00000000" w:rsidP="00000000" w:rsidRDefault="00000000" w:rsidRPr="00000000" w14:paraId="00000312">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Damsgaard </w:t>
            </w:r>
            <w:r w:rsidDel="00000000" w:rsidR="00000000" w:rsidRPr="00000000">
              <w:rPr>
                <w:rFonts w:ascii="Times New Roman" w:cs="Times New Roman" w:eastAsia="Times New Roman" w:hAnsi="Times New Roman"/>
                <w:i w:val="1"/>
                <w:iCs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2010</w:t>
            </w:r>
          </w:p>
        </w:tc>
        <w:tc>
          <w:tcPr>
            <w:shd w:fill="auto" w:val="clear"/>
            <w:tcMar>
              <w:top w:w="40.0" w:type="dxa"/>
              <w:left w:w="40.0" w:type="dxa"/>
              <w:bottom w:w="40.0" w:type="dxa"/>
              <w:right w:w="40.0" w:type="dxa"/>
            </w:tcMar>
            <w:vAlign w:val="bottom"/>
          </w:tcPr>
          <w:p w:rsidR="00000000" w:rsidDel="00000000" w:rsidP="00000000" w:rsidRDefault="00000000" w:rsidRPr="00000000" w14:paraId="00000313">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314">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315">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316">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317">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318">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319">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gridSpan w:val="2"/>
            <w:shd w:fill="auto" w:val="clear"/>
            <w:tcMar>
              <w:top w:w="40.0" w:type="dxa"/>
              <w:left w:w="40.0" w:type="dxa"/>
              <w:bottom w:w="40.0" w:type="dxa"/>
              <w:right w:w="40.0" w:type="dxa"/>
            </w:tcMar>
            <w:vAlign w:val="bottom"/>
          </w:tcPr>
          <w:p w:rsidR="00000000" w:rsidDel="00000000" w:rsidP="00000000" w:rsidRDefault="00000000" w:rsidRPr="00000000" w14:paraId="0000031A">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31C">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rHeight w:val="375" w:hRule="atLeast"/>
          <w:tblHeader w:val="0"/>
        </w:trPr>
        <w:tc>
          <w:tcPr>
            <w:shd w:fill="ffffff" w:val="clear"/>
            <w:tcMar>
              <w:top w:w="40.0" w:type="dxa"/>
              <w:left w:w="40.0" w:type="dxa"/>
              <w:bottom w:w="40.0" w:type="dxa"/>
              <w:right w:w="40.0" w:type="dxa"/>
            </w:tcMar>
            <w:vAlign w:val="bottom"/>
          </w:tcPr>
          <w:p w:rsidR="00000000" w:rsidDel="00000000" w:rsidP="00000000" w:rsidRDefault="00000000" w:rsidRPr="00000000" w14:paraId="0000031D">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Blackmore </w:t>
            </w:r>
            <w:r w:rsidDel="00000000" w:rsidR="00000000" w:rsidRPr="00000000">
              <w:rPr>
                <w:rFonts w:ascii="Times New Roman" w:cs="Times New Roman" w:eastAsia="Times New Roman" w:hAnsi="Times New Roman"/>
                <w:i w:val="1"/>
                <w:iCs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2014</w:t>
            </w:r>
          </w:p>
        </w:tc>
        <w:tc>
          <w:tcPr>
            <w:shd w:fill="auto" w:val="clear"/>
            <w:tcMar>
              <w:top w:w="40.0" w:type="dxa"/>
              <w:left w:w="40.0" w:type="dxa"/>
              <w:bottom w:w="40.0" w:type="dxa"/>
              <w:right w:w="40.0" w:type="dxa"/>
            </w:tcMar>
            <w:vAlign w:val="bottom"/>
          </w:tcPr>
          <w:p w:rsidR="00000000" w:rsidDel="00000000" w:rsidP="00000000" w:rsidRDefault="00000000" w:rsidRPr="00000000" w14:paraId="0000031E">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31F">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320">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321">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322">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323">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324">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gridSpan w:val="2"/>
            <w:shd w:fill="auto" w:val="clear"/>
            <w:tcMar>
              <w:top w:w="40.0" w:type="dxa"/>
              <w:left w:w="40.0" w:type="dxa"/>
              <w:bottom w:w="40.0" w:type="dxa"/>
              <w:right w:w="40.0" w:type="dxa"/>
            </w:tcMar>
            <w:vAlign w:val="bottom"/>
          </w:tcPr>
          <w:p w:rsidR="00000000" w:rsidDel="00000000" w:rsidP="00000000" w:rsidRDefault="00000000" w:rsidRPr="00000000" w14:paraId="00000325">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327">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375" w:hRule="atLeast"/>
          <w:tblHeader w:val="0"/>
        </w:trPr>
        <w:tc>
          <w:tcPr>
            <w:shd w:fill="ffffff" w:val="clear"/>
            <w:tcMar>
              <w:top w:w="40.0" w:type="dxa"/>
              <w:left w:w="40.0" w:type="dxa"/>
              <w:bottom w:w="40.0" w:type="dxa"/>
              <w:right w:w="40.0" w:type="dxa"/>
            </w:tcMar>
            <w:vAlign w:val="bottom"/>
          </w:tcPr>
          <w:p w:rsidR="00000000" w:rsidDel="00000000" w:rsidP="00000000" w:rsidRDefault="00000000" w:rsidRPr="00000000" w14:paraId="00000328">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Isenberg-Grzeda </w:t>
            </w:r>
            <w:r w:rsidDel="00000000" w:rsidR="00000000" w:rsidRPr="00000000">
              <w:rPr>
                <w:rFonts w:ascii="Times New Roman" w:cs="Times New Roman" w:eastAsia="Times New Roman" w:hAnsi="Times New Roman"/>
                <w:i w:val="1"/>
                <w:iCs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2014</w:t>
            </w:r>
          </w:p>
        </w:tc>
        <w:tc>
          <w:tcPr>
            <w:shd w:fill="auto" w:val="clear"/>
            <w:tcMar>
              <w:top w:w="40.0" w:type="dxa"/>
              <w:left w:w="40.0" w:type="dxa"/>
              <w:bottom w:w="40.0" w:type="dxa"/>
              <w:right w:w="40.0" w:type="dxa"/>
            </w:tcMar>
            <w:vAlign w:val="bottom"/>
          </w:tcPr>
          <w:p w:rsidR="00000000" w:rsidDel="00000000" w:rsidP="00000000" w:rsidRDefault="00000000" w:rsidRPr="00000000" w14:paraId="00000329">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32A">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32B">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32C">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32D">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32E">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32F">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gridSpan w:val="2"/>
            <w:shd w:fill="auto" w:val="clear"/>
            <w:tcMar>
              <w:top w:w="40.0" w:type="dxa"/>
              <w:left w:w="40.0" w:type="dxa"/>
              <w:bottom w:w="40.0" w:type="dxa"/>
              <w:right w:w="40.0" w:type="dxa"/>
            </w:tcMar>
            <w:vAlign w:val="bottom"/>
          </w:tcPr>
          <w:p w:rsidR="00000000" w:rsidDel="00000000" w:rsidP="00000000" w:rsidRDefault="00000000" w:rsidRPr="00000000" w14:paraId="00000330">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332">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rHeight w:val="375" w:hRule="atLeast"/>
          <w:tblHeader w:val="0"/>
        </w:trPr>
        <w:tc>
          <w:tcPr>
            <w:shd w:fill="ffffff" w:val="clear"/>
            <w:tcMar>
              <w:top w:w="40.0" w:type="dxa"/>
              <w:left w:w="40.0" w:type="dxa"/>
              <w:bottom w:w="40.0" w:type="dxa"/>
              <w:right w:w="40.0" w:type="dxa"/>
            </w:tcMar>
            <w:vAlign w:val="bottom"/>
          </w:tcPr>
          <w:p w:rsidR="00000000" w:rsidDel="00000000" w:rsidP="00000000" w:rsidRDefault="00000000" w:rsidRPr="00000000" w14:paraId="00000333">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Day </w:t>
            </w:r>
            <w:r w:rsidDel="00000000" w:rsidR="00000000" w:rsidRPr="00000000">
              <w:rPr>
                <w:rFonts w:ascii="Times New Roman" w:cs="Times New Roman" w:eastAsia="Times New Roman" w:hAnsi="Times New Roman"/>
                <w:i w:val="1"/>
                <w:iCs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2015</w:t>
            </w:r>
          </w:p>
        </w:tc>
        <w:tc>
          <w:tcPr>
            <w:shd w:fill="auto" w:val="clear"/>
            <w:tcMar>
              <w:top w:w="40.0" w:type="dxa"/>
              <w:left w:w="40.0" w:type="dxa"/>
              <w:bottom w:w="40.0" w:type="dxa"/>
              <w:right w:w="40.0" w:type="dxa"/>
            </w:tcMar>
            <w:vAlign w:val="bottom"/>
          </w:tcPr>
          <w:p w:rsidR="00000000" w:rsidDel="00000000" w:rsidP="00000000" w:rsidRDefault="00000000" w:rsidRPr="00000000" w14:paraId="00000334">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335">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336">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337">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338">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339">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33A">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gridSpan w:val="2"/>
            <w:shd w:fill="auto" w:val="clear"/>
            <w:tcMar>
              <w:top w:w="40.0" w:type="dxa"/>
              <w:left w:w="40.0" w:type="dxa"/>
              <w:bottom w:w="40.0" w:type="dxa"/>
              <w:right w:w="40.0" w:type="dxa"/>
            </w:tcMar>
            <w:vAlign w:val="bottom"/>
          </w:tcPr>
          <w:p w:rsidR="00000000" w:rsidDel="00000000" w:rsidP="00000000" w:rsidRDefault="00000000" w:rsidRPr="00000000" w14:paraId="0000033B">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33D">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375" w:hRule="atLeast"/>
          <w:tblHeader w:val="0"/>
        </w:trPr>
        <w:tc>
          <w:tcPr>
            <w:shd w:fill="ffffff" w:val="clear"/>
            <w:tcMar>
              <w:top w:w="40.0" w:type="dxa"/>
              <w:left w:w="40.0" w:type="dxa"/>
              <w:bottom w:w="40.0" w:type="dxa"/>
              <w:right w:w="40.0" w:type="dxa"/>
            </w:tcMar>
            <w:vAlign w:val="bottom"/>
          </w:tcPr>
          <w:p w:rsidR="00000000" w:rsidDel="00000000" w:rsidP="00000000" w:rsidRDefault="00000000" w:rsidRPr="00000000" w14:paraId="0000033E">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Coulbault </w:t>
            </w:r>
            <w:r w:rsidDel="00000000" w:rsidR="00000000" w:rsidRPr="00000000">
              <w:rPr>
                <w:rFonts w:ascii="Times New Roman" w:cs="Times New Roman" w:eastAsia="Times New Roman" w:hAnsi="Times New Roman"/>
                <w:i w:val="1"/>
                <w:iCs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2019</w:t>
            </w:r>
          </w:p>
        </w:tc>
        <w:tc>
          <w:tcPr>
            <w:shd w:fill="auto" w:val="clear"/>
            <w:tcMar>
              <w:top w:w="40.0" w:type="dxa"/>
              <w:left w:w="40.0" w:type="dxa"/>
              <w:bottom w:w="40.0" w:type="dxa"/>
              <w:right w:w="40.0" w:type="dxa"/>
            </w:tcMar>
            <w:vAlign w:val="bottom"/>
          </w:tcPr>
          <w:p w:rsidR="00000000" w:rsidDel="00000000" w:rsidP="00000000" w:rsidRDefault="00000000" w:rsidRPr="00000000" w14:paraId="0000033F">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340">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341">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342">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343">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344">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345">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gridSpan w:val="2"/>
            <w:shd w:fill="auto" w:val="clear"/>
            <w:tcMar>
              <w:top w:w="40.0" w:type="dxa"/>
              <w:left w:w="40.0" w:type="dxa"/>
              <w:bottom w:w="40.0" w:type="dxa"/>
              <w:right w:w="40.0" w:type="dxa"/>
            </w:tcMar>
            <w:vAlign w:val="bottom"/>
          </w:tcPr>
          <w:p w:rsidR="00000000" w:rsidDel="00000000" w:rsidP="00000000" w:rsidRDefault="00000000" w:rsidRPr="00000000" w14:paraId="00000346">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348">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rHeight w:val="375" w:hRule="atLeast"/>
          <w:tblHeader w:val="0"/>
        </w:trPr>
        <w:tc>
          <w:tcPr>
            <w:shd w:fill="ffffff" w:val="clear"/>
            <w:tcMar>
              <w:top w:w="40.0" w:type="dxa"/>
              <w:left w:w="40.0" w:type="dxa"/>
              <w:bottom w:w="40.0" w:type="dxa"/>
              <w:right w:w="40.0" w:type="dxa"/>
            </w:tcMar>
            <w:vAlign w:val="bottom"/>
          </w:tcPr>
          <w:p w:rsidR="00000000" w:rsidDel="00000000" w:rsidP="00000000" w:rsidRDefault="00000000" w:rsidRPr="00000000" w14:paraId="00000349">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Collet </w:t>
            </w:r>
            <w:r w:rsidDel="00000000" w:rsidR="00000000" w:rsidRPr="00000000">
              <w:rPr>
                <w:rFonts w:ascii="Times New Roman" w:cs="Times New Roman" w:eastAsia="Times New Roman" w:hAnsi="Times New Roman"/>
                <w:i w:val="1"/>
                <w:iCs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2019</w:t>
            </w:r>
          </w:p>
        </w:tc>
        <w:tc>
          <w:tcPr>
            <w:shd w:fill="auto" w:val="clear"/>
            <w:tcMar>
              <w:top w:w="40.0" w:type="dxa"/>
              <w:left w:w="40.0" w:type="dxa"/>
              <w:bottom w:w="40.0" w:type="dxa"/>
              <w:right w:w="40.0" w:type="dxa"/>
            </w:tcMar>
            <w:vAlign w:val="bottom"/>
          </w:tcPr>
          <w:p w:rsidR="00000000" w:rsidDel="00000000" w:rsidP="00000000" w:rsidRDefault="00000000" w:rsidRPr="00000000" w14:paraId="0000034A">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34B">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34C">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34D">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34E">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34F">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40.0" w:type="dxa"/>
              <w:left w:w="40.0" w:type="dxa"/>
              <w:bottom w:w="40.0" w:type="dxa"/>
              <w:right w:w="40.0" w:type="dxa"/>
            </w:tcMar>
            <w:vAlign w:val="bottom"/>
          </w:tcPr>
          <w:p w:rsidR="00000000" w:rsidDel="00000000" w:rsidP="00000000" w:rsidRDefault="00000000" w:rsidRPr="00000000" w14:paraId="00000350">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gridSpan w:val="2"/>
            <w:shd w:fill="auto" w:val="clear"/>
            <w:tcMar>
              <w:top w:w="40.0" w:type="dxa"/>
              <w:left w:w="40.0" w:type="dxa"/>
              <w:bottom w:w="40.0" w:type="dxa"/>
              <w:right w:w="40.0" w:type="dxa"/>
            </w:tcMar>
            <w:vAlign w:val="bottom"/>
          </w:tcPr>
          <w:p w:rsidR="00000000" w:rsidDel="00000000" w:rsidP="00000000" w:rsidRDefault="00000000" w:rsidRPr="00000000" w14:paraId="00000351">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40.0" w:type="dxa"/>
              <w:left w:w="40.0" w:type="dxa"/>
              <w:bottom w:w="40.0" w:type="dxa"/>
              <w:right w:w="40.0" w:type="dxa"/>
            </w:tcMar>
            <w:vAlign w:val="bottom"/>
          </w:tcPr>
          <w:p w:rsidR="00000000" w:rsidDel="00000000" w:rsidP="00000000" w:rsidRDefault="00000000" w:rsidRPr="00000000" w14:paraId="00000353">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452" w:hRule="atLeast"/>
          <w:tblHeader w:val="0"/>
        </w:trPr>
        <w:tc>
          <w:tcPr>
            <w:tcBorders>
              <w:bottom w:color="000000" w:space="0" w:sz="12" w:val="single"/>
            </w:tcBorders>
            <w:shd w:fill="auto" w:val="clear"/>
            <w:tcMar>
              <w:top w:w="40.0" w:type="dxa"/>
              <w:left w:w="40.0" w:type="dxa"/>
              <w:bottom w:w="40.0" w:type="dxa"/>
              <w:right w:w="40.0" w:type="dxa"/>
            </w:tcMar>
            <w:vAlign w:val="center"/>
          </w:tcPr>
          <w:p w:rsidR="00000000" w:rsidDel="00000000" w:rsidP="00000000" w:rsidRDefault="00000000" w:rsidRPr="00000000" w14:paraId="00000354">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Sinclair </w:t>
            </w:r>
            <w:r w:rsidDel="00000000" w:rsidR="00000000" w:rsidRPr="00000000">
              <w:rPr>
                <w:rFonts w:ascii="Times New Roman" w:cs="Times New Roman" w:eastAsia="Times New Roman" w:hAnsi="Times New Roman"/>
                <w:i w:val="1"/>
                <w:iCs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2023</w:t>
            </w:r>
          </w:p>
        </w:tc>
        <w:tc>
          <w:tcPr>
            <w:tcBorders>
              <w:bottom w:color="000000" w:space="0" w:sz="12" w:val="single"/>
            </w:tcBorders>
            <w:shd w:fill="auto" w:val="clear"/>
            <w:tcMar>
              <w:top w:w="40.0" w:type="dxa"/>
              <w:left w:w="40.0" w:type="dxa"/>
              <w:bottom w:w="40.0" w:type="dxa"/>
              <w:right w:w="40.0" w:type="dxa"/>
            </w:tcMar>
            <w:vAlign w:val="center"/>
          </w:tcPr>
          <w:p w:rsidR="00000000" w:rsidDel="00000000" w:rsidP="00000000" w:rsidRDefault="00000000" w:rsidRPr="00000000" w14:paraId="00000355">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bottom w:color="000000" w:space="0" w:sz="12" w:val="single"/>
            </w:tcBorders>
            <w:shd w:fill="auto" w:val="clear"/>
            <w:tcMar>
              <w:top w:w="40.0" w:type="dxa"/>
              <w:left w:w="40.0" w:type="dxa"/>
              <w:bottom w:w="40.0" w:type="dxa"/>
              <w:right w:w="40.0" w:type="dxa"/>
            </w:tcMar>
            <w:vAlign w:val="center"/>
          </w:tcPr>
          <w:p w:rsidR="00000000" w:rsidDel="00000000" w:rsidP="00000000" w:rsidRDefault="00000000" w:rsidRPr="00000000" w14:paraId="00000356">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tcBorders>
              <w:bottom w:color="000000" w:space="0" w:sz="12" w:val="single"/>
            </w:tcBorders>
            <w:shd w:fill="auto" w:val="clear"/>
            <w:tcMar>
              <w:top w:w="40.0" w:type="dxa"/>
              <w:left w:w="40.0" w:type="dxa"/>
              <w:bottom w:w="40.0" w:type="dxa"/>
              <w:right w:w="40.0" w:type="dxa"/>
            </w:tcMar>
            <w:vAlign w:val="center"/>
          </w:tcPr>
          <w:p w:rsidR="00000000" w:rsidDel="00000000" w:rsidP="00000000" w:rsidRDefault="00000000" w:rsidRPr="00000000" w14:paraId="00000357">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bottom w:color="000000" w:space="0" w:sz="12" w:val="single"/>
            </w:tcBorders>
            <w:shd w:fill="auto" w:val="clear"/>
            <w:tcMar>
              <w:top w:w="40.0" w:type="dxa"/>
              <w:left w:w="40.0" w:type="dxa"/>
              <w:bottom w:w="40.0" w:type="dxa"/>
              <w:right w:w="40.0" w:type="dxa"/>
            </w:tcMar>
            <w:vAlign w:val="center"/>
          </w:tcPr>
          <w:p w:rsidR="00000000" w:rsidDel="00000000" w:rsidP="00000000" w:rsidRDefault="00000000" w:rsidRPr="00000000" w14:paraId="00000358">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tcBorders>
              <w:bottom w:color="000000" w:space="0" w:sz="12" w:val="single"/>
            </w:tcBorders>
            <w:shd w:fill="auto" w:val="clear"/>
            <w:tcMar>
              <w:top w:w="40.0" w:type="dxa"/>
              <w:left w:w="40.0" w:type="dxa"/>
              <w:bottom w:w="40.0" w:type="dxa"/>
              <w:right w:w="40.0" w:type="dxa"/>
            </w:tcMar>
            <w:vAlign w:val="center"/>
          </w:tcPr>
          <w:p w:rsidR="00000000" w:rsidDel="00000000" w:rsidP="00000000" w:rsidRDefault="00000000" w:rsidRPr="00000000" w14:paraId="00000359">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bottom w:color="000000" w:space="0" w:sz="12" w:val="single"/>
            </w:tcBorders>
            <w:shd w:fill="auto" w:val="clear"/>
            <w:tcMar>
              <w:top w:w="40.0" w:type="dxa"/>
              <w:left w:w="40.0" w:type="dxa"/>
              <w:bottom w:w="40.0" w:type="dxa"/>
              <w:right w:w="40.0" w:type="dxa"/>
            </w:tcMar>
            <w:vAlign w:val="center"/>
          </w:tcPr>
          <w:p w:rsidR="00000000" w:rsidDel="00000000" w:rsidP="00000000" w:rsidRDefault="00000000" w:rsidRPr="00000000" w14:paraId="0000035A">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tcBorders>
              <w:bottom w:color="000000" w:space="0" w:sz="12" w:val="single"/>
            </w:tcBorders>
            <w:shd w:fill="auto" w:val="clear"/>
            <w:tcMar>
              <w:top w:w="40.0" w:type="dxa"/>
              <w:left w:w="40.0" w:type="dxa"/>
              <w:bottom w:w="40.0" w:type="dxa"/>
              <w:right w:w="40.0" w:type="dxa"/>
            </w:tcMar>
            <w:vAlign w:val="center"/>
          </w:tcPr>
          <w:p w:rsidR="00000000" w:rsidDel="00000000" w:rsidP="00000000" w:rsidRDefault="00000000" w:rsidRPr="00000000" w14:paraId="0000035B">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gridSpan w:val="2"/>
            <w:tcBorders>
              <w:bottom w:color="000000" w:space="0" w:sz="12" w:val="single"/>
            </w:tcBorders>
            <w:shd w:fill="auto" w:val="clear"/>
            <w:tcMar>
              <w:top w:w="40.0" w:type="dxa"/>
              <w:left w:w="40.0" w:type="dxa"/>
              <w:bottom w:w="40.0" w:type="dxa"/>
              <w:right w:w="40.0" w:type="dxa"/>
            </w:tcMar>
            <w:vAlign w:val="center"/>
          </w:tcPr>
          <w:p w:rsidR="00000000" w:rsidDel="00000000" w:rsidP="00000000" w:rsidRDefault="00000000" w:rsidRPr="00000000" w14:paraId="0000035C">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bottom w:color="000000" w:space="0" w:sz="12" w:val="single"/>
            </w:tcBorders>
            <w:shd w:fill="auto" w:val="clear"/>
            <w:tcMar>
              <w:top w:w="40.0" w:type="dxa"/>
              <w:left w:w="40.0" w:type="dxa"/>
              <w:bottom w:w="40.0" w:type="dxa"/>
              <w:right w:w="40.0" w:type="dxa"/>
            </w:tcMar>
            <w:vAlign w:val="center"/>
          </w:tcPr>
          <w:p w:rsidR="00000000" w:rsidDel="00000000" w:rsidP="00000000" w:rsidRDefault="00000000" w:rsidRPr="00000000" w14:paraId="0000035E">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bl>
    <w:p w:rsidR="00000000" w:rsidDel="00000000" w:rsidP="00000000" w:rsidRDefault="00000000" w:rsidRPr="00000000" w14:paraId="0000035F">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Footnote: NOS domains and star allocation as above; item-level judgments per study.</w:t>
      </w:r>
      <w:r w:rsidDel="00000000" w:rsidR="00000000" w:rsidRPr="00000000">
        <w:br w:type="page"/>
      </w:r>
      <w:r w:rsidDel="00000000" w:rsidR="00000000" w:rsidRPr="00000000">
        <w:rPr>
          <w:rtl w:val="0"/>
        </w:rPr>
      </w:r>
    </w:p>
    <w:p w:rsidR="00000000" w:rsidDel="00000000" w:rsidP="00000000" w:rsidRDefault="00000000" w:rsidRPr="00000000" w14:paraId="00000361">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Figure A. Risk of Bias—Randomized Trials (ROB-2; per-protocol)</w:t>
      </w:r>
    </w:p>
    <w:p w:rsidR="00000000" w:rsidDel="00000000" w:rsidP="00000000" w:rsidRDefault="00000000" w:rsidRPr="00000000" w14:paraId="00000362">
      <w:pPr>
        <w:spacing w:line="276" w:lineRule="auto"/>
        <w:rPr>
          <w:rFonts w:ascii="Times New Roman" w:cs="Times New Roman" w:eastAsia="Times New Roman" w:hAnsi="Times New Roman"/>
          <w:b w:val="1"/>
          <w:bCs w:val="1"/>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212866</wp:posOffset>
            </wp:positionV>
            <wp:extent cx="942975" cy="1089763"/>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64706" l="5840" r="88318" t="10733"/>
                    <a:stretch>
                      <a:fillRect/>
                    </a:stretch>
                  </pic:blipFill>
                  <pic:spPr>
                    <a:xfrm>
                      <a:off x="0" y="0"/>
                      <a:ext cx="942975" cy="1089763"/>
                    </a:xfrm>
                    <a:prstGeom prst="rect"/>
                    <a:ln/>
                  </pic:spPr>
                </pic:pic>
              </a:graphicData>
            </a:graphic>
          </wp:anchor>
        </w:drawing>
      </w:r>
    </w:p>
    <w:p w:rsidR="00000000" w:rsidDel="00000000" w:rsidP="00000000" w:rsidRDefault="00000000" w:rsidRPr="00000000" w14:paraId="00000363">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Pr>
        <w:drawing>
          <wp:inline distB="114300" distT="114300" distL="114300" distR="114300">
            <wp:extent cx="5219700" cy="1615337"/>
            <wp:effectExtent b="0" l="0" r="0" t="0"/>
            <wp:docPr id="2" name="image1.png"/>
            <a:graphic>
              <a:graphicData uri="http://schemas.openxmlformats.org/drawingml/2006/picture">
                <pic:pic>
                  <pic:nvPicPr>
                    <pic:cNvPr id="0" name="image1.png"/>
                    <pic:cNvPicPr preferRelativeResize="0"/>
                  </pic:nvPicPr>
                  <pic:blipFill>
                    <a:blip r:embed="rId6"/>
                    <a:srcRect b="52343" l="54457" r="13211" t="11250"/>
                    <a:stretch>
                      <a:fillRect/>
                    </a:stretch>
                  </pic:blipFill>
                  <pic:spPr>
                    <a:xfrm>
                      <a:off x="0" y="0"/>
                      <a:ext cx="5219700" cy="1615337"/>
                    </a:xfrm>
                    <a:prstGeom prst="rect"/>
                    <a:ln/>
                  </pic:spPr>
                </pic:pic>
              </a:graphicData>
            </a:graphic>
          </wp:inline>
        </w:drawing>
      </w:r>
      <w:r w:rsidDel="00000000" w:rsidR="00000000" w:rsidRPr="00000000">
        <w:rPr>
          <w:rtl w:val="0"/>
        </w:rPr>
      </w:r>
    </w:p>
    <w:p w:rsidR="00000000" w:rsidDel="00000000" w:rsidP="00000000" w:rsidRDefault="00000000" w:rsidRPr="00000000" w14:paraId="00000364">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36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Caption: Traffic-light summary across domains (randomization, deviations, missing data, measurement, selective reporting).</w:t>
      </w:r>
      <w:r w:rsidDel="00000000" w:rsidR="00000000" w:rsidRPr="00000000">
        <w:br w:type="page"/>
      </w:r>
      <w:r w:rsidDel="00000000" w:rsidR="00000000" w:rsidRPr="00000000">
        <w:rPr>
          <w:rtl w:val="0"/>
        </w:rPr>
      </w:r>
    </w:p>
    <w:p w:rsidR="00000000" w:rsidDel="00000000" w:rsidP="00000000" w:rsidRDefault="00000000" w:rsidRPr="00000000" w14:paraId="00000366">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Table E. Risk of Bias—Non-Randomized Studies of Interventions (ROBINS-I)</w:t>
      </w:r>
    </w:p>
    <w:p w:rsidR="00000000" w:rsidDel="00000000" w:rsidP="00000000" w:rsidRDefault="00000000" w:rsidRPr="00000000" w14:paraId="00000367">
      <w:pPr>
        <w:spacing w:line="276" w:lineRule="auto"/>
        <w:rPr>
          <w:rFonts w:ascii="Times New Roman" w:cs="Times New Roman" w:eastAsia="Times New Roman" w:hAnsi="Times New Roman"/>
          <w:b w:val="1"/>
          <w:bCs w:val="1"/>
          <w:sz w:val="24"/>
          <w:szCs w:val="24"/>
        </w:rPr>
      </w:pPr>
      <w:r w:rsidDel="00000000" w:rsidR="00000000" w:rsidRPr="00000000">
        <w:rPr>
          <w:rtl w:val="0"/>
        </w:rPr>
      </w:r>
    </w:p>
    <w:tbl>
      <w:tblPr>
        <w:tblStyle w:val="Table5"/>
        <w:tblW w:w="10460.0" w:type="dxa"/>
        <w:jc w:val="left"/>
        <w:tblLayout w:type="fixed"/>
        <w:tblLook w:val="0600"/>
      </w:tblPr>
      <w:tblGrid>
        <w:gridCol w:w="1040"/>
        <w:gridCol w:w="1100"/>
        <w:gridCol w:w="1180"/>
        <w:gridCol w:w="960"/>
        <w:gridCol w:w="1020"/>
        <w:gridCol w:w="1080"/>
        <w:gridCol w:w="1180"/>
        <w:gridCol w:w="1500"/>
        <w:gridCol w:w="360"/>
        <w:gridCol w:w="1040"/>
        <w:tblGridChange w:id="0">
          <w:tblGrid>
            <w:gridCol w:w="1040"/>
            <w:gridCol w:w="1100"/>
            <w:gridCol w:w="1180"/>
            <w:gridCol w:w="960"/>
            <w:gridCol w:w="1020"/>
            <w:gridCol w:w="1080"/>
            <w:gridCol w:w="1180"/>
            <w:gridCol w:w="1500"/>
            <w:gridCol w:w="360"/>
            <w:gridCol w:w="1040"/>
          </w:tblGrid>
        </w:tblGridChange>
      </w:tblGrid>
      <w:tr>
        <w:trPr>
          <w:cantSplit w:val="0"/>
          <w:trHeight w:val="540" w:hRule="atLeast"/>
          <w:tblHeader w:val="0"/>
        </w:trPr>
        <w:tc>
          <w:tcPr>
            <w:tcBorders>
              <w:top w:color="000000" w:space="0" w:sz="0" w:val="nil"/>
              <w:left w:color="000000" w:space="0" w:sz="0" w:val="nil"/>
              <w:bottom w:color="000000" w:space="0" w:sz="12" w:val="single"/>
              <w:right w:color="000000" w:space="0" w:sz="0" w:val="nil"/>
            </w:tcBorders>
            <w:shd w:fill="efefef" w:val="clear"/>
            <w:tcMar>
              <w:top w:w="40.0" w:type="dxa"/>
              <w:left w:w="120.0" w:type="dxa"/>
              <w:bottom w:w="40.0" w:type="dxa"/>
              <w:right w:w="120.0" w:type="dxa"/>
            </w:tcMar>
            <w:vAlign w:val="center"/>
          </w:tcPr>
          <w:p w:rsidR="00000000" w:rsidDel="00000000" w:rsidP="00000000" w:rsidRDefault="00000000" w:rsidRPr="00000000" w14:paraId="00000368">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Study</w:t>
            </w:r>
          </w:p>
        </w:tc>
        <w:tc>
          <w:tcPr>
            <w:tcBorders>
              <w:top w:color="000000" w:space="0" w:sz="0" w:val="nil"/>
              <w:left w:color="000000" w:space="0" w:sz="0" w:val="nil"/>
              <w:bottom w:color="000000" w:space="0" w:sz="12" w:val="single"/>
              <w:right w:color="000000" w:space="0" w:sz="0" w:val="nil"/>
            </w:tcBorders>
            <w:shd w:fill="efefef" w:val="clear"/>
            <w:tcMar>
              <w:top w:w="40.0" w:type="dxa"/>
              <w:left w:w="120.0" w:type="dxa"/>
              <w:bottom w:w="40.0" w:type="dxa"/>
              <w:right w:w="120.0" w:type="dxa"/>
            </w:tcMar>
            <w:vAlign w:val="center"/>
          </w:tcPr>
          <w:p w:rsidR="00000000" w:rsidDel="00000000" w:rsidP="00000000" w:rsidRDefault="00000000" w:rsidRPr="00000000" w14:paraId="00000369">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Confounding</w:t>
            </w:r>
          </w:p>
        </w:tc>
        <w:tc>
          <w:tcPr>
            <w:tcBorders>
              <w:top w:color="000000" w:space="0" w:sz="0" w:val="nil"/>
              <w:left w:color="000000" w:space="0" w:sz="0" w:val="nil"/>
              <w:bottom w:color="000000" w:space="0" w:sz="12" w:val="single"/>
              <w:right w:color="000000" w:space="0" w:sz="0" w:val="nil"/>
            </w:tcBorders>
            <w:shd w:fill="efefef" w:val="clear"/>
            <w:tcMar>
              <w:top w:w="40.0" w:type="dxa"/>
              <w:left w:w="120.0" w:type="dxa"/>
              <w:bottom w:w="40.0" w:type="dxa"/>
              <w:right w:w="120.0" w:type="dxa"/>
            </w:tcMar>
            <w:vAlign w:val="center"/>
          </w:tcPr>
          <w:p w:rsidR="00000000" w:rsidDel="00000000" w:rsidP="00000000" w:rsidRDefault="00000000" w:rsidRPr="00000000" w14:paraId="0000036A">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Measurement of intervention</w:t>
            </w:r>
          </w:p>
        </w:tc>
        <w:tc>
          <w:tcPr>
            <w:tcBorders>
              <w:top w:color="000000" w:space="0" w:sz="0" w:val="nil"/>
              <w:left w:color="000000" w:space="0" w:sz="0" w:val="nil"/>
              <w:bottom w:color="000000" w:space="0" w:sz="12" w:val="single"/>
              <w:right w:color="000000" w:space="0" w:sz="0" w:val="nil"/>
            </w:tcBorders>
            <w:shd w:fill="efefef" w:val="clear"/>
            <w:tcMar>
              <w:top w:w="40.0" w:type="dxa"/>
              <w:left w:w="120.0" w:type="dxa"/>
              <w:bottom w:w="40.0" w:type="dxa"/>
              <w:right w:w="120.0" w:type="dxa"/>
            </w:tcMar>
            <w:vAlign w:val="center"/>
          </w:tcPr>
          <w:p w:rsidR="00000000" w:rsidDel="00000000" w:rsidP="00000000" w:rsidRDefault="00000000" w:rsidRPr="00000000" w14:paraId="0000036B">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Selection</w:t>
            </w:r>
          </w:p>
        </w:tc>
        <w:tc>
          <w:tcPr>
            <w:tcBorders>
              <w:top w:color="000000" w:space="0" w:sz="0" w:val="nil"/>
              <w:left w:color="000000" w:space="0" w:sz="0" w:val="nil"/>
              <w:bottom w:color="000000" w:space="0" w:sz="12" w:val="single"/>
              <w:right w:color="000000" w:space="0" w:sz="0" w:val="nil"/>
            </w:tcBorders>
            <w:shd w:fill="efefef" w:val="clear"/>
            <w:tcMar>
              <w:top w:w="40.0" w:type="dxa"/>
              <w:left w:w="120.0" w:type="dxa"/>
              <w:bottom w:w="40.0" w:type="dxa"/>
              <w:right w:w="120.0" w:type="dxa"/>
            </w:tcMar>
            <w:vAlign w:val="center"/>
          </w:tcPr>
          <w:p w:rsidR="00000000" w:rsidDel="00000000" w:rsidP="00000000" w:rsidRDefault="00000000" w:rsidRPr="00000000" w14:paraId="0000036C">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Deviation from intended intervention</w:t>
            </w:r>
          </w:p>
        </w:tc>
        <w:tc>
          <w:tcPr>
            <w:tcBorders>
              <w:top w:color="000000" w:space="0" w:sz="0" w:val="nil"/>
              <w:left w:color="000000" w:space="0" w:sz="0" w:val="nil"/>
              <w:bottom w:color="000000" w:space="0" w:sz="12" w:val="single"/>
              <w:right w:color="000000" w:space="0" w:sz="0" w:val="nil"/>
            </w:tcBorders>
            <w:shd w:fill="efefef" w:val="clear"/>
            <w:tcMar>
              <w:top w:w="40.0" w:type="dxa"/>
              <w:left w:w="120.0" w:type="dxa"/>
              <w:bottom w:w="40.0" w:type="dxa"/>
              <w:right w:w="120.0" w:type="dxa"/>
            </w:tcMar>
            <w:vAlign w:val="center"/>
          </w:tcPr>
          <w:p w:rsidR="00000000" w:rsidDel="00000000" w:rsidP="00000000" w:rsidRDefault="00000000" w:rsidRPr="00000000" w14:paraId="0000036D">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Missing data</w:t>
            </w:r>
          </w:p>
        </w:tc>
        <w:tc>
          <w:tcPr>
            <w:tcBorders>
              <w:top w:color="000000" w:space="0" w:sz="0" w:val="nil"/>
              <w:left w:color="000000" w:space="0" w:sz="0" w:val="nil"/>
              <w:bottom w:color="000000" w:space="0" w:sz="12" w:val="single"/>
              <w:right w:color="000000" w:space="0" w:sz="0" w:val="nil"/>
            </w:tcBorders>
            <w:shd w:fill="efefef" w:val="clear"/>
            <w:tcMar>
              <w:top w:w="40.0" w:type="dxa"/>
              <w:left w:w="120.0" w:type="dxa"/>
              <w:bottom w:w="40.0" w:type="dxa"/>
              <w:right w:w="120.0" w:type="dxa"/>
            </w:tcMar>
            <w:vAlign w:val="center"/>
          </w:tcPr>
          <w:p w:rsidR="00000000" w:rsidDel="00000000" w:rsidP="00000000" w:rsidRDefault="00000000" w:rsidRPr="00000000" w14:paraId="0000036E">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Measurement of outcomes</w:t>
            </w:r>
          </w:p>
        </w:tc>
        <w:tc>
          <w:tcPr>
            <w:tcBorders>
              <w:top w:color="000000" w:space="0" w:sz="0" w:val="nil"/>
              <w:left w:color="000000" w:space="0" w:sz="0" w:val="nil"/>
              <w:bottom w:color="000000" w:space="0" w:sz="12" w:val="single"/>
              <w:right w:color="000000" w:space="0" w:sz="0" w:val="nil"/>
            </w:tcBorders>
            <w:shd w:fill="efefef" w:val="clear"/>
            <w:tcMar>
              <w:top w:w="40.0" w:type="dxa"/>
              <w:left w:w="120.0" w:type="dxa"/>
              <w:bottom w:w="40.0" w:type="dxa"/>
              <w:right w:w="120.0" w:type="dxa"/>
            </w:tcMar>
            <w:vAlign w:val="center"/>
          </w:tcPr>
          <w:p w:rsidR="00000000" w:rsidDel="00000000" w:rsidP="00000000" w:rsidRDefault="00000000" w:rsidRPr="00000000" w14:paraId="0000036F">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Reported results</w:t>
            </w:r>
          </w:p>
        </w:tc>
        <w:tc>
          <w:tcPr>
            <w:tcBorders>
              <w:top w:color="000000" w:space="0" w:sz="0" w:val="nil"/>
              <w:left w:color="000000" w:space="0" w:sz="0" w:val="nil"/>
              <w:bottom w:color="000000" w:space="0" w:sz="12" w:val="single"/>
              <w:right w:color="000000" w:space="0" w:sz="0" w:val="nil"/>
            </w:tcBorders>
            <w:shd w:fill="efefef" w:val="clear"/>
            <w:tcMar>
              <w:top w:w="40.0" w:type="dxa"/>
              <w:left w:w="120.0" w:type="dxa"/>
              <w:bottom w:w="40.0" w:type="dxa"/>
              <w:right w:w="120.0" w:type="dxa"/>
            </w:tcMar>
            <w:vAlign w:val="center"/>
          </w:tcPr>
          <w:p w:rsidR="00000000" w:rsidDel="00000000" w:rsidP="00000000" w:rsidRDefault="00000000" w:rsidRPr="00000000" w14:paraId="00000370">
            <w:pPr>
              <w:widowControl w:val="0"/>
              <w:spacing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1">
            <w:pPr>
              <w:widowControl w:val="0"/>
              <w:spacing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12" w:val="single"/>
              <w:right w:color="000000" w:space="0" w:sz="0" w:val="nil"/>
            </w:tcBorders>
            <w:shd w:fill="efefef" w:val="clear"/>
            <w:tcMar>
              <w:top w:w="40.0" w:type="dxa"/>
              <w:left w:w="120.0" w:type="dxa"/>
              <w:bottom w:w="40.0" w:type="dxa"/>
              <w:right w:w="120.0" w:type="dxa"/>
            </w:tcMar>
            <w:vAlign w:val="center"/>
          </w:tcPr>
          <w:p w:rsidR="00000000" w:rsidDel="00000000" w:rsidP="00000000" w:rsidRDefault="00000000" w:rsidRPr="00000000" w14:paraId="00000372">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Overall</w:t>
            </w:r>
          </w:p>
        </w:tc>
      </w:tr>
      <w:tr>
        <w:trPr>
          <w:cantSplit w:val="0"/>
          <w:trHeight w:val="315" w:hRule="atLeast"/>
          <w:tblHeader w:val="0"/>
        </w:trPr>
        <w:tc>
          <w:tcPr>
            <w:tcBorders>
              <w:top w:color="000000" w:space="0" w:sz="12" w:val="single"/>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73">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Baron </w:t>
            </w:r>
            <w:r w:rsidDel="00000000" w:rsidR="00000000" w:rsidRPr="00000000">
              <w:rPr>
                <w:rFonts w:ascii="Times New Roman" w:cs="Times New Roman" w:eastAsia="Times New Roman" w:hAnsi="Times New Roman"/>
                <w:i w:val="1"/>
                <w:iCs w:val="1"/>
                <w:color w:val="434343"/>
                <w:sz w:val="24"/>
                <w:szCs w:val="24"/>
                <w:rtl w:val="0"/>
              </w:rPr>
              <w:t xml:space="preserve">et al.</w:t>
            </w:r>
            <w:r w:rsidDel="00000000" w:rsidR="00000000" w:rsidRPr="00000000">
              <w:rPr>
                <w:rFonts w:ascii="Times New Roman" w:cs="Times New Roman" w:eastAsia="Times New Roman" w:hAnsi="Times New Roman"/>
                <w:color w:val="434343"/>
                <w:sz w:val="24"/>
                <w:szCs w:val="24"/>
                <w:rtl w:val="0"/>
              </w:rPr>
              <w:t xml:space="preserve">, 2024</w:t>
            </w:r>
            <w:r w:rsidDel="00000000" w:rsidR="00000000" w:rsidRPr="00000000">
              <w:rPr>
                <w:rtl w:val="0"/>
              </w:rPr>
            </w:r>
          </w:p>
        </w:tc>
        <w:tc>
          <w:tcPr>
            <w:tcBorders>
              <w:top w:color="000000" w:space="0" w:sz="12" w:val="single"/>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74">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Moderate</w:t>
            </w:r>
            <w:r w:rsidDel="00000000" w:rsidR="00000000" w:rsidRPr="00000000">
              <w:rPr>
                <w:rtl w:val="0"/>
              </w:rPr>
            </w:r>
          </w:p>
        </w:tc>
        <w:tc>
          <w:tcPr>
            <w:tcBorders>
              <w:top w:color="000000" w:space="0" w:sz="12" w:val="single"/>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75">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Moderate</w:t>
            </w:r>
            <w:r w:rsidDel="00000000" w:rsidR="00000000" w:rsidRPr="00000000">
              <w:rPr>
                <w:rtl w:val="0"/>
              </w:rPr>
            </w:r>
          </w:p>
        </w:tc>
        <w:tc>
          <w:tcPr>
            <w:tcBorders>
              <w:top w:color="000000" w:space="0" w:sz="12" w:val="single"/>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76">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Low</w:t>
            </w:r>
            <w:r w:rsidDel="00000000" w:rsidR="00000000" w:rsidRPr="00000000">
              <w:rPr>
                <w:rtl w:val="0"/>
              </w:rPr>
            </w:r>
          </w:p>
        </w:tc>
        <w:tc>
          <w:tcPr>
            <w:tcBorders>
              <w:top w:color="000000" w:space="0" w:sz="12" w:val="single"/>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77">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Moderate</w:t>
            </w:r>
            <w:r w:rsidDel="00000000" w:rsidR="00000000" w:rsidRPr="00000000">
              <w:rPr>
                <w:rtl w:val="0"/>
              </w:rPr>
            </w:r>
          </w:p>
        </w:tc>
        <w:tc>
          <w:tcPr>
            <w:tcBorders>
              <w:top w:color="000000" w:space="0" w:sz="12" w:val="single"/>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78">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Low</w:t>
            </w:r>
            <w:r w:rsidDel="00000000" w:rsidR="00000000" w:rsidRPr="00000000">
              <w:rPr>
                <w:rtl w:val="0"/>
              </w:rPr>
            </w:r>
          </w:p>
        </w:tc>
        <w:tc>
          <w:tcPr>
            <w:tcBorders>
              <w:top w:color="000000" w:space="0" w:sz="12" w:val="single"/>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79">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Low</w:t>
            </w:r>
            <w:r w:rsidDel="00000000" w:rsidR="00000000" w:rsidRPr="00000000">
              <w:rPr>
                <w:rtl w:val="0"/>
              </w:rPr>
            </w:r>
          </w:p>
        </w:tc>
        <w:tc>
          <w:tcPr>
            <w:tcBorders>
              <w:top w:color="000000" w:space="0" w:sz="12" w:val="single"/>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7A">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Low</w:t>
            </w:r>
            <w:r w:rsidDel="00000000" w:rsidR="00000000" w:rsidRPr="00000000">
              <w:rPr>
                <w:rtl w:val="0"/>
              </w:rPr>
            </w:r>
          </w:p>
        </w:tc>
        <w:tc>
          <w:tcPr>
            <w:tcBorders>
              <w:top w:color="000000" w:space="0" w:sz="12" w:val="single"/>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7B">
            <w:pPr>
              <w:widowControl w:val="0"/>
              <w:spacing w:line="276" w:lineRule="auto"/>
              <w:jc w:val="center"/>
              <w:rPr>
                <w:rFonts w:ascii="Times New Roman" w:cs="Times New Roman" w:eastAsia="Times New Roman" w:hAnsi="Times New Roman"/>
                <w:color w:val="434343"/>
                <w:sz w:val="24"/>
                <w:szCs w:val="24"/>
              </w:rPr>
            </w:pPr>
            <w:r w:rsidDel="00000000" w:rsidR="00000000" w:rsidRPr="00000000">
              <w:rPr>
                <w:rtl w:val="0"/>
              </w:rPr>
            </w:r>
          </w:p>
        </w:tc>
        <w:tc>
          <w:tcPr>
            <w:tcBorders>
              <w:top w:color="000000" w:space="0" w:sz="12" w:val="single"/>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7C">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Moderate</w:t>
            </w: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7D">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Baker </w:t>
            </w:r>
            <w:r w:rsidDel="00000000" w:rsidR="00000000" w:rsidRPr="00000000">
              <w:rPr>
                <w:rFonts w:ascii="Times New Roman" w:cs="Times New Roman" w:eastAsia="Times New Roman" w:hAnsi="Times New Roman"/>
                <w:i w:val="1"/>
                <w:iCs w:val="1"/>
                <w:color w:val="434343"/>
                <w:sz w:val="24"/>
                <w:szCs w:val="24"/>
                <w:rtl w:val="0"/>
              </w:rPr>
              <w:t xml:space="preserve">et al.</w:t>
            </w:r>
            <w:r w:rsidDel="00000000" w:rsidR="00000000" w:rsidRPr="00000000">
              <w:rPr>
                <w:rFonts w:ascii="Times New Roman" w:cs="Times New Roman" w:eastAsia="Times New Roman" w:hAnsi="Times New Roman"/>
                <w:color w:val="434343"/>
                <w:sz w:val="24"/>
                <w:szCs w:val="24"/>
                <w:rtl w:val="0"/>
              </w:rPr>
              <w:t xml:space="preserve">, 1976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7E">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Serious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7F">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Low</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80">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Moderate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81">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Low</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82">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Serious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83">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Serious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84">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Moderate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85">
            <w:pPr>
              <w:widowControl w:val="0"/>
              <w:spacing w:line="276" w:lineRule="auto"/>
              <w:jc w:val="center"/>
              <w:rPr>
                <w:rFonts w:ascii="Times New Roman" w:cs="Times New Roman" w:eastAsia="Times New Roman" w:hAnsi="Times New Roman"/>
                <w:color w:val="434343"/>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86">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Serious</w:t>
            </w: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87">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Tallaksen </w:t>
            </w:r>
            <w:r w:rsidDel="00000000" w:rsidR="00000000" w:rsidRPr="00000000">
              <w:rPr>
                <w:rFonts w:ascii="Times New Roman" w:cs="Times New Roman" w:eastAsia="Times New Roman" w:hAnsi="Times New Roman"/>
                <w:i w:val="1"/>
                <w:iCs w:val="1"/>
                <w:color w:val="434343"/>
                <w:sz w:val="24"/>
                <w:szCs w:val="24"/>
                <w:rtl w:val="0"/>
              </w:rPr>
              <w:t xml:space="preserve">et al.</w:t>
            </w:r>
            <w:r w:rsidDel="00000000" w:rsidR="00000000" w:rsidRPr="00000000">
              <w:rPr>
                <w:rFonts w:ascii="Times New Roman" w:cs="Times New Roman" w:eastAsia="Times New Roman" w:hAnsi="Times New Roman"/>
                <w:color w:val="434343"/>
                <w:sz w:val="24"/>
                <w:szCs w:val="24"/>
                <w:rtl w:val="0"/>
              </w:rPr>
              <w:t xml:space="preserve">, 1992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88">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Serious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89">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Low</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8A">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Moderate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8B">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Low</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8C">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Moderate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8D">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Serious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8E">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Moderate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8F">
            <w:pPr>
              <w:widowControl w:val="0"/>
              <w:spacing w:line="276" w:lineRule="auto"/>
              <w:jc w:val="center"/>
              <w:rPr>
                <w:rFonts w:ascii="Times New Roman" w:cs="Times New Roman" w:eastAsia="Times New Roman" w:hAnsi="Times New Roman"/>
                <w:color w:val="434343"/>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90">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Serious</w:t>
            </w: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91">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McIntosh </w:t>
            </w:r>
            <w:r w:rsidDel="00000000" w:rsidR="00000000" w:rsidRPr="00000000">
              <w:rPr>
                <w:rFonts w:ascii="Times New Roman" w:cs="Times New Roman" w:eastAsia="Times New Roman" w:hAnsi="Times New Roman"/>
                <w:i w:val="1"/>
                <w:iCs w:val="1"/>
                <w:color w:val="434343"/>
                <w:sz w:val="24"/>
                <w:szCs w:val="24"/>
                <w:rtl w:val="0"/>
              </w:rPr>
              <w:t xml:space="preserve">et al.</w:t>
            </w:r>
            <w:r w:rsidDel="00000000" w:rsidR="00000000" w:rsidRPr="00000000">
              <w:rPr>
                <w:rFonts w:ascii="Times New Roman" w:cs="Times New Roman" w:eastAsia="Times New Roman" w:hAnsi="Times New Roman"/>
                <w:color w:val="434343"/>
                <w:sz w:val="24"/>
                <w:szCs w:val="24"/>
                <w:rtl w:val="0"/>
              </w:rPr>
              <w:t xml:space="preserve">, 2005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92">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Serious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93">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Low</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94">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Moderate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95">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Moderate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96">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Moderate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97">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Moderate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98">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Moderate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99">
            <w:pPr>
              <w:widowControl w:val="0"/>
              <w:spacing w:line="276" w:lineRule="auto"/>
              <w:jc w:val="center"/>
              <w:rPr>
                <w:rFonts w:ascii="Times New Roman" w:cs="Times New Roman" w:eastAsia="Times New Roman" w:hAnsi="Times New Roman"/>
                <w:color w:val="434343"/>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9A">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Serious</w:t>
            </w: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9B">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Talbot </w:t>
            </w:r>
            <w:r w:rsidDel="00000000" w:rsidR="00000000" w:rsidRPr="00000000">
              <w:rPr>
                <w:rFonts w:ascii="Times New Roman" w:cs="Times New Roman" w:eastAsia="Times New Roman" w:hAnsi="Times New Roman"/>
                <w:i w:val="1"/>
                <w:iCs w:val="1"/>
                <w:color w:val="434343"/>
                <w:sz w:val="24"/>
                <w:szCs w:val="24"/>
                <w:rtl w:val="0"/>
              </w:rPr>
              <w:t xml:space="preserve">et al.</w:t>
            </w:r>
            <w:r w:rsidDel="00000000" w:rsidR="00000000" w:rsidRPr="00000000">
              <w:rPr>
                <w:rFonts w:ascii="Times New Roman" w:cs="Times New Roman" w:eastAsia="Times New Roman" w:hAnsi="Times New Roman"/>
                <w:color w:val="434343"/>
                <w:sz w:val="24"/>
                <w:szCs w:val="24"/>
                <w:rtl w:val="0"/>
              </w:rPr>
              <w:t xml:space="preserve">, 2011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9C">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Serious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9D">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Low</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9E">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Moderate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9F">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Moderate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A0">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Moderate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A1">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Moderate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A2">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Moderate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A3">
            <w:pPr>
              <w:widowControl w:val="0"/>
              <w:spacing w:line="276" w:lineRule="auto"/>
              <w:jc w:val="center"/>
              <w:rPr>
                <w:rFonts w:ascii="Times New Roman" w:cs="Times New Roman" w:eastAsia="Times New Roman" w:hAnsi="Times New Roman"/>
                <w:color w:val="434343"/>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A4">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Serious</w:t>
            </w: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A5">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Lin </w:t>
            </w:r>
            <w:r w:rsidDel="00000000" w:rsidR="00000000" w:rsidRPr="00000000">
              <w:rPr>
                <w:rFonts w:ascii="Times New Roman" w:cs="Times New Roman" w:eastAsia="Times New Roman" w:hAnsi="Times New Roman"/>
                <w:i w:val="1"/>
                <w:iCs w:val="1"/>
                <w:color w:val="434343"/>
                <w:sz w:val="24"/>
                <w:szCs w:val="24"/>
                <w:rtl w:val="0"/>
              </w:rPr>
              <w:t xml:space="preserve">et al.</w:t>
            </w:r>
            <w:r w:rsidDel="00000000" w:rsidR="00000000" w:rsidRPr="00000000">
              <w:rPr>
                <w:rFonts w:ascii="Times New Roman" w:cs="Times New Roman" w:eastAsia="Times New Roman" w:hAnsi="Times New Roman"/>
                <w:color w:val="434343"/>
                <w:sz w:val="24"/>
                <w:szCs w:val="24"/>
                <w:rtl w:val="0"/>
              </w:rPr>
              <w:t xml:space="preserve">, 2019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A6">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Serious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A7">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Low</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A8">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Moderate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A9">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Moderate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AA">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Moderate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AB">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Serious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AC">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Moderate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AD">
            <w:pPr>
              <w:widowControl w:val="0"/>
              <w:spacing w:line="276" w:lineRule="auto"/>
              <w:jc w:val="center"/>
              <w:rPr>
                <w:rFonts w:ascii="Times New Roman" w:cs="Times New Roman" w:eastAsia="Times New Roman" w:hAnsi="Times New Roman"/>
                <w:color w:val="434343"/>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AE">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Serious</w:t>
            </w: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AF">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Rees </w:t>
            </w:r>
            <w:r w:rsidDel="00000000" w:rsidR="00000000" w:rsidRPr="00000000">
              <w:rPr>
                <w:rFonts w:ascii="Times New Roman" w:cs="Times New Roman" w:eastAsia="Times New Roman" w:hAnsi="Times New Roman"/>
                <w:i w:val="1"/>
                <w:iCs w:val="1"/>
                <w:color w:val="434343"/>
                <w:sz w:val="24"/>
                <w:szCs w:val="24"/>
                <w:rtl w:val="0"/>
              </w:rPr>
              <w:t xml:space="preserve">et al.</w:t>
            </w:r>
            <w:r w:rsidDel="00000000" w:rsidR="00000000" w:rsidRPr="00000000">
              <w:rPr>
                <w:rFonts w:ascii="Times New Roman" w:cs="Times New Roman" w:eastAsia="Times New Roman" w:hAnsi="Times New Roman"/>
                <w:color w:val="434343"/>
                <w:sz w:val="24"/>
                <w:szCs w:val="24"/>
                <w:rtl w:val="0"/>
              </w:rPr>
              <w:t xml:space="preserve">, 2013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B0">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Serious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B1">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Low</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B2">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Moderate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B3">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Moderate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B4">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Moderate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B5">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Serious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B6">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Moderate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B7">
            <w:pPr>
              <w:widowControl w:val="0"/>
              <w:spacing w:line="276" w:lineRule="auto"/>
              <w:jc w:val="center"/>
              <w:rPr>
                <w:rFonts w:ascii="Times New Roman" w:cs="Times New Roman" w:eastAsia="Times New Roman" w:hAnsi="Times New Roman"/>
                <w:color w:val="434343"/>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120.0" w:type="dxa"/>
              <w:bottom w:w="40.0" w:type="dxa"/>
              <w:right w:w="120.0" w:type="dxa"/>
            </w:tcMar>
            <w:vAlign w:val="center"/>
          </w:tcPr>
          <w:p w:rsidR="00000000" w:rsidDel="00000000" w:rsidP="00000000" w:rsidRDefault="00000000" w:rsidRPr="00000000" w14:paraId="000003B8">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34343"/>
                <w:sz w:val="24"/>
                <w:szCs w:val="24"/>
                <w:rtl w:val="0"/>
              </w:rPr>
              <w:t xml:space="preserve">Serious</w:t>
            </w:r>
            <w:r w:rsidDel="00000000" w:rsidR="00000000" w:rsidRPr="00000000">
              <w:rPr>
                <w:rtl w:val="0"/>
              </w:rPr>
            </w:r>
          </w:p>
        </w:tc>
      </w:tr>
    </w:tbl>
    <w:p w:rsidR="00000000" w:rsidDel="00000000" w:rsidP="00000000" w:rsidRDefault="00000000" w:rsidRPr="00000000" w14:paraId="000003B9">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B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Footnote: Domain judgments: confounding, classification of interventions, selection, deviations from intended interventions, missing data, measurement of outcomes, reporting of results; overall risk shown in last column.</w:t>
      </w:r>
    </w:p>
    <w:p w:rsidR="00000000" w:rsidDel="00000000" w:rsidP="00000000" w:rsidRDefault="00000000" w:rsidRPr="00000000" w14:paraId="000003BB">
      <w:pPr>
        <w:widowControl w:val="0"/>
        <w:spacing w:line="48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3BC">
      <w:pPr>
        <w:rPr>
          <w:rFonts w:ascii="Times New Roman" w:cs="Times New Roman" w:eastAsia="Times New Roman" w:hAnsi="Times New Roman"/>
          <w:sz w:val="24"/>
          <w:szCs w:val="24"/>
        </w:rPr>
      </w:pPr>
      <w:r w:rsidDel="00000000" w:rsidR="00000000" w:rsidRPr="00000000">
        <w:rPr>
          <w:rtl w:val="0"/>
        </w:rPr>
      </w:r>
    </w:p>
    <w:sectPr>
      <w:type w:val="nextPage"/>
      <w:pgSz w:h="11909" w:w="16834" w:orient="landscape"/>
      <w:pgMar w:bottom="1440.0000000000002" w:top="1440.0000000000002" w:left="1440.0000000000002" w:right="1440.0000000000002"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