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54AEC" w14:textId="2005480E" w:rsidR="00AB4D89" w:rsidRDefault="00AB4D89" w:rsidP="00F93E4A">
      <w:pPr>
        <w:spacing w:line="240" w:lineRule="auto"/>
        <w:ind w:left="-864"/>
        <w:rPr>
          <w:rFonts w:ascii="Times New Roman" w:hAnsi="Times New Roman" w:cs="Times New Roman"/>
          <w:b/>
          <w:bCs/>
          <w:sz w:val="24"/>
          <w:szCs w:val="24"/>
        </w:rPr>
      </w:pPr>
      <w:r w:rsidRPr="00245FF9">
        <w:rPr>
          <w:rFonts w:ascii="Times New Roman" w:hAnsi="Times New Roman" w:cs="Times New Roman"/>
          <w:b/>
          <w:bCs/>
          <w:sz w:val="24"/>
          <w:szCs w:val="24"/>
        </w:rPr>
        <w:t>Supplementary Material</w:t>
      </w:r>
      <w:r>
        <w:rPr>
          <w:rFonts w:ascii="Times New Roman" w:hAnsi="Times New Roman" w:cs="Times New Roman"/>
          <w:b/>
          <w:bCs/>
          <w:sz w:val="24"/>
          <w:szCs w:val="24"/>
        </w:rPr>
        <w:t>:</w:t>
      </w:r>
      <w:r w:rsidRPr="00245FF9">
        <w:rPr>
          <w:rFonts w:ascii="Times New Roman" w:hAnsi="Times New Roman" w:cs="Times New Roman"/>
          <w:b/>
          <w:bCs/>
          <w:sz w:val="24"/>
          <w:szCs w:val="24"/>
        </w:rPr>
        <w:t xml:space="preserve"> Appendix S</w:t>
      </w:r>
      <w:r w:rsidR="00B14259">
        <w:rPr>
          <w:rFonts w:ascii="Times New Roman" w:hAnsi="Times New Roman" w:cs="Times New Roman"/>
          <w:b/>
          <w:bCs/>
          <w:sz w:val="24"/>
          <w:szCs w:val="24"/>
        </w:rPr>
        <w:t>4</w:t>
      </w:r>
      <w:r>
        <w:rPr>
          <w:rFonts w:ascii="Times New Roman" w:hAnsi="Times New Roman" w:cs="Times New Roman"/>
          <w:b/>
          <w:bCs/>
          <w:sz w:val="24"/>
          <w:szCs w:val="24"/>
        </w:rPr>
        <w:t xml:space="preserve">. </w:t>
      </w:r>
      <w:r w:rsidRPr="00AB4D89">
        <w:rPr>
          <w:rFonts w:ascii="Times New Roman" w:hAnsi="Times New Roman" w:cs="Times New Roman"/>
          <w:b/>
          <w:bCs/>
          <w:sz w:val="24"/>
          <w:szCs w:val="24"/>
        </w:rPr>
        <w:t>Quality Assessment</w:t>
      </w:r>
      <w:r>
        <w:rPr>
          <w:rFonts w:ascii="Times New Roman" w:hAnsi="Times New Roman" w:cs="Times New Roman"/>
          <w:b/>
          <w:bCs/>
          <w:sz w:val="24"/>
          <w:szCs w:val="24"/>
        </w:rPr>
        <w:t>s</w:t>
      </w:r>
    </w:p>
    <w:p w14:paraId="4288F4AE" w14:textId="77777777" w:rsidR="00AB4D89" w:rsidRDefault="00AB4D89" w:rsidP="00F93E4A">
      <w:pPr>
        <w:spacing w:line="240" w:lineRule="auto"/>
        <w:ind w:left="-864"/>
        <w:rPr>
          <w:rFonts w:ascii="Times New Roman" w:hAnsi="Times New Roman" w:cs="Times New Roman"/>
          <w:sz w:val="24"/>
          <w:szCs w:val="24"/>
        </w:rPr>
      </w:pPr>
    </w:p>
    <w:p w14:paraId="10096FF4" w14:textId="4874201A" w:rsidR="007431B6" w:rsidRPr="0062213A" w:rsidRDefault="001F6429" w:rsidP="00F93E4A">
      <w:pPr>
        <w:spacing w:line="240" w:lineRule="auto"/>
        <w:ind w:left="-864"/>
        <w:rPr>
          <w:rFonts w:ascii="Times New Roman" w:hAnsi="Times New Roman" w:cs="Times New Roman"/>
          <w:b/>
          <w:bCs/>
          <w:sz w:val="24"/>
          <w:szCs w:val="24"/>
        </w:rPr>
      </w:pPr>
      <w:r w:rsidRPr="0062213A">
        <w:rPr>
          <w:rFonts w:ascii="Times New Roman" w:hAnsi="Times New Roman" w:cs="Times New Roman"/>
          <w:b/>
          <w:bCs/>
          <w:sz w:val="24"/>
          <w:szCs w:val="24"/>
        </w:rPr>
        <w:t>N</w:t>
      </w:r>
      <w:r w:rsidR="00F15BCD" w:rsidRPr="0062213A">
        <w:rPr>
          <w:rFonts w:ascii="Times New Roman" w:hAnsi="Times New Roman" w:cs="Times New Roman"/>
          <w:b/>
          <w:bCs/>
          <w:sz w:val="24"/>
          <w:szCs w:val="24"/>
        </w:rPr>
        <w:t xml:space="preserve">ewcastle </w:t>
      </w:r>
      <w:r w:rsidRPr="0062213A">
        <w:rPr>
          <w:rFonts w:ascii="Times New Roman" w:hAnsi="Times New Roman" w:cs="Times New Roman"/>
          <w:b/>
          <w:bCs/>
          <w:sz w:val="24"/>
          <w:szCs w:val="24"/>
        </w:rPr>
        <w:t>O</w:t>
      </w:r>
      <w:r w:rsidR="00F15BCD" w:rsidRPr="0062213A">
        <w:rPr>
          <w:rFonts w:ascii="Times New Roman" w:hAnsi="Times New Roman" w:cs="Times New Roman"/>
          <w:b/>
          <w:bCs/>
          <w:sz w:val="24"/>
          <w:szCs w:val="24"/>
        </w:rPr>
        <w:t xml:space="preserve">ttawa </w:t>
      </w:r>
      <w:r w:rsidRPr="0062213A">
        <w:rPr>
          <w:rFonts w:ascii="Times New Roman" w:hAnsi="Times New Roman" w:cs="Times New Roman"/>
          <w:b/>
          <w:bCs/>
          <w:sz w:val="24"/>
          <w:szCs w:val="24"/>
        </w:rPr>
        <w:t>S</w:t>
      </w:r>
      <w:r w:rsidR="00F15BCD" w:rsidRPr="0062213A">
        <w:rPr>
          <w:rFonts w:ascii="Times New Roman" w:hAnsi="Times New Roman" w:cs="Times New Roman"/>
          <w:b/>
          <w:bCs/>
          <w:sz w:val="24"/>
          <w:szCs w:val="24"/>
        </w:rPr>
        <w:t>cale</w:t>
      </w:r>
      <w:r w:rsidR="00882B88" w:rsidRPr="0062213A">
        <w:rPr>
          <w:rFonts w:ascii="Times New Roman" w:hAnsi="Times New Roman" w:cs="Times New Roman"/>
          <w:b/>
          <w:bCs/>
          <w:sz w:val="24"/>
          <w:szCs w:val="24"/>
        </w:rPr>
        <w:t xml:space="preserve"> </w:t>
      </w:r>
      <w:r w:rsidRPr="0062213A">
        <w:rPr>
          <w:rFonts w:ascii="Times New Roman" w:hAnsi="Times New Roman" w:cs="Times New Roman"/>
          <w:b/>
          <w:bCs/>
          <w:sz w:val="24"/>
          <w:szCs w:val="24"/>
        </w:rPr>
        <w:t>Quality Assessment [1]</w:t>
      </w:r>
    </w:p>
    <w:tbl>
      <w:tblPr>
        <w:tblStyle w:val="TableGrid"/>
        <w:tblW w:w="10088" w:type="dxa"/>
        <w:tblInd w:w="-726" w:type="dxa"/>
        <w:tblLook w:val="04A0" w:firstRow="1" w:lastRow="0" w:firstColumn="1" w:lastColumn="0" w:noHBand="0" w:noVBand="1"/>
      </w:tblPr>
      <w:tblGrid>
        <w:gridCol w:w="1643"/>
        <w:gridCol w:w="826"/>
        <w:gridCol w:w="826"/>
        <w:gridCol w:w="826"/>
        <w:gridCol w:w="826"/>
        <w:gridCol w:w="832"/>
        <w:gridCol w:w="833"/>
        <w:gridCol w:w="747"/>
        <w:gridCol w:w="747"/>
        <w:gridCol w:w="763"/>
        <w:gridCol w:w="1219"/>
      </w:tblGrid>
      <w:tr w:rsidR="00241B94" w:rsidRPr="0096513C" w14:paraId="66A13ABF" w14:textId="5CA20E9C" w:rsidTr="00440B61">
        <w:trPr>
          <w:trHeight w:val="755"/>
        </w:trPr>
        <w:tc>
          <w:tcPr>
            <w:tcW w:w="1614" w:type="dxa"/>
            <w:vAlign w:val="center"/>
          </w:tcPr>
          <w:p w14:paraId="3AEA8947" w14:textId="1FD30CAD"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Study</w:t>
            </w:r>
          </w:p>
        </w:tc>
        <w:tc>
          <w:tcPr>
            <w:tcW w:w="830" w:type="dxa"/>
            <w:vAlign w:val="center"/>
          </w:tcPr>
          <w:p w14:paraId="52A14AB9" w14:textId="7E9A0AC8"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S1</w:t>
            </w:r>
          </w:p>
        </w:tc>
        <w:tc>
          <w:tcPr>
            <w:tcW w:w="830" w:type="dxa"/>
            <w:vAlign w:val="center"/>
          </w:tcPr>
          <w:p w14:paraId="10BC848F" w14:textId="769C94DC"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S2</w:t>
            </w:r>
          </w:p>
        </w:tc>
        <w:tc>
          <w:tcPr>
            <w:tcW w:w="830" w:type="dxa"/>
            <w:vAlign w:val="center"/>
          </w:tcPr>
          <w:p w14:paraId="2B362443" w14:textId="7007C603"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S3</w:t>
            </w:r>
          </w:p>
        </w:tc>
        <w:tc>
          <w:tcPr>
            <w:tcW w:w="830" w:type="dxa"/>
            <w:vAlign w:val="center"/>
          </w:tcPr>
          <w:p w14:paraId="5719EEA9" w14:textId="7544584C"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S4</w:t>
            </w:r>
          </w:p>
        </w:tc>
        <w:tc>
          <w:tcPr>
            <w:tcW w:w="836" w:type="dxa"/>
            <w:vAlign w:val="center"/>
          </w:tcPr>
          <w:p w14:paraId="18E5BECF" w14:textId="59FC5B83"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C1</w:t>
            </w:r>
          </w:p>
        </w:tc>
        <w:tc>
          <w:tcPr>
            <w:tcW w:w="837" w:type="dxa"/>
            <w:vAlign w:val="center"/>
          </w:tcPr>
          <w:p w14:paraId="40D5D6E1" w14:textId="414F8CD4"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C2</w:t>
            </w:r>
          </w:p>
        </w:tc>
        <w:tc>
          <w:tcPr>
            <w:tcW w:w="750" w:type="dxa"/>
            <w:vAlign w:val="center"/>
          </w:tcPr>
          <w:p w14:paraId="43B05EE3" w14:textId="2F71DA03"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O1</w:t>
            </w:r>
          </w:p>
        </w:tc>
        <w:tc>
          <w:tcPr>
            <w:tcW w:w="750" w:type="dxa"/>
            <w:vAlign w:val="center"/>
          </w:tcPr>
          <w:p w14:paraId="6B489692" w14:textId="3DC57809"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O2</w:t>
            </w:r>
          </w:p>
        </w:tc>
        <w:tc>
          <w:tcPr>
            <w:tcW w:w="759" w:type="dxa"/>
          </w:tcPr>
          <w:p w14:paraId="29152D92" w14:textId="0B4FCF78"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Total (0–9)</w:t>
            </w:r>
          </w:p>
        </w:tc>
        <w:tc>
          <w:tcPr>
            <w:tcW w:w="1222" w:type="dxa"/>
          </w:tcPr>
          <w:p w14:paraId="50177167" w14:textId="455EAF2C"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Overall Quality</w:t>
            </w:r>
          </w:p>
        </w:tc>
      </w:tr>
      <w:tr w:rsidR="00241B94" w:rsidRPr="0096513C" w14:paraId="363524B5" w14:textId="5C7311A2" w:rsidTr="00440B61">
        <w:tc>
          <w:tcPr>
            <w:tcW w:w="1614" w:type="dxa"/>
            <w:vAlign w:val="center"/>
          </w:tcPr>
          <w:p w14:paraId="52579664" w14:textId="7ED1BAA0"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Abrahamsson et al., 2017</w:t>
            </w:r>
          </w:p>
        </w:tc>
        <w:tc>
          <w:tcPr>
            <w:tcW w:w="830" w:type="dxa"/>
          </w:tcPr>
          <w:p w14:paraId="05314E7A" w14:textId="5F0B92E7" w:rsidR="00241B94" w:rsidRPr="0096513C" w:rsidRDefault="00241B94"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5A0F905E" wp14:editId="444535C7">
                      <wp:extent cx="132497" cy="137899"/>
                      <wp:effectExtent l="38100" t="19050" r="20320" b="52705"/>
                      <wp:docPr id="37353774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396FA67"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4F9C511F" w14:textId="063A2D8E"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00F252F1" wp14:editId="6B649D6C">
                      <wp:extent cx="132497" cy="137899"/>
                      <wp:effectExtent l="38100" t="19050" r="20320" b="52705"/>
                      <wp:docPr id="84433210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33164E5"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3AE0F1F2" w14:textId="48EEB86B"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0925BAF0" wp14:editId="07814968">
                      <wp:extent cx="132497" cy="137899"/>
                      <wp:effectExtent l="38100" t="19050" r="20320" b="52705"/>
                      <wp:docPr id="205265053"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7366E3"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62AEA907" w14:textId="53AEFE90"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7B68C096" wp14:editId="7CB1385E">
                      <wp:extent cx="132497" cy="137899"/>
                      <wp:effectExtent l="38100" t="19050" r="20320" b="52705"/>
                      <wp:docPr id="187268317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D6C69D2"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6" w:type="dxa"/>
          </w:tcPr>
          <w:p w14:paraId="619762C2" w14:textId="671D386D"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670AA58E" wp14:editId="1E7E315F">
                      <wp:extent cx="132497" cy="137899"/>
                      <wp:effectExtent l="38100" t="19050" r="20320" b="52705"/>
                      <wp:docPr id="623349891"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FBD4C6D"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7" w:type="dxa"/>
          </w:tcPr>
          <w:p w14:paraId="07B497ED" w14:textId="713BA739" w:rsidR="00241B94" w:rsidRPr="0096513C" w:rsidRDefault="00241B94" w:rsidP="00F93E4A">
            <w:pPr>
              <w:rPr>
                <w:rFonts w:ascii="Times New Roman" w:hAnsi="Times New Roman" w:cs="Times New Roman"/>
                <w:b/>
                <w:bCs/>
                <w:sz w:val="24"/>
                <w:szCs w:val="24"/>
                <w:highlight w:val="yellow"/>
              </w:rPr>
            </w:pPr>
            <w:r w:rsidRPr="0096513C">
              <w:rPr>
                <w:rFonts w:ascii="Segoe UI Emoji" w:hAnsi="Segoe UI Emoji" w:cs="Segoe UI Emoji"/>
                <w:b/>
                <w:bCs/>
                <w:sz w:val="24"/>
                <w:szCs w:val="24"/>
                <w:highlight w:val="yellow"/>
              </w:rPr>
              <w:t>🔴</w:t>
            </w:r>
          </w:p>
        </w:tc>
        <w:tc>
          <w:tcPr>
            <w:tcW w:w="750" w:type="dxa"/>
          </w:tcPr>
          <w:p w14:paraId="39F9DFF2" w14:textId="3C9B850D"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354C1E29" wp14:editId="442DEDF3">
                      <wp:extent cx="132497" cy="137899"/>
                      <wp:effectExtent l="38100" t="19050" r="20320" b="52705"/>
                      <wp:docPr id="1243897621"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D240E5E"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0" w:type="dxa"/>
          </w:tcPr>
          <w:p w14:paraId="755FB453" w14:textId="058C89F6"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7B95668C" wp14:editId="2D8C144D">
                      <wp:extent cx="132497" cy="137899"/>
                      <wp:effectExtent l="38100" t="19050" r="20320" b="52705"/>
                      <wp:docPr id="274545053"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A44E1C2"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9" w:type="dxa"/>
          </w:tcPr>
          <w:p w14:paraId="503A1922" w14:textId="5C7F170C"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8</w:t>
            </w:r>
          </w:p>
        </w:tc>
        <w:tc>
          <w:tcPr>
            <w:tcW w:w="1222" w:type="dxa"/>
          </w:tcPr>
          <w:p w14:paraId="45786E36" w14:textId="1A7C000F"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High</w:t>
            </w:r>
          </w:p>
        </w:tc>
      </w:tr>
      <w:tr w:rsidR="00241B94" w:rsidRPr="0096513C" w14:paraId="1703B5F3" w14:textId="221B1159" w:rsidTr="00440B61">
        <w:tc>
          <w:tcPr>
            <w:tcW w:w="1614" w:type="dxa"/>
            <w:vAlign w:val="center"/>
          </w:tcPr>
          <w:p w14:paraId="2FCE03C7" w14:textId="4FC53817"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Park et al., 202</w:t>
            </w:r>
            <w:r w:rsidR="0062213A">
              <w:rPr>
                <w:rFonts w:ascii="Times New Roman" w:hAnsi="Times New Roman" w:cs="Times New Roman"/>
                <w:b/>
                <w:bCs/>
                <w:sz w:val="24"/>
                <w:szCs w:val="24"/>
              </w:rPr>
              <w:t>0</w:t>
            </w:r>
          </w:p>
        </w:tc>
        <w:tc>
          <w:tcPr>
            <w:tcW w:w="830" w:type="dxa"/>
          </w:tcPr>
          <w:p w14:paraId="0D73C2D6" w14:textId="26071911"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795962CF" wp14:editId="7530A3E5">
                      <wp:extent cx="132497" cy="137899"/>
                      <wp:effectExtent l="38100" t="19050" r="20320" b="52705"/>
                      <wp:docPr id="67160365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091475B"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2D06418B" w14:textId="4F28555F"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59600D61" wp14:editId="54EE2358">
                      <wp:extent cx="132497" cy="137899"/>
                      <wp:effectExtent l="38100" t="19050" r="20320" b="52705"/>
                      <wp:docPr id="603267801"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BA67C2"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640D3501" w14:textId="6C457797"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4009DBFC" wp14:editId="55491D66">
                      <wp:extent cx="132497" cy="137899"/>
                      <wp:effectExtent l="38100" t="19050" r="20320" b="52705"/>
                      <wp:docPr id="1397932740"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86EAEED"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69B75A73" w14:textId="12A119D3"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4968621C" wp14:editId="44889753">
                      <wp:extent cx="132497" cy="137899"/>
                      <wp:effectExtent l="38100" t="19050" r="20320" b="52705"/>
                      <wp:docPr id="201517122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203615F"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6" w:type="dxa"/>
          </w:tcPr>
          <w:p w14:paraId="3A15EDFB" w14:textId="7EF346C4"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55EED56C" wp14:editId="467E72C4">
                      <wp:extent cx="132497" cy="137899"/>
                      <wp:effectExtent l="38100" t="19050" r="20320" b="52705"/>
                      <wp:docPr id="260031236"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73628C"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7" w:type="dxa"/>
          </w:tcPr>
          <w:p w14:paraId="765787DA" w14:textId="250B387C"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3A82A099" wp14:editId="4057E639">
                      <wp:extent cx="132497" cy="137899"/>
                      <wp:effectExtent l="38100" t="19050" r="20320" b="52705"/>
                      <wp:docPr id="141142180"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6DE589D"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0" w:type="dxa"/>
          </w:tcPr>
          <w:p w14:paraId="3033A9C9" w14:textId="452D4156"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74305668" wp14:editId="7D6FCFA2">
                      <wp:extent cx="132497" cy="137899"/>
                      <wp:effectExtent l="38100" t="19050" r="20320" b="52705"/>
                      <wp:docPr id="183230253"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348C7D3"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0" w:type="dxa"/>
          </w:tcPr>
          <w:p w14:paraId="71D0C9D1" w14:textId="69922BEF"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27AC6996" wp14:editId="1C5B5957">
                      <wp:extent cx="132497" cy="137899"/>
                      <wp:effectExtent l="38100" t="19050" r="20320" b="52705"/>
                      <wp:docPr id="794230925"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8F1F8C1"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9" w:type="dxa"/>
          </w:tcPr>
          <w:p w14:paraId="06BADB65" w14:textId="1EDB548E"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9</w:t>
            </w:r>
          </w:p>
        </w:tc>
        <w:tc>
          <w:tcPr>
            <w:tcW w:w="1222" w:type="dxa"/>
          </w:tcPr>
          <w:p w14:paraId="03754B44" w14:textId="5F478CFF"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High</w:t>
            </w:r>
          </w:p>
        </w:tc>
      </w:tr>
      <w:tr w:rsidR="00241B94" w:rsidRPr="0096513C" w14:paraId="059ED4B6" w14:textId="56F9026E" w:rsidTr="00440B61">
        <w:tc>
          <w:tcPr>
            <w:tcW w:w="1614" w:type="dxa"/>
            <w:vAlign w:val="center"/>
          </w:tcPr>
          <w:p w14:paraId="0467F995" w14:textId="216DDD9D"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Schuman-Olivier et al., 2013</w:t>
            </w:r>
          </w:p>
        </w:tc>
        <w:tc>
          <w:tcPr>
            <w:tcW w:w="830" w:type="dxa"/>
          </w:tcPr>
          <w:p w14:paraId="23DE757D" w14:textId="386FAE2D"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2F79C127" wp14:editId="6CF3AF9C">
                      <wp:extent cx="132497" cy="137899"/>
                      <wp:effectExtent l="38100" t="19050" r="20320" b="52705"/>
                      <wp:docPr id="879790075"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89043A"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284E0445" w14:textId="1C7AF39B"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33E04F89" wp14:editId="3F580686">
                      <wp:extent cx="132497" cy="137899"/>
                      <wp:effectExtent l="38100" t="19050" r="20320" b="52705"/>
                      <wp:docPr id="1694590841"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690B25B"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540685F6" w14:textId="70F2962E"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2578671C" wp14:editId="17187584">
                      <wp:extent cx="132497" cy="137899"/>
                      <wp:effectExtent l="38100" t="19050" r="20320" b="52705"/>
                      <wp:docPr id="148331071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A4053F6"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0" w:type="dxa"/>
          </w:tcPr>
          <w:p w14:paraId="194DFF5E" w14:textId="707FF39D"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77B1C278" wp14:editId="797E8048">
                      <wp:extent cx="132497" cy="137899"/>
                      <wp:effectExtent l="38100" t="19050" r="20320" b="52705"/>
                      <wp:docPr id="1112486788"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D6C8D65"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6" w:type="dxa"/>
          </w:tcPr>
          <w:p w14:paraId="604A7A2F" w14:textId="47F30797"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517715A7" wp14:editId="608693CA">
                      <wp:extent cx="132497" cy="137899"/>
                      <wp:effectExtent l="38100" t="19050" r="20320" b="52705"/>
                      <wp:docPr id="936945820"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1BA5705"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837" w:type="dxa"/>
          </w:tcPr>
          <w:p w14:paraId="243E5064" w14:textId="23514F8F" w:rsidR="00241B94" w:rsidRPr="0096513C" w:rsidRDefault="00241B94" w:rsidP="00F93E4A">
            <w:pPr>
              <w:rPr>
                <w:rFonts w:ascii="Times New Roman" w:hAnsi="Times New Roman" w:cs="Times New Roman"/>
                <w:b/>
                <w:bCs/>
                <w:sz w:val="24"/>
                <w:szCs w:val="24"/>
                <w:highlight w:val="yellow"/>
              </w:rPr>
            </w:pPr>
            <w:r w:rsidRPr="0096513C">
              <w:rPr>
                <w:rFonts w:ascii="Segoe UI Emoji" w:hAnsi="Segoe UI Emoji" w:cs="Segoe UI Emoji"/>
                <w:b/>
                <w:bCs/>
                <w:sz w:val="24"/>
                <w:szCs w:val="24"/>
                <w:highlight w:val="yellow"/>
              </w:rPr>
              <w:t>🔴</w:t>
            </w:r>
          </w:p>
        </w:tc>
        <w:tc>
          <w:tcPr>
            <w:tcW w:w="750" w:type="dxa"/>
          </w:tcPr>
          <w:p w14:paraId="32D92A8A" w14:textId="23E8DB6D"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37369A8C" wp14:editId="44D3BE4E">
                      <wp:extent cx="132497" cy="137899"/>
                      <wp:effectExtent l="38100" t="19050" r="20320" b="52705"/>
                      <wp:docPr id="9609452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BE99108"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0" w:type="dxa"/>
          </w:tcPr>
          <w:p w14:paraId="16748776" w14:textId="473C8383" w:rsidR="00241B94" w:rsidRPr="0096513C" w:rsidRDefault="0041348F" w:rsidP="00F93E4A">
            <w:pPr>
              <w:rPr>
                <w:rFonts w:ascii="Times New Roman" w:hAnsi="Times New Roman" w:cs="Times New Roman"/>
                <w:b/>
                <w:bCs/>
                <w:sz w:val="24"/>
                <w:szCs w:val="24"/>
                <w:highlight w:val="yellow"/>
              </w:rPr>
            </w:pPr>
            <w:r w:rsidRPr="0096513C">
              <w:rPr>
                <w:rFonts w:ascii="Times New Roman" w:hAnsi="Times New Roman" w:cs="Times New Roman"/>
                <w:b/>
                <w:bCs/>
                <w:noProof/>
                <w:sz w:val="24"/>
                <w:szCs w:val="24"/>
                <w:highlight w:val="yellow"/>
              </w:rPr>
              <mc:AlternateContent>
                <mc:Choice Requires="wps">
                  <w:drawing>
                    <wp:inline distT="0" distB="0" distL="0" distR="0" wp14:anchorId="778E1606" wp14:editId="20EFD16D">
                      <wp:extent cx="132497" cy="137899"/>
                      <wp:effectExtent l="38100" t="19050" r="20320" b="52705"/>
                      <wp:docPr id="846184836"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4AC4982"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59" w:type="dxa"/>
          </w:tcPr>
          <w:p w14:paraId="209B5C0B" w14:textId="68AEF564" w:rsidR="00241B94" w:rsidRPr="0096513C" w:rsidRDefault="00241B94" w:rsidP="00F93E4A">
            <w:pPr>
              <w:rPr>
                <w:rFonts w:ascii="Times New Roman" w:hAnsi="Times New Roman" w:cs="Times New Roman"/>
                <w:b/>
                <w:bCs/>
                <w:sz w:val="24"/>
                <w:szCs w:val="24"/>
              </w:rPr>
            </w:pPr>
            <w:r w:rsidRPr="0096513C">
              <w:rPr>
                <w:rFonts w:ascii="Times New Roman" w:hAnsi="Times New Roman" w:cs="Times New Roman"/>
                <w:b/>
                <w:bCs/>
                <w:sz w:val="24"/>
                <w:szCs w:val="24"/>
              </w:rPr>
              <w:t>8</w:t>
            </w:r>
          </w:p>
        </w:tc>
        <w:tc>
          <w:tcPr>
            <w:tcW w:w="1222" w:type="dxa"/>
          </w:tcPr>
          <w:p w14:paraId="29DF101A" w14:textId="6F66D295" w:rsidR="00241B94" w:rsidRPr="0096513C" w:rsidRDefault="008E3259" w:rsidP="00F93E4A">
            <w:pPr>
              <w:rPr>
                <w:rFonts w:ascii="Times New Roman" w:hAnsi="Times New Roman" w:cs="Times New Roman"/>
                <w:b/>
                <w:bCs/>
                <w:sz w:val="24"/>
                <w:szCs w:val="24"/>
              </w:rPr>
            </w:pPr>
            <w:r w:rsidRPr="0096513C">
              <w:rPr>
                <w:rFonts w:ascii="Times New Roman" w:hAnsi="Times New Roman" w:cs="Times New Roman"/>
                <w:b/>
                <w:bCs/>
                <w:sz w:val="24"/>
                <w:szCs w:val="24"/>
              </w:rPr>
              <w:t>High</w:t>
            </w:r>
          </w:p>
        </w:tc>
      </w:tr>
    </w:tbl>
    <w:p w14:paraId="54AB2EB7" w14:textId="77777777" w:rsidR="00F93E4A" w:rsidRDefault="00F93E4A" w:rsidP="00F93E4A">
      <w:pPr>
        <w:spacing w:line="240" w:lineRule="auto"/>
        <w:rPr>
          <w:rFonts w:ascii="Times New Roman" w:hAnsi="Times New Roman" w:cs="Times New Roman"/>
          <w:i/>
          <w:iCs/>
          <w:sz w:val="24"/>
          <w:szCs w:val="24"/>
        </w:rPr>
      </w:pPr>
    </w:p>
    <w:p w14:paraId="311CF216" w14:textId="34C8CB0F" w:rsidR="00440B61" w:rsidRPr="0096513C" w:rsidRDefault="00440B61" w:rsidP="00F93E4A">
      <w:pPr>
        <w:spacing w:line="240" w:lineRule="auto"/>
        <w:rPr>
          <w:rFonts w:ascii="Times New Roman" w:hAnsi="Times New Roman" w:cs="Times New Roman"/>
          <w:sz w:val="24"/>
          <w:szCs w:val="24"/>
        </w:rPr>
      </w:pPr>
      <w:r w:rsidRPr="0096513C">
        <w:rPr>
          <w:rFonts w:ascii="Times New Roman" w:hAnsi="Times New Roman" w:cs="Times New Roman"/>
          <w:i/>
          <w:iCs/>
          <w:sz w:val="24"/>
          <w:szCs w:val="24"/>
        </w:rPr>
        <w:t>Studies lacking an active pharmacologic comparator (e.g., exposed vs unexposed design) were penalized one star under the Comparability (C2) domain unless robust multivariable or time-varying adjustment effectively minimized confounding by indication. Park et al. (202</w:t>
      </w:r>
      <w:r w:rsidR="0062213A">
        <w:rPr>
          <w:rFonts w:ascii="Times New Roman" w:hAnsi="Times New Roman" w:cs="Times New Roman"/>
          <w:i/>
          <w:iCs/>
          <w:sz w:val="24"/>
          <w:szCs w:val="24"/>
        </w:rPr>
        <w:t>0</w:t>
      </w:r>
      <w:r w:rsidRPr="0096513C">
        <w:rPr>
          <w:rFonts w:ascii="Times New Roman" w:hAnsi="Times New Roman" w:cs="Times New Roman"/>
          <w:i/>
          <w:iCs/>
          <w:sz w:val="24"/>
          <w:szCs w:val="24"/>
        </w:rPr>
        <w:t>) retained full comparability points due to extensive adjustment, while Abrahamsson et al. (2017) and Schuman-Olivier et al. (2013) each lost one point for the absence of an active comparator</w:t>
      </w:r>
      <w:r w:rsidRPr="0096513C">
        <w:rPr>
          <w:rFonts w:ascii="Times New Roman" w:hAnsi="Times New Roman" w:cs="Times New Roman"/>
          <w:sz w:val="24"/>
          <w:szCs w:val="24"/>
        </w:rPr>
        <w:t>.</w:t>
      </w:r>
    </w:p>
    <w:p w14:paraId="50E5E599" w14:textId="1EED366A" w:rsidR="002727CE" w:rsidRPr="0096513C" w:rsidRDefault="002727CE"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Scale: </w:t>
      </w:r>
    </w:p>
    <w:p w14:paraId="64FE32F0" w14:textId="4B7A40A2" w:rsidR="002727CE" w:rsidRPr="0096513C" w:rsidRDefault="00E54D09"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High quality: 7–9 stars</w:t>
      </w:r>
    </w:p>
    <w:p w14:paraId="4D102D2E" w14:textId="6C52D38D" w:rsidR="002727CE" w:rsidRPr="0096513C" w:rsidRDefault="00E54D09"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Moderate</w:t>
      </w:r>
      <w:r w:rsidR="002727CE" w:rsidRPr="0096513C">
        <w:rPr>
          <w:rFonts w:ascii="Times New Roman" w:hAnsi="Times New Roman" w:cs="Times New Roman"/>
          <w:sz w:val="24"/>
          <w:szCs w:val="24"/>
        </w:rPr>
        <w:t xml:space="preserve"> quality</w:t>
      </w:r>
      <w:r w:rsidRPr="0096513C">
        <w:rPr>
          <w:rFonts w:ascii="Times New Roman" w:hAnsi="Times New Roman" w:cs="Times New Roman"/>
          <w:sz w:val="24"/>
          <w:szCs w:val="24"/>
        </w:rPr>
        <w:t>: 4–6</w:t>
      </w:r>
    </w:p>
    <w:p w14:paraId="2D79C5ED" w14:textId="49D59B81" w:rsidR="008A4955" w:rsidRPr="0096513C" w:rsidRDefault="00E54D09"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Low</w:t>
      </w:r>
      <w:r w:rsidR="002727CE" w:rsidRPr="0096513C">
        <w:rPr>
          <w:rFonts w:ascii="Times New Roman" w:hAnsi="Times New Roman" w:cs="Times New Roman"/>
          <w:sz w:val="24"/>
          <w:szCs w:val="24"/>
        </w:rPr>
        <w:t xml:space="preserve"> quality</w:t>
      </w:r>
      <w:r w:rsidRPr="0096513C">
        <w:rPr>
          <w:rFonts w:ascii="Times New Roman" w:hAnsi="Times New Roman" w:cs="Times New Roman"/>
          <w:sz w:val="24"/>
          <w:szCs w:val="24"/>
        </w:rPr>
        <w:t>: 0–3</w:t>
      </w:r>
    </w:p>
    <w:p w14:paraId="21346CE0" w14:textId="13F3638A" w:rsidR="001F6429" w:rsidRPr="0096513C" w:rsidRDefault="001F6429"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Domain assessed:</w:t>
      </w:r>
    </w:p>
    <w:p w14:paraId="3BF14926" w14:textId="65B7FA42" w:rsidR="008A4955" w:rsidRPr="0096513C" w:rsidRDefault="008A4955"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S1</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Representativeness of the exposed cohort</w:t>
      </w:r>
      <w:r w:rsidR="007671EA" w:rsidRPr="0096513C">
        <w:rPr>
          <w:rFonts w:ascii="Times New Roman" w:hAnsi="Times New Roman" w:cs="Times New Roman"/>
          <w:sz w:val="24"/>
          <w:szCs w:val="24"/>
        </w:rPr>
        <w:t>:</w:t>
      </w:r>
      <w:r w:rsidRPr="0096513C">
        <w:rPr>
          <w:rFonts w:ascii="Times New Roman" w:hAnsi="Times New Roman" w:cs="Times New Roman"/>
          <w:sz w:val="24"/>
          <w:szCs w:val="24"/>
        </w:rPr>
        <w:t xml:space="preserve"> whether the exposed participants accurately reflect the average individuals in the target population.</w:t>
      </w:r>
      <w:r w:rsidRPr="0096513C">
        <w:rPr>
          <w:rFonts w:ascii="Times New Roman" w:hAnsi="Times New Roman" w:cs="Times New Roman"/>
          <w:sz w:val="24"/>
          <w:szCs w:val="24"/>
        </w:rPr>
        <w:br/>
        <w:t xml:space="preserve">S2 </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Selection of the non-exposed cohort</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whether the comparison group was drawn from the same source population as the exposed group.</w:t>
      </w:r>
      <w:r w:rsidRPr="0096513C">
        <w:rPr>
          <w:rFonts w:ascii="Times New Roman" w:hAnsi="Times New Roman" w:cs="Times New Roman"/>
          <w:sz w:val="24"/>
          <w:szCs w:val="24"/>
        </w:rPr>
        <w:br/>
        <w:t>S3</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 xml:space="preserve"> Ascertainment of exposure</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how accurately exposure (e.g., prescription or treatment) was identified, preferably through validated or secure records.</w:t>
      </w:r>
      <w:r w:rsidRPr="0096513C">
        <w:rPr>
          <w:rFonts w:ascii="Times New Roman" w:hAnsi="Times New Roman" w:cs="Times New Roman"/>
          <w:sz w:val="24"/>
          <w:szCs w:val="24"/>
        </w:rPr>
        <w:br/>
        <w:t>S4</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Outcome not present at start</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confirmation that participants were outcome-free at baseline before follow-up.</w:t>
      </w:r>
      <w:r w:rsidRPr="0096513C">
        <w:rPr>
          <w:rFonts w:ascii="Times New Roman" w:hAnsi="Times New Roman" w:cs="Times New Roman"/>
          <w:sz w:val="24"/>
          <w:szCs w:val="24"/>
        </w:rPr>
        <w:br/>
        <w:t>C1</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Control for key confounders</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whether analyses adjusted for the most important confounding variables (e.g., age, sex, psychiatric comorbidities).</w:t>
      </w:r>
      <w:r w:rsidRPr="0096513C">
        <w:rPr>
          <w:rFonts w:ascii="Times New Roman" w:hAnsi="Times New Roman" w:cs="Times New Roman"/>
          <w:sz w:val="24"/>
          <w:szCs w:val="24"/>
        </w:rPr>
        <w:br/>
        <w:t>C2</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 xml:space="preserve"> Control for additional factors</w:t>
      </w:r>
      <w:r w:rsidR="00C40243">
        <w:rPr>
          <w:rFonts w:ascii="Times New Roman" w:hAnsi="Times New Roman" w:cs="Times New Roman"/>
          <w:sz w:val="24"/>
          <w:szCs w:val="24"/>
        </w:rPr>
        <w:t>/</w:t>
      </w:r>
      <w:r w:rsidRPr="0096513C">
        <w:rPr>
          <w:rFonts w:ascii="Times New Roman" w:hAnsi="Times New Roman" w:cs="Times New Roman"/>
          <w:sz w:val="24"/>
          <w:szCs w:val="24"/>
        </w:rPr>
        <w:t>use of active comparator</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whether further confounders were controlled or an active comparator was used to reduce confounding by indication.</w:t>
      </w:r>
      <w:r w:rsidRPr="0096513C">
        <w:rPr>
          <w:rFonts w:ascii="Times New Roman" w:hAnsi="Times New Roman" w:cs="Times New Roman"/>
          <w:sz w:val="24"/>
          <w:szCs w:val="24"/>
        </w:rPr>
        <w:br/>
        <w:t>O1</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Assessment of outcome</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 xml:space="preserve">whether outcomes were ascertained using reliable, </w:t>
      </w:r>
      <w:r w:rsidRPr="0096513C">
        <w:rPr>
          <w:rFonts w:ascii="Times New Roman" w:hAnsi="Times New Roman" w:cs="Times New Roman"/>
          <w:sz w:val="24"/>
          <w:szCs w:val="24"/>
        </w:rPr>
        <w:lastRenderedPageBreak/>
        <w:t>independent, or validated sources (e.g., medical records, registries).</w:t>
      </w:r>
      <w:r w:rsidRPr="0096513C">
        <w:rPr>
          <w:rFonts w:ascii="Times New Roman" w:hAnsi="Times New Roman" w:cs="Times New Roman"/>
          <w:sz w:val="24"/>
          <w:szCs w:val="24"/>
        </w:rPr>
        <w:br/>
        <w:t>O2</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 xml:space="preserve"> Length of follow-up</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 xml:space="preserve"> whether the duration of observation was sufficient for the outcome to occur.</w:t>
      </w:r>
      <w:r w:rsidRPr="0096513C">
        <w:rPr>
          <w:rFonts w:ascii="Times New Roman" w:hAnsi="Times New Roman" w:cs="Times New Roman"/>
          <w:sz w:val="24"/>
          <w:szCs w:val="24"/>
        </w:rPr>
        <w:br/>
        <w:t>O3</w:t>
      </w:r>
      <w:r w:rsidR="007671EA" w:rsidRPr="0096513C">
        <w:rPr>
          <w:rFonts w:ascii="Times New Roman" w:hAnsi="Times New Roman" w:cs="Times New Roman"/>
          <w:sz w:val="24"/>
          <w:szCs w:val="24"/>
        </w:rPr>
        <w:t xml:space="preserve"> = </w:t>
      </w:r>
      <w:r w:rsidRPr="0096513C">
        <w:rPr>
          <w:rFonts w:ascii="Times New Roman" w:hAnsi="Times New Roman" w:cs="Times New Roman"/>
          <w:sz w:val="24"/>
          <w:szCs w:val="24"/>
        </w:rPr>
        <w:t>Adequacy of follow-up</w:t>
      </w:r>
      <w:r w:rsidR="007671EA" w:rsidRPr="0096513C">
        <w:rPr>
          <w:rFonts w:ascii="Times New Roman" w:hAnsi="Times New Roman" w:cs="Times New Roman"/>
          <w:sz w:val="24"/>
          <w:szCs w:val="24"/>
        </w:rPr>
        <w:t xml:space="preserve">: </w:t>
      </w:r>
      <w:r w:rsidRPr="0096513C">
        <w:rPr>
          <w:rFonts w:ascii="Times New Roman" w:hAnsi="Times New Roman" w:cs="Times New Roman"/>
          <w:sz w:val="24"/>
          <w:szCs w:val="24"/>
        </w:rPr>
        <w:t>whether follow-up was complete and loss to follow-up was minimal or unlikely to bias results.</w:t>
      </w:r>
    </w:p>
    <w:p w14:paraId="3B279BE5" w14:textId="3DB91917" w:rsidR="002727CE" w:rsidRPr="0096513C" w:rsidRDefault="002727CE" w:rsidP="00F93E4A">
      <w:pPr>
        <w:spacing w:line="240" w:lineRule="auto"/>
        <w:rPr>
          <w:rFonts w:ascii="Times New Roman" w:hAnsi="Times New Roman" w:cs="Times New Roman"/>
          <w:sz w:val="24"/>
          <w:szCs w:val="24"/>
        </w:rPr>
      </w:pPr>
    </w:p>
    <w:p w14:paraId="5DCCFFFD" w14:textId="0DE3CD67" w:rsidR="007D4282" w:rsidRPr="0062213A" w:rsidRDefault="001F6429" w:rsidP="00F93E4A">
      <w:pPr>
        <w:spacing w:line="240" w:lineRule="auto"/>
        <w:rPr>
          <w:rFonts w:ascii="Times New Roman" w:hAnsi="Times New Roman" w:cs="Times New Roman"/>
          <w:b/>
          <w:bCs/>
          <w:sz w:val="24"/>
          <w:szCs w:val="24"/>
        </w:rPr>
      </w:pPr>
      <w:r w:rsidRPr="0062213A">
        <w:rPr>
          <w:rFonts w:ascii="Times New Roman" w:hAnsi="Times New Roman" w:cs="Times New Roman"/>
          <w:b/>
          <w:bCs/>
          <w:sz w:val="24"/>
          <w:szCs w:val="24"/>
        </w:rPr>
        <w:t xml:space="preserve">NOS </w:t>
      </w:r>
      <w:r w:rsidR="007D4282" w:rsidRPr="0062213A">
        <w:rPr>
          <w:rFonts w:ascii="Times New Roman" w:hAnsi="Times New Roman" w:cs="Times New Roman"/>
          <w:b/>
          <w:bCs/>
          <w:sz w:val="24"/>
          <w:szCs w:val="24"/>
        </w:rPr>
        <w:t xml:space="preserve">Quality </w:t>
      </w:r>
      <w:r w:rsidRPr="0062213A">
        <w:rPr>
          <w:rFonts w:ascii="Times New Roman" w:hAnsi="Times New Roman" w:cs="Times New Roman"/>
          <w:b/>
          <w:bCs/>
          <w:sz w:val="24"/>
          <w:szCs w:val="24"/>
        </w:rPr>
        <w:t>Assessment</w:t>
      </w:r>
      <w:r w:rsidR="00440B61" w:rsidRPr="0062213A">
        <w:rPr>
          <w:rFonts w:ascii="Times New Roman" w:hAnsi="Times New Roman" w:cs="Times New Roman"/>
          <w:b/>
          <w:bCs/>
          <w:sz w:val="24"/>
          <w:szCs w:val="24"/>
        </w:rPr>
        <w:t xml:space="preserve"> </w:t>
      </w:r>
      <w:r w:rsidRPr="0062213A">
        <w:rPr>
          <w:rFonts w:ascii="Times New Roman" w:hAnsi="Times New Roman" w:cs="Times New Roman"/>
          <w:b/>
          <w:bCs/>
          <w:sz w:val="24"/>
          <w:szCs w:val="24"/>
        </w:rPr>
        <w:t>a</w:t>
      </w:r>
      <w:r w:rsidR="007D4282" w:rsidRPr="0062213A">
        <w:rPr>
          <w:rFonts w:ascii="Times New Roman" w:hAnsi="Times New Roman" w:cs="Times New Roman"/>
          <w:b/>
          <w:bCs/>
          <w:sz w:val="24"/>
          <w:szCs w:val="24"/>
        </w:rPr>
        <w:t>dapted</w:t>
      </w:r>
      <w:r w:rsidRPr="0062213A">
        <w:rPr>
          <w:rFonts w:ascii="Times New Roman" w:hAnsi="Times New Roman" w:cs="Times New Roman"/>
          <w:b/>
          <w:bCs/>
          <w:sz w:val="24"/>
          <w:szCs w:val="24"/>
        </w:rPr>
        <w:t xml:space="preserve"> </w:t>
      </w:r>
      <w:r w:rsidR="007D4282" w:rsidRPr="0062213A">
        <w:rPr>
          <w:rFonts w:ascii="Times New Roman" w:hAnsi="Times New Roman" w:cs="Times New Roman"/>
          <w:b/>
          <w:bCs/>
          <w:sz w:val="24"/>
          <w:szCs w:val="24"/>
        </w:rPr>
        <w:t>from Wachira et al., 2022</w:t>
      </w:r>
      <w:r w:rsidRPr="0062213A">
        <w:rPr>
          <w:rFonts w:ascii="Times New Roman" w:hAnsi="Times New Roman" w:cs="Times New Roman"/>
          <w:b/>
          <w:bCs/>
          <w:sz w:val="24"/>
          <w:szCs w:val="24"/>
        </w:rPr>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568"/>
        <w:gridCol w:w="568"/>
        <w:gridCol w:w="568"/>
        <w:gridCol w:w="568"/>
        <w:gridCol w:w="579"/>
        <w:gridCol w:w="571"/>
        <w:gridCol w:w="571"/>
        <w:gridCol w:w="571"/>
        <w:gridCol w:w="571"/>
        <w:gridCol w:w="579"/>
        <w:gridCol w:w="763"/>
        <w:gridCol w:w="1336"/>
      </w:tblGrid>
      <w:tr w:rsidR="007D4282" w:rsidRPr="0096513C" w14:paraId="4645717F" w14:textId="77777777" w:rsidTr="0041348F">
        <w:tc>
          <w:tcPr>
            <w:tcW w:w="956" w:type="dxa"/>
          </w:tcPr>
          <w:p w14:paraId="1C857776"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Study</w:t>
            </w:r>
          </w:p>
        </w:tc>
        <w:tc>
          <w:tcPr>
            <w:tcW w:w="597" w:type="dxa"/>
          </w:tcPr>
          <w:p w14:paraId="4744A895"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S1</w:t>
            </w:r>
          </w:p>
        </w:tc>
        <w:tc>
          <w:tcPr>
            <w:tcW w:w="597" w:type="dxa"/>
          </w:tcPr>
          <w:p w14:paraId="3004373E"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S2</w:t>
            </w:r>
          </w:p>
        </w:tc>
        <w:tc>
          <w:tcPr>
            <w:tcW w:w="597" w:type="dxa"/>
          </w:tcPr>
          <w:p w14:paraId="2CC81A92"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S3</w:t>
            </w:r>
          </w:p>
        </w:tc>
        <w:tc>
          <w:tcPr>
            <w:tcW w:w="596" w:type="dxa"/>
          </w:tcPr>
          <w:p w14:paraId="13B00CBD"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C1</w:t>
            </w:r>
          </w:p>
        </w:tc>
        <w:tc>
          <w:tcPr>
            <w:tcW w:w="596" w:type="dxa"/>
          </w:tcPr>
          <w:p w14:paraId="63E55CE4"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C2</w:t>
            </w:r>
          </w:p>
        </w:tc>
        <w:tc>
          <w:tcPr>
            <w:tcW w:w="596" w:type="dxa"/>
          </w:tcPr>
          <w:p w14:paraId="71297370"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O1</w:t>
            </w:r>
          </w:p>
        </w:tc>
        <w:tc>
          <w:tcPr>
            <w:tcW w:w="596" w:type="dxa"/>
          </w:tcPr>
          <w:p w14:paraId="5E3E7D02"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O2</w:t>
            </w:r>
          </w:p>
        </w:tc>
        <w:tc>
          <w:tcPr>
            <w:tcW w:w="596" w:type="dxa"/>
          </w:tcPr>
          <w:p w14:paraId="1E4E902B"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O3</w:t>
            </w:r>
          </w:p>
        </w:tc>
        <w:tc>
          <w:tcPr>
            <w:tcW w:w="596" w:type="dxa"/>
          </w:tcPr>
          <w:p w14:paraId="46FD7E50"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O4</w:t>
            </w:r>
          </w:p>
        </w:tc>
        <w:tc>
          <w:tcPr>
            <w:tcW w:w="596" w:type="dxa"/>
          </w:tcPr>
          <w:p w14:paraId="05E3A1DA"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O5</w:t>
            </w:r>
          </w:p>
        </w:tc>
        <w:tc>
          <w:tcPr>
            <w:tcW w:w="705" w:type="dxa"/>
          </w:tcPr>
          <w:p w14:paraId="08C4D30F"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Total (0–10)</w:t>
            </w:r>
          </w:p>
        </w:tc>
        <w:tc>
          <w:tcPr>
            <w:tcW w:w="1232" w:type="dxa"/>
          </w:tcPr>
          <w:p w14:paraId="01E19608"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Overall Quality</w:t>
            </w:r>
          </w:p>
        </w:tc>
      </w:tr>
      <w:tr w:rsidR="007D4282" w:rsidRPr="0096513C" w14:paraId="47E5C8F4" w14:textId="77777777" w:rsidTr="0041348F">
        <w:tc>
          <w:tcPr>
            <w:tcW w:w="956" w:type="dxa"/>
          </w:tcPr>
          <w:p w14:paraId="711FDEA4"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Xu et al., 2021</w:t>
            </w:r>
          </w:p>
        </w:tc>
        <w:tc>
          <w:tcPr>
            <w:tcW w:w="597" w:type="dxa"/>
          </w:tcPr>
          <w:p w14:paraId="6EAD31B0" w14:textId="3C99BEF7" w:rsidR="007D4282"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713FF15B" wp14:editId="3D1B11EA">
                      <wp:extent cx="132497" cy="137899"/>
                      <wp:effectExtent l="38100" t="19050" r="20320" b="52705"/>
                      <wp:docPr id="8172230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95D4A82"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05580D60" w14:textId="69F9C7FD"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2E7A1771" wp14:editId="1CE21E6C">
                      <wp:extent cx="132497" cy="137899"/>
                      <wp:effectExtent l="38100" t="19050" r="20320" b="52705"/>
                      <wp:docPr id="1542459111"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AEB73F4"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1E05C6A9" w14:textId="7AC6778D"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2AE54C18" wp14:editId="39A4EF8A">
                      <wp:extent cx="132497" cy="137899"/>
                      <wp:effectExtent l="38100" t="19050" r="20320" b="52705"/>
                      <wp:docPr id="90639371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27E5B7"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5EA3105E" w14:textId="1A95F367"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5A76720" wp14:editId="022BECA7">
                      <wp:extent cx="132497" cy="137899"/>
                      <wp:effectExtent l="38100" t="19050" r="20320" b="52705"/>
                      <wp:docPr id="183215148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A00D567"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30B7D139" w14:textId="4AD3EB7F"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3EFE367C" wp14:editId="397D1A99">
                      <wp:extent cx="132497" cy="137899"/>
                      <wp:effectExtent l="38100" t="19050" r="20320" b="52705"/>
                      <wp:docPr id="636197738"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999AB91"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16E240D7" w14:textId="4462D52B"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1E98B754" wp14:editId="63BDC9C9">
                      <wp:extent cx="132497" cy="137899"/>
                      <wp:effectExtent l="38100" t="19050" r="20320" b="52705"/>
                      <wp:docPr id="1630295150"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47C7C6E"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00DE3660" w14:textId="0C42B58F"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763BD77C" wp14:editId="70C69426">
                      <wp:extent cx="132497" cy="137899"/>
                      <wp:effectExtent l="38100" t="19050" r="20320" b="52705"/>
                      <wp:docPr id="1535272831"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8E527C3"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67D8B22D" w14:textId="54A0DCD9"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3A455E4E" wp14:editId="123F9847">
                      <wp:extent cx="132497" cy="137899"/>
                      <wp:effectExtent l="38100" t="19050" r="20320" b="52705"/>
                      <wp:docPr id="1080003563"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5E5C701"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7F38561E" w14:textId="52105D86"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58E0CFF2" wp14:editId="439650D4">
                      <wp:extent cx="132497" cy="137899"/>
                      <wp:effectExtent l="38100" t="19050" r="20320" b="52705"/>
                      <wp:docPr id="26333689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3DF5038"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2F4CA62D" w14:textId="191443EB" w:rsidR="007D4282" w:rsidRPr="0096513C" w:rsidRDefault="0041348F" w:rsidP="00F93E4A">
            <w:pPr>
              <w:spacing w:line="240" w:lineRule="auto"/>
              <w:rPr>
                <w:rFonts w:ascii="Times New Roman" w:hAnsi="Times New Roman" w:cs="Times New Roman"/>
                <w:b/>
                <w:bCs/>
                <w:color w:val="92D050"/>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397E47C4" wp14:editId="3C94094A">
                      <wp:extent cx="132497" cy="137899"/>
                      <wp:effectExtent l="38100" t="19050" r="20320" b="52705"/>
                      <wp:docPr id="518526547"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E0AC3B"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05" w:type="dxa"/>
          </w:tcPr>
          <w:p w14:paraId="2A8FC7C4"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10</w:t>
            </w:r>
          </w:p>
        </w:tc>
        <w:tc>
          <w:tcPr>
            <w:tcW w:w="1232" w:type="dxa"/>
          </w:tcPr>
          <w:p w14:paraId="68EF859D" w14:textId="77777777" w:rsidR="007D4282" w:rsidRPr="0096513C" w:rsidRDefault="007D4282"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High</w:t>
            </w:r>
          </w:p>
        </w:tc>
      </w:tr>
      <w:tr w:rsidR="0041348F" w:rsidRPr="0096513C" w14:paraId="623014D3" w14:textId="77777777" w:rsidTr="0041348F">
        <w:tc>
          <w:tcPr>
            <w:tcW w:w="956" w:type="dxa"/>
          </w:tcPr>
          <w:p w14:paraId="555B0837"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Tardelli et al., 2023</w:t>
            </w:r>
          </w:p>
        </w:tc>
        <w:tc>
          <w:tcPr>
            <w:tcW w:w="597" w:type="dxa"/>
          </w:tcPr>
          <w:p w14:paraId="2056FC13" w14:textId="7992C9A9"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F4F6257" wp14:editId="737C6683">
                      <wp:extent cx="132497" cy="137899"/>
                      <wp:effectExtent l="38100" t="19050" r="20320" b="52705"/>
                      <wp:docPr id="157382107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6DEC2E"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4411336D" w14:textId="6D13A2D6"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255AE0C8" wp14:editId="2A6E2802">
                      <wp:extent cx="132497" cy="137899"/>
                      <wp:effectExtent l="38100" t="19050" r="20320" b="52705"/>
                      <wp:docPr id="27670336"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EF18416"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62EEC439" w14:textId="5AE10CE5"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6B893B2" wp14:editId="7206D9B8">
                      <wp:extent cx="132497" cy="137899"/>
                      <wp:effectExtent l="38100" t="19050" r="20320" b="52705"/>
                      <wp:docPr id="89343652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14D955D"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7CEAA08F" w14:textId="7A3F112C"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6082B154" wp14:editId="10D9D689">
                      <wp:extent cx="132497" cy="137899"/>
                      <wp:effectExtent l="38100" t="19050" r="20320" b="52705"/>
                      <wp:docPr id="147546381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98A5015"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501E96B1" w14:textId="304C0509" w:rsidR="0041348F" w:rsidRPr="0096513C" w:rsidRDefault="0041348F" w:rsidP="00F93E4A">
            <w:pPr>
              <w:spacing w:line="240" w:lineRule="auto"/>
              <w:rPr>
                <w:rFonts w:ascii="Times New Roman" w:hAnsi="Times New Roman" w:cs="Times New Roman"/>
                <w:b/>
                <w:bCs/>
                <w:sz w:val="24"/>
                <w:szCs w:val="24"/>
              </w:rPr>
            </w:pPr>
            <w:r w:rsidRPr="0096513C">
              <w:rPr>
                <w:rFonts w:ascii="Segoe UI Emoji" w:hAnsi="Segoe UI Emoji" w:cs="Segoe UI Emoji"/>
                <w:b/>
                <w:bCs/>
                <w:sz w:val="24"/>
                <w:szCs w:val="24"/>
                <w:highlight w:val="yellow"/>
              </w:rPr>
              <w:t>🔴</w:t>
            </w:r>
          </w:p>
        </w:tc>
        <w:tc>
          <w:tcPr>
            <w:tcW w:w="596" w:type="dxa"/>
          </w:tcPr>
          <w:p w14:paraId="4087F12C" w14:textId="2A7689E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20952AED" wp14:editId="159C8EEE">
                      <wp:extent cx="132497" cy="137899"/>
                      <wp:effectExtent l="38100" t="19050" r="20320" b="52705"/>
                      <wp:docPr id="163127902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1E540D"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3A3BFBE7" w14:textId="2B826B22"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4554BD42" wp14:editId="5EED78DF">
                      <wp:extent cx="132497" cy="137899"/>
                      <wp:effectExtent l="38100" t="19050" r="20320" b="52705"/>
                      <wp:docPr id="61702991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72BE7B"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2A3B9B5F" w14:textId="3E5B439F"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4E3E068C" wp14:editId="3C8E1641">
                      <wp:extent cx="132497" cy="137899"/>
                      <wp:effectExtent l="38100" t="19050" r="20320" b="52705"/>
                      <wp:docPr id="25478497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ACA2B68"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4BC445CE" w14:textId="29A9C7E2"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7165E604" wp14:editId="6D361B24">
                      <wp:extent cx="132497" cy="137899"/>
                      <wp:effectExtent l="38100" t="19050" r="20320" b="52705"/>
                      <wp:docPr id="2078087296"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1B742B4"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43B6D5D0" w14:textId="7F09A41C"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2FE9CFE4" wp14:editId="37D93246">
                      <wp:extent cx="132497" cy="137899"/>
                      <wp:effectExtent l="38100" t="19050" r="20320" b="52705"/>
                      <wp:docPr id="52376599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6688647"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05" w:type="dxa"/>
          </w:tcPr>
          <w:p w14:paraId="58356E91"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9</w:t>
            </w:r>
          </w:p>
        </w:tc>
        <w:tc>
          <w:tcPr>
            <w:tcW w:w="1232" w:type="dxa"/>
          </w:tcPr>
          <w:p w14:paraId="14DFA0FF"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High</w:t>
            </w:r>
          </w:p>
        </w:tc>
      </w:tr>
      <w:tr w:rsidR="0041348F" w:rsidRPr="0096513C" w14:paraId="33AE158A" w14:textId="77777777" w:rsidTr="0041348F">
        <w:tc>
          <w:tcPr>
            <w:tcW w:w="956" w:type="dxa"/>
          </w:tcPr>
          <w:p w14:paraId="699BD9B6" w14:textId="69E37A50"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Ellis et al., 202</w:t>
            </w:r>
            <w:r w:rsidR="00C348DD">
              <w:rPr>
                <w:rFonts w:ascii="Times New Roman" w:hAnsi="Times New Roman" w:cs="Times New Roman"/>
                <w:b/>
                <w:bCs/>
                <w:sz w:val="24"/>
                <w:szCs w:val="24"/>
              </w:rPr>
              <w:t>3</w:t>
            </w:r>
          </w:p>
        </w:tc>
        <w:tc>
          <w:tcPr>
            <w:tcW w:w="597" w:type="dxa"/>
          </w:tcPr>
          <w:p w14:paraId="1AFC0D03" w14:textId="211C437D"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5455DB17" wp14:editId="7CC2E289">
                      <wp:extent cx="132497" cy="137899"/>
                      <wp:effectExtent l="38100" t="19050" r="20320" b="52705"/>
                      <wp:docPr id="183298195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46CD640"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528BE329" w14:textId="61E91A6A"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46A74773" wp14:editId="1A6CD2AF">
                      <wp:extent cx="132497" cy="137899"/>
                      <wp:effectExtent l="38100" t="19050" r="20320" b="52705"/>
                      <wp:docPr id="1396302975"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9E23172"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5B968923" w14:textId="03DE9F45"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E90C8FA" wp14:editId="637AC70E">
                      <wp:extent cx="132497" cy="137899"/>
                      <wp:effectExtent l="38100" t="19050" r="20320" b="52705"/>
                      <wp:docPr id="615276058"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847191"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3917FD79" w14:textId="63F7BAF2"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31CBB8BF" wp14:editId="6F7B4143">
                      <wp:extent cx="132497" cy="137899"/>
                      <wp:effectExtent l="38100" t="19050" r="20320" b="52705"/>
                      <wp:docPr id="929450730"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C4A0BE"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6863EB2A" w14:textId="464ECF84" w:rsidR="0041348F" w:rsidRPr="0096513C" w:rsidRDefault="0041348F" w:rsidP="00F93E4A">
            <w:pPr>
              <w:spacing w:line="240" w:lineRule="auto"/>
              <w:rPr>
                <w:rFonts w:ascii="Times New Roman" w:hAnsi="Times New Roman" w:cs="Times New Roman"/>
                <w:b/>
                <w:bCs/>
                <w:sz w:val="24"/>
                <w:szCs w:val="24"/>
              </w:rPr>
            </w:pPr>
            <w:r w:rsidRPr="0096513C">
              <w:rPr>
                <w:rFonts w:ascii="Segoe UI Emoji" w:hAnsi="Segoe UI Emoji" w:cs="Segoe UI Emoji"/>
                <w:b/>
                <w:bCs/>
                <w:sz w:val="24"/>
                <w:szCs w:val="24"/>
                <w:highlight w:val="yellow"/>
              </w:rPr>
              <w:t>🔴</w:t>
            </w:r>
          </w:p>
        </w:tc>
        <w:tc>
          <w:tcPr>
            <w:tcW w:w="596" w:type="dxa"/>
          </w:tcPr>
          <w:p w14:paraId="5C418CCA" w14:textId="4A5C0D61"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487A1F73" wp14:editId="1015571F">
                      <wp:extent cx="132497" cy="137899"/>
                      <wp:effectExtent l="38100" t="19050" r="20320" b="52705"/>
                      <wp:docPr id="204472950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5712E59"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59C2F5C0" w14:textId="4F65811D"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41722A2" wp14:editId="06986650">
                      <wp:extent cx="132497" cy="137899"/>
                      <wp:effectExtent l="38100" t="19050" r="20320" b="52705"/>
                      <wp:docPr id="37065244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D00DA66"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275AB4D2" w14:textId="6A600C95"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1CFB1E9" wp14:editId="17E8DBD6">
                      <wp:extent cx="132497" cy="137899"/>
                      <wp:effectExtent l="38100" t="19050" r="20320" b="52705"/>
                      <wp:docPr id="4809908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1FBB04A"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5DD7AF9C" w14:textId="384FC086"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66999A23" wp14:editId="2DBB192B">
                      <wp:extent cx="132497" cy="137899"/>
                      <wp:effectExtent l="38100" t="19050" r="20320" b="52705"/>
                      <wp:docPr id="247564476"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916DFB"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3678CCEA" w14:textId="5AA4AEF1" w:rsidR="0041348F" w:rsidRPr="0096513C" w:rsidRDefault="0041348F" w:rsidP="00F93E4A">
            <w:pPr>
              <w:spacing w:line="240" w:lineRule="auto"/>
              <w:rPr>
                <w:rFonts w:ascii="Times New Roman" w:hAnsi="Times New Roman" w:cs="Times New Roman"/>
                <w:b/>
                <w:bCs/>
                <w:sz w:val="24"/>
                <w:szCs w:val="24"/>
              </w:rPr>
            </w:pPr>
            <w:r w:rsidRPr="0096513C">
              <w:rPr>
                <w:rFonts w:ascii="Segoe UI Emoji" w:hAnsi="Segoe UI Emoji" w:cs="Segoe UI Emoji"/>
                <w:b/>
                <w:bCs/>
                <w:sz w:val="24"/>
                <w:szCs w:val="24"/>
                <w:highlight w:val="yellow"/>
              </w:rPr>
              <w:t>🔴</w:t>
            </w:r>
          </w:p>
        </w:tc>
        <w:tc>
          <w:tcPr>
            <w:tcW w:w="705" w:type="dxa"/>
          </w:tcPr>
          <w:p w14:paraId="5359ED4C"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8</w:t>
            </w:r>
          </w:p>
        </w:tc>
        <w:tc>
          <w:tcPr>
            <w:tcW w:w="1232" w:type="dxa"/>
          </w:tcPr>
          <w:p w14:paraId="3BF1509B"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Moderate–High</w:t>
            </w:r>
          </w:p>
        </w:tc>
      </w:tr>
      <w:tr w:rsidR="0041348F" w:rsidRPr="0096513C" w14:paraId="53F8B61F" w14:textId="77777777" w:rsidTr="0041348F">
        <w:tc>
          <w:tcPr>
            <w:tcW w:w="956" w:type="dxa"/>
          </w:tcPr>
          <w:p w14:paraId="387D10B2" w14:textId="134AFE7F"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Miano et al., 202</w:t>
            </w:r>
            <w:r w:rsidR="00E5587C">
              <w:rPr>
                <w:rFonts w:ascii="Times New Roman" w:hAnsi="Times New Roman" w:cs="Times New Roman"/>
                <w:b/>
                <w:bCs/>
                <w:sz w:val="24"/>
                <w:szCs w:val="24"/>
              </w:rPr>
              <w:t>2</w:t>
            </w:r>
          </w:p>
        </w:tc>
        <w:tc>
          <w:tcPr>
            <w:tcW w:w="597" w:type="dxa"/>
          </w:tcPr>
          <w:p w14:paraId="30F65408" w14:textId="206B0949"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454FE8B2" wp14:editId="259ED0D4">
                      <wp:extent cx="132497" cy="137899"/>
                      <wp:effectExtent l="38100" t="19050" r="20320" b="52705"/>
                      <wp:docPr id="408713379"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470927F"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750288CD" w14:textId="0FBFBFC6"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4A2CC268" wp14:editId="322AE174">
                      <wp:extent cx="132497" cy="137899"/>
                      <wp:effectExtent l="38100" t="19050" r="20320" b="52705"/>
                      <wp:docPr id="38332855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F7E043"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7" w:type="dxa"/>
          </w:tcPr>
          <w:p w14:paraId="7D470EC4" w14:textId="5CA647A1"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7216DD9A" wp14:editId="72404F48">
                      <wp:extent cx="132497" cy="137899"/>
                      <wp:effectExtent l="38100" t="19050" r="20320" b="52705"/>
                      <wp:docPr id="1272686340"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50A3AE9"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2A0E5D6E" w14:textId="1B9FF7C2"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62F07B7B" wp14:editId="3EBE0BC1">
                      <wp:extent cx="132497" cy="137899"/>
                      <wp:effectExtent l="38100" t="19050" r="20320" b="52705"/>
                      <wp:docPr id="2092400643"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3DEA2F8"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042311EB" w14:textId="71F78190"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3F3257F7" wp14:editId="096572E1">
                      <wp:extent cx="132497" cy="137899"/>
                      <wp:effectExtent l="38100" t="19050" r="20320" b="52705"/>
                      <wp:docPr id="341035256"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79B2DC8"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50730663" w14:textId="328A91D1"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0908D70C" wp14:editId="332E8BDA">
                      <wp:extent cx="132497" cy="137899"/>
                      <wp:effectExtent l="38100" t="19050" r="20320" b="52705"/>
                      <wp:docPr id="214028907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9B3BB4"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67C8EFA2" w14:textId="7A6362C3"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51D0C93A" wp14:editId="51C48F9C">
                      <wp:extent cx="132497" cy="137899"/>
                      <wp:effectExtent l="38100" t="19050" r="20320" b="52705"/>
                      <wp:docPr id="52050280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01963B"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229E1ABB" w14:textId="5A25E840"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7B4BD269" wp14:editId="26D40D51">
                      <wp:extent cx="132497" cy="137899"/>
                      <wp:effectExtent l="38100" t="19050" r="20320" b="52705"/>
                      <wp:docPr id="135622592"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890E18"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26743B99" w14:textId="63F8B595"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575B0632" wp14:editId="5A0989AC">
                      <wp:extent cx="132497" cy="137899"/>
                      <wp:effectExtent l="38100" t="19050" r="20320" b="52705"/>
                      <wp:docPr id="728231498"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79215D6"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596" w:type="dxa"/>
          </w:tcPr>
          <w:p w14:paraId="541F10E2" w14:textId="2A76C54E"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noProof/>
                <w:sz w:val="24"/>
                <w:szCs w:val="24"/>
                <w:highlight w:val="yellow"/>
              </w:rPr>
              <mc:AlternateContent>
                <mc:Choice Requires="wps">
                  <w:drawing>
                    <wp:inline distT="0" distB="0" distL="0" distR="0" wp14:anchorId="297BFB8F" wp14:editId="146E5599">
                      <wp:extent cx="132497" cy="137899"/>
                      <wp:effectExtent l="38100" t="19050" r="20320" b="52705"/>
                      <wp:docPr id="100288494" name="Star: 6 Points 1"/>
                      <wp:cNvGraphicFramePr/>
                      <a:graphic xmlns:a="http://schemas.openxmlformats.org/drawingml/2006/main">
                        <a:graphicData uri="http://schemas.microsoft.com/office/word/2010/wordprocessingShape">
                          <wps:wsp>
                            <wps:cNvSpPr/>
                            <wps:spPr>
                              <a:xfrm>
                                <a:off x="0" y="0"/>
                                <a:ext cx="132497" cy="137899"/>
                              </a:xfrm>
                              <a:prstGeom prst="star6">
                                <a:avLst/>
                              </a:prstGeom>
                              <a:solidFill>
                                <a:srgbClr val="00B050"/>
                              </a:solidFill>
                              <a:ln>
                                <a:solidFill>
                                  <a:srgbClr val="92D050"/>
                                </a:solidFill>
                              </a:ln>
                              <a:effectLst>
                                <a:outerShdw blurRad="40000" dist="23000" dir="5400000" rotWithShape="0">
                                  <a:srgbClr val="000000">
                                    <a:alpha val="0"/>
                                  </a:srgbClr>
                                </a:outerShdw>
                                <a:reflection stA="0" endPos="65000" dist="50800" dir="5400000" sy="-100000" algn="bl" rotWithShape="0"/>
                              </a:effectLst>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C2D5403" id="Star: 6 Points 1" o:spid="_x0000_s1026" style="width:10.45pt;height:10.85pt;visibility:visible;mso-wrap-style:square;mso-left-percent:-10001;mso-top-percent:-10001;mso-position-horizontal:absolute;mso-position-horizontal-relative:char;mso-position-vertical:absolute;mso-position-vertical-relative:line;mso-left-percent:-10001;mso-top-percent:-10001;v-text-anchor:middle" coordsize="132497,13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" path="m,34475r44165,-1l66249,,88332,34474r44165,1l110415,68950r22082,34474l88332,103425,66249,137899,44165,103425,,103424,22082,68950,,34475xe" fillcolor="#00b050" strokecolor="#92d050">
                      <v:shadow on="t" color="black" opacity="0" origin=",.5" offset="0,.63889mm"/>
                      <v:path arrowok="t" o:connecttype="custom" o:connectlocs="0,34475;44165,34474;66249,0;88332,34474;132497,34475;110415,68950;132497,103424;88332,103425;66249,137899;44165,103425;0,103424;22082,68950;0,34475" o:connectangles="0,0,0,0,0,0,0,0,0,0,0,0,0"/>
                      <w10:anchorlock/>
                    </v:shape>
                  </w:pict>
                </mc:Fallback>
              </mc:AlternateContent>
            </w:r>
          </w:p>
        </w:tc>
        <w:tc>
          <w:tcPr>
            <w:tcW w:w="705" w:type="dxa"/>
          </w:tcPr>
          <w:p w14:paraId="46D77FB3"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10</w:t>
            </w:r>
          </w:p>
        </w:tc>
        <w:tc>
          <w:tcPr>
            <w:tcW w:w="1232" w:type="dxa"/>
          </w:tcPr>
          <w:p w14:paraId="544AC873" w14:textId="77777777" w:rsidR="0041348F" w:rsidRPr="0096513C" w:rsidRDefault="0041348F" w:rsidP="00F93E4A">
            <w:pPr>
              <w:spacing w:line="240" w:lineRule="auto"/>
              <w:rPr>
                <w:rFonts w:ascii="Times New Roman" w:hAnsi="Times New Roman" w:cs="Times New Roman"/>
                <w:b/>
                <w:bCs/>
                <w:sz w:val="24"/>
                <w:szCs w:val="24"/>
              </w:rPr>
            </w:pPr>
            <w:r w:rsidRPr="0096513C">
              <w:rPr>
                <w:rFonts w:ascii="Times New Roman" w:hAnsi="Times New Roman" w:cs="Times New Roman"/>
                <w:b/>
                <w:bCs/>
                <w:sz w:val="24"/>
                <w:szCs w:val="24"/>
              </w:rPr>
              <w:t>High</w:t>
            </w:r>
          </w:p>
        </w:tc>
      </w:tr>
    </w:tbl>
    <w:p w14:paraId="6C2C5DB0" w14:textId="77777777" w:rsidR="00440B61" w:rsidRPr="0096513C" w:rsidRDefault="00440B61" w:rsidP="00F93E4A">
      <w:pPr>
        <w:spacing w:line="240" w:lineRule="auto"/>
        <w:rPr>
          <w:rFonts w:ascii="Times New Roman" w:hAnsi="Times New Roman" w:cs="Times New Roman"/>
          <w:sz w:val="24"/>
          <w:szCs w:val="24"/>
        </w:rPr>
      </w:pPr>
    </w:p>
    <w:p w14:paraId="7E9D8DC9" w14:textId="78D272E1" w:rsidR="007D4282" w:rsidRPr="0096513C" w:rsidRDefault="007D4282" w:rsidP="00F93E4A">
      <w:pPr>
        <w:spacing w:line="240" w:lineRule="auto"/>
        <w:rPr>
          <w:rFonts w:ascii="Times New Roman" w:hAnsi="Times New Roman" w:cs="Times New Roman"/>
          <w:i/>
          <w:iCs/>
          <w:sz w:val="24"/>
          <w:szCs w:val="24"/>
        </w:rPr>
      </w:pPr>
      <w:r w:rsidRPr="0096513C">
        <w:rPr>
          <w:rFonts w:ascii="Times New Roman" w:hAnsi="Times New Roman" w:cs="Times New Roman"/>
          <w:i/>
          <w:iCs/>
          <w:sz w:val="24"/>
          <w:szCs w:val="24"/>
        </w:rPr>
        <w:t>All studies used validated data sources, defined risk/control intervals, and appropriately handled time-varying confounders. Xu et al. (2021) and Miano et al. (202</w:t>
      </w:r>
      <w:r w:rsidR="00C348DD">
        <w:rPr>
          <w:rFonts w:ascii="Times New Roman" w:hAnsi="Times New Roman" w:cs="Times New Roman"/>
          <w:i/>
          <w:iCs/>
          <w:sz w:val="24"/>
          <w:szCs w:val="24"/>
        </w:rPr>
        <w:t>2</w:t>
      </w:r>
      <w:r w:rsidRPr="0096513C">
        <w:rPr>
          <w:rFonts w:ascii="Times New Roman" w:hAnsi="Times New Roman" w:cs="Times New Roman"/>
          <w:i/>
          <w:iCs/>
          <w:sz w:val="24"/>
          <w:szCs w:val="24"/>
        </w:rPr>
        <w:t>) achieved full marks, while Ellis et al. (202</w:t>
      </w:r>
      <w:r w:rsidR="00C348DD">
        <w:rPr>
          <w:rFonts w:ascii="Times New Roman" w:hAnsi="Times New Roman" w:cs="Times New Roman"/>
          <w:i/>
          <w:iCs/>
          <w:sz w:val="24"/>
          <w:szCs w:val="24"/>
        </w:rPr>
        <w:t>3</w:t>
      </w:r>
      <w:r w:rsidRPr="0096513C">
        <w:rPr>
          <w:rFonts w:ascii="Times New Roman" w:hAnsi="Times New Roman" w:cs="Times New Roman"/>
          <w:i/>
          <w:iCs/>
          <w:sz w:val="24"/>
          <w:szCs w:val="24"/>
        </w:rPr>
        <w:t>) lacked follow-up detail</w:t>
      </w:r>
      <w:r w:rsidR="00C40243">
        <w:rPr>
          <w:rFonts w:ascii="Times New Roman" w:hAnsi="Times New Roman" w:cs="Times New Roman"/>
          <w:i/>
          <w:iCs/>
          <w:sz w:val="24"/>
          <w:szCs w:val="24"/>
        </w:rPr>
        <w:t>,</w:t>
      </w:r>
      <w:r w:rsidRPr="0096513C">
        <w:rPr>
          <w:rFonts w:ascii="Times New Roman" w:hAnsi="Times New Roman" w:cs="Times New Roman"/>
          <w:i/>
          <w:iCs/>
          <w:sz w:val="24"/>
          <w:szCs w:val="24"/>
        </w:rPr>
        <w:t xml:space="preserve"> and Tardelli et al. (2023) did not explicitly adjust for all temporal confounders. Overall, all studies were rated high or moderate–high quality.</w:t>
      </w:r>
    </w:p>
    <w:p w14:paraId="49B06C38" w14:textId="77777777" w:rsidR="001F6429" w:rsidRPr="0096513C" w:rsidRDefault="001F6429" w:rsidP="00F93E4A">
      <w:pPr>
        <w:spacing w:line="240" w:lineRule="auto"/>
        <w:rPr>
          <w:rFonts w:ascii="Times New Roman" w:hAnsi="Times New Roman" w:cs="Times New Roman"/>
          <w:sz w:val="24"/>
          <w:szCs w:val="24"/>
        </w:rPr>
      </w:pPr>
    </w:p>
    <w:p w14:paraId="52F986AD" w14:textId="0B35C764" w:rsidR="001F6429" w:rsidRPr="0096513C" w:rsidRDefault="001F6429"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Domain assessed:</w:t>
      </w:r>
    </w:p>
    <w:p w14:paraId="7D5565A1" w14:textId="5E0F9D9C"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S1 </w:t>
      </w:r>
      <w:r w:rsidR="00E638E0" w:rsidRPr="0096513C">
        <w:rPr>
          <w:rFonts w:ascii="Times New Roman" w:hAnsi="Times New Roman" w:cs="Times New Roman"/>
          <w:sz w:val="24"/>
          <w:szCs w:val="24"/>
        </w:rPr>
        <w:t xml:space="preserve">= </w:t>
      </w:r>
      <w:r w:rsidRPr="0096513C">
        <w:rPr>
          <w:rFonts w:ascii="Times New Roman" w:hAnsi="Times New Roman" w:cs="Times New Roman"/>
          <w:sz w:val="24"/>
          <w:szCs w:val="24"/>
        </w:rPr>
        <w:t>Representativeness of cases:</w:t>
      </w:r>
      <w:r w:rsidRPr="0096513C">
        <w:rPr>
          <w:rFonts w:ascii="Times New Roman" w:hAnsi="Times New Roman" w:cs="Times New Roman"/>
          <w:sz w:val="24"/>
          <w:szCs w:val="24"/>
        </w:rPr>
        <w:br/>
        <w:t>Evaluates whether the included cases accurately represent all eligible individuals from the source population. A study earns a star if cases are drawn from a comprehensive, well-defined population (e.g., national surveillance, administrative registry) rather than a selected subgroup or convenience sample.</w:t>
      </w:r>
    </w:p>
    <w:p w14:paraId="5028DD61" w14:textId="520A7F2F"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S</w:t>
      </w:r>
      <w:r w:rsidR="002727CE" w:rsidRPr="0096513C">
        <w:rPr>
          <w:rFonts w:ascii="Times New Roman" w:hAnsi="Times New Roman" w:cs="Times New Roman"/>
          <w:sz w:val="24"/>
          <w:szCs w:val="24"/>
        </w:rPr>
        <w:t>2 =</w:t>
      </w:r>
      <w:r w:rsidR="00E638E0" w:rsidRPr="0096513C">
        <w:rPr>
          <w:rFonts w:ascii="Times New Roman" w:hAnsi="Times New Roman" w:cs="Times New Roman"/>
          <w:sz w:val="24"/>
          <w:szCs w:val="24"/>
        </w:rPr>
        <w:t xml:space="preserve"> </w:t>
      </w:r>
      <w:r w:rsidRPr="0096513C">
        <w:rPr>
          <w:rFonts w:ascii="Times New Roman" w:hAnsi="Times New Roman" w:cs="Times New Roman"/>
          <w:sz w:val="24"/>
          <w:szCs w:val="24"/>
        </w:rPr>
        <w:t>Ascertainment of exposure:</w:t>
      </w:r>
      <w:r w:rsidRPr="0096513C">
        <w:rPr>
          <w:rFonts w:ascii="Times New Roman" w:hAnsi="Times New Roman" w:cs="Times New Roman"/>
          <w:sz w:val="24"/>
          <w:szCs w:val="24"/>
        </w:rPr>
        <w:br/>
        <w:t xml:space="preserve">Assesses the reliability of exposure measurement. A star is awarded when exposure is </w:t>
      </w:r>
      <w:r w:rsidRPr="0096513C">
        <w:rPr>
          <w:rFonts w:ascii="Times New Roman" w:hAnsi="Times New Roman" w:cs="Times New Roman"/>
          <w:sz w:val="24"/>
          <w:szCs w:val="24"/>
        </w:rPr>
        <w:lastRenderedPageBreak/>
        <w:t>verified using a secure or validated data source such as prescription or vaccination registries, pharmacy claims, or electronic medical records, rather than unverified self-report.</w:t>
      </w:r>
    </w:p>
    <w:p w14:paraId="4AC1B0DF" w14:textId="676C0EA6"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S3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Outcome </w:t>
      </w:r>
      <w:proofErr w:type="gramStart"/>
      <w:r w:rsidRPr="0096513C">
        <w:rPr>
          <w:rFonts w:ascii="Times New Roman" w:hAnsi="Times New Roman" w:cs="Times New Roman"/>
          <w:sz w:val="24"/>
          <w:szCs w:val="24"/>
        </w:rPr>
        <w:t>not present</w:t>
      </w:r>
      <w:proofErr w:type="gramEnd"/>
      <w:r w:rsidRPr="0096513C">
        <w:rPr>
          <w:rFonts w:ascii="Times New Roman" w:hAnsi="Times New Roman" w:cs="Times New Roman"/>
          <w:sz w:val="24"/>
          <w:szCs w:val="24"/>
        </w:rPr>
        <w:t xml:space="preserve"> at start:</w:t>
      </w:r>
      <w:r w:rsidRPr="0096513C">
        <w:rPr>
          <w:rFonts w:ascii="Times New Roman" w:hAnsi="Times New Roman" w:cs="Times New Roman"/>
          <w:sz w:val="24"/>
          <w:szCs w:val="24"/>
        </w:rPr>
        <w:br/>
        <w:t>Checks that the outcome of interest did not exist at the beginning of the observation period, ensuring that events occurred after the defined exposure or within the risk window. This confirms correct temporal sequencing between exposure and outcome.</w:t>
      </w:r>
    </w:p>
    <w:p w14:paraId="03AB44AA" w14:textId="4F67FCF4"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C1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Adjustment for time-varying confounders (e.g., age, seasonality):</w:t>
      </w:r>
      <w:r w:rsidRPr="0096513C">
        <w:rPr>
          <w:rFonts w:ascii="Times New Roman" w:hAnsi="Times New Roman" w:cs="Times New Roman"/>
          <w:sz w:val="24"/>
          <w:szCs w:val="24"/>
        </w:rPr>
        <w:br/>
        <w:t>Examines whether the study design or analysis controlled for temporal factors that may vary within individuals and bias associations</w:t>
      </w:r>
      <w:r w:rsidR="00DB5C98" w:rsidRPr="0096513C">
        <w:rPr>
          <w:rFonts w:ascii="Times New Roman" w:hAnsi="Times New Roman" w:cs="Times New Roman"/>
          <w:sz w:val="24"/>
          <w:szCs w:val="24"/>
        </w:rPr>
        <w:t xml:space="preserve"> </w:t>
      </w:r>
      <w:r w:rsidRPr="0096513C">
        <w:rPr>
          <w:rFonts w:ascii="Times New Roman" w:hAnsi="Times New Roman" w:cs="Times New Roman"/>
          <w:sz w:val="24"/>
          <w:szCs w:val="24"/>
        </w:rPr>
        <w:t>such as age effects, seasonality, or calendar time trends</w:t>
      </w:r>
      <w:r w:rsidR="00DB5C98" w:rsidRPr="0096513C">
        <w:rPr>
          <w:rFonts w:ascii="Times New Roman" w:hAnsi="Times New Roman" w:cs="Times New Roman"/>
          <w:sz w:val="24"/>
          <w:szCs w:val="24"/>
        </w:rPr>
        <w:t xml:space="preserve"> </w:t>
      </w:r>
      <w:r w:rsidRPr="0096513C">
        <w:rPr>
          <w:rFonts w:ascii="Times New Roman" w:hAnsi="Times New Roman" w:cs="Times New Roman"/>
          <w:sz w:val="24"/>
          <w:szCs w:val="24"/>
        </w:rPr>
        <w:t>through statistical adjustment or by limiting follow-up intervals.</w:t>
      </w:r>
    </w:p>
    <w:p w14:paraId="5C75E594" w14:textId="79758671"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C2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Adjustment for additional confounders or justification of limited control:</w:t>
      </w:r>
      <w:r w:rsidRPr="0096513C">
        <w:rPr>
          <w:rFonts w:ascii="Times New Roman" w:hAnsi="Times New Roman" w:cs="Times New Roman"/>
          <w:sz w:val="24"/>
          <w:szCs w:val="24"/>
        </w:rPr>
        <w:br/>
        <w:t xml:space="preserve">Determines whether other relevant covariates (e.g., medication changes, comorbidities) were addressed, or whether the authors provided a justified rationale for not doing so. A star is awarded when additional confounding was </w:t>
      </w:r>
      <w:r w:rsidR="00DB5C98" w:rsidRPr="0096513C">
        <w:rPr>
          <w:rFonts w:ascii="Times New Roman" w:hAnsi="Times New Roman" w:cs="Times New Roman"/>
          <w:sz w:val="24"/>
          <w:szCs w:val="24"/>
        </w:rPr>
        <w:t>considered,</w:t>
      </w:r>
      <w:r w:rsidRPr="0096513C">
        <w:rPr>
          <w:rFonts w:ascii="Times New Roman" w:hAnsi="Times New Roman" w:cs="Times New Roman"/>
          <w:sz w:val="24"/>
          <w:szCs w:val="24"/>
        </w:rPr>
        <w:t xml:space="preserve"> or the control strategy is well-justified.</w:t>
      </w:r>
    </w:p>
    <w:p w14:paraId="31F544F8" w14:textId="02427D4F"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O1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Assessment of outcome:</w:t>
      </w:r>
      <w:r w:rsidRPr="0096513C">
        <w:rPr>
          <w:rFonts w:ascii="Times New Roman" w:hAnsi="Times New Roman" w:cs="Times New Roman"/>
          <w:sz w:val="24"/>
          <w:szCs w:val="24"/>
        </w:rPr>
        <w:br/>
        <w:t>Evaluates how outcomes were measured and verified. High-quality studies use objective or validated ascertainment methods</w:t>
      </w:r>
      <w:r w:rsidR="001F6429" w:rsidRPr="0096513C">
        <w:rPr>
          <w:rFonts w:ascii="Times New Roman" w:hAnsi="Times New Roman" w:cs="Times New Roman"/>
          <w:sz w:val="24"/>
          <w:szCs w:val="24"/>
        </w:rPr>
        <w:t xml:space="preserve"> </w:t>
      </w:r>
      <w:r w:rsidRPr="0096513C">
        <w:rPr>
          <w:rFonts w:ascii="Times New Roman" w:hAnsi="Times New Roman" w:cs="Times New Roman"/>
          <w:sz w:val="24"/>
          <w:szCs w:val="24"/>
        </w:rPr>
        <w:t>such as ICD-coded diagnoses, laboratory confirmation, or independent clinical assessment</w:t>
      </w:r>
      <w:r w:rsidR="00DB5C98" w:rsidRPr="0096513C">
        <w:rPr>
          <w:rFonts w:ascii="Times New Roman" w:hAnsi="Times New Roman" w:cs="Times New Roman"/>
          <w:sz w:val="24"/>
          <w:szCs w:val="24"/>
        </w:rPr>
        <w:t xml:space="preserve"> </w:t>
      </w:r>
      <w:r w:rsidRPr="0096513C">
        <w:rPr>
          <w:rFonts w:ascii="Times New Roman" w:hAnsi="Times New Roman" w:cs="Times New Roman"/>
          <w:sz w:val="24"/>
          <w:szCs w:val="24"/>
        </w:rPr>
        <w:t>rather than self-report alone.</w:t>
      </w:r>
    </w:p>
    <w:p w14:paraId="2963AEA5" w14:textId="4B5881C6"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O2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Risk period clearly stated:</w:t>
      </w:r>
      <w:r w:rsidRPr="0096513C">
        <w:rPr>
          <w:rFonts w:ascii="Times New Roman" w:hAnsi="Times New Roman" w:cs="Times New Roman"/>
          <w:sz w:val="24"/>
          <w:szCs w:val="24"/>
        </w:rPr>
        <w:br/>
        <w:t>Confirms that the time window of increased risk following exposure (e.g., 0–30 days post-exposure) was explicitly defined and justified based on prior literature or biological plausibility.</w:t>
      </w:r>
    </w:p>
    <w:p w14:paraId="702FAD88" w14:textId="3C69DF46"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O3 </w:t>
      </w:r>
      <w:r w:rsidR="007E433C" w:rsidRPr="0096513C">
        <w:rPr>
          <w:rFonts w:ascii="Times New Roman" w:hAnsi="Times New Roman" w:cs="Times New Roman"/>
          <w:sz w:val="24"/>
          <w:szCs w:val="24"/>
        </w:rPr>
        <w:t xml:space="preserve">= </w:t>
      </w:r>
      <w:r w:rsidRPr="0096513C">
        <w:rPr>
          <w:rFonts w:ascii="Times New Roman" w:hAnsi="Times New Roman" w:cs="Times New Roman"/>
          <w:sz w:val="24"/>
          <w:szCs w:val="24"/>
        </w:rPr>
        <w:t>Control period clearly stated:</w:t>
      </w:r>
      <w:r w:rsidRPr="0096513C">
        <w:rPr>
          <w:rFonts w:ascii="Times New Roman" w:hAnsi="Times New Roman" w:cs="Times New Roman"/>
          <w:sz w:val="24"/>
          <w:szCs w:val="24"/>
        </w:rPr>
        <w:br/>
        <w:t>Ensures that a distinct, well-described comparison period (before, after, or between risk intervals) was defined to estimate background incidence, allowing within-person comparison of event rates.</w:t>
      </w:r>
    </w:p>
    <w:p w14:paraId="70212015" w14:textId="62982DB4"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O4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Risk/control periods long enough for outcome to occur:</w:t>
      </w:r>
      <w:r w:rsidRPr="0096513C">
        <w:rPr>
          <w:rFonts w:ascii="Times New Roman" w:hAnsi="Times New Roman" w:cs="Times New Roman"/>
          <w:sz w:val="24"/>
          <w:szCs w:val="24"/>
        </w:rPr>
        <w:br/>
        <w:t>Assesses whether the observation windows were sufficient to capture the onset of the event of interest, with rationale provided for the chosen durations (e.g., 30-day or 90-day risk periods).</w:t>
      </w:r>
    </w:p>
    <w:p w14:paraId="41D8B233" w14:textId="37A20476"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O5 </w:t>
      </w:r>
      <w:r w:rsidR="007E433C" w:rsidRPr="0096513C">
        <w:rPr>
          <w:rFonts w:ascii="Times New Roman" w:hAnsi="Times New Roman" w:cs="Times New Roman"/>
          <w:sz w:val="24"/>
          <w:szCs w:val="24"/>
        </w:rPr>
        <w:t>=</w:t>
      </w:r>
      <w:r w:rsidRPr="0096513C">
        <w:rPr>
          <w:rFonts w:ascii="Times New Roman" w:hAnsi="Times New Roman" w:cs="Times New Roman"/>
          <w:sz w:val="24"/>
          <w:szCs w:val="24"/>
        </w:rPr>
        <w:t xml:space="preserve"> Adequacy of follow-up:</w:t>
      </w:r>
      <w:r w:rsidRPr="0096513C">
        <w:rPr>
          <w:rFonts w:ascii="Times New Roman" w:hAnsi="Times New Roman" w:cs="Times New Roman"/>
          <w:sz w:val="24"/>
          <w:szCs w:val="24"/>
        </w:rPr>
        <w:br/>
        <w:t>Evaluates completeness of case observation throughout the study. Full credit is given when all cases are accounted for or when losses are small, well-described, and unlikely to bias results (e.g., deaths or censored records clearly handled)</w:t>
      </w:r>
    </w:p>
    <w:p w14:paraId="1C508698" w14:textId="2EBDD8AC" w:rsidR="007E433C" w:rsidRPr="0096513C" w:rsidRDefault="002727CE"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Scale:</w:t>
      </w:r>
      <w:r w:rsidR="007D4282" w:rsidRPr="0096513C">
        <w:rPr>
          <w:rFonts w:ascii="Times New Roman" w:hAnsi="Times New Roman" w:cs="Times New Roman"/>
          <w:sz w:val="24"/>
          <w:szCs w:val="24"/>
        </w:rPr>
        <w:br/>
      </w:r>
      <w:r w:rsidR="007D4282" w:rsidRPr="0096513C">
        <w:rPr>
          <w:rFonts w:ascii="Times New Roman" w:hAnsi="Times New Roman" w:cs="Times New Roman"/>
          <w:sz w:val="24"/>
          <w:szCs w:val="24"/>
        </w:rPr>
        <w:br/>
        <w:t xml:space="preserve">High quality: 7–10 stars </w:t>
      </w:r>
    </w:p>
    <w:p w14:paraId="2B4C16CC" w14:textId="3A4A58CB" w:rsidR="007E433C"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lastRenderedPageBreak/>
        <w:t>Moderate</w:t>
      </w:r>
      <w:r w:rsidR="002727CE" w:rsidRPr="0096513C">
        <w:rPr>
          <w:rFonts w:ascii="Times New Roman" w:hAnsi="Times New Roman" w:cs="Times New Roman"/>
          <w:sz w:val="24"/>
          <w:szCs w:val="24"/>
        </w:rPr>
        <w:t xml:space="preserve"> quality</w:t>
      </w:r>
      <w:r w:rsidRPr="0096513C">
        <w:rPr>
          <w:rFonts w:ascii="Times New Roman" w:hAnsi="Times New Roman" w:cs="Times New Roman"/>
          <w:sz w:val="24"/>
          <w:szCs w:val="24"/>
        </w:rPr>
        <w:t xml:space="preserve">: 4–6 stars </w:t>
      </w:r>
    </w:p>
    <w:p w14:paraId="31393003" w14:textId="4DC88F3A" w:rsidR="007D4282" w:rsidRPr="0096513C" w:rsidRDefault="007D4282"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 xml:space="preserve"> Low</w:t>
      </w:r>
      <w:r w:rsidR="002727CE" w:rsidRPr="0096513C">
        <w:rPr>
          <w:rFonts w:ascii="Times New Roman" w:hAnsi="Times New Roman" w:cs="Times New Roman"/>
          <w:sz w:val="24"/>
          <w:szCs w:val="24"/>
        </w:rPr>
        <w:t xml:space="preserve"> quality</w:t>
      </w:r>
      <w:r w:rsidRPr="0096513C">
        <w:rPr>
          <w:rFonts w:ascii="Times New Roman" w:hAnsi="Times New Roman" w:cs="Times New Roman"/>
          <w:sz w:val="24"/>
          <w:szCs w:val="24"/>
        </w:rPr>
        <w:t>: ≤3 stars</w:t>
      </w:r>
    </w:p>
    <w:p w14:paraId="6175EA3D" w14:textId="364DFD59" w:rsidR="002B2726" w:rsidRPr="0096513C" w:rsidRDefault="002727CE" w:rsidP="00F93E4A">
      <w:pPr>
        <w:spacing w:line="240" w:lineRule="auto"/>
        <w:rPr>
          <w:rFonts w:ascii="Times New Roman" w:hAnsi="Times New Roman" w:cs="Times New Roman"/>
          <w:sz w:val="24"/>
          <w:szCs w:val="24"/>
        </w:rPr>
      </w:pPr>
      <w:r w:rsidRPr="0096513C">
        <w:rPr>
          <w:rFonts w:ascii="Times New Roman" w:hAnsi="Times New Roman" w:cs="Times New Roman"/>
          <w:sz w:val="24"/>
          <w:szCs w:val="24"/>
        </w:rPr>
        <w:t>R</w:t>
      </w:r>
      <w:r w:rsidR="002B2726" w:rsidRPr="0096513C">
        <w:rPr>
          <w:rFonts w:ascii="Times New Roman" w:hAnsi="Times New Roman" w:cs="Times New Roman"/>
          <w:sz w:val="24"/>
          <w:szCs w:val="24"/>
        </w:rPr>
        <w:t>eference</w:t>
      </w:r>
      <w:r w:rsidR="00F93E4A">
        <w:rPr>
          <w:rFonts w:ascii="Times New Roman" w:hAnsi="Times New Roman" w:cs="Times New Roman"/>
          <w:sz w:val="24"/>
          <w:szCs w:val="24"/>
        </w:rPr>
        <w:t>s</w:t>
      </w:r>
    </w:p>
    <w:p w14:paraId="61F7800C" w14:textId="55C422E2" w:rsidR="002B2726" w:rsidRPr="0096513C" w:rsidRDefault="002B2726" w:rsidP="00F93E4A">
      <w:pPr>
        <w:numPr>
          <w:ilvl w:val="0"/>
          <w:numId w:val="10"/>
        </w:numPr>
        <w:spacing w:after="160" w:line="240" w:lineRule="auto"/>
        <w:rPr>
          <w:rFonts w:ascii="Times New Roman" w:hAnsi="Times New Roman" w:cs="Times New Roman"/>
          <w:sz w:val="24"/>
          <w:szCs w:val="24"/>
        </w:rPr>
      </w:pPr>
      <w:r w:rsidRPr="0096513C">
        <w:rPr>
          <w:rFonts w:ascii="Times New Roman" w:hAnsi="Times New Roman" w:cs="Times New Roman"/>
          <w:sz w:val="24"/>
          <w:szCs w:val="24"/>
        </w:rPr>
        <w:t xml:space="preserve">Wells, G. A., Shea, B., O’Connell, D., Peterson, J., Welch, V., </w:t>
      </w:r>
      <w:proofErr w:type="spellStart"/>
      <w:r w:rsidRPr="0096513C">
        <w:rPr>
          <w:rFonts w:ascii="Times New Roman" w:hAnsi="Times New Roman" w:cs="Times New Roman"/>
          <w:sz w:val="24"/>
          <w:szCs w:val="24"/>
        </w:rPr>
        <w:t>Losos</w:t>
      </w:r>
      <w:proofErr w:type="spellEnd"/>
      <w:r w:rsidRPr="0096513C">
        <w:rPr>
          <w:rFonts w:ascii="Times New Roman" w:hAnsi="Times New Roman" w:cs="Times New Roman"/>
          <w:sz w:val="24"/>
          <w:szCs w:val="24"/>
        </w:rPr>
        <w:t xml:space="preserve">, M., &amp; Tugwell, P. (2014). The Newcastle–Ottawa Scale (NOS) for assessing the quality of </w:t>
      </w:r>
      <w:proofErr w:type="spellStart"/>
      <w:r w:rsidRPr="0096513C">
        <w:rPr>
          <w:rFonts w:ascii="Times New Roman" w:hAnsi="Times New Roman" w:cs="Times New Roman"/>
          <w:sz w:val="24"/>
          <w:szCs w:val="24"/>
        </w:rPr>
        <w:t>nonrandomised</w:t>
      </w:r>
      <w:proofErr w:type="spellEnd"/>
      <w:r w:rsidRPr="0096513C">
        <w:rPr>
          <w:rFonts w:ascii="Times New Roman" w:hAnsi="Times New Roman" w:cs="Times New Roman"/>
          <w:sz w:val="24"/>
          <w:szCs w:val="24"/>
        </w:rPr>
        <w:t xml:space="preserve"> studies in meta-analyses. Ottawa Hospital Research Institute.</w:t>
      </w:r>
      <w:r w:rsidR="001E7341" w:rsidRPr="0096513C">
        <w:rPr>
          <w:rFonts w:ascii="Times New Roman" w:hAnsi="Times New Roman" w:cs="Times New Roman"/>
          <w:sz w:val="24"/>
          <w:szCs w:val="24"/>
        </w:rPr>
        <w:t xml:space="preserve"> </w:t>
      </w:r>
      <w:r w:rsidRPr="0096513C">
        <w:rPr>
          <w:rFonts w:ascii="Times New Roman" w:hAnsi="Times New Roman" w:cs="Times New Roman"/>
          <w:sz w:val="24"/>
          <w:szCs w:val="24"/>
        </w:rPr>
        <w:t>http://www.ohri.ca/programs/clinical_epidemiology/oxford.asp</w:t>
      </w:r>
    </w:p>
    <w:p w14:paraId="6EF83FAC" w14:textId="77777777" w:rsidR="002B2726" w:rsidRPr="0096513C" w:rsidRDefault="002B2726" w:rsidP="00F93E4A">
      <w:pPr>
        <w:pStyle w:val="ListParagraph"/>
        <w:numPr>
          <w:ilvl w:val="0"/>
          <w:numId w:val="10"/>
        </w:numPr>
        <w:spacing w:after="160" w:line="240" w:lineRule="auto"/>
        <w:jc w:val="both"/>
        <w:rPr>
          <w:rFonts w:ascii="Times New Roman" w:hAnsi="Times New Roman" w:cs="Times New Roman"/>
          <w:sz w:val="24"/>
          <w:szCs w:val="24"/>
        </w:rPr>
      </w:pPr>
      <w:r w:rsidRPr="0096513C">
        <w:rPr>
          <w:rFonts w:ascii="Times New Roman" w:hAnsi="Times New Roman" w:cs="Times New Roman"/>
          <w:sz w:val="24"/>
          <w:szCs w:val="24"/>
        </w:rPr>
        <w:t>Virginia KW, Henry MP, Maria Regina FO (2022) Proposal of a Quality Assessment Tool for the Evaluation of the Methodological Quality of Self-controlled Case Series and Self-controlled Risk Interval Study Designs. J Community Med Health Educ 12:770. DOI: 10.4172/2168-9717.1000770</w:t>
      </w:r>
    </w:p>
    <w:p w14:paraId="603164DE" w14:textId="77777777" w:rsidR="002B2726" w:rsidRPr="0096513C" w:rsidRDefault="002B2726" w:rsidP="00F93E4A">
      <w:pPr>
        <w:spacing w:line="240" w:lineRule="auto"/>
        <w:rPr>
          <w:rFonts w:ascii="Times New Roman" w:hAnsi="Times New Roman" w:cs="Times New Roman"/>
          <w:sz w:val="24"/>
          <w:szCs w:val="24"/>
        </w:rPr>
      </w:pPr>
    </w:p>
    <w:sectPr w:rsidR="002B2726" w:rsidRPr="009651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18B3173"/>
    <w:multiLevelType w:val="multilevel"/>
    <w:tmpl w:val="91A60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7186721">
    <w:abstractNumId w:val="8"/>
  </w:num>
  <w:num w:numId="2" w16cid:durableId="1115127347">
    <w:abstractNumId w:val="6"/>
  </w:num>
  <w:num w:numId="3" w16cid:durableId="1765488623">
    <w:abstractNumId w:val="5"/>
  </w:num>
  <w:num w:numId="4" w16cid:durableId="1722091199">
    <w:abstractNumId w:val="4"/>
  </w:num>
  <w:num w:numId="5" w16cid:durableId="189802009">
    <w:abstractNumId w:val="7"/>
  </w:num>
  <w:num w:numId="6" w16cid:durableId="1095125545">
    <w:abstractNumId w:val="3"/>
  </w:num>
  <w:num w:numId="7" w16cid:durableId="156042006">
    <w:abstractNumId w:val="2"/>
  </w:num>
  <w:num w:numId="8" w16cid:durableId="1232622495">
    <w:abstractNumId w:val="1"/>
  </w:num>
  <w:num w:numId="9" w16cid:durableId="1769503233">
    <w:abstractNumId w:val="0"/>
  </w:num>
  <w:num w:numId="10" w16cid:durableId="537820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LQ0MTC0NDGxNLE0NzNU0lEKTi0uzszPAykwqgUAmaU25iwAAAA="/>
  </w:docVars>
  <w:rsids>
    <w:rsidRoot w:val="00B47730"/>
    <w:rsid w:val="0001499F"/>
    <w:rsid w:val="00034616"/>
    <w:rsid w:val="00037AF7"/>
    <w:rsid w:val="0006063C"/>
    <w:rsid w:val="000C419F"/>
    <w:rsid w:val="00120F55"/>
    <w:rsid w:val="0014191D"/>
    <w:rsid w:val="0015074B"/>
    <w:rsid w:val="001D4C22"/>
    <w:rsid w:val="001E7341"/>
    <w:rsid w:val="001F1422"/>
    <w:rsid w:val="001F6429"/>
    <w:rsid w:val="00233C2B"/>
    <w:rsid w:val="00241B94"/>
    <w:rsid w:val="002727CE"/>
    <w:rsid w:val="0029046C"/>
    <w:rsid w:val="0029639D"/>
    <w:rsid w:val="002B2726"/>
    <w:rsid w:val="0030252B"/>
    <w:rsid w:val="00326F90"/>
    <w:rsid w:val="00385510"/>
    <w:rsid w:val="0041348F"/>
    <w:rsid w:val="0042373F"/>
    <w:rsid w:val="00440B61"/>
    <w:rsid w:val="004F5541"/>
    <w:rsid w:val="00521061"/>
    <w:rsid w:val="00523A3D"/>
    <w:rsid w:val="005F2C80"/>
    <w:rsid w:val="0062213A"/>
    <w:rsid w:val="006338AE"/>
    <w:rsid w:val="006365A2"/>
    <w:rsid w:val="0074074E"/>
    <w:rsid w:val="007431B6"/>
    <w:rsid w:val="007671EA"/>
    <w:rsid w:val="007A2FCE"/>
    <w:rsid w:val="007D4282"/>
    <w:rsid w:val="007D5C21"/>
    <w:rsid w:val="007E433C"/>
    <w:rsid w:val="008803C4"/>
    <w:rsid w:val="00882B88"/>
    <w:rsid w:val="008A4955"/>
    <w:rsid w:val="008E3259"/>
    <w:rsid w:val="00915E04"/>
    <w:rsid w:val="0096513C"/>
    <w:rsid w:val="00A52C51"/>
    <w:rsid w:val="00A53E8C"/>
    <w:rsid w:val="00AA1D8D"/>
    <w:rsid w:val="00AB4D89"/>
    <w:rsid w:val="00B14259"/>
    <w:rsid w:val="00B47730"/>
    <w:rsid w:val="00C348DD"/>
    <w:rsid w:val="00C40243"/>
    <w:rsid w:val="00C740AF"/>
    <w:rsid w:val="00CB0664"/>
    <w:rsid w:val="00CC17B8"/>
    <w:rsid w:val="00D67EEB"/>
    <w:rsid w:val="00DB5C98"/>
    <w:rsid w:val="00DD1646"/>
    <w:rsid w:val="00DD3244"/>
    <w:rsid w:val="00E54D09"/>
    <w:rsid w:val="00E5587C"/>
    <w:rsid w:val="00E638E0"/>
    <w:rsid w:val="00EE405C"/>
    <w:rsid w:val="00F15BCD"/>
    <w:rsid w:val="00F42B8A"/>
    <w:rsid w:val="00F730EC"/>
    <w:rsid w:val="00F93E4A"/>
    <w:rsid w:val="00FA7F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BD2B12"/>
  <w14:defaultImageDpi w14:val="300"/>
  <w15:docId w15:val="{C7753942-67B0-4E82-8A24-ED4F8F57F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429"/>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93E4A"/>
    <w:pPr>
      <w:spacing w:after="0" w:line="240" w:lineRule="auto"/>
    </w:pPr>
  </w:style>
  <w:style w:type="character" w:styleId="CommentReference">
    <w:name w:val="annotation reference"/>
    <w:basedOn w:val="DefaultParagraphFont"/>
    <w:uiPriority w:val="99"/>
    <w:semiHidden/>
    <w:unhideWhenUsed/>
    <w:rsid w:val="00882B88"/>
    <w:rPr>
      <w:sz w:val="16"/>
      <w:szCs w:val="16"/>
    </w:rPr>
  </w:style>
  <w:style w:type="paragraph" w:styleId="CommentText">
    <w:name w:val="annotation text"/>
    <w:basedOn w:val="Normal"/>
    <w:link w:val="CommentTextChar"/>
    <w:uiPriority w:val="99"/>
    <w:semiHidden/>
    <w:unhideWhenUsed/>
    <w:rsid w:val="00882B88"/>
    <w:pPr>
      <w:spacing w:line="240" w:lineRule="auto"/>
    </w:pPr>
    <w:rPr>
      <w:sz w:val="20"/>
      <w:szCs w:val="20"/>
    </w:rPr>
  </w:style>
  <w:style w:type="character" w:customStyle="1" w:styleId="CommentTextChar">
    <w:name w:val="Comment Text Char"/>
    <w:basedOn w:val="DefaultParagraphFont"/>
    <w:link w:val="CommentText"/>
    <w:uiPriority w:val="99"/>
    <w:semiHidden/>
    <w:rsid w:val="00882B88"/>
    <w:rPr>
      <w:sz w:val="20"/>
      <w:szCs w:val="20"/>
    </w:rPr>
  </w:style>
  <w:style w:type="paragraph" w:styleId="CommentSubject">
    <w:name w:val="annotation subject"/>
    <w:basedOn w:val="CommentText"/>
    <w:next w:val="CommentText"/>
    <w:link w:val="CommentSubjectChar"/>
    <w:uiPriority w:val="99"/>
    <w:semiHidden/>
    <w:unhideWhenUsed/>
    <w:rsid w:val="00882B88"/>
    <w:rPr>
      <w:b/>
      <w:bCs/>
    </w:rPr>
  </w:style>
  <w:style w:type="character" w:customStyle="1" w:styleId="CommentSubjectChar">
    <w:name w:val="Comment Subject Char"/>
    <w:basedOn w:val="CommentTextChar"/>
    <w:link w:val="CommentSubject"/>
    <w:uiPriority w:val="99"/>
    <w:semiHidden/>
    <w:rsid w:val="00882B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Wei, Jenny</cp:lastModifiedBy>
  <cp:revision>10</cp:revision>
  <dcterms:created xsi:type="dcterms:W3CDTF">2025-12-04T18:34:00Z</dcterms:created>
  <dcterms:modified xsi:type="dcterms:W3CDTF">2026-05-20T13:11:00Z</dcterms:modified>
  <cp:category/>
</cp:coreProperties>
</file>