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1B3A80" w14:textId="3BF72C78" w:rsidR="00B732F2" w:rsidRDefault="00B732F2">
      <w:r w:rsidRPr="00B732F2">
        <w:rPr>
          <w:b/>
          <w:bCs/>
        </w:rPr>
        <w:t>Supplementary Table</w:t>
      </w:r>
      <w:r>
        <w:t xml:space="preserve"> Full List of Ethics Approval and Amendment Dates</w:t>
      </w:r>
    </w:p>
    <w:p w14:paraId="371C7D2A" w14:textId="77777777" w:rsidR="00B732F2" w:rsidRDefault="00B732F2"/>
    <w:p w14:paraId="6D66DAA9" w14:textId="77777777" w:rsidR="00B732F2" w:rsidRDefault="00B732F2"/>
    <w:tbl>
      <w:tblPr>
        <w:tblStyle w:val="TableGrid"/>
        <w:tblW w:w="9175" w:type="dxa"/>
        <w:tblInd w:w="5" w:type="dxa"/>
        <w:tblLook w:val="04A0" w:firstRow="1" w:lastRow="0" w:firstColumn="1" w:lastColumn="0" w:noHBand="0" w:noVBand="1"/>
      </w:tblPr>
      <w:tblGrid>
        <w:gridCol w:w="984"/>
        <w:gridCol w:w="1463"/>
        <w:gridCol w:w="1418"/>
        <w:gridCol w:w="5310"/>
      </w:tblGrid>
      <w:tr w:rsidR="00B732F2" w:rsidRPr="00AD1308" w14:paraId="26EC91A6" w14:textId="77777777" w:rsidTr="00FF5759">
        <w:tc>
          <w:tcPr>
            <w:tcW w:w="984" w:type="dxa"/>
            <w:tcBorders>
              <w:top w:val="single" w:sz="4" w:space="0" w:color="auto"/>
              <w:bottom w:val="single" w:sz="4" w:space="0" w:color="auto"/>
            </w:tcBorders>
          </w:tcPr>
          <w:p w14:paraId="017D2F5A"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Version</w:t>
            </w:r>
          </w:p>
        </w:tc>
        <w:tc>
          <w:tcPr>
            <w:tcW w:w="1463" w:type="dxa"/>
            <w:tcBorders>
              <w:top w:val="single" w:sz="4" w:space="0" w:color="auto"/>
              <w:bottom w:val="single" w:sz="4" w:space="0" w:color="auto"/>
            </w:tcBorders>
          </w:tcPr>
          <w:p w14:paraId="3A8E3B01"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Date (DD/MM/YY)</w:t>
            </w:r>
          </w:p>
        </w:tc>
        <w:tc>
          <w:tcPr>
            <w:tcW w:w="1418" w:type="dxa"/>
            <w:tcBorders>
              <w:top w:val="single" w:sz="4" w:space="0" w:color="auto"/>
              <w:bottom w:val="single" w:sz="4" w:space="0" w:color="auto"/>
            </w:tcBorders>
          </w:tcPr>
          <w:p w14:paraId="7D7A6EC0"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Section(s) changed</w:t>
            </w:r>
          </w:p>
        </w:tc>
        <w:tc>
          <w:tcPr>
            <w:tcW w:w="5310" w:type="dxa"/>
            <w:tcBorders>
              <w:top w:val="single" w:sz="4" w:space="0" w:color="auto"/>
              <w:bottom w:val="single" w:sz="4" w:space="0" w:color="auto"/>
            </w:tcBorders>
          </w:tcPr>
          <w:p w14:paraId="5CF7BBCD"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Description of changes and rationale</w:t>
            </w:r>
          </w:p>
        </w:tc>
      </w:tr>
      <w:tr w:rsidR="00B732F2" w14:paraId="70C1256A" w14:textId="77777777" w:rsidTr="00FF5759">
        <w:tc>
          <w:tcPr>
            <w:tcW w:w="984" w:type="dxa"/>
            <w:tcBorders>
              <w:top w:val="single" w:sz="4" w:space="0" w:color="auto"/>
            </w:tcBorders>
          </w:tcPr>
          <w:p w14:paraId="5C9C4F8A" w14:textId="6B3CE54D"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1.0</w:t>
            </w:r>
          </w:p>
        </w:tc>
        <w:tc>
          <w:tcPr>
            <w:tcW w:w="1463" w:type="dxa"/>
            <w:tcBorders>
              <w:top w:val="single" w:sz="4" w:space="0" w:color="auto"/>
            </w:tcBorders>
          </w:tcPr>
          <w:p w14:paraId="73A450D9" w14:textId="17D69C11"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04/03/24</w:t>
            </w:r>
          </w:p>
        </w:tc>
        <w:tc>
          <w:tcPr>
            <w:tcW w:w="1418" w:type="dxa"/>
            <w:tcBorders>
              <w:top w:val="single" w:sz="4" w:space="0" w:color="auto"/>
            </w:tcBorders>
          </w:tcPr>
          <w:p w14:paraId="01BE8E5F"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w:t>
            </w:r>
          </w:p>
        </w:tc>
        <w:tc>
          <w:tcPr>
            <w:tcW w:w="5310" w:type="dxa"/>
            <w:tcBorders>
              <w:top w:val="single" w:sz="4" w:space="0" w:color="auto"/>
            </w:tcBorders>
          </w:tcPr>
          <w:p w14:paraId="0668779B"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Initial ver</w:t>
            </w:r>
            <w:bookmarkStart w:id="0" w:name="_GoBack"/>
            <w:bookmarkEnd w:id="0"/>
            <w:r w:rsidRPr="00B732F2">
              <w:rPr>
                <w:rFonts w:eastAsia="Times New Roman"/>
                <w:sz w:val="24"/>
                <w:szCs w:val="24"/>
                <w:lang w:val="en-GB" w:eastAsia="ja-JP"/>
              </w:rPr>
              <w:t>sion</w:t>
            </w:r>
          </w:p>
        </w:tc>
      </w:tr>
      <w:tr w:rsidR="00B732F2" w:rsidRPr="00AD1308" w14:paraId="6DF55ECF" w14:textId="77777777" w:rsidTr="00B647AA">
        <w:tc>
          <w:tcPr>
            <w:tcW w:w="984" w:type="dxa"/>
          </w:tcPr>
          <w:p w14:paraId="3CC53581"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2.0</w:t>
            </w:r>
          </w:p>
        </w:tc>
        <w:tc>
          <w:tcPr>
            <w:tcW w:w="1463" w:type="dxa"/>
          </w:tcPr>
          <w:p w14:paraId="74A2770B"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19/09/25</w:t>
            </w:r>
          </w:p>
        </w:tc>
        <w:tc>
          <w:tcPr>
            <w:tcW w:w="1418" w:type="dxa"/>
          </w:tcPr>
          <w:p w14:paraId="17BDD164"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Study synopsis</w:t>
            </w:r>
          </w:p>
        </w:tc>
        <w:tc>
          <w:tcPr>
            <w:tcW w:w="5310" w:type="dxa"/>
          </w:tcPr>
          <w:p w14:paraId="6816AE7C"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Clinicaltrials.gov identifier added.</w:t>
            </w:r>
          </w:p>
          <w:p w14:paraId="4930BDFD"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Updates to the primary endpoint, statistical considerations, and number of participants sections, corresponding to the changes made within the protocol (see below).</w:t>
            </w:r>
          </w:p>
        </w:tc>
      </w:tr>
      <w:tr w:rsidR="00B732F2" w:rsidRPr="00AD1308" w14:paraId="67251A35" w14:textId="77777777" w:rsidTr="00B647AA">
        <w:tc>
          <w:tcPr>
            <w:tcW w:w="984" w:type="dxa"/>
          </w:tcPr>
          <w:p w14:paraId="79432B79"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2.0</w:t>
            </w:r>
          </w:p>
        </w:tc>
        <w:tc>
          <w:tcPr>
            <w:tcW w:w="1463" w:type="dxa"/>
          </w:tcPr>
          <w:p w14:paraId="20E7BFF6"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19/09/25</w:t>
            </w:r>
          </w:p>
        </w:tc>
        <w:tc>
          <w:tcPr>
            <w:tcW w:w="1418" w:type="dxa"/>
          </w:tcPr>
          <w:p w14:paraId="75BC15B5"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3.1.2 Primary and secondary endpoints</w:t>
            </w:r>
          </w:p>
        </w:tc>
        <w:tc>
          <w:tcPr>
            <w:tcW w:w="5310" w:type="dxa"/>
          </w:tcPr>
          <w:p w14:paraId="4B99BCAF"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 xml:space="preserve">More specificity added to the primary and secondary endpoints. Protocol now indicates primary endpoint is the change in the total substance use involvement score on the ASSIST from baseline to 12-weeks. </w:t>
            </w:r>
          </w:p>
          <w:p w14:paraId="63E87032"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Specified that one of the secondary endpoints is the change in specific substance use scores (e.g., alcohol use, cannabis use) on the ASSIST from baseline to 12- and 24-weeks follow-up.</w:t>
            </w:r>
          </w:p>
        </w:tc>
      </w:tr>
      <w:tr w:rsidR="00B732F2" w14:paraId="77449C31" w14:textId="77777777" w:rsidTr="00B647AA">
        <w:tc>
          <w:tcPr>
            <w:tcW w:w="984" w:type="dxa"/>
          </w:tcPr>
          <w:p w14:paraId="156B609D"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2.0</w:t>
            </w:r>
          </w:p>
        </w:tc>
        <w:tc>
          <w:tcPr>
            <w:tcW w:w="1463" w:type="dxa"/>
          </w:tcPr>
          <w:p w14:paraId="53661617"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19/09/25</w:t>
            </w:r>
          </w:p>
        </w:tc>
        <w:tc>
          <w:tcPr>
            <w:tcW w:w="1418" w:type="dxa"/>
          </w:tcPr>
          <w:p w14:paraId="0E6A4CE5"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6.1.2 Determination of sample size</w:t>
            </w:r>
          </w:p>
        </w:tc>
        <w:tc>
          <w:tcPr>
            <w:tcW w:w="5310" w:type="dxa"/>
          </w:tcPr>
          <w:p w14:paraId="1F14AD2F"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Updated assumptions for the sample size calculation to align with the specification that the primary endpoint is the total substance use involvement score on the ASSIST. Total planned sample size remains the same.</w:t>
            </w:r>
          </w:p>
        </w:tc>
      </w:tr>
      <w:tr w:rsidR="00B732F2" w:rsidRPr="00AD1308" w14:paraId="73EFEE97" w14:textId="77777777" w:rsidTr="00FF5759">
        <w:tc>
          <w:tcPr>
            <w:tcW w:w="984" w:type="dxa"/>
          </w:tcPr>
          <w:p w14:paraId="1E2905E1"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2.0</w:t>
            </w:r>
          </w:p>
        </w:tc>
        <w:tc>
          <w:tcPr>
            <w:tcW w:w="1463" w:type="dxa"/>
          </w:tcPr>
          <w:p w14:paraId="26D348CE"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19/09/25</w:t>
            </w:r>
          </w:p>
        </w:tc>
        <w:tc>
          <w:tcPr>
            <w:tcW w:w="1418" w:type="dxa"/>
          </w:tcPr>
          <w:p w14:paraId="129CC5EE"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6.1.3 Planned analysis</w:t>
            </w:r>
          </w:p>
        </w:tc>
        <w:tc>
          <w:tcPr>
            <w:tcW w:w="5310" w:type="dxa"/>
          </w:tcPr>
          <w:p w14:paraId="2361ECB1"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Clarified that the primary outcome is the between group mean difference of the change in the total substance use involvement score on the ASSIST for the entire sample.</w:t>
            </w:r>
          </w:p>
          <w:p w14:paraId="7EC202BC"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Clarified planned sensitivity analyses to examine between country differences in the primary outcome.</w:t>
            </w:r>
          </w:p>
        </w:tc>
      </w:tr>
      <w:tr w:rsidR="00B732F2" w:rsidRPr="00AD1308" w14:paraId="425D897C" w14:textId="77777777" w:rsidTr="00FF5759">
        <w:tc>
          <w:tcPr>
            <w:tcW w:w="984" w:type="dxa"/>
            <w:tcBorders>
              <w:bottom w:val="single" w:sz="4" w:space="0" w:color="auto"/>
            </w:tcBorders>
          </w:tcPr>
          <w:p w14:paraId="56A10047"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2.0</w:t>
            </w:r>
          </w:p>
        </w:tc>
        <w:tc>
          <w:tcPr>
            <w:tcW w:w="1463" w:type="dxa"/>
            <w:tcBorders>
              <w:bottom w:val="single" w:sz="4" w:space="0" w:color="auto"/>
            </w:tcBorders>
          </w:tcPr>
          <w:p w14:paraId="79949382"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19/09/25</w:t>
            </w:r>
          </w:p>
        </w:tc>
        <w:tc>
          <w:tcPr>
            <w:tcW w:w="1418" w:type="dxa"/>
            <w:tcBorders>
              <w:bottom w:val="single" w:sz="4" w:space="0" w:color="auto"/>
            </w:tcBorders>
          </w:tcPr>
          <w:p w14:paraId="53EBDBC2"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6.1.5 Handling of missing data and drop-outs</w:t>
            </w:r>
          </w:p>
        </w:tc>
        <w:tc>
          <w:tcPr>
            <w:tcW w:w="5310" w:type="dxa"/>
            <w:tcBorders>
              <w:bottom w:val="single" w:sz="4" w:space="0" w:color="auto"/>
            </w:tcBorders>
          </w:tcPr>
          <w:p w14:paraId="1A5A934C"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 xml:space="preserve">Clarified expectations that no full clusters are expected to drop out. </w:t>
            </w:r>
          </w:p>
          <w:p w14:paraId="1FD17AB7" w14:textId="77777777" w:rsidR="00B732F2" w:rsidRPr="00B732F2" w:rsidRDefault="00B732F2" w:rsidP="00B647AA">
            <w:pPr>
              <w:widowControl w:val="0"/>
              <w:spacing w:before="80" w:after="40" w:line="276" w:lineRule="auto"/>
              <w:rPr>
                <w:rFonts w:eastAsia="Times New Roman"/>
                <w:sz w:val="24"/>
                <w:szCs w:val="24"/>
                <w:lang w:val="en-GB" w:eastAsia="ja-JP"/>
              </w:rPr>
            </w:pPr>
            <w:r w:rsidRPr="00B732F2">
              <w:rPr>
                <w:rFonts w:eastAsia="Times New Roman"/>
                <w:sz w:val="24"/>
                <w:szCs w:val="24"/>
                <w:lang w:val="en-GB" w:eastAsia="ja-JP"/>
              </w:rPr>
              <w:t>Clarified the conditions under which planned sensitivity analyses to impute missing data on the primary endpoint would be conducted.</w:t>
            </w:r>
          </w:p>
        </w:tc>
      </w:tr>
    </w:tbl>
    <w:p w14:paraId="50950F6A" w14:textId="77777777" w:rsidR="00B732F2" w:rsidRDefault="00B732F2"/>
    <w:sectPr w:rsidR="00B73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2F2"/>
    <w:rsid w:val="000064DE"/>
    <w:rsid w:val="00520B00"/>
    <w:rsid w:val="00B732F2"/>
    <w:rsid w:val="00FF5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65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2F2"/>
    <w:pPr>
      <w:spacing w:after="0" w:line="240" w:lineRule="auto"/>
    </w:pPr>
    <w:rPr>
      <w:rFonts w:ascii="Times New Roman" w:hAnsi="Times New Roman" w:cs="Times New Roman"/>
    </w:rPr>
  </w:style>
  <w:style w:type="paragraph" w:styleId="Heading1">
    <w:name w:val="heading 1"/>
    <w:basedOn w:val="Normal"/>
    <w:next w:val="Normal"/>
    <w:link w:val="Heading1Char"/>
    <w:uiPriority w:val="9"/>
    <w:qFormat/>
    <w:rsid w:val="00B732F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32F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32F2"/>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32F2"/>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732F2"/>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732F2"/>
    <w:pPr>
      <w:keepNext/>
      <w:keepLines/>
      <w:spacing w:before="4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32F2"/>
    <w:pPr>
      <w:keepNext/>
      <w:keepLines/>
      <w:spacing w:before="4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32F2"/>
    <w:pPr>
      <w:keepNext/>
      <w:keepLines/>
      <w:spacing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32F2"/>
    <w:pPr>
      <w:keepNext/>
      <w:keepLines/>
      <w:spacing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2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32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2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2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2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2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2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2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2F2"/>
    <w:rPr>
      <w:rFonts w:eastAsiaTheme="majorEastAsia" w:cstheme="majorBidi"/>
      <w:color w:val="272727" w:themeColor="text1" w:themeTint="D8"/>
    </w:rPr>
  </w:style>
  <w:style w:type="paragraph" w:styleId="Title">
    <w:name w:val="Title"/>
    <w:basedOn w:val="Normal"/>
    <w:next w:val="Normal"/>
    <w:link w:val="TitleChar"/>
    <w:uiPriority w:val="10"/>
    <w:qFormat/>
    <w:rsid w:val="00B732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2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2F2"/>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2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2F2"/>
    <w:pPr>
      <w:spacing w:before="160" w:after="160" w:line="278" w:lineRule="auto"/>
      <w:jc w:val="center"/>
    </w:pPr>
    <w:rPr>
      <w:rFonts w:ascii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B732F2"/>
    <w:rPr>
      <w:i/>
      <w:iCs/>
      <w:color w:val="404040" w:themeColor="text1" w:themeTint="BF"/>
    </w:rPr>
  </w:style>
  <w:style w:type="paragraph" w:styleId="ListParagraph">
    <w:name w:val="List Paragraph"/>
    <w:basedOn w:val="Normal"/>
    <w:uiPriority w:val="34"/>
    <w:qFormat/>
    <w:rsid w:val="00B732F2"/>
    <w:pPr>
      <w:spacing w:after="160" w:line="278" w:lineRule="auto"/>
      <w:ind w:left="720"/>
      <w:contextualSpacing/>
    </w:pPr>
    <w:rPr>
      <w:rFonts w:asciiTheme="minorHAnsi" w:hAnsiTheme="minorHAnsi" w:cstheme="minorBidi"/>
    </w:rPr>
  </w:style>
  <w:style w:type="character" w:styleId="IntenseEmphasis">
    <w:name w:val="Intense Emphasis"/>
    <w:basedOn w:val="DefaultParagraphFont"/>
    <w:uiPriority w:val="21"/>
    <w:qFormat/>
    <w:rsid w:val="00B732F2"/>
    <w:rPr>
      <w:i/>
      <w:iCs/>
      <w:color w:val="0F4761" w:themeColor="accent1" w:themeShade="BF"/>
    </w:rPr>
  </w:style>
  <w:style w:type="paragraph" w:styleId="IntenseQuote">
    <w:name w:val="Intense Quote"/>
    <w:basedOn w:val="Normal"/>
    <w:next w:val="Normal"/>
    <w:link w:val="IntenseQuoteChar"/>
    <w:uiPriority w:val="30"/>
    <w:qFormat/>
    <w:rsid w:val="00B732F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B732F2"/>
    <w:rPr>
      <w:i/>
      <w:iCs/>
      <w:color w:val="0F4761" w:themeColor="accent1" w:themeShade="BF"/>
    </w:rPr>
  </w:style>
  <w:style w:type="character" w:styleId="IntenseReference">
    <w:name w:val="Intense Reference"/>
    <w:basedOn w:val="DefaultParagraphFont"/>
    <w:uiPriority w:val="32"/>
    <w:qFormat/>
    <w:rsid w:val="00B732F2"/>
    <w:rPr>
      <w:b/>
      <w:bCs/>
      <w:smallCaps/>
      <w:color w:val="0F4761" w:themeColor="accent1" w:themeShade="BF"/>
      <w:spacing w:val="5"/>
    </w:rPr>
  </w:style>
  <w:style w:type="table" w:styleId="TableGrid">
    <w:name w:val="Table Grid"/>
    <w:basedOn w:val="TableNormal"/>
    <w:rsid w:val="00B732F2"/>
    <w:pPr>
      <w:spacing w:after="0" w:line="240" w:lineRule="auto"/>
    </w:pPr>
    <w:rPr>
      <w:rFonts w:ascii="Calibri" w:hAnsi="Calibri" w:cs="Times New Roman"/>
      <w:sz w:val="22"/>
      <w:szCs w:val="22"/>
      <w:lang w:val="en-ZA"/>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2F2"/>
    <w:pPr>
      <w:spacing w:after="0" w:line="240" w:lineRule="auto"/>
    </w:pPr>
    <w:rPr>
      <w:rFonts w:ascii="Times New Roman" w:hAnsi="Times New Roman" w:cs="Times New Roman"/>
    </w:rPr>
  </w:style>
  <w:style w:type="paragraph" w:styleId="Heading1">
    <w:name w:val="heading 1"/>
    <w:basedOn w:val="Normal"/>
    <w:next w:val="Normal"/>
    <w:link w:val="Heading1Char"/>
    <w:uiPriority w:val="9"/>
    <w:qFormat/>
    <w:rsid w:val="00B732F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32F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32F2"/>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32F2"/>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732F2"/>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732F2"/>
    <w:pPr>
      <w:keepNext/>
      <w:keepLines/>
      <w:spacing w:before="4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32F2"/>
    <w:pPr>
      <w:keepNext/>
      <w:keepLines/>
      <w:spacing w:before="4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32F2"/>
    <w:pPr>
      <w:keepNext/>
      <w:keepLines/>
      <w:spacing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32F2"/>
    <w:pPr>
      <w:keepNext/>
      <w:keepLines/>
      <w:spacing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2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32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2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2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2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2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2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2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2F2"/>
    <w:rPr>
      <w:rFonts w:eastAsiaTheme="majorEastAsia" w:cstheme="majorBidi"/>
      <w:color w:val="272727" w:themeColor="text1" w:themeTint="D8"/>
    </w:rPr>
  </w:style>
  <w:style w:type="paragraph" w:styleId="Title">
    <w:name w:val="Title"/>
    <w:basedOn w:val="Normal"/>
    <w:next w:val="Normal"/>
    <w:link w:val="TitleChar"/>
    <w:uiPriority w:val="10"/>
    <w:qFormat/>
    <w:rsid w:val="00B732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2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2F2"/>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2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2F2"/>
    <w:pPr>
      <w:spacing w:before="160" w:after="160" w:line="278" w:lineRule="auto"/>
      <w:jc w:val="center"/>
    </w:pPr>
    <w:rPr>
      <w:rFonts w:ascii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B732F2"/>
    <w:rPr>
      <w:i/>
      <w:iCs/>
      <w:color w:val="404040" w:themeColor="text1" w:themeTint="BF"/>
    </w:rPr>
  </w:style>
  <w:style w:type="paragraph" w:styleId="ListParagraph">
    <w:name w:val="List Paragraph"/>
    <w:basedOn w:val="Normal"/>
    <w:uiPriority w:val="34"/>
    <w:qFormat/>
    <w:rsid w:val="00B732F2"/>
    <w:pPr>
      <w:spacing w:after="160" w:line="278" w:lineRule="auto"/>
      <w:ind w:left="720"/>
      <w:contextualSpacing/>
    </w:pPr>
    <w:rPr>
      <w:rFonts w:asciiTheme="minorHAnsi" w:hAnsiTheme="minorHAnsi" w:cstheme="minorBidi"/>
    </w:rPr>
  </w:style>
  <w:style w:type="character" w:styleId="IntenseEmphasis">
    <w:name w:val="Intense Emphasis"/>
    <w:basedOn w:val="DefaultParagraphFont"/>
    <w:uiPriority w:val="21"/>
    <w:qFormat/>
    <w:rsid w:val="00B732F2"/>
    <w:rPr>
      <w:i/>
      <w:iCs/>
      <w:color w:val="0F4761" w:themeColor="accent1" w:themeShade="BF"/>
    </w:rPr>
  </w:style>
  <w:style w:type="paragraph" w:styleId="IntenseQuote">
    <w:name w:val="Intense Quote"/>
    <w:basedOn w:val="Normal"/>
    <w:next w:val="Normal"/>
    <w:link w:val="IntenseQuoteChar"/>
    <w:uiPriority w:val="30"/>
    <w:qFormat/>
    <w:rsid w:val="00B732F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B732F2"/>
    <w:rPr>
      <w:i/>
      <w:iCs/>
      <w:color w:val="0F4761" w:themeColor="accent1" w:themeShade="BF"/>
    </w:rPr>
  </w:style>
  <w:style w:type="character" w:styleId="IntenseReference">
    <w:name w:val="Intense Reference"/>
    <w:basedOn w:val="DefaultParagraphFont"/>
    <w:uiPriority w:val="32"/>
    <w:qFormat/>
    <w:rsid w:val="00B732F2"/>
    <w:rPr>
      <w:b/>
      <w:bCs/>
      <w:smallCaps/>
      <w:color w:val="0F4761" w:themeColor="accent1" w:themeShade="BF"/>
      <w:spacing w:val="5"/>
    </w:rPr>
  </w:style>
  <w:style w:type="table" w:styleId="TableGrid">
    <w:name w:val="Table Grid"/>
    <w:basedOn w:val="TableNormal"/>
    <w:rsid w:val="00B732F2"/>
    <w:pPr>
      <w:spacing w:after="0" w:line="240" w:lineRule="auto"/>
    </w:pPr>
    <w:rPr>
      <w:rFonts w:ascii="Calibri" w:hAnsi="Calibri" w:cs="Times New Roman"/>
      <w:sz w:val="22"/>
      <w:szCs w:val="22"/>
      <w:lang w:val="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Carney | SAMRC</dc:creator>
  <cp:lastModifiedBy>Editorial Integra</cp:lastModifiedBy>
  <cp:revision>2</cp:revision>
  <dcterms:created xsi:type="dcterms:W3CDTF">2026-08-24T05:59:00Z</dcterms:created>
  <dcterms:modified xsi:type="dcterms:W3CDTF">2026-08-24T05:59:00Z</dcterms:modified>
</cp:coreProperties>
</file>