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91" w:rsidRPr="003B4935" w:rsidRDefault="0026584A">
      <w:pPr>
        <w:rPr>
          <w:rFonts w:ascii="Times" w:hAnsi="Times"/>
          <w:b/>
        </w:rPr>
      </w:pPr>
      <w:r w:rsidRPr="003B4935">
        <w:rPr>
          <w:rFonts w:ascii="Times" w:hAnsi="Times"/>
          <w:b/>
        </w:rPr>
        <w:t>Supplemental Digital Content 2</w:t>
      </w:r>
    </w:p>
    <w:p w:rsidR="00D0483D" w:rsidRPr="001A4787" w:rsidRDefault="00D0483D">
      <w:pPr>
        <w:rPr>
          <w:rFonts w:ascii="Times" w:hAnsi="Times"/>
          <w:b/>
          <w:sz w:val="20"/>
          <w:szCs w:val="20"/>
        </w:rPr>
      </w:pPr>
    </w:p>
    <w:p w:rsidR="00D0483D" w:rsidRPr="003B4935" w:rsidRDefault="0026584A">
      <w:pPr>
        <w:rPr>
          <w:rFonts w:ascii="Times" w:hAnsi="Times"/>
          <w:i/>
        </w:rPr>
      </w:pPr>
      <w:r w:rsidRPr="003B4935">
        <w:rPr>
          <w:rFonts w:ascii="Times" w:hAnsi="Times"/>
          <w:i/>
        </w:rPr>
        <w:t xml:space="preserve">Bernabeu-Wittel 2016 </w:t>
      </w:r>
    </w:p>
    <w:p w:rsidR="00D0483D" w:rsidRDefault="00D0483D">
      <w:pPr>
        <w:rPr>
          <w:rFonts w:ascii="Times" w:hAnsi="Times"/>
          <w:b/>
          <w:sz w:val="22"/>
          <w:szCs w:val="22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6463"/>
      </w:tblGrid>
      <w:tr w:rsidR="00D0483D" w:rsidRPr="00DA6C2E" w:rsidTr="00D04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120" w:after="120" w:line="276" w:lineRule="auto"/>
              <w:rPr>
                <w:rFonts w:ascii="Times" w:hAnsi="Times" w:cs="Arial"/>
                <w:bCs w:val="0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bCs w:val="0"/>
                <w:color w:val="auto"/>
                <w:sz w:val="20"/>
                <w:szCs w:val="20"/>
                <w:lang w:val="en-GB"/>
              </w:rPr>
              <w:t>Bias</w:t>
            </w:r>
          </w:p>
        </w:tc>
        <w:tc>
          <w:tcPr>
            <w:tcW w:w="1984" w:type="dxa"/>
          </w:tcPr>
          <w:p w:rsidR="00D0483D" w:rsidRPr="003B4935" w:rsidRDefault="00D0483D" w:rsidP="001A4787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Authors' judgement</w:t>
            </w:r>
          </w:p>
        </w:tc>
        <w:tc>
          <w:tcPr>
            <w:tcW w:w="6463" w:type="dxa"/>
          </w:tcPr>
          <w:p w:rsidR="00D0483D" w:rsidRPr="003B4935" w:rsidRDefault="00D0483D" w:rsidP="001A4787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Support for judgement</w:t>
            </w:r>
          </w:p>
        </w:tc>
      </w:tr>
      <w:tr w:rsidR="00D0483D" w:rsidRPr="00DA6C2E" w:rsidTr="00D04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Random sequence generation </w:t>
            </w:r>
          </w:p>
          <w:p w:rsidR="00D0483D" w:rsidRPr="003B4935" w:rsidRDefault="00D0483D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D0483D" w:rsidRPr="003B4935" w:rsidRDefault="00D0483D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26584A" w:rsidRPr="003B4935" w:rsidRDefault="0026584A" w:rsidP="0026584A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Randomisation stratified by centre and performed by unequal blocks technique.</w:t>
            </w:r>
          </w:p>
          <w:p w:rsidR="00D0483D" w:rsidRPr="003B4935" w:rsidRDefault="00D0483D" w:rsidP="001A4787">
            <w:pPr>
              <w:pStyle w:val="NormalWeb"/>
              <w:spacing w:before="60" w:beforeAutospacing="0" w:after="6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D0483D" w:rsidRPr="00DA6C2E" w:rsidTr="00D04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Allocation concealment </w:t>
            </w:r>
          </w:p>
          <w:p w:rsidR="00D0483D" w:rsidRPr="003B4935" w:rsidRDefault="00D0483D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D0483D" w:rsidRPr="003B4935" w:rsidRDefault="0026584A" w:rsidP="001A47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Unclear</w:t>
            </w:r>
            <w:r w:rsidR="00D0483D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D0483D" w:rsidRPr="003B4935" w:rsidRDefault="0026584A" w:rsidP="001A4787">
            <w:pPr>
              <w:pStyle w:val="NormalWeb"/>
              <w:spacing w:before="60" w:beforeAutospacing="0" w:after="6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Details not provided</w:t>
            </w:r>
          </w:p>
        </w:tc>
      </w:tr>
      <w:tr w:rsidR="00D0483D" w:rsidRPr="00DA6C2E" w:rsidTr="00D04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Blinding of participants and personnel (performance bias)</w:t>
            </w:r>
          </w:p>
        </w:tc>
        <w:tc>
          <w:tcPr>
            <w:tcW w:w="1984" w:type="dxa"/>
          </w:tcPr>
          <w:p w:rsidR="00D0483D" w:rsidRPr="003B4935" w:rsidRDefault="00D0483D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26584A" w:rsidRPr="003B4935" w:rsidRDefault="0026584A" w:rsidP="0026584A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Opaque infusion sleeves used to blind clinicians and participants.</w:t>
            </w:r>
          </w:p>
          <w:p w:rsidR="00D0483D" w:rsidRPr="003B4935" w:rsidRDefault="00D0483D" w:rsidP="0026584A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D0483D" w:rsidRPr="00DA6C2E" w:rsidTr="00D04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Blinding of outcome assessment </w:t>
            </w:r>
          </w:p>
          <w:p w:rsidR="00D0483D" w:rsidRPr="003B4935" w:rsidRDefault="00D0483D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detection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D0483D" w:rsidRPr="003B4935" w:rsidRDefault="0026584A" w:rsidP="001A47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26584A" w:rsidRPr="003B4935" w:rsidRDefault="0026584A" w:rsidP="0026584A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Not reported but </w:t>
            </w:r>
            <w:r w:rsidR="003B4935"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primary outcome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 is objective.</w:t>
            </w:r>
          </w:p>
          <w:p w:rsidR="00D0483D" w:rsidRPr="003B4935" w:rsidRDefault="00D0483D" w:rsidP="0026584A">
            <w:pPr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D0483D" w:rsidRPr="00DA6C2E" w:rsidTr="00D04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Incomplete outcome data (attrition bias)</w:t>
            </w:r>
          </w:p>
        </w:tc>
        <w:tc>
          <w:tcPr>
            <w:tcW w:w="1984" w:type="dxa"/>
          </w:tcPr>
          <w:p w:rsidR="00D0483D" w:rsidRPr="003B4935" w:rsidRDefault="003B4935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Reasons for missing data reported and balanced across both groups.</w:t>
            </w:r>
          </w:p>
          <w:p w:rsidR="00D0483D" w:rsidRPr="003B4935" w:rsidRDefault="00D0483D" w:rsidP="0026584A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D0483D" w:rsidRPr="00DA6C2E" w:rsidTr="00D04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Selective reporting (reporting bias)</w:t>
            </w:r>
          </w:p>
        </w:tc>
        <w:tc>
          <w:tcPr>
            <w:tcW w:w="1984" w:type="dxa"/>
          </w:tcPr>
          <w:p w:rsidR="00D0483D" w:rsidRPr="003B4935" w:rsidRDefault="003B4935" w:rsidP="001A47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D0483D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Outcomes reported in manuscript match those specified in pre-published protocol.</w:t>
            </w:r>
          </w:p>
        </w:tc>
      </w:tr>
      <w:tr w:rsidR="00D0483D" w:rsidRPr="00DA6C2E" w:rsidTr="00D04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483D" w:rsidRPr="003B4935" w:rsidRDefault="00D0483D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Other bias</w:t>
            </w:r>
          </w:p>
        </w:tc>
        <w:tc>
          <w:tcPr>
            <w:tcW w:w="1984" w:type="dxa"/>
          </w:tcPr>
          <w:p w:rsidR="00D0483D" w:rsidRPr="003B4935" w:rsidRDefault="00D0483D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D0483D" w:rsidRPr="003B4935" w:rsidRDefault="001A4787" w:rsidP="001A4787">
            <w:pPr>
              <w:pStyle w:val="NormalWeb"/>
              <w:spacing w:before="60" w:beforeAutospacing="0" w:after="6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No financial conflict of interest identified.</w:t>
            </w:r>
          </w:p>
        </w:tc>
      </w:tr>
    </w:tbl>
    <w:p w:rsidR="00D0483D" w:rsidRDefault="00D0483D">
      <w:pPr>
        <w:rPr>
          <w:rFonts w:ascii="Times" w:hAnsi="Times"/>
          <w:b/>
          <w:sz w:val="22"/>
          <w:szCs w:val="22"/>
        </w:rPr>
      </w:pPr>
    </w:p>
    <w:p w:rsidR="001A4787" w:rsidRPr="003B4935" w:rsidRDefault="003B4935">
      <w:pPr>
        <w:rPr>
          <w:rFonts w:ascii="Times" w:hAnsi="Times"/>
          <w:i/>
        </w:rPr>
      </w:pPr>
      <w:r w:rsidRPr="003B4935">
        <w:rPr>
          <w:rFonts w:ascii="Times" w:hAnsi="Times"/>
          <w:i/>
        </w:rPr>
        <w:t>Mudge 2012</w:t>
      </w:r>
    </w:p>
    <w:p w:rsidR="003B4935" w:rsidRDefault="003B4935">
      <w:pPr>
        <w:rPr>
          <w:rFonts w:ascii="Times" w:hAnsi="Times"/>
          <w:b/>
          <w:sz w:val="22"/>
          <w:szCs w:val="22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6463"/>
      </w:tblGrid>
      <w:tr w:rsidR="001A4787" w:rsidRPr="00DA6C2E" w:rsidTr="001A4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1A4787" w:rsidRDefault="001A4787" w:rsidP="001A4787">
            <w:pPr>
              <w:spacing w:before="120" w:after="120" w:line="276" w:lineRule="auto"/>
              <w:rPr>
                <w:rFonts w:ascii="Times" w:hAnsi="Times" w:cs="Arial"/>
                <w:bCs w:val="0"/>
                <w:color w:val="auto"/>
                <w:sz w:val="20"/>
                <w:szCs w:val="20"/>
                <w:lang w:val="en-GB"/>
              </w:rPr>
            </w:pPr>
            <w:r w:rsidRPr="001A4787">
              <w:rPr>
                <w:rFonts w:ascii="Times" w:hAnsi="Times" w:cs="Arial"/>
                <w:bCs w:val="0"/>
                <w:color w:val="auto"/>
                <w:sz w:val="20"/>
                <w:szCs w:val="20"/>
                <w:lang w:val="en-GB"/>
              </w:rPr>
              <w:t>Bias</w:t>
            </w:r>
          </w:p>
        </w:tc>
        <w:tc>
          <w:tcPr>
            <w:tcW w:w="1984" w:type="dxa"/>
          </w:tcPr>
          <w:p w:rsidR="001A4787" w:rsidRPr="001A4787" w:rsidRDefault="001A4787" w:rsidP="001A4787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A4787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Authors' judgement</w:t>
            </w:r>
          </w:p>
        </w:tc>
        <w:tc>
          <w:tcPr>
            <w:tcW w:w="6463" w:type="dxa"/>
          </w:tcPr>
          <w:p w:rsidR="001A4787" w:rsidRPr="001A4787" w:rsidRDefault="001A4787" w:rsidP="001A4787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A4787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Support for judgement</w:t>
            </w:r>
          </w:p>
        </w:tc>
      </w:tr>
      <w:tr w:rsidR="001A4787" w:rsidRPr="00DA6C2E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Random sequence generation </w:t>
            </w:r>
          </w:p>
          <w:p w:rsidR="001A4787" w:rsidRPr="003B4935" w:rsidRDefault="001A4787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1A4787" w:rsidRPr="003B4935" w:rsidRDefault="001A4787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Computer generated sequence with blocks of 10 to ensure equal allocation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.</w:t>
            </w:r>
          </w:p>
          <w:p w:rsidR="001A4787" w:rsidRPr="003B4935" w:rsidRDefault="001A4787" w:rsidP="003B4935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1A4787" w:rsidRPr="00DA6C2E" w:rsidTr="001A4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Allocation concealment </w:t>
            </w:r>
          </w:p>
          <w:p w:rsidR="001A4787" w:rsidRPr="003B4935" w:rsidRDefault="001A4787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1A4787" w:rsidRPr="003B4935" w:rsidRDefault="003B4935" w:rsidP="001A47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High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Sequentially numbered opaque sealed envelopes.</w:t>
            </w:r>
            <w:r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 </w:t>
            </w:r>
            <w:bookmarkStart w:id="0" w:name="_GoBack"/>
            <w:bookmarkEnd w:id="0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However, envelopes were opened by a trial investigator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.</w:t>
            </w:r>
          </w:p>
          <w:p w:rsidR="001A4787" w:rsidRPr="003B4935" w:rsidRDefault="001A4787" w:rsidP="001A4787">
            <w:pPr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1A4787" w:rsidRPr="00DA6C2E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Blinding of participants and personnel (performance bias)</w:t>
            </w:r>
          </w:p>
        </w:tc>
        <w:tc>
          <w:tcPr>
            <w:tcW w:w="1984" w:type="dxa"/>
          </w:tcPr>
          <w:p w:rsidR="001A4787" w:rsidRPr="003B4935" w:rsidRDefault="003B4935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Unclear 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>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Open label trial. IV infusion is challenging to blind. However primary outcome measure is objective and unlikely to be influenced by blindin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g.</w:t>
            </w:r>
          </w:p>
          <w:p w:rsidR="001A4787" w:rsidRPr="003B4935" w:rsidRDefault="001A4787" w:rsidP="003B4935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1A4787" w:rsidRPr="00DA6C2E" w:rsidTr="001A4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Blinding of outcome assessment </w:t>
            </w:r>
          </w:p>
          <w:p w:rsidR="001A4787" w:rsidRPr="003B4935" w:rsidRDefault="001A4787" w:rsidP="001A4787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detection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1A4787" w:rsidRPr="003B4935" w:rsidRDefault="003B4935" w:rsidP="001A47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Unclear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No details provided</w:t>
            </w:r>
          </w:p>
          <w:p w:rsidR="001A4787" w:rsidRPr="003B4935" w:rsidRDefault="001A4787" w:rsidP="003B4935">
            <w:pPr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1A4787" w:rsidRPr="00DA6C2E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Incomplete outcome data (attrition bias)</w:t>
            </w:r>
          </w:p>
        </w:tc>
        <w:tc>
          <w:tcPr>
            <w:tcW w:w="1984" w:type="dxa"/>
          </w:tcPr>
          <w:p w:rsidR="001A4787" w:rsidRPr="003B4935" w:rsidRDefault="001A4787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Reasons for missing data reported and balanced across both groups.</w:t>
            </w:r>
          </w:p>
          <w:p w:rsidR="001A4787" w:rsidRPr="003B4935" w:rsidRDefault="001A4787" w:rsidP="001A4787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1A4787" w:rsidRPr="00DA6C2E" w:rsidTr="003B493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Selective reporting (reporting bias)</w:t>
            </w:r>
          </w:p>
        </w:tc>
        <w:tc>
          <w:tcPr>
            <w:tcW w:w="1984" w:type="dxa"/>
          </w:tcPr>
          <w:p w:rsidR="001A4787" w:rsidRPr="003B4935" w:rsidRDefault="001A4787" w:rsidP="001A47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Outcomes reported in manuscript match those specified in pre-published protocol.</w:t>
            </w:r>
          </w:p>
          <w:p w:rsidR="001A4787" w:rsidRPr="003B4935" w:rsidRDefault="001A4787" w:rsidP="001A4787">
            <w:pPr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1A4787" w:rsidRPr="00DA6C2E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1A4787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Other bias</w:t>
            </w:r>
          </w:p>
        </w:tc>
        <w:tc>
          <w:tcPr>
            <w:tcW w:w="1984" w:type="dxa"/>
          </w:tcPr>
          <w:p w:rsidR="001A4787" w:rsidRPr="003B4935" w:rsidRDefault="003B4935" w:rsidP="001A47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Unclear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1A4787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No other sources of bias identified.</w:t>
            </w:r>
          </w:p>
        </w:tc>
      </w:tr>
    </w:tbl>
    <w:p w:rsidR="001A4787" w:rsidRDefault="001A4787">
      <w:pPr>
        <w:rPr>
          <w:rFonts w:ascii="Times" w:hAnsi="Times"/>
          <w:b/>
          <w:sz w:val="22"/>
          <w:szCs w:val="22"/>
        </w:rPr>
      </w:pPr>
    </w:p>
    <w:p w:rsidR="001A4787" w:rsidRDefault="001A4787">
      <w:pPr>
        <w:rPr>
          <w:rFonts w:ascii="Times" w:hAnsi="Times"/>
          <w:b/>
          <w:sz w:val="22"/>
          <w:szCs w:val="22"/>
        </w:rPr>
      </w:pPr>
    </w:p>
    <w:p w:rsidR="001A4787" w:rsidRDefault="001A4787">
      <w:pPr>
        <w:rPr>
          <w:rFonts w:ascii="Times" w:hAnsi="Times"/>
          <w:b/>
          <w:sz w:val="22"/>
          <w:szCs w:val="22"/>
        </w:rPr>
      </w:pPr>
    </w:p>
    <w:p w:rsidR="001A4787" w:rsidRDefault="001A4787">
      <w:pPr>
        <w:rPr>
          <w:rFonts w:ascii="Times" w:hAnsi="Times"/>
          <w:b/>
          <w:sz w:val="22"/>
          <w:szCs w:val="22"/>
        </w:rPr>
      </w:pPr>
    </w:p>
    <w:p w:rsidR="001A4787" w:rsidRDefault="001A4787">
      <w:pPr>
        <w:rPr>
          <w:rFonts w:ascii="Times" w:hAnsi="Times"/>
          <w:b/>
          <w:sz w:val="22"/>
          <w:szCs w:val="22"/>
        </w:rPr>
      </w:pPr>
    </w:p>
    <w:p w:rsidR="001A4787" w:rsidRPr="003B4935" w:rsidRDefault="003B4935">
      <w:pPr>
        <w:rPr>
          <w:rFonts w:ascii="Times" w:hAnsi="Times"/>
          <w:i/>
        </w:rPr>
      </w:pPr>
      <w:r>
        <w:rPr>
          <w:rFonts w:ascii="Times" w:hAnsi="Times"/>
          <w:i/>
        </w:rPr>
        <w:lastRenderedPageBreak/>
        <w:t>Serrano-Trenas 2011</w:t>
      </w:r>
    </w:p>
    <w:p w:rsidR="003B4935" w:rsidRDefault="003B4935">
      <w:pPr>
        <w:rPr>
          <w:rFonts w:ascii="Times" w:hAnsi="Times"/>
          <w:b/>
          <w:sz w:val="20"/>
          <w:szCs w:val="20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6463"/>
      </w:tblGrid>
      <w:tr w:rsidR="001A4787" w:rsidRPr="001A4787" w:rsidTr="001A4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1A4787" w:rsidRDefault="001A4787" w:rsidP="001A4787">
            <w:pPr>
              <w:spacing w:before="120" w:after="120" w:line="276" w:lineRule="auto"/>
              <w:rPr>
                <w:rFonts w:ascii="Times" w:hAnsi="Times" w:cs="Arial"/>
                <w:bCs w:val="0"/>
                <w:color w:val="auto"/>
                <w:sz w:val="20"/>
                <w:szCs w:val="20"/>
                <w:lang w:val="en-GB"/>
              </w:rPr>
            </w:pPr>
            <w:r w:rsidRPr="001A4787">
              <w:rPr>
                <w:rFonts w:ascii="Times" w:hAnsi="Times" w:cs="Arial"/>
                <w:bCs w:val="0"/>
                <w:color w:val="auto"/>
                <w:sz w:val="20"/>
                <w:szCs w:val="20"/>
                <w:lang w:val="en-GB"/>
              </w:rPr>
              <w:t>Bias</w:t>
            </w:r>
          </w:p>
        </w:tc>
        <w:tc>
          <w:tcPr>
            <w:tcW w:w="1984" w:type="dxa"/>
          </w:tcPr>
          <w:p w:rsidR="001A4787" w:rsidRPr="001A4787" w:rsidRDefault="001A4787" w:rsidP="001A4787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A4787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Authors' judgement</w:t>
            </w:r>
          </w:p>
        </w:tc>
        <w:tc>
          <w:tcPr>
            <w:tcW w:w="6463" w:type="dxa"/>
          </w:tcPr>
          <w:p w:rsidR="001A4787" w:rsidRPr="001A4787" w:rsidRDefault="001A4787" w:rsidP="001A4787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A4787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Support for judgement</w:t>
            </w:r>
          </w:p>
        </w:tc>
      </w:tr>
      <w:tr w:rsidR="001A4787" w:rsidRPr="001A4787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Random sequence generation </w:t>
            </w:r>
          </w:p>
          <w:p w:rsidR="001A4787" w:rsidRPr="003B4935" w:rsidRDefault="001A4787" w:rsidP="002F76BD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1A4787" w:rsidRPr="003B4935" w:rsidRDefault="001A4787" w:rsidP="002F7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Block randomisation in blocks of 10.</w:t>
            </w:r>
          </w:p>
          <w:p w:rsidR="001A4787" w:rsidRPr="003B4935" w:rsidRDefault="001A4787" w:rsidP="003B4935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1A4787" w:rsidRPr="001A4787" w:rsidTr="001A4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Allocation concealment </w:t>
            </w:r>
          </w:p>
          <w:p w:rsidR="001A4787" w:rsidRPr="003B4935" w:rsidRDefault="001A4787" w:rsidP="002F76BD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1A4787" w:rsidRPr="003B4935" w:rsidRDefault="003B4935" w:rsidP="002F7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1A4787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Sequentially numbered opaque sealed envelopes.</w:t>
            </w:r>
          </w:p>
        </w:tc>
      </w:tr>
      <w:tr w:rsidR="001A4787" w:rsidRPr="001A4787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Blinding of participants and personnel (performance bias)</w:t>
            </w:r>
          </w:p>
        </w:tc>
        <w:tc>
          <w:tcPr>
            <w:tcW w:w="1984" w:type="dxa"/>
          </w:tcPr>
          <w:p w:rsidR="001A4787" w:rsidRPr="003B4935" w:rsidRDefault="001A4787" w:rsidP="002F7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Unblinded</w:t>
            </w:r>
            <w:proofErr w:type="spellEnd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 study however authors state study drug is challenging to blind. Furthermore, outcome measures are objective and unlikely to be </w:t>
            </w:r>
            <w:proofErr w:type="spellStart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influeced</w:t>
            </w:r>
            <w:proofErr w:type="spellEnd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 by blinding.</w:t>
            </w:r>
          </w:p>
          <w:p w:rsidR="001A4787" w:rsidRPr="003B4935" w:rsidRDefault="001A4787" w:rsidP="003B4935">
            <w:pPr>
              <w:spacing w:before="100" w:beforeAutospacing="1"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1A4787" w:rsidRPr="001A4787" w:rsidTr="001A4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Blinding of outcome assessment </w:t>
            </w:r>
          </w:p>
          <w:p w:rsidR="001A4787" w:rsidRPr="003B4935" w:rsidRDefault="001A4787" w:rsidP="002F76BD">
            <w:pPr>
              <w:spacing w:before="60" w:after="60" w:line="276" w:lineRule="auto"/>
              <w:contextualSpacing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(</w:t>
            </w:r>
            <w:proofErr w:type="gramStart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detection</w:t>
            </w:r>
            <w:proofErr w:type="gramEnd"/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 xml:space="preserve"> bias)</w:t>
            </w:r>
          </w:p>
        </w:tc>
        <w:tc>
          <w:tcPr>
            <w:tcW w:w="1984" w:type="dxa"/>
          </w:tcPr>
          <w:p w:rsidR="001A4787" w:rsidRPr="003B4935" w:rsidRDefault="003B4935" w:rsidP="002F7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3B4935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Independent evaluator used to perform outcome assessment.</w:t>
            </w:r>
          </w:p>
          <w:p w:rsidR="001A4787" w:rsidRPr="003B4935" w:rsidRDefault="001A4787" w:rsidP="002F76BD">
            <w:pPr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</w:p>
        </w:tc>
      </w:tr>
      <w:tr w:rsidR="001A4787" w:rsidRPr="001A4787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Incomplete outcome data (attrition bias)</w:t>
            </w:r>
          </w:p>
        </w:tc>
        <w:tc>
          <w:tcPr>
            <w:tcW w:w="1984" w:type="dxa"/>
          </w:tcPr>
          <w:p w:rsidR="001A4787" w:rsidRPr="003B4935" w:rsidRDefault="003B4935" w:rsidP="002F7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1A4787" w:rsidRPr="003B4935" w:rsidRDefault="003B4935" w:rsidP="003B493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Reasons for participant withdrawal reported in both groups and appear to be balanced.</w:t>
            </w:r>
          </w:p>
        </w:tc>
      </w:tr>
      <w:tr w:rsidR="001A4787" w:rsidRPr="001A4787" w:rsidTr="001A4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Selective reporting (reporting bias)</w:t>
            </w:r>
          </w:p>
        </w:tc>
        <w:tc>
          <w:tcPr>
            <w:tcW w:w="1984" w:type="dxa"/>
          </w:tcPr>
          <w:p w:rsidR="001A4787" w:rsidRPr="003B4935" w:rsidRDefault="003B4935" w:rsidP="002F7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</w:t>
            </w:r>
            <w:r w:rsidR="001A4787" w:rsidRPr="003B4935">
              <w:rPr>
                <w:rFonts w:ascii="Times" w:hAnsi="Times" w:cs="Arial"/>
                <w:color w:val="auto"/>
                <w:sz w:val="20"/>
                <w:szCs w:val="20"/>
              </w:rPr>
              <w:t xml:space="preserve"> risk</w:t>
            </w:r>
          </w:p>
        </w:tc>
        <w:tc>
          <w:tcPr>
            <w:tcW w:w="6463" w:type="dxa"/>
          </w:tcPr>
          <w:p w:rsidR="001A4787" w:rsidRPr="003B4935" w:rsidRDefault="003B4935" w:rsidP="003B493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No pre-published trial protocol. Outcomes listed in 'Methods' are all reported. Two 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subgroup 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analyses (</w:t>
            </w:r>
            <w:proofErr w:type="spellStart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intracapsular</w:t>
            </w:r>
            <w:proofErr w:type="spellEnd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 xml:space="preserve"> fractures, those with Hb </w:t>
            </w:r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&gt;12 g/</w:t>
            </w:r>
            <w:proofErr w:type="spellStart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dL</w:t>
            </w:r>
            <w:proofErr w:type="spellEnd"/>
            <w:r w:rsidRPr="003B4935">
              <w:rPr>
                <w:rFonts w:ascii="Times" w:hAnsi="Times" w:cs="Times New Roman"/>
                <w:color w:val="auto"/>
                <w:sz w:val="20"/>
                <w:szCs w:val="20"/>
                <w:lang w:val="en-GB"/>
              </w:rPr>
              <w:t>) were not prespecified but the authors in the Discussion acknowledge this.</w:t>
            </w:r>
          </w:p>
        </w:tc>
      </w:tr>
      <w:tr w:rsidR="001A4787" w:rsidRPr="001A4787" w:rsidTr="001A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A4787" w:rsidRPr="003B4935" w:rsidRDefault="001A4787" w:rsidP="002F76BD">
            <w:pPr>
              <w:spacing w:before="60" w:after="60" w:line="276" w:lineRule="auto"/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  <w:lang w:val="en-GB"/>
              </w:rPr>
              <w:t>Other bias</w:t>
            </w:r>
          </w:p>
        </w:tc>
        <w:tc>
          <w:tcPr>
            <w:tcW w:w="1984" w:type="dxa"/>
          </w:tcPr>
          <w:p w:rsidR="001A4787" w:rsidRPr="003B4935" w:rsidRDefault="001A4787" w:rsidP="002F7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Low risk</w:t>
            </w:r>
          </w:p>
        </w:tc>
        <w:tc>
          <w:tcPr>
            <w:tcW w:w="6463" w:type="dxa"/>
          </w:tcPr>
          <w:p w:rsidR="001A4787" w:rsidRPr="003B4935" w:rsidRDefault="001A4787" w:rsidP="002F76BD">
            <w:pPr>
              <w:pStyle w:val="NormalWeb"/>
              <w:spacing w:before="60" w:beforeAutospacing="0" w:after="6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sz w:val="20"/>
                <w:szCs w:val="20"/>
              </w:rPr>
            </w:pPr>
            <w:r w:rsidRPr="003B4935">
              <w:rPr>
                <w:rFonts w:ascii="Times" w:hAnsi="Times" w:cs="Arial"/>
                <w:color w:val="auto"/>
                <w:sz w:val="20"/>
                <w:szCs w:val="20"/>
              </w:rPr>
              <w:t>No financial conflict of interest identified.</w:t>
            </w:r>
          </w:p>
        </w:tc>
      </w:tr>
    </w:tbl>
    <w:p w:rsidR="001A4787" w:rsidRDefault="001A4787">
      <w:pPr>
        <w:rPr>
          <w:rFonts w:ascii="Times" w:hAnsi="Times"/>
          <w:b/>
          <w:sz w:val="20"/>
          <w:szCs w:val="20"/>
        </w:rPr>
      </w:pPr>
    </w:p>
    <w:p w:rsidR="002F76BD" w:rsidRDefault="002F76BD">
      <w:pPr>
        <w:rPr>
          <w:rFonts w:ascii="Times" w:hAnsi="Times"/>
          <w:b/>
          <w:sz w:val="20"/>
          <w:szCs w:val="20"/>
        </w:rPr>
      </w:pPr>
    </w:p>
    <w:sectPr w:rsidR="002F76BD" w:rsidSect="00D0483D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D"/>
    <w:rsid w:val="001A4787"/>
    <w:rsid w:val="0026584A"/>
    <w:rsid w:val="002F76BD"/>
    <w:rsid w:val="003B4935"/>
    <w:rsid w:val="00790BCB"/>
    <w:rsid w:val="00BD3D91"/>
    <w:rsid w:val="00D0483D"/>
    <w:rsid w:val="00E9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483D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table" w:styleId="LightShading-Accent1">
    <w:name w:val="Light Shading Accent 1"/>
    <w:basedOn w:val="TableNormal"/>
    <w:uiPriority w:val="60"/>
    <w:rsid w:val="00D0483D"/>
    <w:rPr>
      <w:rFonts w:eastAsiaTheme="minorHAnsi"/>
      <w:color w:val="365F91" w:themeColor="accent1" w:themeShade="BF"/>
      <w:sz w:val="22"/>
      <w:szCs w:val="22"/>
      <w:lang w:val="da-DK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483D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table" w:styleId="LightShading-Accent1">
    <w:name w:val="Light Shading Accent 1"/>
    <w:basedOn w:val="TableNormal"/>
    <w:uiPriority w:val="60"/>
    <w:rsid w:val="00D0483D"/>
    <w:rPr>
      <w:rFonts w:eastAsiaTheme="minorHAnsi"/>
      <w:color w:val="365F91" w:themeColor="accent1" w:themeShade="BF"/>
      <w:sz w:val="22"/>
      <w:szCs w:val="22"/>
      <w:lang w:val="da-DK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2480</Characters>
  <Application>Microsoft Macintosh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Shah</dc:creator>
  <cp:keywords/>
  <dc:description/>
  <cp:lastModifiedBy>Akshay Shah</cp:lastModifiedBy>
  <cp:revision>2</cp:revision>
  <dcterms:created xsi:type="dcterms:W3CDTF">2018-08-09T12:43:00Z</dcterms:created>
  <dcterms:modified xsi:type="dcterms:W3CDTF">2018-08-09T12:43:00Z</dcterms:modified>
</cp:coreProperties>
</file>