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BEF9D" w14:textId="5A83ACAF" w:rsidR="00790271" w:rsidRPr="00A60D04" w:rsidRDefault="00790271" w:rsidP="00573D11">
      <w:pPr>
        <w:pStyle w:val="Heading2"/>
      </w:pPr>
      <w:r>
        <w:t xml:space="preserve">ELFUS </w:t>
      </w:r>
      <w:r w:rsidR="00E53125">
        <w:t>additional</w:t>
      </w:r>
      <w:r>
        <w:t xml:space="preserve"> </w:t>
      </w:r>
      <w:r w:rsidR="00E53125">
        <w:t>m</w:t>
      </w:r>
      <w:r>
        <w:t>aterial</w:t>
      </w:r>
      <w:r w:rsidR="00E53125">
        <w:t xml:space="preserve"> 1: complication</w:t>
      </w:r>
      <w:r w:rsidRPr="00A60D04">
        <w:t xml:space="preserve"> scoring and assessment tools</w:t>
      </w:r>
    </w:p>
    <w:p w14:paraId="43E410A8" w14:textId="77777777" w:rsidR="00790271" w:rsidRPr="00A60D04" w:rsidRDefault="00790271" w:rsidP="00573D11">
      <w:pPr>
        <w:pStyle w:val="Heading2"/>
      </w:pPr>
      <w:r w:rsidRPr="00A60D04">
        <w:t>POMS</w:t>
      </w:r>
    </w:p>
    <w:p w14:paraId="1F5FE6D5" w14:textId="2349C9DE" w:rsidR="00790271" w:rsidRPr="00915BEE" w:rsidRDefault="00790271" w:rsidP="00573D11">
      <w:pPr>
        <w:spacing w:line="480" w:lineRule="auto"/>
        <w:jc w:val="both"/>
        <w:rPr>
          <w:rFonts w:cstheme="minorHAnsi"/>
          <w:sz w:val="20"/>
          <w:szCs w:val="20"/>
        </w:rPr>
      </w:pPr>
      <w:r w:rsidRPr="00915BEE">
        <w:rPr>
          <w:rFonts w:cstheme="minorHAnsi"/>
          <w:sz w:val="20"/>
          <w:szCs w:val="20"/>
        </w:rPr>
        <w:t xml:space="preserve">The post-operative morbidity survey (POMS) is a prospective method for describing short-term </w:t>
      </w:r>
      <w:r w:rsidR="00CB2516" w:rsidRPr="00CB2516">
        <w:rPr>
          <w:rFonts w:cstheme="minorHAnsi"/>
          <w:sz w:val="20"/>
          <w:szCs w:val="20"/>
        </w:rPr>
        <w:t>morbidity after maj</w:t>
      </w:r>
      <w:r w:rsidR="00CB2516" w:rsidRPr="00CB2516">
        <w:rPr>
          <w:rFonts w:cstheme="minorHAnsi"/>
          <w:sz w:val="20"/>
          <w:szCs w:val="20"/>
        </w:rPr>
        <w:t>or surgery (Grocott et al 2007)</w:t>
      </w:r>
      <w:r w:rsidRPr="00915BEE">
        <w:rPr>
          <w:rFonts w:cstheme="minorHAnsi"/>
          <w:sz w:val="20"/>
          <w:szCs w:val="20"/>
        </w:rPr>
        <w:t xml:space="preserve">. POMS was designed to be easy to perform and aims to identify only those morbidities that prevent discharge from hospital. A POMS score was calculated on day 5 and day 10 after EL using a combination of patient questioning, observation charts and case note review. POMS scoring does not take into account the </w:t>
      </w:r>
      <w:r w:rsidRPr="00915BEE">
        <w:rPr>
          <w:rFonts w:cstheme="minorHAnsi"/>
          <w:i/>
          <w:sz w:val="20"/>
          <w:szCs w:val="20"/>
        </w:rPr>
        <w:t>severity</w:t>
      </w:r>
      <w:r w:rsidRPr="00915BEE">
        <w:rPr>
          <w:rFonts w:cstheme="minorHAnsi"/>
          <w:sz w:val="20"/>
          <w:szCs w:val="20"/>
        </w:rPr>
        <w:t xml:space="preserve"> of complications. Rather scores of 0 or 1 (absent or present) are assigned within each of the nine domains (pulmonary, infectious, renal, gastrointestinal, cardiovascular, neurological, haematological, wound and pain); giving an aggregate score out of nine. </w:t>
      </w:r>
    </w:p>
    <w:p w14:paraId="3D273F23" w14:textId="77777777" w:rsidR="00790271" w:rsidRPr="00915BEE" w:rsidRDefault="00790271" w:rsidP="00573D11">
      <w:pPr>
        <w:spacing w:line="480" w:lineRule="auto"/>
        <w:jc w:val="both"/>
        <w:rPr>
          <w:rFonts w:cstheme="minorHAnsi"/>
          <w:sz w:val="20"/>
          <w:szCs w:val="20"/>
        </w:rPr>
      </w:pPr>
    </w:p>
    <w:p w14:paraId="25ADFFAD" w14:textId="77777777" w:rsidR="00790271" w:rsidRPr="00A60D04" w:rsidRDefault="00790271" w:rsidP="00573D11">
      <w:pPr>
        <w:pStyle w:val="Heading2"/>
      </w:pPr>
      <w:r w:rsidRPr="00A60D04">
        <w:t>Accordion Classification of Complications</w:t>
      </w:r>
    </w:p>
    <w:p w14:paraId="1F366126" w14:textId="3ED64ECB" w:rsidR="00790271" w:rsidRDefault="00790271" w:rsidP="00CB2516">
      <w:pPr>
        <w:spacing w:line="480" w:lineRule="auto"/>
        <w:jc w:val="both"/>
        <w:rPr>
          <w:rFonts w:cstheme="minorHAnsi"/>
          <w:sz w:val="20"/>
          <w:szCs w:val="20"/>
        </w:rPr>
      </w:pPr>
      <w:r w:rsidRPr="00915BEE">
        <w:rPr>
          <w:rFonts w:cstheme="minorHAnsi"/>
          <w:sz w:val="20"/>
          <w:szCs w:val="20"/>
        </w:rPr>
        <w:t xml:space="preserve">The Accordion Severity Grading System provides a meaningful approach to classifying complications after surgery according to the resources required in their management. </w:t>
      </w:r>
      <w:r w:rsidR="00CB2516">
        <w:rPr>
          <w:rFonts w:cstheme="minorHAnsi"/>
          <w:sz w:val="20"/>
          <w:szCs w:val="20"/>
        </w:rPr>
        <w:t>Co</w:t>
      </w:r>
      <w:r w:rsidR="00CB2516" w:rsidRPr="00CB2516">
        <w:rPr>
          <w:rFonts w:cstheme="minorHAnsi"/>
          <w:sz w:val="20"/>
          <w:szCs w:val="20"/>
        </w:rPr>
        <w:t>mplications</w:t>
      </w:r>
      <w:r w:rsidR="00CB2516">
        <w:rPr>
          <w:rFonts w:cstheme="minorHAnsi"/>
          <w:sz w:val="20"/>
          <w:szCs w:val="20"/>
        </w:rPr>
        <w:t xml:space="preserve"> </w:t>
      </w:r>
      <w:r w:rsidR="00CB2516" w:rsidRPr="00CB2516">
        <w:rPr>
          <w:rFonts w:cstheme="minorHAnsi"/>
          <w:sz w:val="20"/>
          <w:szCs w:val="20"/>
        </w:rPr>
        <w:t>are graded from zero to 6 as described in the tab</w:t>
      </w:r>
      <w:r w:rsidR="00CB2516" w:rsidRPr="00CB2516">
        <w:rPr>
          <w:rFonts w:cstheme="minorHAnsi"/>
          <w:sz w:val="20"/>
          <w:szCs w:val="20"/>
        </w:rPr>
        <w:t>le below (Strasberg et al 2009)</w:t>
      </w:r>
      <w:r w:rsidRPr="00915BEE">
        <w:rPr>
          <w:rFonts w:cstheme="minorHAnsi"/>
          <w:sz w:val="20"/>
          <w:szCs w:val="20"/>
        </w:rPr>
        <w:t>. We assessed patients for the presence or absence of complications as per the Accordion Classification at 30 days after surgery.</w:t>
      </w:r>
    </w:p>
    <w:p w14:paraId="6C3D5200" w14:textId="77777777" w:rsidR="00E53125" w:rsidRPr="00915BEE" w:rsidRDefault="00E53125" w:rsidP="00573D11">
      <w:pPr>
        <w:spacing w:line="480" w:lineRule="auto"/>
        <w:jc w:val="both"/>
        <w:rPr>
          <w:rFonts w:cstheme="minorHAnsi"/>
          <w:sz w:val="20"/>
          <w:szCs w:val="20"/>
        </w:rPr>
      </w:pPr>
    </w:p>
    <w:p w14:paraId="32895087" w14:textId="55E740F9" w:rsidR="00790271" w:rsidRPr="00915BEE" w:rsidRDefault="00790271" w:rsidP="00573D11">
      <w:pPr>
        <w:spacing w:line="480" w:lineRule="auto"/>
        <w:jc w:val="both"/>
        <w:rPr>
          <w:rFonts w:cstheme="minorHAnsi"/>
          <w:b/>
          <w:i/>
          <w:sz w:val="20"/>
          <w:szCs w:val="20"/>
        </w:rPr>
      </w:pPr>
      <w:r w:rsidRPr="00915BEE">
        <w:rPr>
          <w:rFonts w:cstheme="minorHAnsi"/>
          <w:b/>
          <w:i/>
          <w:sz w:val="20"/>
          <w:szCs w:val="20"/>
        </w:rPr>
        <w:t>Accordion Classification of Post-operative Complications. Description of grades.</w:t>
      </w:r>
      <w:bookmarkStart w:id="0" w:name="_GoBack"/>
      <w:bookmarkEnd w:id="0"/>
      <w:r w:rsidR="00CB2516" w:rsidRPr="00915BEE">
        <w:rPr>
          <w:rFonts w:cstheme="minorHAnsi"/>
          <w:b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790271" w:rsidRPr="00A60D04" w14:paraId="006F419D" w14:textId="77777777" w:rsidTr="00006A29">
        <w:tc>
          <w:tcPr>
            <w:tcW w:w="4508" w:type="dxa"/>
          </w:tcPr>
          <w:p w14:paraId="58E314EC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Accordion Severity Grading of Complications</w:t>
            </w:r>
          </w:p>
        </w:tc>
        <w:tc>
          <w:tcPr>
            <w:tcW w:w="4508" w:type="dxa"/>
          </w:tcPr>
          <w:p w14:paraId="1AA67F53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15BEE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</w:tr>
      <w:tr w:rsidR="00790271" w:rsidRPr="00A60D04" w14:paraId="2D4172A0" w14:textId="77777777" w:rsidTr="00006A29">
        <w:tc>
          <w:tcPr>
            <w:tcW w:w="4508" w:type="dxa"/>
          </w:tcPr>
          <w:p w14:paraId="4734C8D3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Zero</w:t>
            </w:r>
          </w:p>
        </w:tc>
        <w:tc>
          <w:tcPr>
            <w:tcW w:w="4508" w:type="dxa"/>
          </w:tcPr>
          <w:p w14:paraId="4F09279C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No complications</w:t>
            </w:r>
          </w:p>
        </w:tc>
      </w:tr>
      <w:tr w:rsidR="00790271" w:rsidRPr="00A60D04" w14:paraId="5FE662A4" w14:textId="77777777" w:rsidTr="00006A29">
        <w:tc>
          <w:tcPr>
            <w:tcW w:w="4508" w:type="dxa"/>
          </w:tcPr>
          <w:p w14:paraId="42D72DA1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1 (Mild)</w:t>
            </w:r>
          </w:p>
        </w:tc>
        <w:tc>
          <w:tcPr>
            <w:tcW w:w="4508" w:type="dxa"/>
          </w:tcPr>
          <w:p w14:paraId="53FE5A98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 xml:space="preserve">Requires minor bedside management only eg insertion of cannula, or nasogastric tube, or drainage of superficial wound infection </w:t>
            </w:r>
          </w:p>
        </w:tc>
      </w:tr>
      <w:tr w:rsidR="00790271" w:rsidRPr="00A60D04" w14:paraId="7DEEBD11" w14:textId="77777777" w:rsidTr="00006A29">
        <w:tc>
          <w:tcPr>
            <w:tcW w:w="4508" w:type="dxa"/>
          </w:tcPr>
          <w:p w14:paraId="24631D39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2 (Moderate)</w:t>
            </w:r>
          </w:p>
        </w:tc>
        <w:tc>
          <w:tcPr>
            <w:tcW w:w="4508" w:type="dxa"/>
          </w:tcPr>
          <w:p w14:paraId="0964DFEA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Requires pharmacological treatment with drugs other than those allowed for minor complications such as antibiotics. Blood transfusion and/ or total parenteral nutrition are included</w:t>
            </w:r>
          </w:p>
        </w:tc>
      </w:tr>
      <w:tr w:rsidR="00790271" w:rsidRPr="00A60D04" w14:paraId="487754B5" w14:textId="77777777" w:rsidTr="00006A29">
        <w:tc>
          <w:tcPr>
            <w:tcW w:w="4508" w:type="dxa"/>
          </w:tcPr>
          <w:p w14:paraId="4AD823B2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lastRenderedPageBreak/>
              <w:t>3 (Severe: invasive procedure/ No GA)</w:t>
            </w:r>
          </w:p>
        </w:tc>
        <w:tc>
          <w:tcPr>
            <w:tcW w:w="4508" w:type="dxa"/>
          </w:tcPr>
          <w:p w14:paraId="60DE3A81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Requires management by endoscopic therapy, an interventional procedure or re-operation without general anaesthesia</w:t>
            </w:r>
          </w:p>
        </w:tc>
      </w:tr>
      <w:tr w:rsidR="00790271" w:rsidRPr="00A60D04" w14:paraId="2001C542" w14:textId="77777777" w:rsidTr="00006A29">
        <w:tc>
          <w:tcPr>
            <w:tcW w:w="4508" w:type="dxa"/>
          </w:tcPr>
          <w:p w14:paraId="24F98889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4 (Severe: invasive procedure under GA, or single organ system failure)</w:t>
            </w:r>
          </w:p>
        </w:tc>
        <w:tc>
          <w:tcPr>
            <w:tcW w:w="4508" w:type="dxa"/>
          </w:tcPr>
          <w:p w14:paraId="13F7AF03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Requires operation under general anaesthesia, or results in single organ dysfunction</w:t>
            </w:r>
          </w:p>
        </w:tc>
      </w:tr>
      <w:tr w:rsidR="00790271" w:rsidRPr="00A60D04" w14:paraId="10330324" w14:textId="77777777" w:rsidTr="00006A29">
        <w:tc>
          <w:tcPr>
            <w:tcW w:w="4508" w:type="dxa"/>
          </w:tcPr>
          <w:p w14:paraId="7EF92D2B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5 (Severe: multiple organ system dysfunction)</w:t>
            </w:r>
          </w:p>
        </w:tc>
        <w:tc>
          <w:tcPr>
            <w:tcW w:w="4508" w:type="dxa"/>
          </w:tcPr>
          <w:p w14:paraId="3846D3AA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Such complications will usually require management in an intensive care unit.</w:t>
            </w:r>
          </w:p>
        </w:tc>
      </w:tr>
      <w:tr w:rsidR="00790271" w:rsidRPr="00A60D04" w14:paraId="2B0A5FB5" w14:textId="77777777" w:rsidTr="00006A29">
        <w:tc>
          <w:tcPr>
            <w:tcW w:w="4508" w:type="dxa"/>
          </w:tcPr>
          <w:p w14:paraId="100C4284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6 (Death)</w:t>
            </w:r>
          </w:p>
        </w:tc>
        <w:tc>
          <w:tcPr>
            <w:tcW w:w="4508" w:type="dxa"/>
          </w:tcPr>
          <w:p w14:paraId="41606B8A" w14:textId="77777777" w:rsidR="00790271" w:rsidRPr="00915BEE" w:rsidRDefault="00790271" w:rsidP="00573D11">
            <w:pPr>
              <w:spacing w:line="480" w:lineRule="auto"/>
              <w:jc w:val="both"/>
              <w:rPr>
                <w:rFonts w:cstheme="minorHAnsi"/>
                <w:sz w:val="20"/>
                <w:szCs w:val="20"/>
              </w:rPr>
            </w:pPr>
            <w:r w:rsidRPr="00915BEE">
              <w:rPr>
                <w:rFonts w:cstheme="minorHAnsi"/>
                <w:sz w:val="20"/>
                <w:szCs w:val="20"/>
              </w:rPr>
              <w:t>Postoperative death</w:t>
            </w:r>
          </w:p>
        </w:tc>
      </w:tr>
    </w:tbl>
    <w:p w14:paraId="48065CAC" w14:textId="77777777" w:rsidR="00790271" w:rsidRPr="00915BEE" w:rsidRDefault="00790271" w:rsidP="00573D11">
      <w:pPr>
        <w:spacing w:line="480" w:lineRule="auto"/>
        <w:jc w:val="both"/>
        <w:rPr>
          <w:rFonts w:cstheme="minorHAnsi"/>
          <w:sz w:val="20"/>
          <w:szCs w:val="20"/>
        </w:rPr>
      </w:pPr>
    </w:p>
    <w:sectPr w:rsidR="00790271" w:rsidRPr="00915BEE" w:rsidSect="007D2CFA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40B2" w14:textId="77777777" w:rsidR="005A1F77" w:rsidRDefault="005A1F77" w:rsidP="00573D11">
      <w:r>
        <w:separator/>
      </w:r>
    </w:p>
  </w:endnote>
  <w:endnote w:type="continuationSeparator" w:id="0">
    <w:p w14:paraId="140252BA" w14:textId="77777777" w:rsidR="005A1F77" w:rsidRDefault="005A1F77" w:rsidP="0057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05615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AAD072" w14:textId="7B88E70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4F6A39" w14:textId="77777777" w:rsidR="00573D11" w:rsidRDefault="00573D11" w:rsidP="00573D1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1845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5656C8" w14:textId="39E162CC" w:rsidR="00573D11" w:rsidRDefault="00573D11" w:rsidP="001D77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B251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FEE483E" w14:textId="77777777" w:rsidR="00573D11" w:rsidRDefault="00573D11" w:rsidP="00573D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4CADD" w14:textId="77777777" w:rsidR="005A1F77" w:rsidRDefault="005A1F77" w:rsidP="00573D11">
      <w:r>
        <w:separator/>
      </w:r>
    </w:p>
  </w:footnote>
  <w:footnote w:type="continuationSeparator" w:id="0">
    <w:p w14:paraId="4B01F950" w14:textId="77777777" w:rsidR="005A1F77" w:rsidRDefault="005A1F77" w:rsidP="00573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71"/>
    <w:rsid w:val="00493B61"/>
    <w:rsid w:val="00573D11"/>
    <w:rsid w:val="005A1F77"/>
    <w:rsid w:val="006101C9"/>
    <w:rsid w:val="00790271"/>
    <w:rsid w:val="007D2CFA"/>
    <w:rsid w:val="00CB2516"/>
    <w:rsid w:val="00E53125"/>
    <w:rsid w:val="00F1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59AD5"/>
  <w15:chartTrackingRefBased/>
  <w15:docId w15:val="{D2449926-7A10-544D-B5D5-EC22E7D8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27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90271"/>
    <w:pPr>
      <w:keepNext/>
      <w:keepLines/>
      <w:spacing w:before="40" w:after="120" w:line="480" w:lineRule="auto"/>
      <w:jc w:val="both"/>
      <w:outlineLvl w:val="1"/>
    </w:pPr>
    <w:rPr>
      <w:rFonts w:eastAsiaTheme="majorEastAsia" w:cstheme="majorBidi"/>
      <w:b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0271"/>
    <w:rPr>
      <w:rFonts w:eastAsiaTheme="majorEastAsia" w:cstheme="majorBidi"/>
      <w:b/>
      <w:iCs/>
      <w:szCs w:val="26"/>
    </w:rPr>
  </w:style>
  <w:style w:type="table" w:styleId="TableGrid">
    <w:name w:val="Table Grid"/>
    <w:basedOn w:val="TableNormal"/>
    <w:uiPriority w:val="39"/>
    <w:rsid w:val="007902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3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D11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573D11"/>
  </w:style>
  <w:style w:type="character" w:styleId="LineNumber">
    <w:name w:val="line number"/>
    <w:basedOn w:val="DefaultParagraphFont"/>
    <w:uiPriority w:val="99"/>
    <w:semiHidden/>
    <w:unhideWhenUsed/>
    <w:rsid w:val="00573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Saunders</dc:creator>
  <cp:keywords/>
  <dc:description/>
  <cp:lastModifiedBy>Alojera, Michelle</cp:lastModifiedBy>
  <cp:revision>4</cp:revision>
  <dcterms:created xsi:type="dcterms:W3CDTF">2020-06-17T08:24:00Z</dcterms:created>
  <dcterms:modified xsi:type="dcterms:W3CDTF">2021-05-13T04:17:00Z</dcterms:modified>
</cp:coreProperties>
</file>