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/>
          <w:bCs/>
          <w:sz w:val="24"/>
          <w:szCs w:val="24"/>
        </w:rPr>
      </w:pPr>
      <w:bookmarkStart w:id="0" w:name="_Hlk117452671"/>
      <w:bookmarkStart w:id="1" w:name="_Hlk145869596"/>
      <w:bookmarkStart w:id="2" w:name="_Hlk128827715"/>
      <w:r>
        <w:rPr>
          <w:rFonts w:ascii="Times New Roman" w:hAnsi="Times New Roman"/>
          <w:bCs/>
          <w:sz w:val="24"/>
          <w:szCs w:val="24"/>
        </w:rPr>
        <w:t xml:space="preserve">Supplemental Table </w:t>
      </w:r>
      <w:bookmarkEnd w:id="0"/>
      <w:r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>.</w:t>
      </w:r>
      <w:bookmarkEnd w:id="1"/>
      <w:r>
        <w:rPr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Sensitivity analyses of high heterogeneity outcomes.</w:t>
      </w:r>
    </w:p>
    <w:bookmarkEnd w:id="2"/>
    <w:p>
      <w:pPr>
        <w:widowControl/>
        <w:spacing w:line="360" w:lineRule="auto"/>
        <w:rPr>
          <w:rFonts w:ascii="Times New Roman" w:hAnsi="Times New Roman"/>
          <w:sz w:val="15"/>
          <w:szCs w:val="15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1134"/>
        <w:gridCol w:w="1275"/>
        <w:gridCol w:w="1276"/>
        <w:gridCol w:w="1085"/>
        <w:gridCol w:w="1041"/>
        <w:gridCol w:w="1830"/>
        <w:gridCol w:w="1005"/>
        <w:gridCol w:w="1418"/>
        <w:gridCol w:w="1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122" w:type="dxa"/>
            <w:shd w:val="clear" w:color="auto" w:fill="E7E6E6" w:themeFill="background2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Heterogeneity</w:t>
            </w:r>
          </w:p>
          <w:p>
            <w:pPr>
              <w:widowControl/>
              <w:spacing w:line="360" w:lineRule="auto"/>
              <w:ind w:firstLine="600" w:firstLineChars="400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outcome</w:t>
            </w:r>
          </w:p>
        </w:tc>
        <w:tc>
          <w:tcPr>
            <w:tcW w:w="1134" w:type="dxa"/>
            <w:shd w:val="clear" w:color="auto" w:fill="E7E6E6" w:themeFill="background2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Excluded trials</w:t>
            </w:r>
          </w:p>
        </w:tc>
        <w:tc>
          <w:tcPr>
            <w:tcW w:w="1275" w:type="dxa"/>
            <w:shd w:val="clear" w:color="auto" w:fill="E7E6E6" w:themeFill="background2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 xml:space="preserve">TXA 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(n)</w:t>
            </w:r>
          </w:p>
        </w:tc>
        <w:tc>
          <w:tcPr>
            <w:tcW w:w="1276" w:type="dxa"/>
            <w:shd w:val="clear" w:color="auto" w:fill="E7E6E6" w:themeFill="background2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Control</w:t>
            </w:r>
          </w:p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(n)</w:t>
            </w:r>
          </w:p>
        </w:tc>
        <w:tc>
          <w:tcPr>
            <w:tcW w:w="2126" w:type="dxa"/>
            <w:gridSpan w:val="2"/>
            <w:shd w:val="clear" w:color="auto" w:fill="E7E6E6" w:themeFill="background2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Heterogeneity</w:t>
            </w:r>
          </w:p>
          <w:p>
            <w:pPr>
              <w:widowControl/>
              <w:spacing w:line="360" w:lineRule="auto"/>
              <w:ind w:firstLine="375" w:firstLineChars="250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i/>
                <w:iCs/>
                <w:kern w:val="0"/>
                <w:sz w:val="15"/>
                <w:szCs w:val="15"/>
              </w:rPr>
              <w:t>I</w:t>
            </w:r>
            <w:r>
              <w:rPr>
                <w:rFonts w:ascii="Times New Roman" w:hAnsi="Times New Roman"/>
                <w:kern w:val="0"/>
                <w:sz w:val="15"/>
                <w:szCs w:val="15"/>
                <w:vertAlign w:val="superscript"/>
              </w:rPr>
              <w:t>2</w:t>
            </w:r>
            <w:r>
              <w:rPr>
                <w:rFonts w:ascii="Times New Roman" w:hAnsi="Times New Roman"/>
                <w:kern w:val="0"/>
                <w:sz w:val="15"/>
                <w:szCs w:val="15"/>
              </w:rPr>
              <w:t xml:space="preserve"> (%)          </w:t>
            </w:r>
            <w:r>
              <w:rPr>
                <w:rFonts w:ascii="Times New Roman" w:hAnsi="Times New Roman"/>
                <w:i/>
                <w:iCs/>
                <w:kern w:val="0"/>
                <w:sz w:val="15"/>
                <w:szCs w:val="15"/>
              </w:rPr>
              <w:t>P</w:t>
            </w:r>
          </w:p>
        </w:tc>
        <w:tc>
          <w:tcPr>
            <w:tcW w:w="1830" w:type="dxa"/>
            <w:shd w:val="clear" w:color="auto" w:fill="E7E6E6" w:themeFill="background2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Analysis model</w:t>
            </w:r>
          </w:p>
        </w:tc>
        <w:tc>
          <w:tcPr>
            <w:tcW w:w="1005" w:type="dxa"/>
            <w:shd w:val="clear" w:color="auto" w:fill="E7E6E6" w:themeFill="background2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WMD</w:t>
            </w:r>
          </w:p>
        </w:tc>
        <w:tc>
          <w:tcPr>
            <w:tcW w:w="1418" w:type="dxa"/>
            <w:shd w:val="clear" w:color="auto" w:fill="E7E6E6" w:themeFill="background2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95% CI</w:t>
            </w:r>
          </w:p>
        </w:tc>
        <w:tc>
          <w:tcPr>
            <w:tcW w:w="1395" w:type="dxa"/>
            <w:shd w:val="clear" w:color="auto" w:fill="E7E6E6" w:themeFill="background2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 xml:space="preserve">Overall effect </w:t>
            </w:r>
            <w:r>
              <w:rPr>
                <w:rFonts w:ascii="Times New Roman" w:hAnsi="Times New Roman"/>
                <w:i/>
                <w:iCs/>
                <w:kern w:val="0"/>
                <w:sz w:val="15"/>
                <w:szCs w:val="15"/>
              </w:rPr>
              <w:t>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3581" w:type="dxa"/>
            <w:gridSpan w:val="10"/>
            <w:shd w:val="clear" w:color="auto" w:fill="E7E6E6" w:themeFill="background2"/>
          </w:tcPr>
          <w:p>
            <w:pPr>
              <w:widowControl/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DAPT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Post-op bleeding</w:t>
            </w:r>
            <w:r>
              <w:rPr>
                <w:rFonts w:hint="eastAsia" w:ascii="Times New Roman" w:hAnsi="Times New Roman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(mL)</w:t>
            </w:r>
          </w:p>
        </w:tc>
        <w:tc>
          <w:tcPr>
            <w:tcW w:w="1134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[23], [26]</w:t>
            </w:r>
          </w:p>
        </w:tc>
        <w:tc>
          <w:tcPr>
            <w:tcW w:w="1275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203</w:t>
            </w:r>
          </w:p>
        </w:tc>
        <w:tc>
          <w:tcPr>
            <w:tcW w:w="1276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204</w:t>
            </w:r>
          </w:p>
        </w:tc>
        <w:tc>
          <w:tcPr>
            <w:tcW w:w="1085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47</w:t>
            </w:r>
          </w:p>
        </w:tc>
        <w:tc>
          <w:tcPr>
            <w:tcW w:w="1041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0.13</w:t>
            </w:r>
          </w:p>
        </w:tc>
        <w:tc>
          <w:tcPr>
            <w:tcW w:w="1830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IV Fix</w:t>
            </w:r>
          </w:p>
        </w:tc>
        <w:tc>
          <w:tcPr>
            <w:tcW w:w="1005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-279.96</w:t>
            </w:r>
          </w:p>
        </w:tc>
        <w:tc>
          <w:tcPr>
            <w:tcW w:w="1418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(-364.65, -195.27)</w:t>
            </w:r>
          </w:p>
        </w:tc>
        <w:tc>
          <w:tcPr>
            <w:tcW w:w="1395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＜0.00001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Post-op RBC</w:t>
            </w:r>
            <w:r>
              <w:rPr>
                <w:rFonts w:hint="eastAsia" w:ascii="Times New Roman" w:hAnsi="Times New Roman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sz w:val="15"/>
                <w:szCs w:val="15"/>
              </w:rPr>
              <w:t>(</w:t>
            </w:r>
            <w:r>
              <w:rPr>
                <w:rFonts w:ascii="Times New Roman" w:hAnsi="Times New Roman"/>
                <w:sz w:val="15"/>
                <w:szCs w:val="15"/>
              </w:rPr>
              <w:t>U</w:t>
            </w:r>
            <w:r>
              <w:rPr>
                <w:rFonts w:hint="eastAsia" w:ascii="Times New Roman" w:hAnsi="Times New Roman"/>
                <w:sz w:val="15"/>
                <w:szCs w:val="15"/>
              </w:rPr>
              <w:t>)</w:t>
            </w:r>
          </w:p>
        </w:tc>
        <w:tc>
          <w:tcPr>
            <w:tcW w:w="1134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[24], [26]</w:t>
            </w:r>
          </w:p>
        </w:tc>
        <w:tc>
          <w:tcPr>
            <w:tcW w:w="1275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123</w:t>
            </w:r>
          </w:p>
        </w:tc>
        <w:tc>
          <w:tcPr>
            <w:tcW w:w="1276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123</w:t>
            </w:r>
          </w:p>
        </w:tc>
        <w:tc>
          <w:tcPr>
            <w:tcW w:w="1085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14</w:t>
            </w:r>
          </w:p>
        </w:tc>
        <w:tc>
          <w:tcPr>
            <w:tcW w:w="1041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0.31</w:t>
            </w:r>
          </w:p>
        </w:tc>
        <w:tc>
          <w:tcPr>
            <w:tcW w:w="1830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IV Fix</w:t>
            </w:r>
          </w:p>
        </w:tc>
        <w:tc>
          <w:tcPr>
            <w:tcW w:w="1005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-0.62</w:t>
            </w:r>
          </w:p>
        </w:tc>
        <w:tc>
          <w:tcPr>
            <w:tcW w:w="1418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(-1.02, -0.22)</w:t>
            </w:r>
          </w:p>
        </w:tc>
        <w:tc>
          <w:tcPr>
            <w:tcW w:w="1395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Post-op FFP</w:t>
            </w:r>
            <w:r>
              <w:rPr>
                <w:rFonts w:hint="eastAsia" w:ascii="Times New Roman" w:hAnsi="Times New Roman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sz w:val="15"/>
                <w:szCs w:val="15"/>
              </w:rPr>
              <w:t>(</w:t>
            </w:r>
            <w:r>
              <w:rPr>
                <w:rFonts w:ascii="Times New Roman" w:hAnsi="Times New Roman"/>
                <w:sz w:val="15"/>
                <w:szCs w:val="15"/>
              </w:rPr>
              <w:t>U</w:t>
            </w:r>
            <w:r>
              <w:rPr>
                <w:rFonts w:hint="eastAsia" w:ascii="Times New Roman" w:hAnsi="Times New Roman"/>
                <w:sz w:val="15"/>
                <w:szCs w:val="15"/>
              </w:rPr>
              <w:t>)</w:t>
            </w:r>
          </w:p>
        </w:tc>
        <w:tc>
          <w:tcPr>
            <w:tcW w:w="1134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[23], [26]</w:t>
            </w:r>
          </w:p>
        </w:tc>
        <w:tc>
          <w:tcPr>
            <w:tcW w:w="1275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113</w:t>
            </w:r>
          </w:p>
        </w:tc>
        <w:tc>
          <w:tcPr>
            <w:tcW w:w="1276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114</w:t>
            </w:r>
          </w:p>
        </w:tc>
        <w:tc>
          <w:tcPr>
            <w:tcW w:w="1085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21</w:t>
            </w:r>
          </w:p>
        </w:tc>
        <w:tc>
          <w:tcPr>
            <w:tcW w:w="1041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0.26</w:t>
            </w:r>
          </w:p>
        </w:tc>
        <w:tc>
          <w:tcPr>
            <w:tcW w:w="1830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IV Fix</w:t>
            </w:r>
          </w:p>
        </w:tc>
        <w:tc>
          <w:tcPr>
            <w:tcW w:w="1005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-1.27</w:t>
            </w:r>
          </w:p>
        </w:tc>
        <w:tc>
          <w:tcPr>
            <w:tcW w:w="1418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(-2.02, -0.52)</w:t>
            </w:r>
          </w:p>
        </w:tc>
        <w:tc>
          <w:tcPr>
            <w:tcW w:w="1395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0.0009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M</w:t>
            </w:r>
            <w:r>
              <w:rPr>
                <w:rFonts w:ascii="Times New Roman" w:hAnsi="Times New Roman"/>
                <w:sz w:val="15"/>
                <w:szCs w:val="15"/>
              </w:rPr>
              <w:t>VD</w:t>
            </w:r>
            <w:r>
              <w:rPr>
                <w:rFonts w:hint="eastAsia" w:ascii="Times New Roman" w:hAnsi="Times New Roman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(hours)</w:t>
            </w:r>
          </w:p>
        </w:tc>
        <w:tc>
          <w:tcPr>
            <w:tcW w:w="1134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[26]</w:t>
            </w:r>
          </w:p>
        </w:tc>
        <w:tc>
          <w:tcPr>
            <w:tcW w:w="1275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2</w:t>
            </w:r>
            <w:r>
              <w:rPr>
                <w:rFonts w:ascii="Times New Roman" w:hAnsi="Times New Roman"/>
                <w:sz w:val="15"/>
                <w:szCs w:val="15"/>
              </w:rPr>
              <w:t>03</w:t>
            </w:r>
          </w:p>
        </w:tc>
        <w:tc>
          <w:tcPr>
            <w:tcW w:w="1276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2</w:t>
            </w:r>
            <w:r>
              <w:rPr>
                <w:rFonts w:ascii="Times New Roman" w:hAnsi="Times New Roman"/>
                <w:sz w:val="15"/>
                <w:szCs w:val="15"/>
              </w:rPr>
              <w:t>04</w:t>
            </w:r>
          </w:p>
        </w:tc>
        <w:tc>
          <w:tcPr>
            <w:tcW w:w="1085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0</w:t>
            </w:r>
          </w:p>
        </w:tc>
        <w:tc>
          <w:tcPr>
            <w:tcW w:w="1041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0</w:t>
            </w:r>
            <w:r>
              <w:rPr>
                <w:rFonts w:ascii="Times New Roman" w:hAnsi="Times New Roman"/>
                <w:sz w:val="15"/>
                <w:szCs w:val="15"/>
              </w:rPr>
              <w:t>.53</w:t>
            </w:r>
          </w:p>
        </w:tc>
        <w:tc>
          <w:tcPr>
            <w:tcW w:w="1830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IV Fix</w:t>
            </w:r>
          </w:p>
        </w:tc>
        <w:tc>
          <w:tcPr>
            <w:tcW w:w="1005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0.43</w:t>
            </w:r>
          </w:p>
        </w:tc>
        <w:tc>
          <w:tcPr>
            <w:tcW w:w="1418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(-0.51, 1.36)</w:t>
            </w:r>
          </w:p>
        </w:tc>
        <w:tc>
          <w:tcPr>
            <w:tcW w:w="1395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0</w:t>
            </w:r>
            <w:r>
              <w:rPr>
                <w:rFonts w:ascii="Times New Roman" w:hAnsi="Times New Roman"/>
                <w:sz w:val="15"/>
                <w:szCs w:val="15"/>
              </w:rPr>
              <w:t>.37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I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CU </w:t>
            </w:r>
            <w:r>
              <w:rPr>
                <w:rFonts w:hint="eastAsia" w:ascii="Times New Roman" w:hAnsi="Times New Roman"/>
                <w:sz w:val="15"/>
                <w:szCs w:val="15"/>
              </w:rPr>
              <w:t>stay</w:t>
            </w:r>
            <w:r>
              <w:rPr>
                <w:rFonts w:hint="eastAsia" w:ascii="Times New Roman" w:hAnsi="Times New Roman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(hours)</w:t>
            </w:r>
          </w:p>
        </w:tc>
        <w:tc>
          <w:tcPr>
            <w:tcW w:w="1134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[26]</w:t>
            </w:r>
          </w:p>
        </w:tc>
        <w:tc>
          <w:tcPr>
            <w:tcW w:w="1275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2</w:t>
            </w:r>
            <w:r>
              <w:rPr>
                <w:rFonts w:ascii="Times New Roman" w:hAnsi="Times New Roman"/>
                <w:sz w:val="15"/>
                <w:szCs w:val="15"/>
              </w:rPr>
              <w:t>03</w:t>
            </w:r>
          </w:p>
        </w:tc>
        <w:tc>
          <w:tcPr>
            <w:tcW w:w="1276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2</w:t>
            </w:r>
            <w:r>
              <w:rPr>
                <w:rFonts w:ascii="Times New Roman" w:hAnsi="Times New Roman"/>
                <w:sz w:val="15"/>
                <w:szCs w:val="15"/>
              </w:rPr>
              <w:t>04</w:t>
            </w:r>
          </w:p>
        </w:tc>
        <w:tc>
          <w:tcPr>
            <w:tcW w:w="1085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0</w:t>
            </w:r>
          </w:p>
        </w:tc>
        <w:tc>
          <w:tcPr>
            <w:tcW w:w="1041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0</w:t>
            </w:r>
            <w:r>
              <w:rPr>
                <w:rFonts w:ascii="Times New Roman" w:hAnsi="Times New Roman"/>
                <w:sz w:val="15"/>
                <w:szCs w:val="15"/>
              </w:rPr>
              <w:t>.71</w:t>
            </w:r>
          </w:p>
        </w:tc>
        <w:tc>
          <w:tcPr>
            <w:tcW w:w="1830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IV Fix</w:t>
            </w:r>
          </w:p>
        </w:tc>
        <w:tc>
          <w:tcPr>
            <w:tcW w:w="1005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2.26</w:t>
            </w:r>
          </w:p>
        </w:tc>
        <w:tc>
          <w:tcPr>
            <w:tcW w:w="1418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(-1.34, 5.87)</w:t>
            </w:r>
          </w:p>
        </w:tc>
        <w:tc>
          <w:tcPr>
            <w:tcW w:w="1395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0</w:t>
            </w:r>
            <w:r>
              <w:rPr>
                <w:rFonts w:ascii="Times New Roman" w:hAnsi="Times New Roman"/>
                <w:sz w:val="15"/>
                <w:szCs w:val="15"/>
              </w:rPr>
              <w:t>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Hospital length of stay</w:t>
            </w:r>
            <w:r>
              <w:rPr>
                <w:rFonts w:hint="eastAsia" w:ascii="Times New Roman" w:hAnsi="Times New Roman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(days)</w:t>
            </w:r>
          </w:p>
        </w:tc>
        <w:tc>
          <w:tcPr>
            <w:tcW w:w="1134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[26]</w:t>
            </w:r>
          </w:p>
        </w:tc>
        <w:tc>
          <w:tcPr>
            <w:tcW w:w="1275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1</w:t>
            </w:r>
            <w:r>
              <w:rPr>
                <w:rFonts w:ascii="Times New Roman" w:hAnsi="Times New Roman"/>
                <w:sz w:val="15"/>
                <w:szCs w:val="15"/>
              </w:rPr>
              <w:t>43</w:t>
            </w:r>
          </w:p>
        </w:tc>
        <w:tc>
          <w:tcPr>
            <w:tcW w:w="1276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144</w:t>
            </w:r>
          </w:p>
        </w:tc>
        <w:tc>
          <w:tcPr>
            <w:tcW w:w="1085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0</w:t>
            </w:r>
          </w:p>
        </w:tc>
        <w:tc>
          <w:tcPr>
            <w:tcW w:w="1041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0</w:t>
            </w:r>
            <w:r>
              <w:rPr>
                <w:rFonts w:ascii="Times New Roman" w:hAnsi="Times New Roman"/>
                <w:sz w:val="15"/>
                <w:szCs w:val="15"/>
              </w:rPr>
              <w:t>.58</w:t>
            </w:r>
          </w:p>
        </w:tc>
        <w:tc>
          <w:tcPr>
            <w:tcW w:w="1830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IV Fix</w:t>
            </w:r>
          </w:p>
        </w:tc>
        <w:tc>
          <w:tcPr>
            <w:tcW w:w="1005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0.01</w:t>
            </w:r>
          </w:p>
        </w:tc>
        <w:tc>
          <w:tcPr>
            <w:tcW w:w="1418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(-0.35, 0.37)</w:t>
            </w:r>
          </w:p>
        </w:tc>
        <w:tc>
          <w:tcPr>
            <w:tcW w:w="1395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0</w:t>
            </w:r>
            <w:r>
              <w:rPr>
                <w:rFonts w:ascii="Times New Roman" w:hAnsi="Times New Roman"/>
                <w:sz w:val="15"/>
                <w:szCs w:val="15"/>
              </w:rPr>
              <w:t>.96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81" w:type="dxa"/>
            <w:gridSpan w:val="10"/>
            <w:shd w:val="clear" w:color="auto" w:fill="E7E6E6" w:themeFill="background2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 w:val="15"/>
                <w:szCs w:val="15"/>
              </w:rPr>
              <w:t>Aspirin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widowControl/>
              <w:spacing w:line="360" w:lineRule="auto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Post-op RBC(U)</w:t>
            </w:r>
          </w:p>
        </w:tc>
        <w:tc>
          <w:tcPr>
            <w:tcW w:w="1134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[31]</w:t>
            </w:r>
            <w:r>
              <w:rPr>
                <w:rFonts w:hint="eastAsia" w:ascii="Times New Roman" w:hAnsi="Times New Roman"/>
                <w:sz w:val="15"/>
                <w:szCs w:val="15"/>
              </w:rPr>
              <w:t>,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[33]</w:t>
            </w:r>
          </w:p>
        </w:tc>
        <w:tc>
          <w:tcPr>
            <w:tcW w:w="1275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96</w:t>
            </w:r>
          </w:p>
        </w:tc>
        <w:tc>
          <w:tcPr>
            <w:tcW w:w="1276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89</w:t>
            </w:r>
          </w:p>
        </w:tc>
        <w:tc>
          <w:tcPr>
            <w:tcW w:w="1085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0</w:t>
            </w:r>
          </w:p>
        </w:tc>
        <w:tc>
          <w:tcPr>
            <w:tcW w:w="1041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0.4</w:t>
            </w:r>
          </w:p>
        </w:tc>
        <w:tc>
          <w:tcPr>
            <w:tcW w:w="1830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IV Fix</w:t>
            </w:r>
          </w:p>
        </w:tc>
        <w:tc>
          <w:tcPr>
            <w:tcW w:w="1005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-1.30</w:t>
            </w:r>
          </w:p>
        </w:tc>
        <w:tc>
          <w:tcPr>
            <w:tcW w:w="1418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(-1.45, -1.16)</w:t>
            </w:r>
          </w:p>
        </w:tc>
        <w:tc>
          <w:tcPr>
            <w:tcW w:w="1395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＜ 0.00001</w:t>
            </w:r>
          </w:p>
        </w:tc>
      </w:tr>
    </w:tbl>
    <w:p>
      <w:pPr>
        <w:widowControl/>
        <w:spacing w:line="360" w:lineRule="auto"/>
        <w:rPr>
          <w:rFonts w:ascii="Times New Roman" w:hAnsi="Times New Roman"/>
          <w:sz w:val="15"/>
          <w:szCs w:val="15"/>
        </w:rPr>
      </w:pPr>
    </w:p>
    <w:p>
      <w:r>
        <w:rPr>
          <w:rFonts w:ascii="Times New Roman" w:hAnsi="Times New Roman"/>
          <w:sz w:val="15"/>
          <w:szCs w:val="15"/>
        </w:rPr>
        <w:t>DAPT = dual antiplatelet therapy, Post-op =</w:t>
      </w:r>
      <w:r>
        <w:rPr>
          <w:rFonts w:ascii="Times New Roman" w:hAnsi="Times New Roman"/>
          <w:kern w:val="0"/>
          <w:sz w:val="15"/>
          <w:szCs w:val="15"/>
        </w:rPr>
        <w:t xml:space="preserve"> postoperative,</w:t>
      </w:r>
      <w:r>
        <w:rPr>
          <w:rFonts w:ascii="Times New Roman" w:hAnsi="Times New Roman"/>
          <w:sz w:val="15"/>
          <w:szCs w:val="15"/>
        </w:rPr>
        <w:t xml:space="preserve"> RBC =</w:t>
      </w:r>
      <w:r>
        <w:rPr>
          <w:rFonts w:ascii="Times New Roman" w:hAnsi="Times New Roman"/>
          <w:kern w:val="0"/>
          <w:sz w:val="15"/>
          <w:szCs w:val="15"/>
        </w:rPr>
        <w:t xml:space="preserve"> red blood cell</w:t>
      </w:r>
      <w:r>
        <w:rPr>
          <w:rFonts w:ascii="Times New Roman" w:hAnsi="Times New Roman"/>
          <w:sz w:val="15"/>
          <w:szCs w:val="15"/>
        </w:rPr>
        <w:t xml:space="preserve">, FFP = </w:t>
      </w:r>
      <w:r>
        <w:rPr>
          <w:rFonts w:ascii="Times New Roman" w:hAnsi="Times New Roman"/>
          <w:kern w:val="0"/>
          <w:sz w:val="15"/>
          <w:szCs w:val="15"/>
        </w:rPr>
        <w:t xml:space="preserve">fresh frozen plasma, </w:t>
      </w:r>
      <w:r>
        <w:rPr>
          <w:rFonts w:hint="eastAsia" w:ascii="Times New Roman" w:hAnsi="Times New Roman"/>
          <w:sz w:val="15"/>
          <w:szCs w:val="15"/>
        </w:rPr>
        <w:t>M</w:t>
      </w:r>
      <w:r>
        <w:rPr>
          <w:rFonts w:ascii="Times New Roman" w:hAnsi="Times New Roman"/>
          <w:sz w:val="15"/>
          <w:szCs w:val="15"/>
        </w:rPr>
        <w:t xml:space="preserve">VD= </w:t>
      </w:r>
      <w:r>
        <w:rPr>
          <w:rFonts w:ascii="AdvPTimes" w:hAnsi="AdvPTimes" w:cs="AdvPTimes"/>
          <w:kern w:val="0"/>
          <w:sz w:val="13"/>
          <w:szCs w:val="13"/>
        </w:rPr>
        <w:t>mechanical ventilation duration</w:t>
      </w:r>
      <w:r>
        <w:rPr>
          <w:rFonts w:hint="eastAsia" w:ascii="Times New Roman" w:hAnsi="Times New Roman"/>
          <w:kern w:val="0"/>
          <w:sz w:val="13"/>
          <w:szCs w:val="13"/>
        </w:rPr>
        <w:t>,</w:t>
      </w:r>
      <w:r>
        <w:rPr>
          <w:rFonts w:ascii="Times New Roman" w:hAnsi="Times New Roman"/>
          <w:kern w:val="0"/>
          <w:sz w:val="13"/>
          <w:szCs w:val="13"/>
        </w:rPr>
        <w:t xml:space="preserve"> </w:t>
      </w:r>
      <w:r>
        <w:rPr>
          <w:rFonts w:hint="eastAsia" w:ascii="Times New Roman" w:hAnsi="Times New Roman"/>
          <w:sz w:val="15"/>
          <w:szCs w:val="15"/>
        </w:rPr>
        <w:t>I</w:t>
      </w:r>
      <w:r>
        <w:rPr>
          <w:rFonts w:ascii="Times New Roman" w:hAnsi="Times New Roman"/>
          <w:sz w:val="15"/>
          <w:szCs w:val="15"/>
        </w:rPr>
        <w:t>CU</w:t>
      </w:r>
      <w:r>
        <w:rPr>
          <w:rFonts w:ascii="Times New Roman" w:hAnsi="Times New Roman"/>
          <w:kern w:val="0"/>
          <w:sz w:val="13"/>
          <w:szCs w:val="13"/>
        </w:rPr>
        <w:t xml:space="preserve"> = </w:t>
      </w:r>
      <w:r>
        <w:rPr>
          <w:rFonts w:ascii="AdvPTimes" w:hAnsi="AdvPTimes" w:cs="AdvPTimes"/>
          <w:kern w:val="0"/>
          <w:sz w:val="13"/>
          <w:szCs w:val="13"/>
        </w:rPr>
        <w:t>intensive care unit</w:t>
      </w:r>
      <w:r>
        <w:rPr>
          <w:rFonts w:hint="eastAsia" w:ascii="Times New Roman" w:hAnsi="Times New Roman"/>
          <w:kern w:val="0"/>
          <w:sz w:val="13"/>
          <w:szCs w:val="13"/>
        </w:rPr>
        <w:t>,</w:t>
      </w:r>
      <w:r>
        <w:rPr>
          <w:rFonts w:ascii="Times New Roman" w:hAnsi="Times New Roman"/>
          <w:kern w:val="0"/>
          <w:sz w:val="15"/>
          <w:szCs w:val="15"/>
        </w:rPr>
        <w:t xml:space="preserve"> TXA = tranexamic acid, WMD =</w:t>
      </w:r>
      <w:r>
        <w:rPr>
          <w:rFonts w:ascii="Times New Roman" w:hAnsi="Times New Roman"/>
          <w:sz w:val="15"/>
          <w:szCs w:val="15"/>
        </w:rPr>
        <w:t xml:space="preserve"> weighted mean difference,</w:t>
      </w:r>
      <w:r>
        <w:rPr>
          <w:rFonts w:ascii="Times New Roman" w:hAnsi="Times New Roman"/>
          <w:kern w:val="0"/>
          <w:sz w:val="15"/>
          <w:szCs w:val="15"/>
        </w:rPr>
        <w:t xml:space="preserve"> CI = </w:t>
      </w:r>
      <w:r>
        <w:rPr>
          <w:rFonts w:ascii="Times New Roman" w:hAnsi="Times New Roman"/>
          <w:sz w:val="15"/>
          <w:szCs w:val="15"/>
        </w:rPr>
        <w:t>confidence interval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vPTi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BiNDY0OTIzN2NmYWNkMzhmYjZjZjQyM2E3ZGQzMDQifQ=="/>
  </w:docVars>
  <w:rsids>
    <w:rsidRoot w:val="17971895"/>
    <w:rsid w:val="17971895"/>
    <w:rsid w:val="54BA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2024-05-17T07:13:00Z</dcterms:created>
  <dc:creator>田丽娟</dc:creator>
  <cp:lastModifiedBy>田丽娟</cp:lastModifiedBy>
  <dcterms:modified xsi:type="dcterms:W3CDTF">2024-05-17T07:22:30Z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CA28B9333CB04F1AB3D095B3AA30AFE8_13</vt:lpwstr>
  </property>
</Properties>
</file>