
<file path=[Content_Types].xml><?xml version="1.0" encoding="utf-8"?>
<Types xmlns="http://schemas.openxmlformats.org/package/2006/content-types">
  <Default Extension="png" ContentType="image/png"/>
  <Default Extension="jpeg" ContentType="image/jpeg"/>
  <Default Extension="JPG" ContentType="image/.jp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cs="Arial"/>
          <w:color w:val="auto"/>
        </w:rPr>
      </w:pPr>
    </w:p>
    <w:p>
      <w:pPr>
        <w:rPr>
          <w:rFonts w:ascii="Arial" w:hAnsi="Arial" w:cs="Arial"/>
          <w:color w:val="auto"/>
        </w:rPr>
      </w:pPr>
      <w:r>
        <w:rPr>
          <w:rFonts w:ascii="Arial" w:hAnsi="Arial" w:cs="Arial"/>
          <w:color w:val="auto"/>
        </w:rPr>
        <w:t>Appendix 1. Search strategy</w:t>
      </w:r>
    </w:p>
    <w:tbl>
      <w:tblPr>
        <w:tblStyle w:val="17"/>
        <w:tblW w:w="86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
        <w:gridCol w:w="7473"/>
        <w:gridCol w:w="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8624" w:type="dxa"/>
            <w:gridSpan w:val="3"/>
            <w:noWrap/>
          </w:tcPr>
          <w:p>
            <w:pPr>
              <w:rPr>
                <w:rFonts w:ascii="Arial" w:hAnsi="Arial" w:cs="Arial"/>
                <w:b w:val="0"/>
                <w:bCs w:val="0"/>
                <w:color w:val="auto"/>
                <w:sz w:val="15"/>
                <w:szCs w:val="16"/>
              </w:rPr>
            </w:pPr>
            <w:r>
              <w:rPr>
                <w:rFonts w:ascii="Arial" w:hAnsi="Arial" w:cs="Arial"/>
                <w:b w:val="0"/>
                <w:bCs w:val="0"/>
                <w:color w:val="auto"/>
                <w:sz w:val="15"/>
                <w:szCs w:val="16"/>
              </w:rPr>
              <w:t>Search strategy for PubMed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No.</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Search Query</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1"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#10</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((("Head-Down Tilt"[Mesh]) OR ((((Head-Down Tilt[Title/Abstract]) OR (Tilt, Head-Down[Title/Abstract])) OR (Trendelenburg Position[Title/Abstract])) OR (Position, Trendelenburg[Title/Abstract]))) AND (("Ventilators, Mechanical"[Mesh]) OR ((((((((((Ventilators, Mechanical[Title/Abstract]) OR (Ventilator, Mechanical[Title/Abstract])) OR (Respirators[Title/Abstract])) OR (Respirator[Title/Abstract])) OR (Ventilator, Pulmonary[Title/Abstract])) OR (Ventilators, Pulmonary[Title/Abstract])) OR (Pulmonary Ventilator[Title/Abstract])) OR (Pulmonary Ventilators[Title/Abstract])) OR (Mechanical Ventilators[Title/Abstract])) OR (Ventilators[Title/Abstract])))) AND (("Laparoscopy"[Mesh]) OR ((((((((((((((((((Laparoscopy[Title/Abstract]) OR (Laparoscopies[Title/Abstract])) OR (Peritoneoscopy[Title/Abstract])) OR (Peritoneoscopies[Title/Abstract])) OR (Celioscopy[Title/Abstract])) OR (Celioscopies[Title/Abstract])) OR (Surgical Procedures, Laparoscopic[Title/Abstract])) OR (Surgery, Laparoscopic[Title/Abstract])) OR (Laparoscopic Assisted Surgery[Title/Abstract])) OR (Laparoscopic Assisted Surgeries[Title/Abstract])) OR (Surgeries, Laparoscopic Assisted[Title/Abstract])) OR (Laparoscopic Surgical Procedure[Title/Abstract])) OR (Laparoscopic Surgery[Title/Abstract])) OR (Surgeries, Laparoscopic[Title/Abstract])) OR (Procedures, Laparoscopic Surgical[Title/Abstract])) OR (Surgical Procedure, Laparoscopic[Title/Abstract])) OR (Laparoscopic Surgical Procedures[Title/Abstract])) OR (Procedure, Laparoscopic Surgical[Title/Abstract])))</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#9</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("Laparoscopy"[Mesh]) OR ((((((((((((((((((Laparoscopy[Title/Abstract]) OR (Laparoscopies[Title/Abstract])) OR (Peritoneoscopy[Title/Abstract])) OR (Peritoneoscopies[Title/Abstract])) OR (Celioscopy[Title/Abstract])) OR (Celioscopies[Title/Abstract])) OR (Surgical Procedures, Laparoscopic[Title/Abstract])) OR (Surgery, Laparoscopic[Title/Abstract])) OR (Laparoscopic Assisted Surgery[Title/Abstract])) OR (Laparoscopic Assisted Surgeries[Title/Abstract])) OR (Surgeries, Laparoscopic Assisted[Title/Abstract])) OR (Laparoscopic Surgical Procedure[Title/Abstract])) OR (Laparoscopic Surgery[Title/Abstract])) OR (Surgeries, Laparoscopic[Title/Abstract])) OR (Procedures, Laparoscopic Surgical[Title/Abstract])) OR (Surgical Procedure, Laparoscopic[Title/Abstract])) OR (Laparoscopic Surgical Procedures[Title/Abstract])) OR (Procedure, Laparoscopic Surgical[Title/Abstract]))</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149,612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#8</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(((((((((((((((((Laparoscopy[Title/Abstract]) OR (Laparoscopies[Title/Abstract])) OR (Peritoneoscopy[Title/Abstract])) OR (Peritoneoscopies[Title/Abstract])) OR (Celioscopy[Title/Abstract])) OR (Celioscopies[Title/Abstract])) OR (Surgical Procedures, Laparoscopic[Title/Abstract])) OR (Surgery, Laparoscopic[Title/Abstract])) OR (Laparoscopic Assisted Surgery[Title/Abstract])) OR (Laparoscopic Assisted Surgeries[Title/Abstract])) OR (Surgeries, Laparoscopic Assisted[Title/Abstract])) OR (Laparoscopic Surgical Procedure[Title/Abstract])) OR (Laparoscopic Surgery[Title/Abstract])) OR (Surgeries, Laparoscopic[Title/Abstract])) OR (Procedures, Laparoscopic Surgical[Title/Abstract])) OR (Surgical Procedure, Laparoscopic[Title/Abstract])) OR (Laparoscopic Surgical Procedures[Title/Abstract])) OR (Procedure, Laparoscopic Surgical[Title/Abstract])</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71,590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#7</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"Laparoscopy"[Mesh]</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123,519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#6</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("Ventilators, Mechanical"[Mesh]) OR ((((((((((Ventilators, Mechanical[Title/Abstract]) OR (Ventilator, Mechanical[Title/Abstract])) OR (Respirators[Title/Abstract])) OR (Respirator[Title/Abstract])) OR (Ventilator, Pulmonary[Title/Abstract])) OR (Ventilators, Pulmonary[Title/Abstract])) OR (Pulmonary Ventilator[Title/Abstract])) OR (Pulmonary Ventilators[Title/Abstract])) OR (Mechanical Ventilators[Title/Abstract])) OR (Ventilators[Title/Abstract]))</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62,637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#5</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(((((((((Ventilators, Mechanical[Title/Abstract]) OR (Ventilator, Mechanical[Title/Abstract])) OR (Respirators[Title/Abstract])) OR (Respirator[Title/Abstract])) OR (Ventilator, Pulmonary[Title/Abstract])) OR (Ventilators, Pulmonary[Title/Abstract])) OR (Pulmonary Ventilator[Title/Abstract])) OR (Pulmonary Ventilators[Title/Abstract])) OR (Mechanical Ventilators[Title/Abstract])) OR (Ventilators[Title/Abstract])</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56,383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#4</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"Ventilators, Mechanical"[Mesh]</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10,431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#3</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("Head-Down Tilt"[Mesh]) OR ((((Head-Down Tilt[Title/Abstract]) OR (Tilt, Head-Down[Title/Abstract])) OR (Trendelenburg Position[Title/Abstract])) OR (Position, Trendelenburg[Title/Abstract]))</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3,569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#2</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(((Head-Down Tilt[Title/Abstract]) OR (Tilt, Head-Down[Title/Abstract])) OR (Trendelenburg Position[Title/Abstract])) OR (Position, Trendelenburg[Title/Abstract])</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2,665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#1</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"Head-Down Tilt"[Mesh]</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1,929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8624" w:type="dxa"/>
            <w:gridSpan w:val="3"/>
            <w:noWrap/>
          </w:tcPr>
          <w:p>
            <w:pPr>
              <w:rPr>
                <w:rFonts w:ascii="Arial" w:hAnsi="Arial" w:cs="Arial"/>
                <w:b w:val="0"/>
                <w:bCs w:val="0"/>
                <w:color w:val="auto"/>
                <w:sz w:val="15"/>
                <w:szCs w:val="16"/>
              </w:rPr>
            </w:pPr>
            <w:r>
              <w:rPr>
                <w:rFonts w:ascii="Arial" w:hAnsi="Arial" w:cs="Arial"/>
                <w:b w:val="0"/>
                <w:bCs w:val="0"/>
                <w:color w:val="auto"/>
                <w:sz w:val="15"/>
                <w:szCs w:val="16"/>
              </w:rPr>
              <w:t>Search strategy for Embase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No.</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Search Query</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#10</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#3 AND #6 AND #9</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#9</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#7 OR #8</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329154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#8</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'artificial respiration':ab,ti OR 'aartificial respiratory support':ab,ti OR 'artificial ventilatory support':ab,ti OR 'controlled respiration':ab,ti OR 'controlled ventilation':ab,ti OR 'mechanical respiration':ab,ti OR 'mechanical ventilation':ab,ti OR 'respiration, artificial':ab,ti OR 'ventilation, artificial':ab,ti OR 'artificial ventilation':ab,ti</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109681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#7</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'artificial ventilation'/exp</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314054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#6</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#4 OR #5</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1701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#5</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'head-down tilt':ab,ti</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1513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#4</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'head-down tilt'/exp</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476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#3</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#1 OR #2</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18416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#2</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'peritoneal emphysema':ab,ti OR 'peritoneal pneumatosis':ab,ti OR 'pneumatosis peritonei':ab,ti OR 'pneumopelvioperitoneum':ab,ti OR 'pneumoperitoneum':ab,ti</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12648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#1</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'pneumoperitoneum'/exp</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14776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8624" w:type="dxa"/>
            <w:gridSpan w:val="3"/>
            <w:noWrap/>
          </w:tcPr>
          <w:p>
            <w:pPr>
              <w:rPr>
                <w:rFonts w:ascii="Arial" w:hAnsi="Arial" w:cs="Arial"/>
                <w:b w:val="0"/>
                <w:bCs w:val="0"/>
                <w:color w:val="auto"/>
                <w:sz w:val="15"/>
                <w:szCs w:val="16"/>
              </w:rPr>
            </w:pPr>
            <w:r>
              <w:rPr>
                <w:rFonts w:ascii="Arial" w:hAnsi="Arial" w:cs="Arial"/>
                <w:b w:val="0"/>
                <w:bCs w:val="0"/>
                <w:color w:val="auto"/>
                <w:sz w:val="15"/>
                <w:szCs w:val="16"/>
              </w:rPr>
              <w:t>Search strategy for WOS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No.</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Search Query</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#1</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 xml:space="preserve">Laparoscopy  (Topic) OR Laparoscopic Assisted Surgeries  (Topic) OR Laparoscopic Surgical Procedures  (Topic) OR Procedures, Laparoscopic Surgical  (Topic) OR Laparoscopic Assisted Surgery  (Topic) OR Surgical Procedures, Laparoscopic  (Topic) OR Procedure, Laparoscopic Surgical  (Topic) OR Laparoscopic Surgical Procedure  (Topic) OR Surgery, Laparoscopic  (Topic) OR Laparoscopic Surgeries  (Topic) OR Surgery, Laparoscopic Assisted  (Topic) OR Surgical Procedure, Laparoscopic  (Topic) OR Surgeries, Laparoscopic  (Topic) OR Peritoneoscopies  (Topic) OR Peritoneoscopy  (Topic) OR Celioscopies  (Topic) OR Laparoscopies; Celioscopy  (Topic) and Preprint Citation Index (Exclude – Database) </w:t>
            </w:r>
          </w:p>
        </w:tc>
        <w:tc>
          <w:tcPr>
            <w:tcW w:w="764" w:type="dxa"/>
          </w:tcPr>
          <w:p>
            <w:pPr>
              <w:rPr>
                <w:rFonts w:ascii="Arial" w:hAnsi="Arial" w:cs="Arial"/>
                <w:b w:val="0"/>
                <w:bCs w:val="0"/>
                <w:color w:val="auto"/>
                <w:sz w:val="15"/>
                <w:szCs w:val="16"/>
              </w:rPr>
            </w:pPr>
            <w:r>
              <w:rPr>
                <w:rFonts w:ascii="Arial" w:hAnsi="Arial" w:cs="Arial"/>
                <w:b w:val="0"/>
                <w:bCs w:val="0"/>
                <w:color w:val="auto"/>
                <w:sz w:val="15"/>
                <w:szCs w:val="16"/>
              </w:rPr>
              <w:t>241573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#2</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 xml:space="preserve">Ventilators, Mechanical  (Topic) OR Mechanical Ventilator  (Topic) OR Pulmonary Ventilators  (Topic) OR Ventilator, Pulmonary  (Topic) OR Ventilator, Mechanical  (Topic) OR Ventilators, Pulmonary  (Topic) OR Pulmonary Ventilator  (Topic) OR Respirator  (Topic) OR Respirators  (Topic) OR Mechanical Ventilators  (Topic) OR Ventilators  (Topic) OR Ventilator  (Topic) and Preprint Citation Index (Exclude – Database) </w:t>
            </w:r>
          </w:p>
        </w:tc>
        <w:tc>
          <w:tcPr>
            <w:tcW w:w="764" w:type="dxa"/>
          </w:tcPr>
          <w:p>
            <w:pPr>
              <w:rPr>
                <w:rFonts w:ascii="Arial" w:hAnsi="Arial" w:cs="Arial"/>
                <w:b w:val="0"/>
                <w:bCs w:val="0"/>
                <w:color w:val="auto"/>
                <w:sz w:val="15"/>
                <w:szCs w:val="16"/>
              </w:rPr>
            </w:pPr>
            <w:r>
              <w:rPr>
                <w:rFonts w:ascii="Arial" w:hAnsi="Arial" w:cs="Arial"/>
                <w:b w:val="0"/>
                <w:bCs w:val="0"/>
                <w:color w:val="auto"/>
                <w:sz w:val="15"/>
                <w:szCs w:val="16"/>
              </w:rPr>
              <w:t>152109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#3</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 xml:space="preserve">Head Down Tilt  (Topic) OR Trendelenburg Position  (Topic) OR Position, Trendelenburg  (Topic) OR Tilt, Head-Down  (Topic) OR Head Down Tilt  (Topic) and Preprint Citation Index (Exclude – Database) </w:t>
            </w:r>
          </w:p>
        </w:tc>
        <w:tc>
          <w:tcPr>
            <w:tcW w:w="764" w:type="dxa"/>
          </w:tcPr>
          <w:p>
            <w:pPr>
              <w:rPr>
                <w:rFonts w:ascii="Arial" w:hAnsi="Arial" w:cs="Arial"/>
                <w:b w:val="0"/>
                <w:bCs w:val="0"/>
                <w:color w:val="auto"/>
                <w:sz w:val="15"/>
                <w:szCs w:val="16"/>
              </w:rPr>
            </w:pPr>
            <w:r>
              <w:rPr>
                <w:rFonts w:ascii="Arial" w:hAnsi="Arial" w:cs="Arial"/>
                <w:b w:val="0"/>
                <w:bCs w:val="0"/>
                <w:color w:val="auto"/>
                <w:sz w:val="15"/>
                <w:szCs w:val="16"/>
              </w:rPr>
              <w:t>7446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#4</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 xml:space="preserve">#1 AND #2 AND #3 and Preprint Citation Index (Exclude – Database) </w:t>
            </w:r>
          </w:p>
        </w:tc>
        <w:tc>
          <w:tcPr>
            <w:tcW w:w="764" w:type="dxa"/>
          </w:tcPr>
          <w:p>
            <w:pPr>
              <w:rPr>
                <w:rFonts w:ascii="Arial" w:hAnsi="Arial" w:cs="Arial"/>
                <w:b w:val="0"/>
                <w:bCs w:val="0"/>
                <w:color w:val="auto"/>
                <w:sz w:val="15"/>
                <w:szCs w:val="16"/>
              </w:rPr>
            </w:pPr>
            <w:r>
              <w:rPr>
                <w:rFonts w:ascii="Arial" w:hAnsi="Arial" w:cs="Arial"/>
                <w:b w:val="0"/>
                <w:bCs w:val="0"/>
                <w:color w:val="auto"/>
                <w:sz w:val="15"/>
                <w:szCs w:val="16"/>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8624" w:type="dxa"/>
            <w:gridSpan w:val="3"/>
            <w:noWrap/>
          </w:tcPr>
          <w:p>
            <w:pPr>
              <w:rPr>
                <w:rFonts w:ascii="Arial" w:hAnsi="Arial" w:cs="Arial"/>
                <w:b w:val="0"/>
                <w:bCs w:val="0"/>
                <w:color w:val="auto"/>
                <w:sz w:val="15"/>
                <w:szCs w:val="16"/>
              </w:rPr>
            </w:pPr>
            <w:r>
              <w:rPr>
                <w:rFonts w:ascii="Arial" w:hAnsi="Arial" w:cs="Arial"/>
                <w:b w:val="0"/>
                <w:bCs w:val="0"/>
                <w:color w:val="auto"/>
                <w:sz w:val="15"/>
                <w:szCs w:val="16"/>
              </w:rPr>
              <w:t>Search strategy for  Cochrane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No.</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Search Query</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Results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#1</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MeSH descriptor: [Laparoscopy] explode all trees</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9343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#2</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(Laparoscopic Assisted Surgeries OR Laparoscopic Surgical Procedures OR Procedures, Laparoscopic Surgical OR Laparoscopic Assisted Surgery OR Surgical Procedures, Laparoscopic OR Procedure, Laparoscopic Surgical OR Laparoscopic Surgical Procedure OR Surgery, Laparoscopic OR Laparoscopic Surgeries OR Surgery, Laparoscopic Assisted OR Laparoscopic Surgery OR Surgeries, Laparoscopic Assisted OR Surgical Procedure, Laparoscopic OR Surgeries, Laparoscopic OR Peritoneoscopies; OR Peritoneoscopy OR Celioscopies OR Laparoscopies; Celioscopy):ti,ab,kw (Word variations have been searched)</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21785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#3</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#1 OR #2</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23681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#4</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MeSH descriptor: [Head-Down Tilt] explode all trees</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303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387" w:type="dxa"/>
          </w:tcPr>
          <w:p>
            <w:pPr>
              <w:rPr>
                <w:rFonts w:ascii="Arial" w:hAnsi="Arial" w:cs="Arial"/>
                <w:b w:val="0"/>
                <w:bCs w:val="0"/>
                <w:color w:val="auto"/>
                <w:sz w:val="15"/>
                <w:szCs w:val="16"/>
              </w:rPr>
            </w:pPr>
            <w:r>
              <w:rPr>
                <w:rFonts w:ascii="Arial" w:hAnsi="Arial" w:cs="Arial"/>
                <w:b w:val="0"/>
                <w:bCs w:val="0"/>
                <w:color w:val="auto"/>
                <w:sz w:val="15"/>
                <w:szCs w:val="16"/>
              </w:rPr>
              <w:t>#5</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(Trendelenburg Position OR Position, Trendelenburg OR Tilt, Head-Down OR Head Down Tilt):ti,ab,kw (Word variations have been searched)</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#6</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#4 OR #5</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#7</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MeSH descriptor: [Ventilators, Mechanical] explode all trees</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#8</w:t>
            </w:r>
          </w:p>
        </w:tc>
        <w:tc>
          <w:tcPr>
            <w:tcW w:w="7473" w:type="dxa"/>
          </w:tcPr>
          <w:p>
            <w:pPr>
              <w:rPr>
                <w:rFonts w:ascii="Arial" w:hAnsi="Arial" w:cs="Arial"/>
                <w:b w:val="0"/>
                <w:bCs w:val="0"/>
                <w:color w:val="auto"/>
                <w:sz w:val="15"/>
                <w:szCs w:val="16"/>
              </w:rPr>
            </w:pPr>
            <w:r>
              <w:rPr>
                <w:rFonts w:ascii="Arial" w:hAnsi="Arial" w:cs="Arial"/>
                <w:b w:val="0"/>
                <w:bCs w:val="0"/>
                <w:color w:val="auto"/>
                <w:sz w:val="15"/>
                <w:szCs w:val="16"/>
              </w:rPr>
              <w:t>(Mechanical Ventilator OR Pulmonary Ventilators OR Ventilator, Pulmonary OR Ventilator, Mechanical OR Ventilators, Pulmonary OR Pulmonary Ventilator OR Respirator OR Respirators OR Mechanical Ventilators OR Ventilators OR Ventilator):ti,ab,kw (Word variations have been searched)</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54164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#9</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#7 OR #8</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54164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387" w:type="dxa"/>
            <w:noWrap/>
          </w:tcPr>
          <w:p>
            <w:pPr>
              <w:rPr>
                <w:rFonts w:ascii="Arial" w:hAnsi="Arial" w:cs="Arial"/>
                <w:b w:val="0"/>
                <w:bCs w:val="0"/>
                <w:color w:val="auto"/>
                <w:sz w:val="15"/>
                <w:szCs w:val="16"/>
              </w:rPr>
            </w:pPr>
            <w:r>
              <w:rPr>
                <w:rFonts w:ascii="Arial" w:hAnsi="Arial" w:cs="Arial"/>
                <w:b w:val="0"/>
                <w:bCs w:val="0"/>
                <w:color w:val="auto"/>
                <w:sz w:val="15"/>
                <w:szCs w:val="16"/>
              </w:rPr>
              <w:t>#10</w:t>
            </w:r>
          </w:p>
        </w:tc>
        <w:tc>
          <w:tcPr>
            <w:tcW w:w="7473" w:type="dxa"/>
            <w:noWrap/>
          </w:tcPr>
          <w:p>
            <w:pPr>
              <w:rPr>
                <w:rFonts w:ascii="Arial" w:hAnsi="Arial" w:cs="Arial"/>
                <w:b w:val="0"/>
                <w:bCs w:val="0"/>
                <w:color w:val="auto"/>
                <w:sz w:val="15"/>
                <w:szCs w:val="16"/>
              </w:rPr>
            </w:pPr>
            <w:r>
              <w:rPr>
                <w:rFonts w:ascii="Arial" w:hAnsi="Arial" w:cs="Arial"/>
                <w:b w:val="0"/>
                <w:bCs w:val="0"/>
                <w:color w:val="auto"/>
                <w:sz w:val="15"/>
                <w:szCs w:val="16"/>
              </w:rPr>
              <w:t>#3 AND #6 AND #9</w:t>
            </w:r>
          </w:p>
        </w:tc>
        <w:tc>
          <w:tcPr>
            <w:tcW w:w="764" w:type="dxa"/>
            <w:noWrap/>
          </w:tcPr>
          <w:p>
            <w:pPr>
              <w:rPr>
                <w:rFonts w:ascii="Arial" w:hAnsi="Arial" w:cs="Arial"/>
                <w:b w:val="0"/>
                <w:bCs w:val="0"/>
                <w:color w:val="auto"/>
                <w:sz w:val="15"/>
                <w:szCs w:val="16"/>
              </w:rPr>
            </w:pPr>
            <w:r>
              <w:rPr>
                <w:rFonts w:ascii="Arial" w:hAnsi="Arial" w:cs="Arial"/>
                <w:b w:val="0"/>
                <w:bCs w:val="0"/>
                <w:color w:val="auto"/>
                <w:sz w:val="15"/>
                <w:szCs w:val="16"/>
              </w:rPr>
              <w:t>168</w:t>
            </w:r>
          </w:p>
        </w:tc>
      </w:tr>
    </w:tbl>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tabs>
          <w:tab w:val="left" w:pos="3225"/>
        </w:tabs>
        <w:rPr>
          <w:rFonts w:ascii="Arial" w:hAnsi="Arial" w:cs="Arial"/>
          <w:b w:val="0"/>
          <w:bCs w:val="0"/>
          <w:color w:val="auto"/>
        </w:rPr>
      </w:pPr>
    </w:p>
    <w:p>
      <w:pPr>
        <w:jc w:val="center"/>
        <w:rPr>
          <w:rFonts w:ascii="Arial" w:hAnsi="Arial" w:cs="Arial"/>
          <w:b w:val="0"/>
          <w:bCs w:val="0"/>
          <w:color w:val="auto"/>
        </w:rPr>
      </w:pPr>
    </w:p>
    <w:p>
      <w:pPr>
        <w:jc w:val="center"/>
        <w:rPr>
          <w:rFonts w:ascii="Arial" w:hAnsi="Arial" w:cs="Arial"/>
          <w:b w:val="0"/>
          <w:bCs w:val="0"/>
          <w:color w:val="auto"/>
        </w:rPr>
      </w:pPr>
    </w:p>
    <w:p>
      <w:pPr>
        <w:jc w:val="center"/>
        <w:rPr>
          <w:rFonts w:ascii="Arial" w:hAnsi="Arial" w:cs="Arial"/>
          <w:b w:val="0"/>
          <w:bCs w:val="0"/>
          <w:color w:val="auto"/>
        </w:rPr>
      </w:pPr>
    </w:p>
    <w:p>
      <w:pPr>
        <w:jc w:val="center"/>
        <w:rPr>
          <w:rFonts w:ascii="Arial" w:hAnsi="Arial" w:cs="Arial"/>
          <w:b w:val="0"/>
          <w:bCs w:val="0"/>
          <w:color w:val="auto"/>
        </w:rPr>
      </w:pPr>
    </w:p>
    <w:p>
      <w:pPr>
        <w:rPr>
          <w:rFonts w:hint="eastAsia"/>
          <w:color w:val="auto"/>
        </w:rPr>
      </w:pPr>
      <w:r>
        <w:rPr>
          <w:rFonts w:ascii="Arial" w:hAnsi="Arial" w:cs="Arial"/>
          <w:color w:val="auto"/>
        </w:rPr>
        <w:t xml:space="preserve">Appendix </w:t>
      </w:r>
      <w:r>
        <w:rPr>
          <w:rFonts w:hint="eastAsia" w:ascii="Arial" w:hAnsi="Arial" w:cs="Arial"/>
          <w:color w:val="auto"/>
        </w:rPr>
        <w:t>2</w:t>
      </w:r>
      <w:r>
        <w:rPr>
          <w:rFonts w:ascii="Arial" w:hAnsi="Arial" w:cs="Arial"/>
          <w:color w:val="auto"/>
        </w:rPr>
        <w:t xml:space="preserve">. </w:t>
      </w:r>
      <w:r>
        <w:rPr>
          <w:rFonts w:hint="eastAsia" w:ascii="Arial" w:hAnsi="Arial" w:cs="Arial"/>
          <w:color w:val="auto"/>
          <w:sz w:val="24"/>
          <w:lang w:bidi="en-US"/>
        </w:rPr>
        <w:t>The Forest plots</w:t>
      </w:r>
    </w:p>
    <w:p>
      <w:pPr>
        <w:rPr>
          <w:rFonts w:hint="eastAsia"/>
          <w:color w:val="auto"/>
        </w:rPr>
      </w:pPr>
    </w:p>
    <w:p>
      <w:pPr>
        <w:rPr>
          <w:rFonts w:hint="eastAsia"/>
          <w:color w:val="auto"/>
        </w:rPr>
      </w:pPr>
      <w:r>
        <w:rPr>
          <w:rFonts w:hint="eastAsia"/>
          <w:color w:val="auto"/>
        </w:rPr>
        <w:drawing>
          <wp:inline distT="0" distB="0" distL="114300" distR="114300">
            <wp:extent cx="5275580" cy="5978525"/>
            <wp:effectExtent l="0" t="0" r="12700" b="10795"/>
            <wp:docPr id="5" name="图片 5" descr="The Forest plots of Ppeak between PCV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he Forest plots of Ppeak between PCV and VCV"/>
                    <pic:cNvPicPr>
                      <a:picLocks noChangeAspect="1"/>
                    </pic:cNvPicPr>
                  </pic:nvPicPr>
                  <pic:blipFill>
                    <a:blip r:embed="rId8"/>
                    <a:stretch>
                      <a:fillRect/>
                    </a:stretch>
                  </pic:blipFill>
                  <pic:spPr>
                    <a:xfrm>
                      <a:off x="0" y="0"/>
                      <a:ext cx="5275580" cy="597852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1. The Forest plots of Ppeak between PCV and VCV</w:t>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5580" cy="4718050"/>
            <wp:effectExtent l="0" t="0" r="12700" b="6350"/>
            <wp:docPr id="6" name="图片 6" descr="The Forest plots of Ppeak between PCV-VG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The Forest plots of Ppeak between PCV-VG and VCV"/>
                    <pic:cNvPicPr>
                      <a:picLocks noChangeAspect="1"/>
                    </pic:cNvPicPr>
                  </pic:nvPicPr>
                  <pic:blipFill>
                    <a:blip r:embed="rId9"/>
                    <a:stretch>
                      <a:fillRect/>
                    </a:stretch>
                  </pic:blipFill>
                  <pic:spPr>
                    <a:xfrm>
                      <a:off x="0" y="0"/>
                      <a:ext cx="5275580" cy="4718050"/>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2. The Forest plots of Ppeak between PCV-VG and VCV</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5580" cy="6290945"/>
            <wp:effectExtent l="0" t="0" r="12700" b="3175"/>
            <wp:docPr id="7" name="图片 7" descr="The Forest plots of Cydn between PCV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The Forest plots of Cydn between PCV and VCV"/>
                    <pic:cNvPicPr>
                      <a:picLocks noChangeAspect="1"/>
                    </pic:cNvPicPr>
                  </pic:nvPicPr>
                  <pic:blipFill>
                    <a:blip r:embed="rId10"/>
                    <a:stretch>
                      <a:fillRect/>
                    </a:stretch>
                  </pic:blipFill>
                  <pic:spPr>
                    <a:xfrm>
                      <a:off x="0" y="0"/>
                      <a:ext cx="5275580" cy="629094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3. The Forest plots of Cydn between PCV and VCV</w:t>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5580" cy="5137785"/>
            <wp:effectExtent l="0" t="0" r="12700" b="13335"/>
            <wp:docPr id="8" name="图片 8" descr="The Forest plots of Cydn between PCV-VG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The Forest plots of Cydn between PCV-VG and VCV"/>
                    <pic:cNvPicPr>
                      <a:picLocks noChangeAspect="1"/>
                    </pic:cNvPicPr>
                  </pic:nvPicPr>
                  <pic:blipFill>
                    <a:blip r:embed="rId11"/>
                    <a:stretch>
                      <a:fillRect/>
                    </a:stretch>
                  </pic:blipFill>
                  <pic:spPr>
                    <a:xfrm>
                      <a:off x="0" y="0"/>
                      <a:ext cx="5275580" cy="513778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4. The Forest plots of Cydn between PCV-VG and VCV</w:t>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5580" cy="3145790"/>
            <wp:effectExtent l="0" t="0" r="12700" b="8890"/>
            <wp:docPr id="9" name="图片 9" descr="The Forest plots of Pplat between PCV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The Forest plots of Pplat between PCV and VCV"/>
                    <pic:cNvPicPr>
                      <a:picLocks noChangeAspect="1"/>
                    </pic:cNvPicPr>
                  </pic:nvPicPr>
                  <pic:blipFill>
                    <a:blip r:embed="rId12"/>
                    <a:stretch>
                      <a:fillRect/>
                    </a:stretch>
                  </pic:blipFill>
                  <pic:spPr>
                    <a:xfrm>
                      <a:off x="0" y="0"/>
                      <a:ext cx="5275580" cy="3145790"/>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5. The Forest plots of Pplat between PCV and VCV</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5580" cy="4403725"/>
            <wp:effectExtent l="0" t="0" r="12700" b="635"/>
            <wp:docPr id="10" name="图片 10" descr="The Forest plots of Plat between PCV-VG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The Forest plots of Plat between PCV-VG and VCV"/>
                    <pic:cNvPicPr>
                      <a:picLocks noChangeAspect="1"/>
                    </pic:cNvPicPr>
                  </pic:nvPicPr>
                  <pic:blipFill>
                    <a:blip r:embed="rId13"/>
                    <a:stretch>
                      <a:fillRect/>
                    </a:stretch>
                  </pic:blipFill>
                  <pic:spPr>
                    <a:xfrm>
                      <a:off x="0" y="0"/>
                      <a:ext cx="5275580" cy="440372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6. The Forest plots of Pplat between PCV-VG and VCV</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7485" cy="4813300"/>
            <wp:effectExtent l="0" t="0" r="10795" b="2540"/>
            <wp:docPr id="11" name="图片 11" descr="The Forest plots of PO2 between PCV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The Forest plots of PO2 between PCV and VCV"/>
                    <pic:cNvPicPr>
                      <a:picLocks noChangeAspect="1"/>
                    </pic:cNvPicPr>
                  </pic:nvPicPr>
                  <pic:blipFill>
                    <a:blip r:embed="rId14"/>
                    <a:stretch>
                      <a:fillRect/>
                    </a:stretch>
                  </pic:blipFill>
                  <pic:spPr>
                    <a:xfrm>
                      <a:off x="0" y="0"/>
                      <a:ext cx="5277485" cy="4813300"/>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7. The Forest plots of PO</w:t>
      </w:r>
      <w:r>
        <w:rPr>
          <w:rFonts w:hint="eastAsia" w:ascii="Arial" w:hAnsi="Arial" w:cs="Arial"/>
          <w:b w:val="0"/>
          <w:bCs w:val="0"/>
          <w:color w:val="auto"/>
          <w:vertAlign w:val="subscript"/>
        </w:rPr>
        <w:t>2</w:t>
      </w:r>
      <w:r>
        <w:rPr>
          <w:rFonts w:hint="eastAsia" w:ascii="Arial" w:hAnsi="Arial" w:cs="Arial"/>
          <w:b w:val="0"/>
          <w:bCs w:val="0"/>
          <w:color w:val="auto"/>
        </w:rPr>
        <w:t xml:space="preserve"> between PCV and VCV</w:t>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7485" cy="4206875"/>
            <wp:effectExtent l="0" t="0" r="10795" b="14605"/>
            <wp:docPr id="12" name="图片 12" descr="The Forest plots of PO2 between PCV-VG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The Forest plots of PO2 between PCV-VG and VCV"/>
                    <pic:cNvPicPr>
                      <a:picLocks noChangeAspect="1"/>
                    </pic:cNvPicPr>
                  </pic:nvPicPr>
                  <pic:blipFill>
                    <a:blip r:embed="rId15"/>
                    <a:stretch>
                      <a:fillRect/>
                    </a:stretch>
                  </pic:blipFill>
                  <pic:spPr>
                    <a:xfrm>
                      <a:off x="0" y="0"/>
                      <a:ext cx="5277485" cy="420687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8. The Forest plots of PO</w:t>
      </w:r>
      <w:r>
        <w:rPr>
          <w:rFonts w:hint="eastAsia" w:ascii="Arial" w:hAnsi="Arial" w:cs="Arial"/>
          <w:b w:val="0"/>
          <w:bCs w:val="0"/>
          <w:color w:val="auto"/>
          <w:sz w:val="20"/>
          <w:szCs w:val="21"/>
          <w:vertAlign w:val="subscript"/>
        </w:rPr>
        <w:t>2</w:t>
      </w:r>
      <w:r>
        <w:rPr>
          <w:rFonts w:hint="eastAsia" w:ascii="Arial" w:hAnsi="Arial" w:cs="Arial"/>
          <w:b w:val="0"/>
          <w:bCs w:val="0"/>
          <w:color w:val="auto"/>
          <w:vertAlign w:val="subscript"/>
        </w:rPr>
        <w:t xml:space="preserve"> </w:t>
      </w:r>
      <w:r>
        <w:rPr>
          <w:rFonts w:hint="eastAsia" w:ascii="Arial" w:hAnsi="Arial" w:cs="Arial"/>
          <w:b w:val="0"/>
          <w:bCs w:val="0"/>
          <w:color w:val="auto"/>
        </w:rPr>
        <w:t>between PCV-VG and VCV</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5580" cy="4928235"/>
            <wp:effectExtent l="0" t="0" r="12700" b="9525"/>
            <wp:docPr id="13" name="图片 13" descr="The Forest plots of PCO2 between PCV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The Forest plots of PCO2 between PCV and VCV"/>
                    <pic:cNvPicPr>
                      <a:picLocks noChangeAspect="1"/>
                    </pic:cNvPicPr>
                  </pic:nvPicPr>
                  <pic:blipFill>
                    <a:blip r:embed="rId16"/>
                    <a:stretch>
                      <a:fillRect/>
                    </a:stretch>
                  </pic:blipFill>
                  <pic:spPr>
                    <a:xfrm>
                      <a:off x="0" y="0"/>
                      <a:ext cx="5275580" cy="492823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9. The Forest plots of PCO</w:t>
      </w:r>
      <w:r>
        <w:rPr>
          <w:rFonts w:hint="eastAsia" w:ascii="Arial" w:hAnsi="Arial" w:cs="Arial"/>
          <w:b w:val="0"/>
          <w:bCs w:val="0"/>
          <w:color w:val="auto"/>
          <w:sz w:val="20"/>
          <w:szCs w:val="21"/>
          <w:vertAlign w:val="subscript"/>
        </w:rPr>
        <w:t>2</w:t>
      </w:r>
      <w:r>
        <w:rPr>
          <w:rFonts w:hint="eastAsia" w:ascii="Arial" w:hAnsi="Arial" w:cs="Arial"/>
          <w:b w:val="0"/>
          <w:bCs w:val="0"/>
          <w:color w:val="auto"/>
        </w:rPr>
        <w:t xml:space="preserve"> between PCV and VCV</w:t>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4945" cy="4573270"/>
            <wp:effectExtent l="0" t="0" r="13335" b="13970"/>
            <wp:docPr id="14" name="图片 14" descr="The Forest plots of PCO2 between PCV-VG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The Forest plots of PCO2 between PCV-VG and VCV"/>
                    <pic:cNvPicPr>
                      <a:picLocks noChangeAspect="1"/>
                    </pic:cNvPicPr>
                  </pic:nvPicPr>
                  <pic:blipFill>
                    <a:blip r:embed="rId17"/>
                    <a:stretch>
                      <a:fillRect/>
                    </a:stretch>
                  </pic:blipFill>
                  <pic:spPr>
                    <a:xfrm>
                      <a:off x="0" y="0"/>
                      <a:ext cx="5274945" cy="4573270"/>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10. The Forest plots of PCO</w:t>
      </w:r>
      <w:r>
        <w:rPr>
          <w:rFonts w:hint="eastAsia" w:ascii="Arial" w:hAnsi="Arial" w:cs="Arial"/>
          <w:b w:val="0"/>
          <w:bCs w:val="0"/>
          <w:color w:val="auto"/>
          <w:vertAlign w:val="subscript"/>
        </w:rPr>
        <w:t>2</w:t>
      </w:r>
      <w:r>
        <w:rPr>
          <w:rFonts w:hint="eastAsia" w:ascii="Arial" w:hAnsi="Arial" w:cs="Arial"/>
          <w:b w:val="0"/>
          <w:bCs w:val="0"/>
          <w:color w:val="auto"/>
        </w:rPr>
        <w:t xml:space="preserve"> between PCV-VG and VCV</w:t>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4310" cy="4023360"/>
            <wp:effectExtent l="0" t="0" r="13970" b="0"/>
            <wp:docPr id="15" name="图片 15" descr="The Forest plots of pH between PCV-VG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The Forest plots of pH between PCV-VG and VCV"/>
                    <pic:cNvPicPr>
                      <a:picLocks noChangeAspect="1"/>
                    </pic:cNvPicPr>
                  </pic:nvPicPr>
                  <pic:blipFill>
                    <a:blip r:embed="rId18"/>
                    <a:stretch>
                      <a:fillRect/>
                    </a:stretch>
                  </pic:blipFill>
                  <pic:spPr>
                    <a:xfrm>
                      <a:off x="0" y="0"/>
                      <a:ext cx="5274310" cy="4023360"/>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11. The Forest plots of pH between PCV-VG and VCV</w:t>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4945" cy="5324475"/>
            <wp:effectExtent l="0" t="0" r="13335" b="9525"/>
            <wp:docPr id="16" name="图片 16" descr="The Forest plots of Oxygenation index between PCV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The Forest plots of Oxygenation index between PCV and VCV"/>
                    <pic:cNvPicPr>
                      <a:picLocks noChangeAspect="1"/>
                    </pic:cNvPicPr>
                  </pic:nvPicPr>
                  <pic:blipFill>
                    <a:blip r:embed="rId19"/>
                    <a:stretch>
                      <a:fillRect/>
                    </a:stretch>
                  </pic:blipFill>
                  <pic:spPr>
                    <a:xfrm>
                      <a:off x="0" y="0"/>
                      <a:ext cx="5274945" cy="532447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12. The Forest plots of Oxygenation index between PCV and VCV</w:t>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drawing>
          <wp:inline distT="0" distB="0" distL="114300" distR="114300">
            <wp:extent cx="5272405" cy="4041775"/>
            <wp:effectExtent l="0" t="0" r="635" b="12065"/>
            <wp:docPr id="17" name="图片 17" descr="The Forest plots of Oxygenation index between PCV-VG and V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The Forest plots of Oxygenation index between PCV-VG and VCV"/>
                    <pic:cNvPicPr>
                      <a:picLocks noChangeAspect="1"/>
                    </pic:cNvPicPr>
                  </pic:nvPicPr>
                  <pic:blipFill>
                    <a:blip r:embed="rId20"/>
                    <a:stretch>
                      <a:fillRect/>
                    </a:stretch>
                  </pic:blipFill>
                  <pic:spPr>
                    <a:xfrm>
                      <a:off x="0" y="0"/>
                      <a:ext cx="5272405" cy="404177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hint="eastAsia" w:ascii="Arial" w:hAnsi="Arial" w:cs="Arial"/>
          <w:b w:val="0"/>
          <w:bCs w:val="0"/>
          <w:color w:val="auto"/>
        </w:rPr>
        <w:t>Figure 13. The Forest plots of Oxygenation index between PCV-VG and VCV</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sectPr>
          <w:headerReference r:id="rId3" w:type="default"/>
          <w:footerReference r:id="rId5" w:type="default"/>
          <w:headerReference r:id="rId4" w:type="even"/>
          <w:footerReference r:id="rId6" w:type="even"/>
          <w:pgSz w:w="11906" w:h="16838"/>
          <w:pgMar w:top="1440" w:right="1797" w:bottom="1440" w:left="1797" w:header="851" w:footer="992" w:gutter="0"/>
          <w:cols w:space="425" w:num="1"/>
          <w:docGrid w:linePitch="312" w:charSpace="0"/>
        </w:sectPr>
      </w:pPr>
    </w:p>
    <w:p>
      <w:pPr>
        <w:rPr>
          <w:rFonts w:ascii="Arial" w:hAnsi="Arial" w:cs="Arial"/>
          <w:b w:val="0"/>
          <w:bCs w:val="0"/>
          <w:color w:val="auto"/>
        </w:rPr>
      </w:pPr>
    </w:p>
    <w:p>
      <w:pPr>
        <w:rPr>
          <w:rFonts w:ascii="Arial" w:hAnsi="Arial" w:cs="Arial"/>
          <w:color w:val="auto"/>
        </w:rPr>
      </w:pPr>
      <w:r>
        <w:rPr>
          <w:rFonts w:hint="eastAsia" w:ascii="Arial" w:hAnsi="Arial" w:cs="Arial"/>
          <w:color w:val="auto"/>
        </w:rPr>
        <w:t>Appendix 3. Subgroup analysis</w:t>
      </w:r>
    </w:p>
    <w:p>
      <w:pPr>
        <w:rPr>
          <w:rFonts w:ascii="Arial" w:hAnsi="Arial" w:cs="Arial"/>
          <w:color w:val="auto"/>
        </w:rPr>
      </w:pPr>
    </w:p>
    <w:p>
      <w:pPr>
        <w:rPr>
          <w:rFonts w:ascii="Arial" w:hAnsi="Arial" w:cs="Arial"/>
          <w:color w:val="auto"/>
        </w:rPr>
      </w:pPr>
      <w:r>
        <w:rPr>
          <w:rFonts w:hint="eastAsia" w:ascii="Arial" w:hAnsi="Arial" w:cs="Arial"/>
          <w:color w:val="auto"/>
        </w:rPr>
        <w:drawing>
          <wp:inline distT="0" distB="0" distL="114300" distR="114300">
            <wp:extent cx="5275580" cy="3040380"/>
            <wp:effectExtent l="0" t="0" r="12700" b="7620"/>
            <wp:docPr id="19" name="图片 19" descr="Figure 1.  Subgroup analysis of Ppeak between PCV and VCV at 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igure 1.  Subgroup analysis of Ppeak between PCV and VCV at T1"/>
                    <pic:cNvPicPr>
                      <a:picLocks noChangeAspect="1"/>
                    </pic:cNvPicPr>
                  </pic:nvPicPr>
                  <pic:blipFill>
                    <a:blip r:embed="rId21"/>
                    <a:stretch>
                      <a:fillRect/>
                    </a:stretch>
                  </pic:blipFill>
                  <pic:spPr>
                    <a:xfrm>
                      <a:off x="0" y="0"/>
                      <a:ext cx="5275580" cy="3040380"/>
                    </a:xfrm>
                    <a:prstGeom prst="rect">
                      <a:avLst/>
                    </a:prstGeom>
                  </pic:spPr>
                </pic:pic>
              </a:graphicData>
            </a:graphic>
          </wp:inline>
        </w:drawing>
      </w:r>
    </w:p>
    <w:p>
      <w:pPr>
        <w:rPr>
          <w:rFonts w:ascii="Arial" w:hAnsi="Arial" w:cs="Arial"/>
          <w:color w:val="auto"/>
        </w:rPr>
      </w:pPr>
    </w:p>
    <w:p>
      <w:pPr>
        <w:rPr>
          <w:rFonts w:ascii="Arial" w:hAnsi="Arial" w:cs="Arial"/>
          <w:b w:val="0"/>
          <w:bCs w:val="0"/>
          <w:color w:val="auto"/>
        </w:rPr>
      </w:pPr>
      <w:r>
        <w:rPr>
          <w:rFonts w:hint="eastAsia" w:ascii="Arial" w:hAnsi="Arial" w:cs="Arial"/>
          <w:color w:val="auto"/>
        </w:rPr>
        <w:t xml:space="preserve"> </w:t>
      </w:r>
      <w:r>
        <w:rPr>
          <w:rFonts w:hint="eastAsia" w:ascii="Arial" w:hAnsi="Arial" w:cs="Arial"/>
          <w:b w:val="0"/>
          <w:bCs w:val="0"/>
          <w:color w:val="auto"/>
        </w:rPr>
        <w:t>Figure 1. The subgroup analysis of Ppeak between PCV and VCV at T1</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drawing>
          <wp:inline distT="0" distB="0" distL="114300" distR="114300">
            <wp:extent cx="5271135" cy="2019300"/>
            <wp:effectExtent l="0" t="0" r="1905" b="7620"/>
            <wp:docPr id="20" name="图片 20" descr="Figure 2.  Subgroup analysis of Ppeak between PCV-VG and VCV at 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igure 2.  Subgroup analysis of Ppeak between PCV-VG and VCV at T1"/>
                    <pic:cNvPicPr>
                      <a:picLocks noChangeAspect="1"/>
                    </pic:cNvPicPr>
                  </pic:nvPicPr>
                  <pic:blipFill>
                    <a:blip r:embed="rId22"/>
                    <a:stretch>
                      <a:fillRect/>
                    </a:stretch>
                  </pic:blipFill>
                  <pic:spPr>
                    <a:xfrm>
                      <a:off x="0" y="0"/>
                      <a:ext cx="5271135" cy="2019300"/>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t xml:space="preserve">Figure 2. </w:t>
      </w:r>
      <w:r>
        <w:rPr>
          <w:rFonts w:hint="eastAsia" w:ascii="Arial" w:hAnsi="Arial" w:cs="Arial"/>
          <w:b w:val="0"/>
          <w:bCs w:val="0"/>
          <w:color w:val="auto"/>
        </w:rPr>
        <w:t>The s</w:t>
      </w:r>
      <w:r>
        <w:rPr>
          <w:rFonts w:ascii="Arial" w:hAnsi="Arial" w:cs="Arial"/>
          <w:b w:val="0"/>
          <w:bCs w:val="0"/>
          <w:color w:val="auto"/>
        </w:rPr>
        <w:t>ubgroup analysis of Ppeak between PCV-VG and VCV at T1</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drawing>
          <wp:inline distT="0" distB="0" distL="114300" distR="114300">
            <wp:extent cx="5275580" cy="2726055"/>
            <wp:effectExtent l="0" t="0" r="12700" b="1905"/>
            <wp:docPr id="21" name="图片 21" descr="Figure 3.  Subgroup analysis of Ppeak between PCV and VCV at 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igure 3.  Subgroup analysis of Ppeak between PCV and VCV at T2"/>
                    <pic:cNvPicPr>
                      <a:picLocks noChangeAspect="1"/>
                    </pic:cNvPicPr>
                  </pic:nvPicPr>
                  <pic:blipFill>
                    <a:blip r:embed="rId23"/>
                    <a:stretch>
                      <a:fillRect/>
                    </a:stretch>
                  </pic:blipFill>
                  <pic:spPr>
                    <a:xfrm>
                      <a:off x="0" y="0"/>
                      <a:ext cx="5275580" cy="272605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t xml:space="preserve">Figure 3. </w:t>
      </w:r>
      <w:r>
        <w:rPr>
          <w:rFonts w:hint="eastAsia" w:ascii="Arial" w:hAnsi="Arial" w:cs="Arial"/>
          <w:b w:val="0"/>
          <w:bCs w:val="0"/>
          <w:color w:val="auto"/>
        </w:rPr>
        <w:t>The s</w:t>
      </w:r>
      <w:r>
        <w:rPr>
          <w:rFonts w:ascii="Arial" w:hAnsi="Arial" w:cs="Arial"/>
          <w:b w:val="0"/>
          <w:bCs w:val="0"/>
          <w:color w:val="auto"/>
        </w:rPr>
        <w:t>ubgroup analysis of Ppeak between PCV and VCV at T2</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drawing>
          <wp:inline distT="0" distB="0" distL="114300" distR="114300">
            <wp:extent cx="5271135" cy="2499995"/>
            <wp:effectExtent l="0" t="0" r="1905" b="14605"/>
            <wp:docPr id="22" name="图片 22" descr="Figure 4.  Subgroup analysis of Ppeak between PCV-VG and VCV at 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igure 4.  Subgroup analysis of Ppeak between PCV-VG and VCV at T2"/>
                    <pic:cNvPicPr>
                      <a:picLocks noChangeAspect="1"/>
                    </pic:cNvPicPr>
                  </pic:nvPicPr>
                  <pic:blipFill>
                    <a:blip r:embed="rId24"/>
                    <a:stretch>
                      <a:fillRect/>
                    </a:stretch>
                  </pic:blipFill>
                  <pic:spPr>
                    <a:xfrm>
                      <a:off x="0" y="0"/>
                      <a:ext cx="5271135" cy="249999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t xml:space="preserve">Figure 4. </w:t>
      </w:r>
      <w:r>
        <w:rPr>
          <w:rFonts w:hint="eastAsia" w:ascii="Arial" w:hAnsi="Arial" w:cs="Arial"/>
          <w:b w:val="0"/>
          <w:bCs w:val="0"/>
          <w:color w:val="auto"/>
        </w:rPr>
        <w:t>The s</w:t>
      </w:r>
      <w:r>
        <w:rPr>
          <w:rFonts w:ascii="Arial" w:hAnsi="Arial" w:cs="Arial"/>
          <w:b w:val="0"/>
          <w:bCs w:val="0"/>
          <w:color w:val="auto"/>
        </w:rPr>
        <w:t>ubgroup analysis of Ppeak between PCV-VG and VCV at T2</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drawing>
          <wp:inline distT="0" distB="0" distL="114300" distR="114300">
            <wp:extent cx="5273040" cy="1959610"/>
            <wp:effectExtent l="0" t="0" r="0" b="6350"/>
            <wp:docPr id="23" name="图片 23" descr="Figure 5.  Subgroup analysis of Ppeak between PCV and VCV at 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igure 5.  Subgroup analysis of Ppeak between PCV and VCV at T3"/>
                    <pic:cNvPicPr>
                      <a:picLocks noChangeAspect="1"/>
                    </pic:cNvPicPr>
                  </pic:nvPicPr>
                  <pic:blipFill>
                    <a:blip r:embed="rId25"/>
                    <a:stretch>
                      <a:fillRect/>
                    </a:stretch>
                  </pic:blipFill>
                  <pic:spPr>
                    <a:xfrm>
                      <a:off x="0" y="0"/>
                      <a:ext cx="5273040" cy="1959610"/>
                    </a:xfrm>
                    <a:prstGeom prst="rect">
                      <a:avLst/>
                    </a:prstGeom>
                  </pic:spPr>
                </pic:pic>
              </a:graphicData>
            </a:graphic>
          </wp:inline>
        </w:drawing>
      </w:r>
    </w:p>
    <w:p>
      <w:pPr>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 xml:space="preserve">Figure 5. </w:t>
      </w:r>
      <w:r>
        <w:rPr>
          <w:rFonts w:hint="eastAsia" w:ascii="Arial" w:hAnsi="Arial" w:cs="Arial"/>
          <w:b w:val="0"/>
          <w:bCs w:val="0"/>
          <w:color w:val="auto"/>
        </w:rPr>
        <w:t>The s</w:t>
      </w:r>
      <w:r>
        <w:rPr>
          <w:rFonts w:ascii="Arial" w:hAnsi="Arial" w:cs="Arial"/>
          <w:b w:val="0"/>
          <w:bCs w:val="0"/>
          <w:color w:val="auto"/>
        </w:rPr>
        <w:t>ubgroup analysis of Ppeak between PCV and VCV at T3</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5271135" cy="2596515"/>
            <wp:effectExtent l="0" t="0" r="1905" b="9525"/>
            <wp:docPr id="24" name="图片 24" descr="Figure 6.  Subgroup analysis of Ppeak between PCV-VG and VCV at 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igure 6.  Subgroup analysis of Ppeak between PCV-VG and VCV at T3"/>
                    <pic:cNvPicPr>
                      <a:picLocks noChangeAspect="1"/>
                    </pic:cNvPicPr>
                  </pic:nvPicPr>
                  <pic:blipFill>
                    <a:blip r:embed="rId26"/>
                    <a:stretch>
                      <a:fillRect/>
                    </a:stretch>
                  </pic:blipFill>
                  <pic:spPr>
                    <a:xfrm>
                      <a:off x="0" y="0"/>
                      <a:ext cx="5271135" cy="2596515"/>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Figure 6.</w:t>
      </w:r>
      <w:r>
        <w:rPr>
          <w:rFonts w:hint="eastAsia" w:ascii="Arial" w:hAnsi="Arial" w:cs="Arial"/>
          <w:b w:val="0"/>
          <w:bCs w:val="0"/>
          <w:color w:val="auto"/>
        </w:rPr>
        <w:t xml:space="preserve"> The s</w:t>
      </w:r>
      <w:r>
        <w:rPr>
          <w:rFonts w:ascii="Arial" w:hAnsi="Arial" w:cs="Arial"/>
          <w:b w:val="0"/>
          <w:bCs w:val="0"/>
          <w:color w:val="auto"/>
        </w:rPr>
        <w:t>ubgroup analysis of Ppeak between PCV-VG and VCV at T3</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5275580" cy="2830830"/>
            <wp:effectExtent l="0" t="0" r="12700" b="3810"/>
            <wp:docPr id="25" name="图片 25" descr="Figure 7.  Subgroup analysis of Ppeak between PCV and VCV at 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igure 7.  Subgroup analysis of Ppeak between PCV and VCV at T5"/>
                    <pic:cNvPicPr>
                      <a:picLocks noChangeAspect="1"/>
                    </pic:cNvPicPr>
                  </pic:nvPicPr>
                  <pic:blipFill>
                    <a:blip r:embed="rId27"/>
                    <a:stretch>
                      <a:fillRect/>
                    </a:stretch>
                  </pic:blipFill>
                  <pic:spPr>
                    <a:xfrm>
                      <a:off x="0" y="0"/>
                      <a:ext cx="5275580" cy="2830830"/>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 xml:space="preserve">Figure 7. </w:t>
      </w:r>
      <w:r>
        <w:rPr>
          <w:rFonts w:hint="eastAsia" w:ascii="Arial" w:hAnsi="Arial" w:cs="Arial"/>
          <w:b w:val="0"/>
          <w:bCs w:val="0"/>
          <w:color w:val="auto"/>
        </w:rPr>
        <w:t>The s</w:t>
      </w:r>
      <w:r>
        <w:rPr>
          <w:rFonts w:ascii="Arial" w:hAnsi="Arial" w:cs="Arial"/>
          <w:b w:val="0"/>
          <w:bCs w:val="0"/>
          <w:color w:val="auto"/>
        </w:rPr>
        <w:t>ubgroup analysis of Ppeak between PCV and VCV at T5</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5271135" cy="1923415"/>
            <wp:effectExtent l="0" t="0" r="1905" b="12065"/>
            <wp:docPr id="26" name="图片 26" descr="Figure 8.  Subgroup analysis of Ppeak between PCV-VG and VCV at 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Figure 8.  Subgroup analysis of Ppeak between PCV-VG and VCV at T5"/>
                    <pic:cNvPicPr>
                      <a:picLocks noChangeAspect="1"/>
                    </pic:cNvPicPr>
                  </pic:nvPicPr>
                  <pic:blipFill>
                    <a:blip r:embed="rId28"/>
                    <a:stretch>
                      <a:fillRect/>
                    </a:stretch>
                  </pic:blipFill>
                  <pic:spPr>
                    <a:xfrm>
                      <a:off x="0" y="0"/>
                      <a:ext cx="5271135" cy="1923415"/>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Figure 8.</w:t>
      </w:r>
      <w:r>
        <w:rPr>
          <w:rFonts w:hint="eastAsia" w:ascii="Arial" w:hAnsi="Arial" w:cs="Arial"/>
          <w:b w:val="0"/>
          <w:bCs w:val="0"/>
          <w:color w:val="auto"/>
        </w:rPr>
        <w:t>The s</w:t>
      </w:r>
      <w:r>
        <w:rPr>
          <w:rFonts w:ascii="Arial" w:hAnsi="Arial" w:cs="Arial"/>
          <w:b w:val="0"/>
          <w:bCs w:val="0"/>
          <w:color w:val="auto"/>
        </w:rPr>
        <w:t>ubgroup analysis of Ppeak between PCV-VG and VCV at T5</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5272405" cy="1908175"/>
            <wp:effectExtent l="0" t="0" r="635" b="12065"/>
            <wp:docPr id="27" name="图片 27" descr="Figure 9.  Subgroup analysis of Pplat between PCV and VCV at 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igure 9.  Subgroup analysis of Pplat between PCV and VCV at T1"/>
                    <pic:cNvPicPr>
                      <a:picLocks noChangeAspect="1"/>
                    </pic:cNvPicPr>
                  </pic:nvPicPr>
                  <pic:blipFill>
                    <a:blip r:embed="rId29"/>
                    <a:stretch>
                      <a:fillRect/>
                    </a:stretch>
                  </pic:blipFill>
                  <pic:spPr>
                    <a:xfrm>
                      <a:off x="0" y="0"/>
                      <a:ext cx="5272405" cy="1908175"/>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 xml:space="preserve">Figure 9. </w:t>
      </w:r>
      <w:r>
        <w:rPr>
          <w:rFonts w:hint="eastAsia" w:ascii="Arial" w:hAnsi="Arial" w:cs="Arial"/>
          <w:b w:val="0"/>
          <w:bCs w:val="0"/>
          <w:color w:val="auto"/>
        </w:rPr>
        <w:t>The s</w:t>
      </w:r>
      <w:r>
        <w:rPr>
          <w:rFonts w:ascii="Arial" w:hAnsi="Arial" w:cs="Arial"/>
          <w:b w:val="0"/>
          <w:bCs w:val="0"/>
          <w:color w:val="auto"/>
        </w:rPr>
        <w:t>ubgroup analysis of Pplat between PCV and VCV at T1</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5272405" cy="1908175"/>
            <wp:effectExtent l="0" t="0" r="635" b="12065"/>
            <wp:docPr id="28" name="图片 28" descr="Figure 10.  Subgroup analysis of Pplat between PCV and VCV at 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Figure 10.  Subgroup analysis of Pplat between PCV and VCV at T2"/>
                    <pic:cNvPicPr>
                      <a:picLocks noChangeAspect="1"/>
                    </pic:cNvPicPr>
                  </pic:nvPicPr>
                  <pic:blipFill>
                    <a:blip r:embed="rId30"/>
                    <a:stretch>
                      <a:fillRect/>
                    </a:stretch>
                  </pic:blipFill>
                  <pic:spPr>
                    <a:xfrm>
                      <a:off x="0" y="0"/>
                      <a:ext cx="5272405" cy="1908175"/>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 xml:space="preserve">Figure 10. </w:t>
      </w:r>
      <w:r>
        <w:rPr>
          <w:rFonts w:hint="eastAsia" w:ascii="Arial" w:hAnsi="Arial" w:cs="Arial"/>
          <w:b w:val="0"/>
          <w:bCs w:val="0"/>
          <w:color w:val="auto"/>
        </w:rPr>
        <w:t>The s</w:t>
      </w:r>
      <w:r>
        <w:rPr>
          <w:rFonts w:ascii="Arial" w:hAnsi="Arial" w:cs="Arial"/>
          <w:b w:val="0"/>
          <w:bCs w:val="0"/>
          <w:color w:val="auto"/>
        </w:rPr>
        <w:t>ubgroup analysis of Pplat between PCV and VCV at T2</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5272405" cy="1908175"/>
            <wp:effectExtent l="0" t="0" r="635" b="12065"/>
            <wp:docPr id="29" name="图片 29" descr="Figure 11.  Subgroup analysis of Pplat between PCV and VCV at 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Figure 11.  Subgroup analysis of Pplat between PCV and VCV at T5"/>
                    <pic:cNvPicPr>
                      <a:picLocks noChangeAspect="1"/>
                    </pic:cNvPicPr>
                  </pic:nvPicPr>
                  <pic:blipFill>
                    <a:blip r:embed="rId31"/>
                    <a:stretch>
                      <a:fillRect/>
                    </a:stretch>
                  </pic:blipFill>
                  <pic:spPr>
                    <a:xfrm>
                      <a:off x="0" y="0"/>
                      <a:ext cx="5272405" cy="1908175"/>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 xml:space="preserve">Figure 11. </w:t>
      </w:r>
      <w:r>
        <w:rPr>
          <w:rFonts w:hint="eastAsia" w:ascii="Arial" w:hAnsi="Arial" w:cs="Arial"/>
          <w:b w:val="0"/>
          <w:bCs w:val="0"/>
          <w:color w:val="auto"/>
        </w:rPr>
        <w:t>The s</w:t>
      </w:r>
      <w:r>
        <w:rPr>
          <w:rFonts w:ascii="Arial" w:hAnsi="Arial" w:cs="Arial"/>
          <w:b w:val="0"/>
          <w:bCs w:val="0"/>
          <w:color w:val="auto"/>
        </w:rPr>
        <w:t>ubgroup analysis of Pplat between PCV and VCV at T5</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5274310" cy="3017520"/>
            <wp:effectExtent l="0" t="0" r="13970" b="0"/>
            <wp:docPr id="30" name="图片 30" descr="Figure 12.  Subgroup analysis of Cydn between PCV and VCV at 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Figure 12.  Subgroup analysis of Cydn between PCV and VCV at T1"/>
                    <pic:cNvPicPr>
                      <a:picLocks noChangeAspect="1"/>
                    </pic:cNvPicPr>
                  </pic:nvPicPr>
                  <pic:blipFill>
                    <a:blip r:embed="rId32"/>
                    <a:stretch>
                      <a:fillRect/>
                    </a:stretch>
                  </pic:blipFill>
                  <pic:spPr>
                    <a:xfrm>
                      <a:off x="0" y="0"/>
                      <a:ext cx="5274310" cy="3017520"/>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 xml:space="preserve">Figure 12. </w:t>
      </w:r>
      <w:r>
        <w:rPr>
          <w:rFonts w:hint="eastAsia" w:ascii="Arial" w:hAnsi="Arial" w:cs="Arial"/>
          <w:b w:val="0"/>
          <w:bCs w:val="0"/>
          <w:color w:val="auto"/>
        </w:rPr>
        <w:t>The s</w:t>
      </w:r>
      <w:r>
        <w:rPr>
          <w:rFonts w:ascii="Arial" w:hAnsi="Arial" w:cs="Arial"/>
          <w:b w:val="0"/>
          <w:bCs w:val="0"/>
          <w:color w:val="auto"/>
        </w:rPr>
        <w:t>ubgroup analysis of Cydn between PCV and VCV at T1</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5271135" cy="2596515"/>
            <wp:effectExtent l="0" t="0" r="1905" b="9525"/>
            <wp:docPr id="31" name="图片 31" descr="Figure 13.  Subgroup analysis of Cydn between PCV-VG and VCV at 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Figure 13.  Subgroup analysis of Cydn between PCV-VG and VCV at T1"/>
                    <pic:cNvPicPr>
                      <a:picLocks noChangeAspect="1"/>
                    </pic:cNvPicPr>
                  </pic:nvPicPr>
                  <pic:blipFill>
                    <a:blip r:embed="rId33"/>
                    <a:stretch>
                      <a:fillRect/>
                    </a:stretch>
                  </pic:blipFill>
                  <pic:spPr>
                    <a:xfrm>
                      <a:off x="0" y="0"/>
                      <a:ext cx="5271135" cy="2596515"/>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 xml:space="preserve">Figure 13. </w:t>
      </w:r>
      <w:r>
        <w:rPr>
          <w:rFonts w:hint="eastAsia" w:ascii="Arial" w:hAnsi="Arial" w:cs="Arial"/>
          <w:b w:val="0"/>
          <w:bCs w:val="0"/>
          <w:color w:val="auto"/>
        </w:rPr>
        <w:t>The s</w:t>
      </w:r>
      <w:r>
        <w:rPr>
          <w:rFonts w:ascii="Arial" w:hAnsi="Arial" w:cs="Arial"/>
          <w:b w:val="0"/>
          <w:bCs w:val="0"/>
          <w:color w:val="auto"/>
        </w:rPr>
        <w:t>ubgroup analysis of Cydn between PCV-VG and VCV at T1</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5274310" cy="2614930"/>
            <wp:effectExtent l="0" t="0" r="13970" b="6350"/>
            <wp:docPr id="32" name="图片 32" descr="Figure 14.  Subgroup analysis of Cydn between PCV and VCV at 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Figure 14.  Subgroup analysis of Cydn between PCV and VCV at T2"/>
                    <pic:cNvPicPr>
                      <a:picLocks noChangeAspect="1"/>
                    </pic:cNvPicPr>
                  </pic:nvPicPr>
                  <pic:blipFill>
                    <a:blip r:embed="rId34"/>
                    <a:stretch>
                      <a:fillRect/>
                    </a:stretch>
                  </pic:blipFill>
                  <pic:spPr>
                    <a:xfrm>
                      <a:off x="0" y="0"/>
                      <a:ext cx="5274310" cy="2614930"/>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 xml:space="preserve">Figure 14. </w:t>
      </w:r>
      <w:r>
        <w:rPr>
          <w:rFonts w:hint="eastAsia" w:ascii="Arial" w:hAnsi="Arial" w:cs="Arial"/>
          <w:b w:val="0"/>
          <w:bCs w:val="0"/>
          <w:color w:val="auto"/>
        </w:rPr>
        <w:t>The S</w:t>
      </w:r>
      <w:r>
        <w:rPr>
          <w:rFonts w:ascii="Arial" w:hAnsi="Arial" w:cs="Arial"/>
          <w:b w:val="0"/>
          <w:bCs w:val="0"/>
          <w:color w:val="auto"/>
        </w:rPr>
        <w:t>ubgroup analysis of Cydn between PCV and VCV at T2</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drawing>
          <wp:inline distT="0" distB="0" distL="114300" distR="114300">
            <wp:extent cx="5274310" cy="2614930"/>
            <wp:effectExtent l="0" t="0" r="13970" b="6350"/>
            <wp:docPr id="33" name="图片 33" descr="Figure 15.  Subgroup analysis of Cydn between PCV and VCV at 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Figure 15.  Subgroup analysis of Cydn between PCV and VCV at T3"/>
                    <pic:cNvPicPr>
                      <a:picLocks noChangeAspect="1"/>
                    </pic:cNvPicPr>
                  </pic:nvPicPr>
                  <pic:blipFill>
                    <a:blip r:embed="rId35"/>
                    <a:stretch>
                      <a:fillRect/>
                    </a:stretch>
                  </pic:blipFill>
                  <pic:spPr>
                    <a:xfrm>
                      <a:off x="0" y="0"/>
                      <a:ext cx="5274310" cy="2614930"/>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t xml:space="preserve">Figure 15. </w:t>
      </w:r>
      <w:r>
        <w:rPr>
          <w:rFonts w:hint="eastAsia" w:ascii="Arial" w:hAnsi="Arial" w:cs="Arial"/>
          <w:b w:val="0"/>
          <w:bCs w:val="0"/>
          <w:color w:val="auto"/>
        </w:rPr>
        <w:t>The s</w:t>
      </w:r>
      <w:r>
        <w:rPr>
          <w:rFonts w:ascii="Arial" w:hAnsi="Arial" w:cs="Arial"/>
          <w:b w:val="0"/>
          <w:bCs w:val="0"/>
          <w:color w:val="auto"/>
        </w:rPr>
        <w:t>ubgroup analysis of Cydn between PCV and VCV at T3</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drawing>
          <wp:inline distT="0" distB="0" distL="114300" distR="114300">
            <wp:extent cx="5271135" cy="2499995"/>
            <wp:effectExtent l="0" t="0" r="1905" b="14605"/>
            <wp:docPr id="34" name="图片 34" descr="Figure 16.  Subgroup analysis of Cydn between PCV-VG and VCV at 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Figure 16.  Subgroup analysis of Cydn between PCV-VG and VCV at T3"/>
                    <pic:cNvPicPr>
                      <a:picLocks noChangeAspect="1"/>
                    </pic:cNvPicPr>
                  </pic:nvPicPr>
                  <pic:blipFill>
                    <a:blip r:embed="rId36"/>
                    <a:stretch>
                      <a:fillRect/>
                    </a:stretch>
                  </pic:blipFill>
                  <pic:spPr>
                    <a:xfrm>
                      <a:off x="0" y="0"/>
                      <a:ext cx="5271135" cy="2499995"/>
                    </a:xfrm>
                    <a:prstGeom prst="rect">
                      <a:avLst/>
                    </a:prstGeom>
                  </pic:spPr>
                </pic:pic>
              </a:graphicData>
            </a:graphic>
          </wp:inline>
        </w:drawing>
      </w: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t xml:space="preserve">Figure 16. </w:t>
      </w:r>
      <w:r>
        <w:rPr>
          <w:rFonts w:hint="eastAsia" w:ascii="Arial" w:hAnsi="Arial" w:cs="Arial"/>
          <w:b w:val="0"/>
          <w:bCs w:val="0"/>
          <w:color w:val="auto"/>
        </w:rPr>
        <w:t>The s</w:t>
      </w:r>
      <w:r>
        <w:rPr>
          <w:rFonts w:ascii="Arial" w:hAnsi="Arial" w:cs="Arial"/>
          <w:b w:val="0"/>
          <w:bCs w:val="0"/>
          <w:color w:val="auto"/>
        </w:rPr>
        <w:t>ubgroup analysis of Cydn between PCV-VG and VCV at T3</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r>
        <w:rPr>
          <w:rFonts w:ascii="Arial" w:hAnsi="Arial" w:cs="Arial"/>
          <w:b w:val="0"/>
          <w:bCs w:val="0"/>
          <w:color w:val="auto"/>
        </w:rPr>
        <w:drawing>
          <wp:inline distT="0" distB="0" distL="114300" distR="114300">
            <wp:extent cx="5236845" cy="2514600"/>
            <wp:effectExtent l="0" t="0" r="5715" b="0"/>
            <wp:docPr id="35" name="图片 35" descr="Figure 17.  Subgroup analysis of Cydn between PCV and VCV at 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Figure 17.  Subgroup analysis of Cydn between PCV and VCV at T4"/>
                    <pic:cNvPicPr>
                      <a:picLocks noChangeAspect="1"/>
                    </pic:cNvPicPr>
                  </pic:nvPicPr>
                  <pic:blipFill>
                    <a:blip r:embed="rId37"/>
                    <a:stretch>
                      <a:fillRect/>
                    </a:stretch>
                  </pic:blipFill>
                  <pic:spPr>
                    <a:xfrm>
                      <a:off x="0" y="0"/>
                      <a:ext cx="5236845" cy="2514600"/>
                    </a:xfrm>
                    <a:prstGeom prst="rect">
                      <a:avLst/>
                    </a:prstGeom>
                  </pic:spPr>
                </pic:pic>
              </a:graphicData>
            </a:graphic>
          </wp:inline>
        </w:drawing>
      </w:r>
    </w:p>
    <w:p>
      <w:pPr>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 xml:space="preserve">Figure 17. </w:t>
      </w:r>
      <w:r>
        <w:rPr>
          <w:rFonts w:hint="eastAsia" w:ascii="Arial" w:hAnsi="Arial" w:cs="Arial"/>
          <w:b w:val="0"/>
          <w:bCs w:val="0"/>
          <w:color w:val="auto"/>
        </w:rPr>
        <w:t>The s</w:t>
      </w:r>
      <w:r>
        <w:rPr>
          <w:rFonts w:ascii="Arial" w:hAnsi="Arial" w:cs="Arial"/>
          <w:b w:val="0"/>
          <w:bCs w:val="0"/>
          <w:color w:val="auto"/>
        </w:rPr>
        <w:t>ubgroup analysis of Cydn between PCV and VCV at T4</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4998085" cy="1826895"/>
            <wp:effectExtent l="0" t="0" r="635" b="1905"/>
            <wp:docPr id="36" name="图片 36" descr="Figure 18.  Subgroup analysis of Cydn between PCV-VG and VCV at 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Figure 18.  Subgroup analysis of Cydn between PCV-VG and VCV at T4"/>
                    <pic:cNvPicPr>
                      <a:picLocks noChangeAspect="1"/>
                    </pic:cNvPicPr>
                  </pic:nvPicPr>
                  <pic:blipFill>
                    <a:blip r:embed="rId38"/>
                    <a:stretch>
                      <a:fillRect/>
                    </a:stretch>
                  </pic:blipFill>
                  <pic:spPr>
                    <a:xfrm>
                      <a:off x="0" y="0"/>
                      <a:ext cx="4998085" cy="1826895"/>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t>Figure 18.</w:t>
      </w:r>
      <w:r>
        <w:rPr>
          <w:rFonts w:hint="eastAsia" w:ascii="Arial" w:hAnsi="Arial" w:cs="Arial"/>
          <w:b w:val="0"/>
          <w:bCs w:val="0"/>
          <w:color w:val="auto"/>
        </w:rPr>
        <w:t xml:space="preserve"> The s</w:t>
      </w:r>
      <w:r>
        <w:rPr>
          <w:rFonts w:ascii="Arial" w:hAnsi="Arial" w:cs="Arial"/>
          <w:b w:val="0"/>
          <w:bCs w:val="0"/>
          <w:color w:val="auto"/>
        </w:rPr>
        <w:t>ubgroup analysis of Cydn between PCV-VG and VCV at T4</w:t>
      </w: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p>
    <w:p>
      <w:pPr>
        <w:ind w:firstLine="210" w:firstLineChars="100"/>
        <w:rPr>
          <w:rFonts w:ascii="Arial" w:hAnsi="Arial" w:cs="Arial"/>
          <w:b w:val="0"/>
          <w:bCs w:val="0"/>
          <w:color w:val="auto"/>
        </w:rPr>
      </w:pPr>
      <w:r>
        <w:rPr>
          <w:rFonts w:ascii="Arial" w:hAnsi="Arial" w:cs="Arial"/>
          <w:b w:val="0"/>
          <w:bCs w:val="0"/>
          <w:color w:val="auto"/>
        </w:rPr>
        <w:drawing>
          <wp:inline distT="0" distB="0" distL="114300" distR="114300">
            <wp:extent cx="5152390" cy="2526030"/>
            <wp:effectExtent l="0" t="0" r="13970" b="3810"/>
            <wp:docPr id="37" name="图片 37" descr="Figure 19.  Subgroup analysis of Cydn between PCV and VCV at 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Figure 19.  Subgroup analysis of Cydn between PCV and VCV at T5"/>
                    <pic:cNvPicPr>
                      <a:picLocks noChangeAspect="1"/>
                    </pic:cNvPicPr>
                  </pic:nvPicPr>
                  <pic:blipFill>
                    <a:blip r:embed="rId39"/>
                    <a:stretch>
                      <a:fillRect/>
                    </a:stretch>
                  </pic:blipFill>
                  <pic:spPr>
                    <a:xfrm>
                      <a:off x="0" y="0"/>
                      <a:ext cx="5152390" cy="2526030"/>
                    </a:xfrm>
                    <a:prstGeom prst="rect">
                      <a:avLst/>
                    </a:prstGeom>
                  </pic:spPr>
                </pic:pic>
              </a:graphicData>
            </a:graphic>
          </wp:inline>
        </w:drawing>
      </w:r>
    </w:p>
    <w:p>
      <w:pPr>
        <w:ind w:firstLine="210" w:firstLineChars="100"/>
        <w:rPr>
          <w:rFonts w:ascii="Arial" w:hAnsi="Arial" w:cs="Arial"/>
          <w:b w:val="0"/>
          <w:bCs w:val="0"/>
          <w:color w:val="auto"/>
        </w:rPr>
      </w:pPr>
    </w:p>
    <w:p>
      <w:pPr>
        <w:ind w:firstLine="210" w:firstLineChars="100"/>
        <w:jc w:val="left"/>
        <w:rPr>
          <w:rFonts w:ascii="Arial" w:hAnsi="Arial" w:cs="Arial"/>
          <w:b w:val="0"/>
          <w:bCs w:val="0"/>
          <w:color w:val="auto"/>
        </w:rPr>
        <w:sectPr>
          <w:pgSz w:w="11906" w:h="16838"/>
          <w:pgMar w:top="1440" w:right="1797" w:bottom="1440" w:left="1797" w:header="851" w:footer="992" w:gutter="0"/>
          <w:cols w:space="425" w:num="1"/>
          <w:docGrid w:linePitch="312" w:charSpace="0"/>
        </w:sectPr>
      </w:pPr>
      <w:r>
        <w:rPr>
          <w:rFonts w:ascii="Arial" w:hAnsi="Arial" w:cs="Arial"/>
          <w:b w:val="0"/>
          <w:bCs w:val="0"/>
          <w:color w:val="auto"/>
        </w:rPr>
        <w:t>Figure 19.</w:t>
      </w:r>
      <w:r>
        <w:rPr>
          <w:rFonts w:hint="eastAsia" w:ascii="Arial" w:hAnsi="Arial" w:cs="Arial"/>
          <w:b w:val="0"/>
          <w:bCs w:val="0"/>
          <w:color w:val="auto"/>
        </w:rPr>
        <w:t xml:space="preserve"> The s</w:t>
      </w:r>
      <w:r>
        <w:rPr>
          <w:rFonts w:ascii="Arial" w:hAnsi="Arial" w:cs="Arial"/>
          <w:b w:val="0"/>
          <w:bCs w:val="0"/>
          <w:color w:val="auto"/>
        </w:rPr>
        <w:t>ubgroup analysis of Cydn between PCV and VCV at</w:t>
      </w:r>
    </w:p>
    <w:p>
      <w:pPr>
        <w:rPr>
          <w:rFonts w:ascii="Arial" w:hAnsi="Arial" w:cs="Arial"/>
          <w:color w:val="auto"/>
        </w:rPr>
      </w:pPr>
      <w:r>
        <w:rPr>
          <w:rFonts w:hint="eastAsia" w:ascii="Arial" w:hAnsi="Arial" w:cs="Arial"/>
          <w:color w:val="auto"/>
        </w:rPr>
        <w:t>Appendix 4. Meta-regression</w:t>
      </w:r>
    </w:p>
    <w:p>
      <w:pPr>
        <w:ind w:left="105" w:hanging="105" w:hangingChars="50"/>
        <w:jc w:val="center"/>
        <w:rPr>
          <w:rFonts w:ascii="Arial" w:hAnsi="Arial" w:cs="Arial"/>
          <w:b w:val="0"/>
          <w:bCs w:val="0"/>
          <w:color w:val="auto"/>
        </w:rPr>
      </w:pPr>
      <w:r>
        <w:rPr>
          <w:rFonts w:ascii="Arial" w:hAnsi="Arial" w:cs="Arial"/>
          <w:b w:val="0"/>
          <w:bCs w:val="0"/>
          <w:color w:val="auto"/>
        </w:rPr>
        <w:t xml:space="preserve">Tabel 1. Meta-regression of respiratory variables and blood gas analysis between PCV vs </w:t>
      </w:r>
    </w:p>
    <w:p>
      <w:pPr>
        <w:ind w:left="105" w:hanging="105" w:hangingChars="50"/>
        <w:jc w:val="center"/>
        <w:rPr>
          <w:rFonts w:ascii="Arial" w:hAnsi="Arial" w:cs="Arial"/>
          <w:b w:val="0"/>
          <w:bCs w:val="0"/>
          <w:color w:val="auto"/>
        </w:rPr>
      </w:pPr>
      <w:r>
        <w:rPr>
          <w:rFonts w:ascii="Arial" w:hAnsi="Arial" w:cs="Arial"/>
          <w:b w:val="0"/>
          <w:bCs w:val="0"/>
          <w:color w:val="auto"/>
        </w:rPr>
        <w:t>VCV and PCV-VG vs VCV</w:t>
      </w:r>
    </w:p>
    <w:tbl>
      <w:tblPr>
        <w:tblStyle w:val="17"/>
        <w:tblpPr w:leftFromText="180" w:rightFromText="180" w:vertAnchor="page" w:horzAnchor="page" w:tblpX="2014" w:tblpY="2474"/>
        <w:tblOverlap w:val="never"/>
        <w:tblW w:w="826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75"/>
        <w:gridCol w:w="1775"/>
        <w:gridCol w:w="1738"/>
        <w:gridCol w:w="1441"/>
        <w:gridCol w:w="15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775" w:type="dxa"/>
            <w:tcBorders>
              <w:top w:val="single" w:color="auto" w:sz="4" w:space="0"/>
              <w:bottom w:val="single" w:color="auto" w:sz="4" w:space="0"/>
            </w:tcBorders>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Outcomes</w:t>
            </w:r>
          </w:p>
        </w:tc>
        <w:tc>
          <w:tcPr>
            <w:tcW w:w="1775" w:type="dxa"/>
            <w:tcBorders>
              <w:top w:val="single" w:color="auto" w:sz="4" w:space="0"/>
              <w:bottom w:val="single" w:color="auto" w:sz="4" w:space="0"/>
            </w:tcBorders>
            <w:shd w:val="clear" w:color="auto" w:fill="auto"/>
            <w:vAlign w:val="center"/>
          </w:tcPr>
          <w:p>
            <w:pPr>
              <w:rPr>
                <w:rFonts w:ascii="Arial" w:hAnsi="Arial" w:eastAsia="宋体" w:cs="Arial"/>
                <w:b w:val="0"/>
                <w:bCs w:val="0"/>
                <w:color w:val="auto"/>
                <w:kern w:val="0"/>
                <w:sz w:val="16"/>
                <w:szCs w:val="16"/>
              </w:rPr>
            </w:pPr>
            <w:r>
              <w:rPr>
                <w:rFonts w:ascii="Arial" w:hAnsi="Arial" w:cs="Arial"/>
                <w:b w:val="0"/>
                <w:bCs w:val="0"/>
                <w:color w:val="auto"/>
                <w:kern w:val="0"/>
                <w:sz w:val="16"/>
                <w:szCs w:val="16"/>
              </w:rPr>
              <w:t>Coefficient</w:t>
            </w:r>
          </w:p>
        </w:tc>
        <w:tc>
          <w:tcPr>
            <w:tcW w:w="1738" w:type="dxa"/>
            <w:tcBorders>
              <w:top w:val="single" w:color="auto" w:sz="4" w:space="0"/>
              <w:bottom w:val="single" w:color="auto" w:sz="4" w:space="0"/>
            </w:tcBorders>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Std.Err.</w:t>
            </w:r>
          </w:p>
        </w:tc>
        <w:tc>
          <w:tcPr>
            <w:tcW w:w="1441" w:type="dxa"/>
            <w:tcBorders>
              <w:top w:val="single" w:color="auto" w:sz="4" w:space="0"/>
              <w:bottom w:val="single" w:color="auto" w:sz="4" w:space="0"/>
            </w:tcBorders>
            <w:shd w:val="clear" w:color="auto" w:fill="auto"/>
            <w:vAlign w:val="center"/>
          </w:tcPr>
          <w:p>
            <w:pPr>
              <w:rPr>
                <w:rFonts w:ascii="Arial" w:hAnsi="Arial" w:eastAsia="宋体" w:cs="Arial"/>
                <w:b w:val="0"/>
                <w:bCs w:val="0"/>
                <w:color w:val="auto"/>
                <w:kern w:val="0"/>
                <w:sz w:val="16"/>
                <w:szCs w:val="16"/>
              </w:rPr>
            </w:pPr>
            <w:r>
              <w:rPr>
                <w:rFonts w:ascii="Arial" w:hAnsi="Arial" w:cs="Arial"/>
                <w:b w:val="0"/>
                <w:bCs w:val="0"/>
                <w:color w:val="auto"/>
                <w:kern w:val="0"/>
                <w:sz w:val="16"/>
                <w:szCs w:val="16"/>
              </w:rPr>
              <w:t>t</w:t>
            </w:r>
          </w:p>
        </w:tc>
        <w:tc>
          <w:tcPr>
            <w:tcW w:w="1540" w:type="dxa"/>
            <w:tcBorders>
              <w:top w:val="single" w:color="auto" w:sz="4" w:space="0"/>
              <w:bottom w:val="single" w:color="auto" w:sz="4" w:space="0"/>
            </w:tcBorders>
            <w:shd w:val="clear" w:color="auto" w:fill="auto"/>
            <w:vAlign w:val="center"/>
          </w:tcPr>
          <w:p>
            <w:pPr>
              <w:rPr>
                <w:rFonts w:ascii="Arial" w:hAnsi="Arial" w:eastAsia="宋体" w:cs="Arial"/>
                <w:b w:val="0"/>
                <w:bCs w:val="0"/>
                <w:color w:val="auto"/>
                <w:kern w:val="0"/>
                <w:sz w:val="16"/>
                <w:szCs w:val="16"/>
              </w:rPr>
            </w:pPr>
            <w:r>
              <w:rPr>
                <w:rFonts w:ascii="Arial" w:hAnsi="Arial" w:cs="Arial"/>
                <w:b w:val="0"/>
                <w:bCs w:val="0"/>
                <w:color w:val="auto"/>
                <w:kern w:val="0"/>
                <w:sz w:val="16"/>
                <w:szCs w:val="16"/>
              </w:rPr>
              <w:t>p&gt; |t|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tcBorders>
              <w:top w:val="single" w:color="auto" w:sz="4" w:space="0"/>
            </w:tcBorders>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Ppeak     </w:t>
            </w:r>
          </w:p>
        </w:tc>
        <w:tc>
          <w:tcPr>
            <w:tcW w:w="1775" w:type="dxa"/>
            <w:tcBorders>
              <w:top w:val="single" w:color="auto" w:sz="4" w:space="0"/>
            </w:tcBorders>
            <w:shd w:val="clear" w:color="auto" w:fill="auto"/>
            <w:vAlign w:val="center"/>
          </w:tcPr>
          <w:p>
            <w:pPr>
              <w:rPr>
                <w:rFonts w:ascii="Arial" w:hAnsi="Arial" w:eastAsia="宋体" w:cs="Arial"/>
                <w:b w:val="0"/>
                <w:bCs w:val="0"/>
                <w:color w:val="auto"/>
                <w:kern w:val="0"/>
                <w:sz w:val="16"/>
                <w:szCs w:val="16"/>
              </w:rPr>
            </w:pPr>
          </w:p>
        </w:tc>
        <w:tc>
          <w:tcPr>
            <w:tcW w:w="1738" w:type="dxa"/>
            <w:tcBorders>
              <w:top w:val="single" w:color="auto" w:sz="4" w:space="0"/>
            </w:tcBorders>
            <w:shd w:val="clear" w:color="auto" w:fill="auto"/>
            <w:vAlign w:val="center"/>
          </w:tcPr>
          <w:p>
            <w:pPr>
              <w:rPr>
                <w:rFonts w:ascii="Arial" w:hAnsi="Arial" w:eastAsia="等线" w:cs="Arial"/>
                <w:b w:val="0"/>
                <w:bCs w:val="0"/>
                <w:color w:val="auto"/>
                <w:kern w:val="0"/>
                <w:sz w:val="16"/>
                <w:szCs w:val="16"/>
              </w:rPr>
            </w:pPr>
          </w:p>
        </w:tc>
        <w:tc>
          <w:tcPr>
            <w:tcW w:w="1441" w:type="dxa"/>
            <w:tcBorders>
              <w:top w:val="single" w:color="auto" w:sz="4" w:space="0"/>
            </w:tcBorders>
            <w:shd w:val="clear" w:color="auto" w:fill="auto"/>
            <w:vAlign w:val="center"/>
          </w:tcPr>
          <w:p>
            <w:pPr>
              <w:rPr>
                <w:rFonts w:ascii="Arial" w:hAnsi="Arial" w:cs="Arial"/>
                <w:b w:val="0"/>
                <w:bCs w:val="0"/>
                <w:color w:val="auto"/>
                <w:kern w:val="0"/>
                <w:sz w:val="16"/>
                <w:szCs w:val="16"/>
              </w:rPr>
            </w:pPr>
          </w:p>
        </w:tc>
        <w:tc>
          <w:tcPr>
            <w:tcW w:w="1540" w:type="dxa"/>
            <w:tcBorders>
              <w:top w:val="single" w:color="auto" w:sz="4" w:space="0"/>
            </w:tcBorders>
            <w:shd w:val="clear" w:color="auto" w:fill="auto"/>
            <w:vAlign w:val="center"/>
          </w:tcPr>
          <w:p>
            <w:pPr>
              <w:rPr>
                <w:rFonts w:ascii="Arial" w:hAnsi="Arial" w:cs="Arial"/>
                <w:b w:val="0"/>
                <w:bCs w:val="0"/>
                <w:color w:val="auto"/>
                <w:kern w:val="0"/>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1</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.1305248 </w:t>
            </w:r>
          </w:p>
        </w:tc>
        <w:tc>
          <w:tcPr>
            <w:tcW w:w="1738"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.2936067 </w:t>
            </w:r>
          </w:p>
        </w:tc>
        <w:tc>
          <w:tcPr>
            <w:tcW w:w="1441"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0.44</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0.665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2</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.2843556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.5268519 </w:t>
            </w:r>
          </w:p>
        </w:tc>
        <w:tc>
          <w:tcPr>
            <w:tcW w:w="1441"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0.54</w:t>
            </w:r>
          </w:p>
        </w:tc>
        <w:tc>
          <w:tcPr>
            <w:tcW w:w="1540" w:type="dxa"/>
            <w:shd w:val="clear" w:color="auto" w:fill="auto"/>
            <w:vAlign w:val="center"/>
          </w:tcPr>
          <w:p>
            <w:pPr>
              <w:tabs>
                <w:tab w:val="left" w:pos="369"/>
              </w:tabs>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0.604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3</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.1688158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.6129858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0.28  </w:t>
            </w:r>
          </w:p>
        </w:tc>
        <w:tc>
          <w:tcPr>
            <w:tcW w:w="1540"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0.790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4</w:t>
            </w:r>
          </w:p>
        </w:tc>
        <w:tc>
          <w:tcPr>
            <w:tcW w:w="1775"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.4245419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.5567705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0.76 </w:t>
            </w:r>
          </w:p>
        </w:tc>
        <w:tc>
          <w:tcPr>
            <w:tcW w:w="1540"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0.525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5</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.4679699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.3903588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1.20  </w:t>
            </w:r>
          </w:p>
        </w:tc>
        <w:tc>
          <w:tcPr>
            <w:tcW w:w="1540"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0.270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Pplat</w:t>
            </w:r>
          </w:p>
        </w:tc>
        <w:tc>
          <w:tcPr>
            <w:tcW w:w="1775" w:type="dxa"/>
            <w:shd w:val="clear" w:color="auto" w:fill="auto"/>
            <w:vAlign w:val="center"/>
          </w:tcPr>
          <w:p>
            <w:pPr>
              <w:rPr>
                <w:rFonts w:ascii="Arial" w:hAnsi="Arial" w:cs="Arial"/>
                <w:b w:val="0"/>
                <w:bCs w:val="0"/>
                <w:color w:val="auto"/>
                <w:kern w:val="0"/>
                <w:sz w:val="16"/>
                <w:szCs w:val="16"/>
              </w:rPr>
            </w:pPr>
          </w:p>
        </w:tc>
        <w:tc>
          <w:tcPr>
            <w:tcW w:w="1738" w:type="dxa"/>
            <w:shd w:val="clear" w:color="auto" w:fill="auto"/>
            <w:vAlign w:val="center"/>
          </w:tcPr>
          <w:p>
            <w:pPr>
              <w:rPr>
                <w:rFonts w:ascii="Arial" w:hAnsi="Arial" w:cs="Arial"/>
                <w:b w:val="0"/>
                <w:bCs w:val="0"/>
                <w:color w:val="auto"/>
                <w:kern w:val="0"/>
                <w:sz w:val="16"/>
                <w:szCs w:val="16"/>
              </w:rPr>
            </w:pPr>
          </w:p>
        </w:tc>
        <w:tc>
          <w:tcPr>
            <w:tcW w:w="1441" w:type="dxa"/>
            <w:shd w:val="clear" w:color="auto" w:fill="auto"/>
            <w:vAlign w:val="center"/>
          </w:tcPr>
          <w:p>
            <w:pPr>
              <w:rPr>
                <w:rFonts w:ascii="Arial" w:hAnsi="Arial" w:eastAsia="等线" w:cs="Arial"/>
                <w:b w:val="0"/>
                <w:bCs w:val="0"/>
                <w:color w:val="auto"/>
                <w:kern w:val="0"/>
                <w:sz w:val="16"/>
                <w:szCs w:val="16"/>
              </w:rPr>
            </w:pPr>
          </w:p>
        </w:tc>
        <w:tc>
          <w:tcPr>
            <w:tcW w:w="1540" w:type="dxa"/>
            <w:shd w:val="clear" w:color="auto" w:fill="auto"/>
            <w:vAlign w:val="center"/>
          </w:tcPr>
          <w:p>
            <w:pPr>
              <w:rPr>
                <w:rFonts w:ascii="Arial" w:hAnsi="Arial" w:eastAsia="等线" w:cs="Arial"/>
                <w:b w:val="0"/>
                <w:bCs w:val="0"/>
                <w:color w:val="auto"/>
                <w:kern w:val="0"/>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1</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.192781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.2290777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0.84 </w:t>
            </w:r>
          </w:p>
        </w:tc>
        <w:tc>
          <w:tcPr>
            <w:tcW w:w="1540" w:type="dxa"/>
            <w:shd w:val="clear" w:color="auto" w:fill="auto"/>
            <w:vAlign w:val="center"/>
          </w:tcPr>
          <w:p>
            <w:pPr>
              <w:tabs>
                <w:tab w:val="left" w:pos="342"/>
              </w:tabs>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0.447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2</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.6887294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.7512918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0.92  </w:t>
            </w:r>
          </w:p>
        </w:tc>
        <w:tc>
          <w:tcPr>
            <w:tcW w:w="1540"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0.427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3</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-.2094765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.486558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-0.43 </w:t>
            </w:r>
          </w:p>
        </w:tc>
        <w:tc>
          <w:tcPr>
            <w:tcW w:w="1540"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0.741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4</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.0422681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.4382096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0.10 </w:t>
            </w:r>
          </w:p>
        </w:tc>
        <w:tc>
          <w:tcPr>
            <w:tcW w:w="1540"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0.939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5</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.5154348 </w:t>
            </w:r>
          </w:p>
        </w:tc>
        <w:tc>
          <w:tcPr>
            <w:tcW w:w="1738"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.2889873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1.78</w:t>
            </w:r>
          </w:p>
        </w:tc>
        <w:tc>
          <w:tcPr>
            <w:tcW w:w="1540" w:type="dxa"/>
            <w:shd w:val="clear" w:color="auto" w:fill="auto"/>
            <w:vAlign w:val="center"/>
          </w:tcPr>
          <w:p>
            <w:pPr>
              <w:tabs>
                <w:tab w:val="left" w:pos="596"/>
              </w:tabs>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0.172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宋体" w:cs="Arial"/>
                <w:b w:val="0"/>
                <w:bCs w:val="0"/>
                <w:color w:val="auto"/>
                <w:kern w:val="0"/>
                <w:sz w:val="16"/>
                <w:szCs w:val="16"/>
              </w:rPr>
            </w:pPr>
            <w:r>
              <w:rPr>
                <w:rFonts w:ascii="Arial" w:hAnsi="Arial" w:cs="Arial"/>
                <w:b w:val="0"/>
                <w:bCs w:val="0"/>
                <w:color w:val="auto"/>
                <w:kern w:val="0"/>
                <w:sz w:val="16"/>
                <w:szCs w:val="16"/>
              </w:rPr>
              <w:t>Cydn</w:t>
            </w:r>
          </w:p>
        </w:tc>
        <w:tc>
          <w:tcPr>
            <w:tcW w:w="1775" w:type="dxa"/>
            <w:shd w:val="clear" w:color="auto" w:fill="auto"/>
            <w:vAlign w:val="center"/>
          </w:tcPr>
          <w:p>
            <w:pPr>
              <w:rPr>
                <w:rFonts w:ascii="Arial" w:hAnsi="Arial" w:cs="Arial"/>
                <w:b w:val="0"/>
                <w:bCs w:val="0"/>
                <w:color w:val="auto"/>
                <w:kern w:val="0"/>
                <w:sz w:val="16"/>
                <w:szCs w:val="16"/>
              </w:rPr>
            </w:pPr>
          </w:p>
        </w:tc>
        <w:tc>
          <w:tcPr>
            <w:tcW w:w="1738" w:type="dxa"/>
            <w:shd w:val="clear" w:color="auto" w:fill="auto"/>
            <w:vAlign w:val="center"/>
          </w:tcPr>
          <w:p>
            <w:pPr>
              <w:rPr>
                <w:rFonts w:ascii="Arial" w:hAnsi="Arial" w:eastAsia="等线" w:cs="Arial"/>
                <w:b w:val="0"/>
                <w:bCs w:val="0"/>
                <w:color w:val="auto"/>
                <w:kern w:val="0"/>
                <w:sz w:val="16"/>
                <w:szCs w:val="16"/>
              </w:rPr>
            </w:pPr>
          </w:p>
        </w:tc>
        <w:tc>
          <w:tcPr>
            <w:tcW w:w="1441" w:type="dxa"/>
            <w:shd w:val="clear" w:color="auto" w:fill="auto"/>
            <w:vAlign w:val="center"/>
          </w:tcPr>
          <w:p>
            <w:pPr>
              <w:rPr>
                <w:rFonts w:ascii="Arial" w:hAnsi="Arial" w:cs="Arial"/>
                <w:b w:val="0"/>
                <w:bCs w:val="0"/>
                <w:color w:val="auto"/>
                <w:kern w:val="0"/>
                <w:sz w:val="16"/>
                <w:szCs w:val="16"/>
              </w:rPr>
            </w:pPr>
          </w:p>
        </w:tc>
        <w:tc>
          <w:tcPr>
            <w:tcW w:w="1540" w:type="dxa"/>
            <w:shd w:val="clear" w:color="auto" w:fill="auto"/>
            <w:vAlign w:val="center"/>
          </w:tcPr>
          <w:p>
            <w:pPr>
              <w:rPr>
                <w:rFonts w:ascii="Arial" w:hAnsi="Arial" w:cs="Arial"/>
                <w:b w:val="0"/>
                <w:bCs w:val="0"/>
                <w:color w:val="auto"/>
                <w:kern w:val="0"/>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1</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.0248895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.2435769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0.10 </w:t>
            </w:r>
          </w:p>
        </w:tc>
        <w:tc>
          <w:tcPr>
            <w:tcW w:w="1540" w:type="dxa"/>
            <w:shd w:val="clear" w:color="auto" w:fill="auto"/>
            <w:vAlign w:val="center"/>
          </w:tcPr>
          <w:p>
            <w:pPr>
              <w:tabs>
                <w:tab w:val="left" w:pos="378"/>
              </w:tabs>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0.920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2</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.8991734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.9905203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0.91</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0.399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3</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1.002075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.8697113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1.15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0.283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4</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.9658645</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.8974955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1.08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0.331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5</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.6129049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.3851359</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1.59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0.156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 w:hRule="atLeast"/>
        </w:trPr>
        <w:tc>
          <w:tcPr>
            <w:tcW w:w="1775" w:type="dxa"/>
            <w:shd w:val="clear" w:color="auto" w:fill="auto"/>
            <w:vAlign w:val="center"/>
          </w:tcPr>
          <w:p>
            <w:pPr>
              <w:rPr>
                <w:rFonts w:ascii="Arial" w:hAnsi="Arial" w:eastAsia="宋体" w:cs="Arial"/>
                <w:b w:val="0"/>
                <w:bCs w:val="0"/>
                <w:color w:val="auto"/>
                <w:kern w:val="0"/>
                <w:sz w:val="16"/>
                <w:szCs w:val="16"/>
              </w:rPr>
            </w:pPr>
            <w:r>
              <w:rPr>
                <w:rFonts w:ascii="Arial" w:hAnsi="Arial" w:cs="Arial"/>
                <w:b w:val="0"/>
                <w:bCs w:val="0"/>
                <w:color w:val="auto"/>
                <w:kern w:val="0"/>
                <w:sz w:val="16"/>
                <w:szCs w:val="16"/>
              </w:rPr>
              <w:t>PaO</w:t>
            </w:r>
            <w:r>
              <w:rPr>
                <w:rFonts w:ascii="Arial" w:hAnsi="Arial" w:cs="Arial"/>
                <w:b w:val="0"/>
                <w:bCs w:val="0"/>
                <w:color w:val="auto"/>
                <w:kern w:val="0"/>
                <w:sz w:val="16"/>
                <w:szCs w:val="16"/>
                <w:vertAlign w:val="subscript"/>
              </w:rPr>
              <w:t>2</w:t>
            </w:r>
          </w:p>
        </w:tc>
        <w:tc>
          <w:tcPr>
            <w:tcW w:w="1775" w:type="dxa"/>
            <w:shd w:val="clear" w:color="auto" w:fill="auto"/>
            <w:vAlign w:val="center"/>
          </w:tcPr>
          <w:p>
            <w:pPr>
              <w:rPr>
                <w:rFonts w:ascii="Arial" w:hAnsi="Arial" w:cs="Arial"/>
                <w:b w:val="0"/>
                <w:bCs w:val="0"/>
                <w:color w:val="auto"/>
                <w:kern w:val="0"/>
                <w:sz w:val="16"/>
                <w:szCs w:val="16"/>
              </w:rPr>
            </w:pPr>
          </w:p>
        </w:tc>
        <w:tc>
          <w:tcPr>
            <w:tcW w:w="1738" w:type="dxa"/>
            <w:shd w:val="clear" w:color="auto" w:fill="auto"/>
            <w:vAlign w:val="center"/>
          </w:tcPr>
          <w:p>
            <w:pPr>
              <w:rPr>
                <w:rFonts w:ascii="Arial" w:hAnsi="Arial" w:cs="Arial"/>
                <w:b w:val="0"/>
                <w:bCs w:val="0"/>
                <w:color w:val="auto"/>
                <w:kern w:val="0"/>
                <w:sz w:val="16"/>
                <w:szCs w:val="16"/>
              </w:rPr>
            </w:pPr>
          </w:p>
        </w:tc>
        <w:tc>
          <w:tcPr>
            <w:tcW w:w="1441" w:type="dxa"/>
            <w:shd w:val="clear" w:color="auto" w:fill="auto"/>
            <w:vAlign w:val="center"/>
          </w:tcPr>
          <w:p>
            <w:pPr>
              <w:rPr>
                <w:rFonts w:ascii="Arial" w:hAnsi="Arial" w:eastAsia="等线" w:cs="Arial"/>
                <w:b w:val="0"/>
                <w:bCs w:val="0"/>
                <w:color w:val="auto"/>
                <w:kern w:val="0"/>
                <w:sz w:val="16"/>
                <w:szCs w:val="16"/>
              </w:rPr>
            </w:pPr>
          </w:p>
        </w:tc>
        <w:tc>
          <w:tcPr>
            <w:tcW w:w="1540" w:type="dxa"/>
            <w:shd w:val="clear" w:color="auto" w:fill="auto"/>
            <w:vAlign w:val="center"/>
          </w:tcPr>
          <w:p>
            <w:pPr>
              <w:rPr>
                <w:rFonts w:ascii="Arial" w:hAnsi="Arial" w:eastAsia="等线" w:cs="Arial"/>
                <w:b w:val="0"/>
                <w:bCs w:val="0"/>
                <w:color w:val="auto"/>
                <w:kern w:val="0"/>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1</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.1228831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.1687321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0.73 </w:t>
            </w:r>
          </w:p>
        </w:tc>
        <w:tc>
          <w:tcPr>
            <w:tcW w:w="1540" w:type="dxa"/>
            <w:shd w:val="clear" w:color="auto" w:fill="auto"/>
            <w:vAlign w:val="center"/>
          </w:tcPr>
          <w:p>
            <w:pPr>
              <w:tabs>
                <w:tab w:val="left" w:pos="360"/>
              </w:tabs>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0.485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2</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.1263287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.2994694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0.42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0.695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3</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.4479929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.372034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1.20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0.268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5</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.2999277 </w:t>
            </w:r>
          </w:p>
        </w:tc>
        <w:tc>
          <w:tcPr>
            <w:tcW w:w="1738" w:type="dxa"/>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 .4539491</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0.66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0.533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PaCO</w:t>
            </w:r>
            <w:r>
              <w:rPr>
                <w:rFonts w:ascii="Arial" w:hAnsi="Arial" w:eastAsia="等线" w:cs="Arial"/>
                <w:b w:val="0"/>
                <w:bCs w:val="0"/>
                <w:color w:val="auto"/>
                <w:kern w:val="0"/>
                <w:sz w:val="16"/>
                <w:szCs w:val="16"/>
                <w:vertAlign w:val="subscript"/>
              </w:rPr>
              <w:t>2</w:t>
            </w:r>
          </w:p>
        </w:tc>
        <w:tc>
          <w:tcPr>
            <w:tcW w:w="1775" w:type="dxa"/>
            <w:shd w:val="clear" w:color="auto" w:fill="auto"/>
            <w:vAlign w:val="center"/>
          </w:tcPr>
          <w:p>
            <w:pPr>
              <w:rPr>
                <w:rFonts w:ascii="Arial" w:hAnsi="Arial" w:cs="Arial"/>
                <w:b w:val="0"/>
                <w:bCs w:val="0"/>
                <w:color w:val="auto"/>
                <w:kern w:val="0"/>
                <w:sz w:val="16"/>
                <w:szCs w:val="16"/>
              </w:rPr>
            </w:pPr>
          </w:p>
        </w:tc>
        <w:tc>
          <w:tcPr>
            <w:tcW w:w="1738" w:type="dxa"/>
            <w:shd w:val="clear" w:color="auto" w:fill="auto"/>
            <w:vAlign w:val="center"/>
          </w:tcPr>
          <w:p>
            <w:pPr>
              <w:rPr>
                <w:rFonts w:ascii="Arial" w:hAnsi="Arial" w:cs="Arial"/>
                <w:b w:val="0"/>
                <w:bCs w:val="0"/>
                <w:color w:val="auto"/>
                <w:kern w:val="0"/>
                <w:sz w:val="16"/>
                <w:szCs w:val="16"/>
              </w:rPr>
            </w:pPr>
          </w:p>
        </w:tc>
        <w:tc>
          <w:tcPr>
            <w:tcW w:w="1441" w:type="dxa"/>
            <w:shd w:val="clear" w:color="auto" w:fill="auto"/>
            <w:vAlign w:val="center"/>
          </w:tcPr>
          <w:p>
            <w:pPr>
              <w:rPr>
                <w:rFonts w:ascii="Arial" w:hAnsi="Arial" w:eastAsia="等线" w:cs="Arial"/>
                <w:b w:val="0"/>
                <w:bCs w:val="0"/>
                <w:color w:val="auto"/>
                <w:kern w:val="0"/>
                <w:sz w:val="16"/>
                <w:szCs w:val="16"/>
              </w:rPr>
            </w:pPr>
          </w:p>
        </w:tc>
        <w:tc>
          <w:tcPr>
            <w:tcW w:w="1540" w:type="dxa"/>
            <w:shd w:val="clear" w:color="auto" w:fill="auto"/>
            <w:vAlign w:val="center"/>
          </w:tcPr>
          <w:p>
            <w:pPr>
              <w:rPr>
                <w:rFonts w:ascii="Arial" w:hAnsi="Arial" w:eastAsia="等线" w:cs="Arial"/>
                <w:b w:val="0"/>
                <w:bCs w:val="0"/>
                <w:color w:val="auto"/>
                <w:kern w:val="0"/>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1</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.2448198</w:t>
            </w:r>
          </w:p>
        </w:tc>
        <w:tc>
          <w:tcPr>
            <w:tcW w:w="1738"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.1629619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1.50</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0.164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2</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.2944017</w:t>
            </w:r>
          </w:p>
        </w:tc>
        <w:tc>
          <w:tcPr>
            <w:tcW w:w="1738"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.2405578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1.22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0.288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3</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-.3785358 </w:t>
            </w:r>
          </w:p>
        </w:tc>
        <w:tc>
          <w:tcPr>
            <w:tcW w:w="1738"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.2187217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-1.73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0.134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4</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.2994595</w:t>
            </w:r>
          </w:p>
        </w:tc>
        <w:tc>
          <w:tcPr>
            <w:tcW w:w="1738"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.8245639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0.36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0.778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5</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-.13207  </w:t>
            </w:r>
          </w:p>
        </w:tc>
        <w:tc>
          <w:tcPr>
            <w:tcW w:w="1738"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.4304865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-0.31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0.769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PaO</w:t>
            </w:r>
            <w:r>
              <w:rPr>
                <w:rFonts w:ascii="Arial" w:hAnsi="Arial" w:eastAsia="等线" w:cs="Arial"/>
                <w:b w:val="0"/>
                <w:bCs w:val="0"/>
                <w:color w:val="auto"/>
                <w:kern w:val="0"/>
                <w:sz w:val="16"/>
                <w:szCs w:val="16"/>
                <w:vertAlign w:val="subscript"/>
              </w:rPr>
              <w:t>2</w:t>
            </w:r>
            <w:r>
              <w:rPr>
                <w:rFonts w:ascii="Arial" w:hAnsi="Arial" w:eastAsia="等线" w:cs="Arial"/>
                <w:b w:val="0"/>
                <w:bCs w:val="0"/>
                <w:color w:val="auto"/>
                <w:kern w:val="0"/>
                <w:sz w:val="16"/>
                <w:szCs w:val="16"/>
              </w:rPr>
              <w:t>/FiO</w:t>
            </w:r>
            <w:r>
              <w:rPr>
                <w:rFonts w:ascii="Arial" w:hAnsi="Arial" w:eastAsia="等线" w:cs="Arial"/>
                <w:b w:val="0"/>
                <w:bCs w:val="0"/>
                <w:color w:val="auto"/>
                <w:kern w:val="0"/>
                <w:sz w:val="16"/>
                <w:szCs w:val="16"/>
                <w:vertAlign w:val="subscript"/>
              </w:rPr>
              <w:t>2</w:t>
            </w:r>
          </w:p>
        </w:tc>
        <w:tc>
          <w:tcPr>
            <w:tcW w:w="1775" w:type="dxa"/>
            <w:shd w:val="clear" w:color="auto" w:fill="auto"/>
            <w:vAlign w:val="center"/>
          </w:tcPr>
          <w:p>
            <w:pPr>
              <w:rPr>
                <w:rFonts w:ascii="Arial" w:hAnsi="Arial" w:cs="Arial"/>
                <w:b w:val="0"/>
                <w:bCs w:val="0"/>
                <w:color w:val="auto"/>
                <w:kern w:val="0"/>
                <w:sz w:val="16"/>
                <w:szCs w:val="16"/>
              </w:rPr>
            </w:pPr>
          </w:p>
        </w:tc>
        <w:tc>
          <w:tcPr>
            <w:tcW w:w="1738" w:type="dxa"/>
            <w:shd w:val="clear" w:color="auto" w:fill="auto"/>
            <w:vAlign w:val="center"/>
          </w:tcPr>
          <w:p>
            <w:pPr>
              <w:rPr>
                <w:rFonts w:ascii="Arial" w:hAnsi="Arial" w:cs="Arial"/>
                <w:b w:val="0"/>
                <w:bCs w:val="0"/>
                <w:color w:val="auto"/>
                <w:kern w:val="0"/>
                <w:sz w:val="16"/>
                <w:szCs w:val="16"/>
              </w:rPr>
            </w:pPr>
          </w:p>
        </w:tc>
        <w:tc>
          <w:tcPr>
            <w:tcW w:w="1441" w:type="dxa"/>
            <w:shd w:val="clear" w:color="auto" w:fill="auto"/>
            <w:vAlign w:val="center"/>
          </w:tcPr>
          <w:p>
            <w:pPr>
              <w:rPr>
                <w:rFonts w:ascii="Arial" w:hAnsi="Arial" w:eastAsia="等线" w:cs="Arial"/>
                <w:b w:val="0"/>
                <w:bCs w:val="0"/>
                <w:color w:val="auto"/>
                <w:kern w:val="0"/>
                <w:sz w:val="16"/>
                <w:szCs w:val="16"/>
              </w:rPr>
            </w:pPr>
          </w:p>
        </w:tc>
        <w:tc>
          <w:tcPr>
            <w:tcW w:w="1540" w:type="dxa"/>
            <w:shd w:val="clear" w:color="auto" w:fill="auto"/>
            <w:vAlign w:val="center"/>
          </w:tcPr>
          <w:p>
            <w:pPr>
              <w:rPr>
                <w:rFonts w:ascii="Arial" w:hAnsi="Arial" w:eastAsia="等线" w:cs="Arial"/>
                <w:b w:val="0"/>
                <w:bCs w:val="0"/>
                <w:color w:val="auto"/>
                <w:kern w:val="0"/>
                <w:sz w:val="16"/>
                <w:szCs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1</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.0685012 </w:t>
            </w:r>
          </w:p>
        </w:tc>
        <w:tc>
          <w:tcPr>
            <w:tcW w:w="1738"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.1707575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0.40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0.697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2</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.0086928 </w:t>
            </w:r>
          </w:p>
        </w:tc>
        <w:tc>
          <w:tcPr>
            <w:tcW w:w="1738"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.3266435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0.03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0.980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3</w:t>
            </w:r>
          </w:p>
        </w:tc>
        <w:tc>
          <w:tcPr>
            <w:tcW w:w="1775"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.4974883 </w:t>
            </w:r>
          </w:p>
        </w:tc>
        <w:tc>
          <w:tcPr>
            <w:tcW w:w="1738" w:type="dxa"/>
            <w:shd w:val="clear" w:color="auto" w:fill="auto"/>
            <w:vAlign w:val="center"/>
          </w:tcPr>
          <w:p>
            <w:pPr>
              <w:rPr>
                <w:rFonts w:ascii="Arial" w:hAnsi="Arial" w:cs="Arial"/>
                <w:b w:val="0"/>
                <w:bCs w:val="0"/>
                <w:color w:val="auto"/>
                <w:kern w:val="0"/>
                <w:sz w:val="16"/>
                <w:szCs w:val="16"/>
              </w:rPr>
            </w:pPr>
            <w:r>
              <w:rPr>
                <w:rFonts w:ascii="Arial" w:hAnsi="Arial" w:cs="Arial"/>
                <w:b w:val="0"/>
                <w:bCs w:val="0"/>
                <w:color w:val="auto"/>
                <w:kern w:val="0"/>
                <w:sz w:val="16"/>
                <w:szCs w:val="16"/>
              </w:rPr>
              <w:t xml:space="preserve">.4152259 </w:t>
            </w:r>
          </w:p>
        </w:tc>
        <w:tc>
          <w:tcPr>
            <w:tcW w:w="1441"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1.20  </w:t>
            </w:r>
          </w:p>
        </w:tc>
        <w:tc>
          <w:tcPr>
            <w:tcW w:w="1540" w:type="dxa"/>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0.276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775" w:type="dxa"/>
            <w:tcBorders>
              <w:bottom w:val="single" w:color="auto" w:sz="4" w:space="0"/>
            </w:tcBorders>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T</w:t>
            </w:r>
            <w:r>
              <w:rPr>
                <w:rFonts w:ascii="Arial" w:hAnsi="Arial" w:eastAsia="等线" w:cs="Arial"/>
                <w:b w:val="0"/>
                <w:bCs w:val="0"/>
                <w:color w:val="auto"/>
                <w:kern w:val="0"/>
                <w:sz w:val="16"/>
                <w:szCs w:val="16"/>
                <w:vertAlign w:val="subscript"/>
              </w:rPr>
              <w:t>5</w:t>
            </w:r>
          </w:p>
        </w:tc>
        <w:tc>
          <w:tcPr>
            <w:tcW w:w="1775" w:type="dxa"/>
            <w:tcBorders>
              <w:bottom w:val="single" w:color="auto" w:sz="4" w:space="0"/>
            </w:tcBorders>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.5384308 </w:t>
            </w:r>
          </w:p>
        </w:tc>
        <w:tc>
          <w:tcPr>
            <w:tcW w:w="1738" w:type="dxa"/>
            <w:tcBorders>
              <w:bottom w:val="single" w:color="auto" w:sz="4" w:space="0"/>
            </w:tcBorders>
            <w:shd w:val="clear" w:color="auto" w:fill="auto"/>
            <w:vAlign w:val="center"/>
          </w:tcPr>
          <w:p>
            <w:pPr>
              <w:rPr>
                <w:rFonts w:ascii="Arial" w:hAnsi="Arial" w:eastAsia="宋体" w:cs="Arial"/>
                <w:b w:val="0"/>
                <w:bCs w:val="0"/>
                <w:color w:val="auto"/>
                <w:kern w:val="0"/>
                <w:sz w:val="16"/>
                <w:szCs w:val="16"/>
              </w:rPr>
            </w:pPr>
            <w:r>
              <w:rPr>
                <w:rFonts w:ascii="Arial" w:hAnsi="Arial" w:eastAsia="宋体" w:cs="Arial"/>
                <w:b w:val="0"/>
                <w:bCs w:val="0"/>
                <w:color w:val="auto"/>
                <w:kern w:val="0"/>
                <w:sz w:val="16"/>
                <w:szCs w:val="16"/>
              </w:rPr>
              <w:t xml:space="preserve">.403363 </w:t>
            </w:r>
          </w:p>
        </w:tc>
        <w:tc>
          <w:tcPr>
            <w:tcW w:w="1441" w:type="dxa"/>
            <w:tcBorders>
              <w:bottom w:val="single" w:color="auto" w:sz="4" w:space="0"/>
            </w:tcBorders>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1.33 </w:t>
            </w:r>
          </w:p>
        </w:tc>
        <w:tc>
          <w:tcPr>
            <w:tcW w:w="1540" w:type="dxa"/>
            <w:tcBorders>
              <w:bottom w:val="single" w:color="auto" w:sz="4" w:space="0"/>
            </w:tcBorders>
            <w:shd w:val="clear" w:color="auto" w:fill="auto"/>
            <w:vAlign w:val="center"/>
          </w:tcPr>
          <w:p>
            <w:pPr>
              <w:rPr>
                <w:rFonts w:ascii="Arial" w:hAnsi="Arial" w:eastAsia="等线" w:cs="Arial"/>
                <w:b w:val="0"/>
                <w:bCs w:val="0"/>
                <w:color w:val="auto"/>
                <w:kern w:val="0"/>
                <w:sz w:val="16"/>
                <w:szCs w:val="16"/>
              </w:rPr>
            </w:pPr>
            <w:r>
              <w:rPr>
                <w:rFonts w:ascii="Arial" w:hAnsi="Arial" w:eastAsia="等线" w:cs="Arial"/>
                <w:b w:val="0"/>
                <w:bCs w:val="0"/>
                <w:color w:val="auto"/>
                <w:kern w:val="0"/>
                <w:sz w:val="16"/>
                <w:szCs w:val="16"/>
              </w:rPr>
              <w:t xml:space="preserve">0.224 </w:t>
            </w:r>
          </w:p>
        </w:tc>
      </w:tr>
    </w:tbl>
    <w:p>
      <w:pPr>
        <w:spacing w:line="360" w:lineRule="auto"/>
        <w:rPr>
          <w:rFonts w:hint="eastAsia" w:ascii="Arial" w:hAnsi="Arial" w:cs="Arial"/>
          <w:b w:val="0"/>
          <w:bCs w:val="0"/>
          <w:color w:val="auto"/>
          <w:sz w:val="15"/>
          <w:szCs w:val="15"/>
        </w:rPr>
      </w:pPr>
    </w:p>
    <w:p>
      <w:pPr>
        <w:spacing w:line="360" w:lineRule="auto"/>
        <w:rPr>
          <w:rFonts w:ascii="Arial" w:hAnsi="Arial" w:cs="Arial"/>
          <w:b w:val="0"/>
          <w:bCs w:val="0"/>
          <w:color w:val="auto"/>
          <w:sz w:val="15"/>
          <w:szCs w:val="15"/>
        </w:rPr>
      </w:pPr>
      <w:r>
        <w:rPr>
          <w:rFonts w:ascii="Arial" w:hAnsi="Arial" w:cs="Arial"/>
          <w:b w:val="0"/>
          <w:bCs w:val="0"/>
          <w:color w:val="auto"/>
          <w:sz w:val="15"/>
          <w:szCs w:val="15"/>
        </w:rPr>
        <w:t>T1: After anaesthesia induction under supine position</w:t>
      </w:r>
    </w:p>
    <w:p>
      <w:pPr>
        <w:spacing w:line="360" w:lineRule="auto"/>
        <w:rPr>
          <w:rFonts w:ascii="Arial" w:hAnsi="Arial" w:cs="Arial"/>
          <w:b w:val="0"/>
          <w:bCs w:val="0"/>
          <w:color w:val="auto"/>
          <w:sz w:val="15"/>
          <w:szCs w:val="15"/>
        </w:rPr>
      </w:pPr>
      <w:r>
        <w:rPr>
          <w:rFonts w:ascii="Arial" w:hAnsi="Arial" w:cs="Arial"/>
          <w:b w:val="0"/>
          <w:bCs w:val="0"/>
          <w:color w:val="auto"/>
          <w:sz w:val="15"/>
          <w:szCs w:val="15"/>
        </w:rPr>
        <w:t>T2: 15-40 minutes post-pneumoperitoneum and Trendelenburg position</w:t>
      </w:r>
    </w:p>
    <w:p>
      <w:pPr>
        <w:spacing w:line="360" w:lineRule="auto"/>
        <w:rPr>
          <w:rFonts w:ascii="Arial" w:hAnsi="Arial" w:cs="Arial"/>
          <w:b w:val="0"/>
          <w:bCs w:val="0"/>
          <w:color w:val="auto"/>
          <w:sz w:val="15"/>
          <w:szCs w:val="15"/>
        </w:rPr>
      </w:pPr>
      <w:r>
        <w:rPr>
          <w:rFonts w:ascii="Arial" w:hAnsi="Arial" w:cs="Arial"/>
          <w:b w:val="0"/>
          <w:bCs w:val="0"/>
          <w:color w:val="auto"/>
          <w:sz w:val="15"/>
          <w:szCs w:val="15"/>
        </w:rPr>
        <w:t>T3: 60 minutes</w:t>
      </w:r>
      <w:r>
        <w:rPr>
          <w:rFonts w:ascii="Arial" w:hAnsi="Arial" w:cs="Arial"/>
          <w:b w:val="0"/>
          <w:bCs w:val="0"/>
          <w:color w:val="auto"/>
          <w:sz w:val="15"/>
          <w:szCs w:val="15"/>
          <w:lang w:bidi="en-US"/>
        </w:rPr>
        <w:t xml:space="preserve"> </w:t>
      </w:r>
      <w:r>
        <w:rPr>
          <w:rFonts w:ascii="Arial" w:hAnsi="Arial" w:cs="Arial"/>
          <w:b w:val="0"/>
          <w:bCs w:val="0"/>
          <w:color w:val="auto"/>
          <w:sz w:val="15"/>
          <w:szCs w:val="15"/>
        </w:rPr>
        <w:t>post-pneumoperitoneum and Trendelenburg position</w:t>
      </w:r>
    </w:p>
    <w:p>
      <w:pPr>
        <w:spacing w:line="360" w:lineRule="auto"/>
        <w:rPr>
          <w:rFonts w:ascii="Arial" w:hAnsi="Arial" w:cs="Arial"/>
          <w:b w:val="0"/>
          <w:bCs w:val="0"/>
          <w:color w:val="auto"/>
          <w:sz w:val="15"/>
          <w:szCs w:val="15"/>
        </w:rPr>
      </w:pPr>
      <w:r>
        <w:rPr>
          <w:rFonts w:ascii="Arial" w:hAnsi="Arial" w:cs="Arial"/>
          <w:b w:val="0"/>
          <w:bCs w:val="0"/>
          <w:color w:val="auto"/>
          <w:sz w:val="15"/>
          <w:szCs w:val="15"/>
        </w:rPr>
        <w:t>T4:120 minutes post-pneumoperitoneum and Trendelenburg position</w:t>
      </w:r>
    </w:p>
    <w:p>
      <w:pPr>
        <w:spacing w:line="360" w:lineRule="auto"/>
        <w:rPr>
          <w:rFonts w:ascii="Arial" w:hAnsi="Arial" w:cs="Arial"/>
          <w:b w:val="0"/>
          <w:bCs w:val="0"/>
          <w:color w:val="auto"/>
          <w:sz w:val="15"/>
          <w:szCs w:val="15"/>
        </w:rPr>
      </w:pPr>
      <w:r>
        <w:rPr>
          <w:rFonts w:ascii="Arial" w:hAnsi="Arial" w:cs="Arial"/>
          <w:b w:val="0"/>
          <w:bCs w:val="0"/>
          <w:color w:val="auto"/>
          <w:sz w:val="15"/>
          <w:szCs w:val="15"/>
        </w:rPr>
        <w:t>T5: After CO</w:t>
      </w:r>
      <w:r>
        <w:rPr>
          <w:rFonts w:ascii="Arial" w:hAnsi="Arial" w:cs="Arial"/>
          <w:b w:val="0"/>
          <w:bCs w:val="0"/>
          <w:color w:val="auto"/>
          <w:sz w:val="15"/>
          <w:szCs w:val="15"/>
          <w:vertAlign w:val="subscript"/>
        </w:rPr>
        <w:t>2</w:t>
      </w:r>
      <w:r>
        <w:rPr>
          <w:rFonts w:ascii="Arial" w:hAnsi="Arial" w:cs="Arial"/>
          <w:b w:val="0"/>
          <w:bCs w:val="0"/>
          <w:color w:val="auto"/>
          <w:sz w:val="15"/>
          <w:szCs w:val="15"/>
        </w:rPr>
        <w:t xml:space="preserve"> desufflation and resuming the supine position</w:t>
      </w: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b w:val="0"/>
          <w:bCs w:val="0"/>
          <w:color w:val="auto"/>
        </w:rPr>
      </w:pPr>
    </w:p>
    <w:p>
      <w:pPr>
        <w:rPr>
          <w:rFonts w:ascii="Arial" w:hAnsi="Arial" w:cs="Arial"/>
          <w:color w:val="auto"/>
        </w:rPr>
      </w:pPr>
    </w:p>
    <w:p>
      <w:pPr>
        <w:rPr>
          <w:rFonts w:ascii="Arial" w:hAnsi="Arial" w:cs="Arial"/>
          <w:color w:val="auto"/>
          <w:sz w:val="24"/>
          <w:lang w:bidi="en-US"/>
        </w:rPr>
      </w:pPr>
      <w:r>
        <w:rPr>
          <w:rFonts w:ascii="Arial" w:hAnsi="Arial" w:cs="Arial"/>
          <w:color w:val="auto"/>
        </w:rPr>
        <w:t xml:space="preserve">Appendix </w:t>
      </w:r>
      <w:r>
        <w:rPr>
          <w:rFonts w:hint="eastAsia" w:ascii="Arial" w:hAnsi="Arial" w:cs="Arial"/>
          <w:color w:val="auto"/>
        </w:rPr>
        <w:t>5</w:t>
      </w:r>
      <w:r>
        <w:rPr>
          <w:rFonts w:ascii="Arial" w:hAnsi="Arial" w:cs="Arial"/>
          <w:color w:val="auto"/>
        </w:rPr>
        <w:t xml:space="preserve">. </w:t>
      </w:r>
      <w:r>
        <w:rPr>
          <w:rFonts w:ascii="Arial" w:hAnsi="Arial" w:cs="Arial"/>
          <w:color w:val="auto"/>
          <w:sz w:val="24"/>
          <w:lang w:bidi="en-US"/>
        </w:rPr>
        <w:t>Sensitivity analysis</w:t>
      </w:r>
    </w:p>
    <w:p>
      <w:pPr>
        <w:rPr>
          <w:rFonts w:ascii="Arial" w:hAnsi="Arial" w:cs="Arial"/>
          <w:color w:val="auto"/>
        </w:rPr>
      </w:pPr>
      <w:r>
        <w:rPr>
          <w:rFonts w:ascii="Arial" w:hAnsi="Arial" w:cs="Arial"/>
          <w:color w:val="auto"/>
          <w14:ligatures w14:val="standardContextual"/>
        </w:rPr>
        <w:drawing>
          <wp:inline distT="0" distB="0" distL="0" distR="0">
            <wp:extent cx="5433695" cy="4867910"/>
            <wp:effectExtent l="0" t="0" r="6985" b="8890"/>
            <wp:docPr id="15743270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27059" name="图片 1"/>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5433695" cy="4867910"/>
                    </a:xfrm>
                    <a:prstGeom prst="rect">
                      <a:avLst/>
                    </a:prstGeom>
                  </pic:spPr>
                </pic:pic>
              </a:graphicData>
            </a:graphic>
          </wp:inline>
        </w:drawing>
      </w:r>
    </w:p>
    <w:p>
      <w:pPr>
        <w:jc w:val="center"/>
        <w:rPr>
          <w:rFonts w:ascii="Arial" w:hAnsi="Arial" w:cs="Arial"/>
          <w:b w:val="0"/>
          <w:bCs w:val="0"/>
          <w:color w:val="auto"/>
        </w:rPr>
      </w:pPr>
      <w:r>
        <w:rPr>
          <w:rFonts w:ascii="Arial" w:hAnsi="Arial" w:cs="Arial"/>
          <w:b w:val="0"/>
          <w:bCs w:val="0"/>
          <w:color w:val="auto"/>
        </w:rPr>
        <w:t>Figure 1. The sensitivity analysis of Ppeak at T1-2 and T5 of Pressure-controlled ventilation and Volume-controlled ventilation</w:t>
      </w:r>
    </w:p>
    <w:p>
      <w:pPr>
        <w:jc w:val="center"/>
        <w:rPr>
          <w:rFonts w:ascii="Arial" w:hAnsi="Arial" w:cs="Arial"/>
          <w:b w:val="0"/>
          <w:bCs w:val="0"/>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r>
        <w:rPr>
          <w:rFonts w:ascii="Arial" w:hAnsi="Arial" w:cs="Arial"/>
          <w:color w:val="auto"/>
          <w14:ligatures w14:val="standardContextual"/>
        </w:rPr>
        <w:drawing>
          <wp:inline distT="0" distB="0" distL="0" distR="0">
            <wp:extent cx="5412740" cy="4562475"/>
            <wp:effectExtent l="0" t="0" r="12700" b="9525"/>
            <wp:docPr id="20273450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45099" name="图片 2"/>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412740" cy="4562475"/>
                    </a:xfrm>
                    <a:prstGeom prst="rect">
                      <a:avLst/>
                    </a:prstGeom>
                  </pic:spPr>
                </pic:pic>
              </a:graphicData>
            </a:graphic>
          </wp:inline>
        </w:drawing>
      </w:r>
    </w:p>
    <w:p>
      <w:pPr>
        <w:jc w:val="center"/>
        <w:rPr>
          <w:rFonts w:ascii="Arial" w:hAnsi="Arial" w:cs="Arial"/>
          <w:b w:val="0"/>
          <w:bCs w:val="0"/>
          <w:color w:val="auto"/>
        </w:rPr>
      </w:pPr>
      <w:r>
        <w:rPr>
          <w:rFonts w:ascii="Arial" w:hAnsi="Arial" w:cs="Arial"/>
          <w:b w:val="0"/>
          <w:bCs w:val="0"/>
          <w:color w:val="auto"/>
        </w:rPr>
        <w:t>Figure 2. The sensitivity analysis of Ppeak at T2-3 and T5 of Pressure-controlled ventilation volume guaranteed and Volume-controlled ventilation</w:t>
      </w: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p>
    <w:p>
      <w:pPr>
        <w:rPr>
          <w:rFonts w:ascii="Arial" w:hAnsi="Arial" w:cs="Arial"/>
          <w:color w:val="auto"/>
        </w:rPr>
      </w:pPr>
      <w:r>
        <w:rPr>
          <w:rFonts w:hint="eastAsia" w:ascii="Arial" w:hAnsi="Arial" w:cs="Arial"/>
          <w:color w:val="auto"/>
        </w:rPr>
        <w:drawing>
          <wp:inline distT="0" distB="0" distL="114300" distR="114300">
            <wp:extent cx="5396230" cy="2586355"/>
            <wp:effectExtent l="0" t="0" r="13970" b="4445"/>
            <wp:docPr id="3" name="图片 3" descr="1744901259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44901259523"/>
                    <pic:cNvPicPr>
                      <a:picLocks noChangeAspect="1"/>
                    </pic:cNvPicPr>
                  </pic:nvPicPr>
                  <pic:blipFill>
                    <a:blip r:embed="rId42"/>
                    <a:stretch>
                      <a:fillRect/>
                    </a:stretch>
                  </pic:blipFill>
                  <pic:spPr>
                    <a:xfrm>
                      <a:off x="0" y="0"/>
                      <a:ext cx="5396230" cy="2586355"/>
                    </a:xfrm>
                    <a:prstGeom prst="rect">
                      <a:avLst/>
                    </a:prstGeom>
                  </pic:spPr>
                </pic:pic>
              </a:graphicData>
            </a:graphic>
          </wp:inline>
        </w:drawing>
      </w:r>
    </w:p>
    <w:p>
      <w:pPr>
        <w:rPr>
          <w:rFonts w:ascii="Arial" w:hAnsi="Arial" w:cs="Arial"/>
          <w:color w:val="auto"/>
        </w:rPr>
      </w:pPr>
    </w:p>
    <w:p>
      <w:pPr>
        <w:jc w:val="center"/>
        <w:rPr>
          <w:rFonts w:ascii="Arial" w:hAnsi="Arial" w:cs="Arial"/>
          <w:b w:val="0"/>
          <w:bCs w:val="0"/>
          <w:color w:val="auto"/>
        </w:rPr>
      </w:pPr>
      <w:r>
        <w:rPr>
          <w:rFonts w:ascii="Arial" w:hAnsi="Arial" w:cs="Arial"/>
          <w:b w:val="0"/>
          <w:bCs w:val="0"/>
          <w:color w:val="auto"/>
        </w:rPr>
        <w:t>Figure 3. The sensitivity analysis of Pplat at T2 and T5 of Pressure-controlled ventilation and Volume-controlled ventilation</w:t>
      </w:r>
    </w:p>
    <w:p>
      <w:pPr>
        <w:jc w:val="center"/>
        <w:rPr>
          <w:rFonts w:ascii="Arial" w:hAnsi="Arial" w:cs="Arial"/>
          <w:color w:val="auto"/>
        </w:rPr>
      </w:pPr>
      <w:r>
        <w:rPr>
          <w:rFonts w:ascii="Arial" w:hAnsi="Arial" w:cs="Arial"/>
          <w:color w:val="auto"/>
          <w14:ligatures w14:val="standardContextual"/>
        </w:rPr>
        <w:drawing>
          <wp:inline distT="0" distB="0" distL="0" distR="0">
            <wp:extent cx="3970020" cy="3268980"/>
            <wp:effectExtent l="0" t="0" r="7620" b="7620"/>
            <wp:docPr id="6898297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29714" name="图片 4"/>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3970364" cy="3269263"/>
                    </a:xfrm>
                    <a:prstGeom prst="rect">
                      <a:avLst/>
                    </a:prstGeom>
                  </pic:spPr>
                </pic:pic>
              </a:graphicData>
            </a:graphic>
          </wp:inline>
        </w:drawing>
      </w:r>
    </w:p>
    <w:p>
      <w:pPr>
        <w:jc w:val="center"/>
        <w:rPr>
          <w:rFonts w:ascii="Arial" w:hAnsi="Arial" w:cs="Arial"/>
          <w:b w:val="0"/>
          <w:bCs w:val="0"/>
          <w:color w:val="auto"/>
        </w:rPr>
      </w:pPr>
      <w:r>
        <w:rPr>
          <w:rFonts w:ascii="Arial" w:hAnsi="Arial" w:cs="Arial"/>
          <w:b w:val="0"/>
          <w:bCs w:val="0"/>
          <w:color w:val="auto"/>
        </w:rPr>
        <w:t>Figure 4. The sensitivity analysis of Pplat at T2 of Pressure-controlled ventilation volume guaranteed and Volume-controlled ventilation</w:t>
      </w:r>
    </w:p>
    <w:p>
      <w:pPr>
        <w:jc w:val="center"/>
        <w:rPr>
          <w:rFonts w:ascii="Arial" w:hAnsi="Arial" w:cs="Arial"/>
          <w:b w:val="0"/>
          <w:bCs w:val="0"/>
          <w:color w:val="auto"/>
        </w:rPr>
      </w:pPr>
    </w:p>
    <w:p>
      <w:pPr>
        <w:rPr>
          <w:rFonts w:ascii="Arial" w:hAnsi="Arial" w:cs="Arial"/>
          <w:color w:val="auto"/>
        </w:rPr>
      </w:pPr>
      <w:r>
        <w:rPr>
          <w:rFonts w:ascii="Arial" w:hAnsi="Arial" w:cs="Arial"/>
          <w:color w:val="auto"/>
          <w14:ligatures w14:val="standardContextual"/>
        </w:rPr>
        <w:drawing>
          <wp:inline distT="0" distB="0" distL="0" distR="0">
            <wp:extent cx="5634990" cy="2526665"/>
            <wp:effectExtent l="0" t="0" r="3810" b="3175"/>
            <wp:docPr id="187240368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03685" name="图片 5"/>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634990" cy="2526665"/>
                    </a:xfrm>
                    <a:prstGeom prst="rect">
                      <a:avLst/>
                    </a:prstGeom>
                  </pic:spPr>
                </pic:pic>
              </a:graphicData>
            </a:graphic>
          </wp:inline>
        </w:drawing>
      </w:r>
    </w:p>
    <w:p>
      <w:pPr>
        <w:jc w:val="center"/>
        <w:rPr>
          <w:rFonts w:ascii="Arial" w:hAnsi="Arial" w:cs="Arial"/>
          <w:b w:val="0"/>
          <w:bCs w:val="0"/>
          <w:color w:val="auto"/>
        </w:rPr>
      </w:pPr>
      <w:r>
        <w:rPr>
          <w:rFonts w:ascii="Arial" w:hAnsi="Arial" w:cs="Arial"/>
          <w:b w:val="0"/>
          <w:bCs w:val="0"/>
          <w:color w:val="auto"/>
        </w:rPr>
        <w:t>Figure 5. The sensitivity analysis of Cydn at T4 and T5 of Pressure-controlled ventilation and Volume-controlled ventilation</w:t>
      </w:r>
    </w:p>
    <w:p>
      <w:pPr>
        <w:rPr>
          <w:rFonts w:ascii="Arial" w:hAnsi="Arial" w:cs="Arial"/>
          <w:color w:val="auto"/>
        </w:rPr>
      </w:pPr>
    </w:p>
    <w:p>
      <w:pPr>
        <w:rPr>
          <w:rFonts w:ascii="Arial" w:hAnsi="Arial" w:cs="Arial"/>
          <w:color w:val="auto"/>
        </w:rPr>
      </w:pPr>
      <w:r>
        <w:rPr>
          <w:rFonts w:ascii="Arial" w:hAnsi="Arial" w:cs="Arial"/>
          <w:color w:val="auto"/>
          <w14:ligatures w14:val="standardContextual"/>
        </w:rPr>
        <w:drawing>
          <wp:inline distT="0" distB="0" distL="0" distR="0">
            <wp:extent cx="5278120" cy="4302760"/>
            <wp:effectExtent l="0" t="0" r="10160" b="10160"/>
            <wp:docPr id="135596679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66792" name="图片 6"/>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5278120" cy="4302760"/>
                    </a:xfrm>
                    <a:prstGeom prst="rect">
                      <a:avLst/>
                    </a:prstGeom>
                  </pic:spPr>
                </pic:pic>
              </a:graphicData>
            </a:graphic>
          </wp:inline>
        </w:drawing>
      </w:r>
    </w:p>
    <w:p>
      <w:pPr>
        <w:jc w:val="center"/>
        <w:rPr>
          <w:rFonts w:ascii="Arial" w:hAnsi="Arial" w:cs="Arial"/>
          <w:b w:val="0"/>
          <w:bCs w:val="0"/>
          <w:color w:val="auto"/>
        </w:rPr>
      </w:pPr>
      <w:r>
        <w:rPr>
          <w:rFonts w:ascii="Arial" w:hAnsi="Arial" w:cs="Arial"/>
          <w:b w:val="0"/>
          <w:bCs w:val="0"/>
          <w:color w:val="auto"/>
        </w:rPr>
        <w:t>Figure 6. The sensitivity analysis of Cydn at T1-3 and T4 of Pressure-controlled ventilation volume guaranteed and Volume-controlled ventilation</w:t>
      </w:r>
    </w:p>
    <w:p>
      <w:pPr>
        <w:rPr>
          <w:rFonts w:ascii="Arial" w:hAnsi="Arial" w:cs="Arial"/>
          <w:color w:val="auto"/>
        </w:rPr>
      </w:pPr>
      <w:r>
        <w:rPr>
          <w:rFonts w:ascii="Arial" w:hAnsi="Arial" w:cs="Arial"/>
          <w:color w:val="auto"/>
          <w14:ligatures w14:val="standardContextual"/>
        </w:rPr>
        <w:drawing>
          <wp:inline distT="0" distB="0" distL="0" distR="0">
            <wp:extent cx="5029200" cy="7896225"/>
            <wp:effectExtent l="0" t="0" r="0" b="13335"/>
            <wp:docPr id="94473730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737309" name="图片 7"/>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5029200" cy="7896225"/>
                    </a:xfrm>
                    <a:prstGeom prst="rect">
                      <a:avLst/>
                    </a:prstGeom>
                  </pic:spPr>
                </pic:pic>
              </a:graphicData>
            </a:graphic>
          </wp:inline>
        </w:drawing>
      </w:r>
    </w:p>
    <w:p>
      <w:pPr>
        <w:jc w:val="center"/>
        <w:rPr>
          <w:rFonts w:ascii="Arial" w:hAnsi="Arial" w:cs="Arial"/>
          <w:b w:val="0"/>
          <w:bCs w:val="0"/>
          <w:color w:val="auto"/>
        </w:rPr>
      </w:pPr>
      <w:r>
        <w:rPr>
          <w:rFonts w:ascii="Arial" w:hAnsi="Arial" w:cs="Arial"/>
          <w:b w:val="0"/>
          <w:bCs w:val="0"/>
          <w:color w:val="auto"/>
        </w:rPr>
        <w:t>Figure 7. The sensitivity analysis of PO</w:t>
      </w:r>
      <w:r>
        <w:rPr>
          <w:rFonts w:ascii="Arial" w:hAnsi="Arial" w:cs="Arial"/>
          <w:b w:val="0"/>
          <w:bCs w:val="0"/>
          <w:color w:val="auto"/>
          <w:vertAlign w:val="subscript"/>
        </w:rPr>
        <w:t>2</w:t>
      </w:r>
      <w:r>
        <w:rPr>
          <w:rFonts w:ascii="Arial" w:hAnsi="Arial" w:cs="Arial"/>
          <w:b w:val="0"/>
          <w:bCs w:val="0"/>
          <w:color w:val="auto"/>
        </w:rPr>
        <w:t xml:space="preserve"> at T3 and T5 of Pressure-controlled ventilation volume guaranteed and Volume-controlled ventilation</w:t>
      </w:r>
    </w:p>
    <w:p>
      <w:pPr>
        <w:rPr>
          <w:rFonts w:ascii="Arial" w:hAnsi="Arial" w:cs="Arial"/>
          <w:color w:val="auto"/>
        </w:rPr>
      </w:pPr>
      <w:r>
        <w:rPr>
          <w:rFonts w:ascii="Arial" w:hAnsi="Arial" w:cs="Arial"/>
          <w:color w:val="auto"/>
          <w14:ligatures w14:val="standardContextual"/>
        </w:rPr>
        <w:drawing>
          <wp:inline distT="0" distB="0" distL="0" distR="0">
            <wp:extent cx="4238625" cy="3653790"/>
            <wp:effectExtent l="0" t="0" r="13335" b="3810"/>
            <wp:docPr id="54511075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10756" name="图片 8"/>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4246940" cy="3661155"/>
                    </a:xfrm>
                    <a:prstGeom prst="rect">
                      <a:avLst/>
                    </a:prstGeom>
                  </pic:spPr>
                </pic:pic>
              </a:graphicData>
            </a:graphic>
          </wp:inline>
        </w:drawing>
      </w:r>
    </w:p>
    <w:p>
      <w:pPr>
        <w:jc w:val="center"/>
        <w:rPr>
          <w:rFonts w:ascii="Arial" w:hAnsi="Arial" w:cs="Arial"/>
          <w:b w:val="0"/>
          <w:bCs w:val="0"/>
          <w:color w:val="auto"/>
        </w:rPr>
      </w:pPr>
      <w:r>
        <w:rPr>
          <w:rFonts w:ascii="Arial" w:hAnsi="Arial" w:cs="Arial"/>
          <w:b w:val="0"/>
          <w:bCs w:val="0"/>
          <w:color w:val="auto"/>
        </w:rPr>
        <w:t>Figure 8. The sensitivity analysis of PCO</w:t>
      </w:r>
      <w:r>
        <w:rPr>
          <w:rFonts w:ascii="Arial" w:hAnsi="Arial" w:cs="Arial"/>
          <w:b w:val="0"/>
          <w:bCs w:val="0"/>
          <w:color w:val="auto"/>
          <w:vertAlign w:val="subscript"/>
        </w:rPr>
        <w:t>2</w:t>
      </w:r>
      <w:r>
        <w:rPr>
          <w:rFonts w:ascii="Arial" w:hAnsi="Arial" w:cs="Arial"/>
          <w:b w:val="0"/>
          <w:bCs w:val="0"/>
          <w:color w:val="auto"/>
        </w:rPr>
        <w:t xml:space="preserve"> at T5 of Pressure-controlled ventilation and Volume-controlled ventilation</w:t>
      </w:r>
    </w:p>
    <w:p>
      <w:pPr>
        <w:rPr>
          <w:rFonts w:ascii="Arial" w:hAnsi="Arial" w:cs="Arial"/>
          <w:color w:val="auto"/>
        </w:rPr>
      </w:pPr>
      <w:r>
        <w:rPr>
          <w:rFonts w:ascii="Arial" w:hAnsi="Arial" w:cs="Arial"/>
          <w:color w:val="auto"/>
          <w14:ligatures w14:val="standardContextual"/>
        </w:rPr>
        <w:drawing>
          <wp:inline distT="0" distB="0" distL="0" distR="0">
            <wp:extent cx="4381500" cy="3520440"/>
            <wp:effectExtent l="0" t="0" r="7620" b="0"/>
            <wp:docPr id="14301094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109467" name="图片 9"/>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4381880" cy="3520745"/>
                    </a:xfrm>
                    <a:prstGeom prst="rect">
                      <a:avLst/>
                    </a:prstGeom>
                  </pic:spPr>
                </pic:pic>
              </a:graphicData>
            </a:graphic>
          </wp:inline>
        </w:drawing>
      </w:r>
    </w:p>
    <w:p>
      <w:pPr>
        <w:jc w:val="center"/>
        <w:rPr>
          <w:rFonts w:ascii="Arial" w:hAnsi="Arial" w:cs="Arial"/>
          <w:b w:val="0"/>
          <w:bCs w:val="0"/>
          <w:color w:val="auto"/>
        </w:rPr>
      </w:pPr>
      <w:r>
        <w:rPr>
          <w:rFonts w:ascii="Arial" w:hAnsi="Arial" w:cs="Arial"/>
          <w:b w:val="0"/>
          <w:bCs w:val="0"/>
          <w:color w:val="auto"/>
        </w:rPr>
        <w:t>Figure 9. The sensitivity analysis of Oxygenation index at T2 of Pressure-controlled ventilation and Volume-controlled ventilation</w:t>
      </w:r>
    </w:p>
    <w:p>
      <w:pPr>
        <w:jc w:val="center"/>
        <w:rPr>
          <w:rFonts w:ascii="Arial" w:hAnsi="Arial" w:cs="Arial"/>
          <w:b w:val="0"/>
          <w:bCs w:val="0"/>
          <w:color w:val="auto"/>
        </w:rPr>
      </w:pPr>
    </w:p>
    <w:p>
      <w:pPr>
        <w:rPr>
          <w:rFonts w:ascii="Arial" w:hAnsi="Arial" w:cs="Arial"/>
          <w:color w:val="auto"/>
        </w:rPr>
      </w:pPr>
      <w:r>
        <w:rPr>
          <w:rFonts w:ascii="Arial" w:hAnsi="Arial" w:cs="Arial"/>
          <w:color w:val="auto"/>
          <w14:ligatures w14:val="standardContextual"/>
        </w:rPr>
        <w:drawing>
          <wp:inline distT="0" distB="0" distL="0" distR="0">
            <wp:extent cx="4418330" cy="6212205"/>
            <wp:effectExtent l="0" t="0" r="1270" b="5715"/>
            <wp:docPr id="5461588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58817" name="图片 10"/>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4418330" cy="6212205"/>
                    </a:xfrm>
                    <a:prstGeom prst="rect">
                      <a:avLst/>
                    </a:prstGeom>
                  </pic:spPr>
                </pic:pic>
              </a:graphicData>
            </a:graphic>
          </wp:inline>
        </w:drawing>
      </w:r>
    </w:p>
    <w:p>
      <w:pPr>
        <w:jc w:val="center"/>
        <w:rPr>
          <w:rFonts w:ascii="Arial" w:hAnsi="Arial" w:cs="Arial"/>
          <w:b w:val="0"/>
          <w:bCs w:val="0"/>
          <w:color w:val="auto"/>
        </w:rPr>
      </w:pPr>
      <w:r>
        <w:rPr>
          <w:rFonts w:ascii="Arial" w:hAnsi="Arial" w:cs="Arial"/>
          <w:b w:val="0"/>
          <w:bCs w:val="0"/>
          <w:color w:val="auto"/>
        </w:rPr>
        <w:t>Figure 10. The sensitivity analysis of Oxygenation index at T3 and T5 of Pressure-controlled ventilation volume guaranteed and Volume-controlled ventilation</w:t>
      </w:r>
    </w:p>
    <w:p>
      <w:pPr>
        <w:jc w:val="center"/>
        <w:rPr>
          <w:rFonts w:ascii="Arial" w:hAnsi="Arial" w:cs="Arial"/>
          <w:b w:val="0"/>
          <w:bCs w:val="0"/>
          <w:color w:val="auto"/>
        </w:rPr>
      </w:pPr>
    </w:p>
    <w:p>
      <w:pPr>
        <w:jc w:val="center"/>
        <w:rPr>
          <w:rFonts w:ascii="Arial" w:hAnsi="Arial" w:cs="Arial"/>
          <w:b w:val="0"/>
          <w:bCs w:val="0"/>
          <w:color w:val="auto"/>
        </w:rPr>
      </w:pPr>
    </w:p>
    <w:p>
      <w:pPr>
        <w:jc w:val="center"/>
        <w:rPr>
          <w:rFonts w:ascii="Arial" w:hAnsi="Arial" w:cs="Arial"/>
          <w:b w:val="0"/>
          <w:bCs w:val="0"/>
          <w:color w:val="auto"/>
        </w:rPr>
      </w:pPr>
      <w:r>
        <w:rPr>
          <w:rFonts w:hint="eastAsia" w:ascii="Arial" w:hAnsi="Arial" w:cs="Arial"/>
          <w:b w:val="0"/>
          <w:bCs w:val="0"/>
          <w:color w:val="auto"/>
        </w:rPr>
        <w:drawing>
          <wp:inline distT="0" distB="0" distL="114300" distR="114300">
            <wp:extent cx="3931920" cy="2811780"/>
            <wp:effectExtent l="0" t="0" r="0" b="7620"/>
            <wp:docPr id="1" name="图片 1" descr="1744636273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44636273374"/>
                    <pic:cNvPicPr>
                      <a:picLocks noChangeAspect="1"/>
                    </pic:cNvPicPr>
                  </pic:nvPicPr>
                  <pic:blipFill>
                    <a:blip r:embed="rId50"/>
                    <a:stretch>
                      <a:fillRect/>
                    </a:stretch>
                  </pic:blipFill>
                  <pic:spPr>
                    <a:xfrm>
                      <a:off x="0" y="0"/>
                      <a:ext cx="3931920" cy="2811780"/>
                    </a:xfrm>
                    <a:prstGeom prst="rect">
                      <a:avLst/>
                    </a:prstGeom>
                  </pic:spPr>
                </pic:pic>
              </a:graphicData>
            </a:graphic>
          </wp:inline>
        </w:drawing>
      </w:r>
    </w:p>
    <w:p>
      <w:pPr>
        <w:jc w:val="center"/>
        <w:rPr>
          <w:rFonts w:ascii="Arial" w:hAnsi="Arial" w:cs="Arial"/>
          <w:b w:val="0"/>
          <w:bCs w:val="0"/>
          <w:color w:val="auto"/>
        </w:rPr>
      </w:pPr>
      <w:r>
        <w:rPr>
          <w:rFonts w:ascii="Arial" w:hAnsi="Arial" w:cs="Arial"/>
          <w:b w:val="0"/>
          <w:bCs w:val="0"/>
          <w:color w:val="auto"/>
        </w:rPr>
        <w:t>Figure 1</w:t>
      </w:r>
      <w:r>
        <w:rPr>
          <w:rFonts w:hint="eastAsia" w:ascii="Arial" w:hAnsi="Arial" w:cs="Arial"/>
          <w:b w:val="0"/>
          <w:bCs w:val="0"/>
          <w:color w:val="auto"/>
        </w:rPr>
        <w:t>1</w:t>
      </w:r>
      <w:r>
        <w:rPr>
          <w:rFonts w:ascii="Arial" w:hAnsi="Arial" w:cs="Arial"/>
          <w:b w:val="0"/>
          <w:bCs w:val="0"/>
          <w:color w:val="auto"/>
        </w:rPr>
        <w:t xml:space="preserve">. The sensitivity analysis of </w:t>
      </w:r>
      <w:r>
        <w:rPr>
          <w:rFonts w:hint="eastAsia" w:ascii="Arial" w:hAnsi="Arial" w:cs="Arial"/>
          <w:b w:val="0"/>
          <w:bCs w:val="0"/>
          <w:color w:val="auto"/>
        </w:rPr>
        <w:t>pH</w:t>
      </w:r>
      <w:r>
        <w:rPr>
          <w:rFonts w:ascii="Arial" w:hAnsi="Arial" w:cs="Arial"/>
          <w:b w:val="0"/>
          <w:bCs w:val="0"/>
          <w:color w:val="auto"/>
        </w:rPr>
        <w:t xml:space="preserve"> at T</w:t>
      </w:r>
      <w:r>
        <w:rPr>
          <w:rFonts w:hint="eastAsia" w:ascii="Arial" w:hAnsi="Arial" w:cs="Arial"/>
          <w:b w:val="0"/>
          <w:bCs w:val="0"/>
          <w:color w:val="auto"/>
        </w:rPr>
        <w:t>2</w:t>
      </w:r>
      <w:r>
        <w:rPr>
          <w:rFonts w:ascii="Arial" w:hAnsi="Arial" w:cs="Arial"/>
          <w:b w:val="0"/>
          <w:bCs w:val="0"/>
          <w:color w:val="auto"/>
        </w:rPr>
        <w:t xml:space="preserve"> of Pressure-controlled ventilation volume guaranteed and Volume-controlled ventilation</w:t>
      </w:r>
    </w:p>
    <w:p>
      <w:pPr>
        <w:jc w:val="center"/>
        <w:rPr>
          <w:rFonts w:ascii="Arial" w:hAnsi="Arial" w:cs="Arial"/>
          <w:b w:val="0"/>
          <w:bCs w:val="0"/>
          <w:color w:val="auto"/>
        </w:rPr>
      </w:pPr>
      <w:bookmarkStart w:id="0" w:name="_GoBack"/>
      <w:bookmarkEnd w:id="0"/>
    </w:p>
    <w:sectPr>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5575391"/>
    </w:sdtPr>
    <w:sdtContent>
      <w:p>
        <w:pPr>
          <w:pStyle w:val="12"/>
          <w:jc w:val="center"/>
          <w:rPr>
            <w:rFonts w:hint="eastAsia"/>
          </w:rPr>
        </w:pPr>
        <w:r>
          <w:fldChar w:fldCharType="begin"/>
        </w:r>
        <w:r>
          <w:instrText xml:space="preserve">PAGE   \* MERGEFORMAT</w:instrText>
        </w:r>
        <w:r>
          <w:fldChar w:fldCharType="separate"/>
        </w:r>
        <w:r>
          <w:rPr>
            <w:lang w:val="zh-CN"/>
          </w:rPr>
          <w:t>2</w:t>
        </w:r>
        <w:r>
          <w:fldChar w:fldCharType="end"/>
        </w:r>
      </w:p>
    </w:sdtContent>
  </w:sdt>
  <w:p>
    <w:pP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rPr>
    </w:pPr>
  </w:p>
  <w:p>
    <w:pP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rPr>
    </w:pPr>
  </w:p>
  <w:p>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rPr>
    </w:pPr>
  </w:p>
  <w:p>
    <w:pP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MLY0MjC2NDM0sjC0NDRX0lEKTi0uzszPAykwqQUAv7cflSwAAAA="/>
    <w:docVar w:name="commondata" w:val="eyJoZGlkIjoiMGM0YzdhOTM3MDBlZTU4ZDE0YWNlYWFkMjkyYTgwZDYifQ=="/>
    <w:docVar w:name="KSO_WPS_MARK_KEY" w:val="f0f26f49-6c99-417f-b162-9cce3f9ef769"/>
  </w:docVars>
  <w:rsids>
    <w:rsidRoot w:val="00325BB3"/>
    <w:rsid w:val="00021445"/>
    <w:rsid w:val="000F067F"/>
    <w:rsid w:val="00111DC7"/>
    <w:rsid w:val="0012671A"/>
    <w:rsid w:val="001C0CDB"/>
    <w:rsid w:val="00216EF2"/>
    <w:rsid w:val="00295040"/>
    <w:rsid w:val="002C07C9"/>
    <w:rsid w:val="00325BB3"/>
    <w:rsid w:val="003A0A38"/>
    <w:rsid w:val="003F02DC"/>
    <w:rsid w:val="004255F3"/>
    <w:rsid w:val="00455E93"/>
    <w:rsid w:val="00466941"/>
    <w:rsid w:val="00472406"/>
    <w:rsid w:val="004D4D42"/>
    <w:rsid w:val="0050553B"/>
    <w:rsid w:val="005A7E4D"/>
    <w:rsid w:val="005C7529"/>
    <w:rsid w:val="00715149"/>
    <w:rsid w:val="007B7135"/>
    <w:rsid w:val="00801B99"/>
    <w:rsid w:val="00886C2B"/>
    <w:rsid w:val="00941543"/>
    <w:rsid w:val="00986486"/>
    <w:rsid w:val="00A07A1C"/>
    <w:rsid w:val="00A939C2"/>
    <w:rsid w:val="00E37B37"/>
    <w:rsid w:val="00E7132B"/>
    <w:rsid w:val="00EA381A"/>
    <w:rsid w:val="124C62C1"/>
    <w:rsid w:val="14047AC6"/>
    <w:rsid w:val="15CF6199"/>
    <w:rsid w:val="1A350B18"/>
    <w:rsid w:val="228D64D2"/>
    <w:rsid w:val="2BCE3BB3"/>
    <w:rsid w:val="352B4B4B"/>
    <w:rsid w:val="37ED4C4D"/>
    <w:rsid w:val="485D5ED5"/>
    <w:rsid w:val="49E52169"/>
    <w:rsid w:val="5147550D"/>
    <w:rsid w:val="534A1D91"/>
    <w:rsid w:val="53E83831"/>
    <w:rsid w:val="59E06FAB"/>
    <w:rsid w:val="5D3D265E"/>
    <w:rsid w:val="643530A3"/>
    <w:rsid w:val="696B1E57"/>
    <w:rsid w:val="6E3F4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微软雅黑" w:hAnsi="微软雅黑" w:eastAsia="微软雅黑" w:cstheme="minorBidi"/>
      <w:b/>
      <w:bCs/>
      <w:kern w:val="2"/>
      <w:sz w:val="21"/>
      <w:szCs w:val="22"/>
      <w:lang w:val="en-US" w:eastAsia="zh-CN" w:bidi="ar-SA"/>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5"/>
    <w:semiHidden/>
    <w:unhideWhenUsed/>
    <w:qFormat/>
    <w:uiPriority w:val="9"/>
    <w:pPr>
      <w:keepNext/>
      <w:keepLines/>
      <w:spacing w:before="40"/>
      <w:outlineLvl w:val="5"/>
    </w:pPr>
    <w:rPr>
      <w:rFonts w:cstheme="majorBidi"/>
      <w:b w:val="0"/>
      <w:bCs w:val="0"/>
      <w:color w:val="2F5597"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val="0"/>
      <w:bCs w:val="0"/>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9"/>
    <w:unhideWhenUsed/>
    <w:qFormat/>
    <w:uiPriority w:val="99"/>
    <w:pPr>
      <w:tabs>
        <w:tab w:val="center" w:pos="4153"/>
        <w:tab w:val="right" w:pos="8306"/>
      </w:tabs>
      <w:snapToGrid w:val="0"/>
      <w:jc w:val="left"/>
    </w:pPr>
    <w:rPr>
      <w:sz w:val="18"/>
      <w:szCs w:val="18"/>
    </w:rPr>
  </w:style>
  <w:style w:type="paragraph" w:styleId="13">
    <w:name w:val="header"/>
    <w:basedOn w:val="1"/>
    <w:link w:val="38"/>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annotation reference"/>
    <w:basedOn w:val="18"/>
    <w:semiHidden/>
    <w:unhideWhenUsed/>
    <w:qFormat/>
    <w:uiPriority w:val="99"/>
    <w:rPr>
      <w:sz w:val="21"/>
      <w:szCs w:val="21"/>
    </w:rPr>
  </w:style>
  <w:style w:type="character" w:customStyle="1" w:styleId="20">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8"/>
    <w:link w:val="5"/>
    <w:semiHidden/>
    <w:qFormat/>
    <w:uiPriority w:val="9"/>
    <w:rPr>
      <w:rFonts w:cstheme="majorBidi"/>
      <w:color w:val="2F5597" w:themeColor="accent1" w:themeShade="BF"/>
      <w:sz w:val="28"/>
      <w:szCs w:val="28"/>
    </w:rPr>
  </w:style>
  <w:style w:type="character" w:customStyle="1" w:styleId="24">
    <w:name w:val="标题 5 字符"/>
    <w:basedOn w:val="18"/>
    <w:link w:val="6"/>
    <w:semiHidden/>
    <w:qFormat/>
    <w:uiPriority w:val="9"/>
    <w:rPr>
      <w:rFonts w:cstheme="majorBidi"/>
      <w:color w:val="2F5597" w:themeColor="accent1" w:themeShade="BF"/>
      <w:sz w:val="24"/>
      <w:szCs w:val="24"/>
    </w:rPr>
  </w:style>
  <w:style w:type="character" w:customStyle="1" w:styleId="25">
    <w:name w:val="标题 6 字符"/>
    <w:basedOn w:val="18"/>
    <w:link w:val="7"/>
    <w:semiHidden/>
    <w:qFormat/>
    <w:uiPriority w:val="9"/>
    <w:rPr>
      <w:rFonts w:cstheme="majorBidi"/>
      <w:b/>
      <w:bCs/>
      <w:color w:val="2F5597"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8"/>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8"/>
    <w:link w:val="35"/>
    <w:qFormat/>
    <w:uiPriority w:val="30"/>
    <w:rPr>
      <w:i/>
      <w:iCs/>
      <w:color w:val="2F5597" w:themeColor="accent1" w:themeShade="BF"/>
    </w:rPr>
  </w:style>
  <w:style w:type="character" w:customStyle="1" w:styleId="37">
    <w:name w:val="明显参考1"/>
    <w:basedOn w:val="18"/>
    <w:qFormat/>
    <w:uiPriority w:val="32"/>
    <w:rPr>
      <w:b/>
      <w:bCs/>
      <w:smallCaps/>
      <w:color w:val="2F5597" w:themeColor="accent1" w:themeShade="BF"/>
      <w:spacing w:val="5"/>
    </w:rPr>
  </w:style>
  <w:style w:type="character" w:customStyle="1" w:styleId="38">
    <w:name w:val="页眉 字符"/>
    <w:basedOn w:val="18"/>
    <w:link w:val="13"/>
    <w:qFormat/>
    <w:uiPriority w:val="99"/>
    <w:rPr>
      <w:sz w:val="18"/>
      <w:szCs w:val="18"/>
    </w:rPr>
  </w:style>
  <w:style w:type="character" w:customStyle="1" w:styleId="39">
    <w:name w:val="页脚 字符"/>
    <w:basedOn w:val="18"/>
    <w:link w:val="1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1" Type="http://schemas.openxmlformats.org/officeDocument/2006/relationships/fontTable" Target="fontTable.xml"/><Relationship Id="rId50" Type="http://schemas.openxmlformats.org/officeDocument/2006/relationships/image" Target="media/image43.png"/><Relationship Id="rId5" Type="http://schemas.openxmlformats.org/officeDocument/2006/relationships/footer" Target="footer1.xml"/><Relationship Id="rId49" Type="http://schemas.openxmlformats.org/officeDocument/2006/relationships/image" Target="media/image42.jpeg"/><Relationship Id="rId48" Type="http://schemas.openxmlformats.org/officeDocument/2006/relationships/image" Target="media/image41.png"/><Relationship Id="rId47" Type="http://schemas.openxmlformats.org/officeDocument/2006/relationships/image" Target="media/image40.tiff"/><Relationship Id="rId46" Type="http://schemas.openxmlformats.org/officeDocument/2006/relationships/image" Target="media/image39.jpe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header" Target="head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header" Target="head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31</Pages>
  <Words>1594</Words>
  <Characters>11777</Characters>
  <Lines>680</Lines>
  <Paragraphs>375</Paragraphs>
  <TotalTime>23</TotalTime>
  <ScaleCrop>false</ScaleCrop>
  <LinksUpToDate>false</LinksUpToDate>
  <CharactersWithSpaces>13216</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2025-02-10T07:01:00Z</dcterms:created>
  <dc:creator>an ran</dc:creator>
  <cp:lastModifiedBy>傻了</cp:lastModifiedBy>
  <dcterms:modified xsi:type="dcterms:W3CDTF">2025-04-18T15:40:34Z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CC60960F58ED4028AF85CD846D650EC5</vt:lpwstr>
  </property>
</Properties>
</file>