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7EB03" w14:textId="2DEBF1FE" w:rsidR="009238CB" w:rsidRPr="009238CB" w:rsidRDefault="009238CB" w:rsidP="009238CB">
      <w:pPr>
        <w:rPr>
          <w:rFonts w:hint="eastAsia"/>
          <w:b/>
          <w:bCs/>
        </w:rPr>
      </w:pPr>
      <w:r w:rsidRPr="009238CB">
        <w:rPr>
          <w:b/>
          <w:bCs/>
        </w:rPr>
        <w:t>Supplementary Methods: Technical Architecture and Data Security</w:t>
      </w:r>
    </w:p>
    <w:p w14:paraId="478F9F57" w14:textId="23878AD0" w:rsidR="009238CB" w:rsidRDefault="009238CB" w:rsidP="0020715B">
      <w:pPr>
        <w:ind w:firstLineChars="200" w:firstLine="440"/>
        <w:rPr>
          <w:rFonts w:hint="eastAsia"/>
        </w:rPr>
      </w:pPr>
      <w:r w:rsidRPr="009238CB">
        <w:t>The platform was developed using a Java-based microservice architecture and deployed through a hybrid web and native mobile application framework. It supported access through smartphones, tablets, and web browsers. Data security and privacy protection were maintained through encrypted data transmission and storage, identity authentication, role-based access control, and secure cloud infrastructure in accordance with applicable institutional and regulatory requirements.</w:t>
      </w:r>
    </w:p>
    <w:p w14:paraId="6F3064D0" w14:textId="77777777" w:rsidR="009238CB" w:rsidRDefault="009238CB" w:rsidP="009238CB">
      <w:pPr>
        <w:rPr>
          <w:rFonts w:hint="eastAsia"/>
        </w:rPr>
      </w:pPr>
    </w:p>
    <w:p w14:paraId="367B4868" w14:textId="77777777" w:rsidR="00656020" w:rsidRPr="00656020" w:rsidRDefault="00656020" w:rsidP="00656020">
      <w:pPr>
        <w:rPr>
          <w:rFonts w:hint="eastAsia"/>
          <w:b/>
          <w:bCs/>
        </w:rPr>
      </w:pPr>
      <w:r w:rsidRPr="00656020">
        <w:rPr>
          <w:b/>
          <w:bCs/>
        </w:rPr>
        <w:t>Supplementary Methods: Illustrative Individualized Prehabilitation Prescription</w:t>
      </w:r>
    </w:p>
    <w:p w14:paraId="32959D17" w14:textId="3FF134E8" w:rsidR="00656020" w:rsidRPr="00656020" w:rsidRDefault="00656020" w:rsidP="0020715B">
      <w:pPr>
        <w:ind w:firstLineChars="200" w:firstLine="440"/>
        <w:rPr>
          <w:rFonts w:hint="eastAsia"/>
        </w:rPr>
      </w:pPr>
      <w:r w:rsidRPr="00656020">
        <w:t>As a hypothetical illustrative example, a 58-year-old man scheduled to undergo laparoscopic radical resection for rectal cancer received an individualized prehabilitation prescription based on his baseline functional status, cardiopulmonary condition, smoking history, muscle strength, fall risk, and nutritional requirements.</w:t>
      </w:r>
    </w:p>
    <w:p w14:paraId="30B856FE" w14:textId="65F6964F" w:rsidR="00656020" w:rsidRPr="00656020" w:rsidRDefault="00656020" w:rsidP="0020715B">
      <w:pPr>
        <w:ind w:firstLineChars="200" w:firstLine="440"/>
        <w:rPr>
          <w:rFonts w:hint="eastAsia"/>
        </w:rPr>
      </w:pPr>
      <w:r w:rsidRPr="00656020">
        <w:t>The patient had a history of chronic obstructive pulmonary disease and was a current smoker. His forced expiratory volume in 1 second was approximately 50% of the predicted value. His habitual physical activity consisted mainly of walking, his resting heart rate was approximately 70 beats/min, and his baseline respiratory muscle strength was considered preserved. Nutritional assessment suggested increased energy and protein requirements.</w:t>
      </w:r>
    </w:p>
    <w:p w14:paraId="2AEE2DBC" w14:textId="77777777" w:rsidR="00656020" w:rsidRPr="00656020" w:rsidRDefault="00656020" w:rsidP="00656020">
      <w:pPr>
        <w:rPr>
          <w:rFonts w:hint="eastAsia"/>
        </w:rPr>
      </w:pPr>
      <w:r w:rsidRPr="00656020">
        <w:t>The individualized prehabilitation prescription comprised the following components:</w:t>
      </w:r>
    </w:p>
    <w:p w14:paraId="0E5D4883" w14:textId="2CA58BF2" w:rsidR="00656020" w:rsidRPr="00656020" w:rsidRDefault="00656020" w:rsidP="00656020">
      <w:pPr>
        <w:numPr>
          <w:ilvl w:val="0"/>
          <w:numId w:val="1"/>
        </w:numPr>
        <w:rPr>
          <w:rFonts w:hint="eastAsia"/>
        </w:rPr>
      </w:pPr>
      <w:r w:rsidRPr="00656020">
        <w:t>Medical and lifestyle guidance: The patient received counseling on perioperative management of chronic obstructive pulmonary disease and was strongly advised to stop smoking immediately. Smoking-cessation education focused on the potential benefits of reducing airway irritation, sputum production, and perioperative pulmonary risk. Continuation and optimization of prescribed inhaled therapy were recommended according to the treating physician’s assessment.</w:t>
      </w:r>
    </w:p>
    <w:p w14:paraId="2BB37A72" w14:textId="179C55BB" w:rsidR="00656020" w:rsidRPr="00656020" w:rsidRDefault="00656020" w:rsidP="00656020">
      <w:pPr>
        <w:numPr>
          <w:ilvl w:val="0"/>
          <w:numId w:val="1"/>
        </w:numPr>
        <w:rPr>
          <w:rFonts w:hint="eastAsia"/>
        </w:rPr>
      </w:pPr>
      <w:r w:rsidRPr="00656020">
        <w:t>Aerobic exercise: Aerobic exercise was prescribed three times per week. Each session consisted of a 5-minute warm-up followed by 25 minutes of brisk walking at a target heart rate of approximately 134 beats/min. Exercise intensity was also monitored using the Borg Rating of Perceived Exertion, with a target range of 13–16. The patient was instructed to reduce exercise intensity or stop training if marked dyspnea, chest discomfort, dizziness, or other concerning symptoms occurred.</w:t>
      </w:r>
    </w:p>
    <w:p w14:paraId="1F6D2B60" w14:textId="5149FF30" w:rsidR="00656020" w:rsidRPr="00656020" w:rsidRDefault="00656020" w:rsidP="00656020">
      <w:pPr>
        <w:numPr>
          <w:ilvl w:val="0"/>
          <w:numId w:val="1"/>
        </w:numPr>
        <w:rPr>
          <w:rFonts w:hint="eastAsia"/>
        </w:rPr>
      </w:pPr>
      <w:r w:rsidRPr="00656020">
        <w:lastRenderedPageBreak/>
        <w:t>Resistance exercise: Resistance training was prescribed twice per week using a level 3 video-guided elastic-band program. The exercises included wall sits, resistance-band chest presses, seated resistance-band rows, resistance-band leg presses, and quadruped core exercises. These exercises targeted the lower limbs, chest, back, gluteal muscles, and core. Each exercise was generally performed for 10 repetitions per set, with a 90-second rest interval between sets.</w:t>
      </w:r>
    </w:p>
    <w:p w14:paraId="3A25D20D" w14:textId="51B8ECF6" w:rsidR="00656020" w:rsidRPr="00656020" w:rsidRDefault="00656020" w:rsidP="00656020">
      <w:pPr>
        <w:numPr>
          <w:ilvl w:val="0"/>
          <w:numId w:val="1"/>
        </w:numPr>
        <w:rPr>
          <w:rFonts w:hint="eastAsia"/>
        </w:rPr>
      </w:pPr>
      <w:r w:rsidRPr="00656020">
        <w:t>Respiratory training: Respiratory training was prescribed at least twice daily. Because the patient had chronic obstructive pulmonary disease but preserved respiratory muscle strength, the program focused on breathing control, airway clearance, and lung expansion rather than high-intensity inspiratory muscle loading. Each session included three video-guided exercises: diaphragmatic breathing, the active cycle of breathing technique, and training with a three-ball respiratory trainer. The total duration of each session was approximately 10 minutes.</w:t>
      </w:r>
    </w:p>
    <w:p w14:paraId="57F7FDD6" w14:textId="208AD7A3" w:rsidR="00656020" w:rsidRPr="00656020" w:rsidRDefault="00656020" w:rsidP="00656020">
      <w:pPr>
        <w:numPr>
          <w:ilvl w:val="0"/>
          <w:numId w:val="1"/>
        </w:numPr>
        <w:rPr>
          <w:rFonts w:hint="eastAsia"/>
        </w:rPr>
      </w:pPr>
      <w:r w:rsidRPr="00656020">
        <w:t>Nutritional support: The patient received individualized dietary counseling and was advised to maintain adequate energy intake and increase the consumption of high-quality protein. Because nutritional assessment indicated increased requirements, oral nutritional supplementation providing an additional 400–600 kcal/day was prescribed. Whey protein supplementation was recommended in conjunction with resistance exercise.</w:t>
      </w:r>
    </w:p>
    <w:p w14:paraId="5FD1CEA9" w14:textId="7349AE24" w:rsidR="00656020" w:rsidRPr="00656020" w:rsidRDefault="00656020" w:rsidP="00656020">
      <w:pPr>
        <w:numPr>
          <w:ilvl w:val="0"/>
          <w:numId w:val="1"/>
        </w:numPr>
        <w:rPr>
          <w:rFonts w:hint="eastAsia"/>
        </w:rPr>
      </w:pPr>
      <w:r w:rsidRPr="00656020">
        <w:t>Psychological support: The patient was encouraged to perform daily music-based relaxation using self-selected soothing music in a quiet environment to reduce preoperative anxiety and improve engagement with the overall program.</w:t>
      </w:r>
    </w:p>
    <w:p w14:paraId="183200FE" w14:textId="646AD510" w:rsidR="0059740B" w:rsidRPr="0059740B" w:rsidRDefault="00656020" w:rsidP="0020715B">
      <w:pPr>
        <w:ind w:firstLineChars="200" w:firstLine="440"/>
        <w:rPr>
          <w:rFonts w:hint="eastAsia"/>
        </w:rPr>
      </w:pPr>
      <w:r w:rsidRPr="00656020">
        <w:t>The prescription was delivered through the digital platform, which provided instructional videos, scheduled reminders, progress monitoring, and communication with the clinical team. The intervention could be modified according to the patient’s tolerance, symptom burden, and task completion during the preoperative period.</w:t>
      </w:r>
    </w:p>
    <w:sectPr w:rsidR="0059740B" w:rsidRPr="0059740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31B87" w14:textId="77777777" w:rsidR="00E36B8D" w:rsidRDefault="00E36B8D" w:rsidP="009238CB">
      <w:pPr>
        <w:spacing w:after="0" w:line="240" w:lineRule="auto"/>
        <w:rPr>
          <w:rFonts w:hint="eastAsia"/>
        </w:rPr>
      </w:pPr>
      <w:r>
        <w:separator/>
      </w:r>
    </w:p>
  </w:endnote>
  <w:endnote w:type="continuationSeparator" w:id="0">
    <w:p w14:paraId="2A27ADFC" w14:textId="77777777" w:rsidR="00E36B8D" w:rsidRDefault="00E36B8D" w:rsidP="009238CB">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609D7" w14:textId="77777777" w:rsidR="00E36B8D" w:rsidRDefault="00E36B8D" w:rsidP="009238CB">
      <w:pPr>
        <w:spacing w:after="0" w:line="240" w:lineRule="auto"/>
        <w:rPr>
          <w:rFonts w:hint="eastAsia"/>
        </w:rPr>
      </w:pPr>
      <w:r>
        <w:separator/>
      </w:r>
    </w:p>
  </w:footnote>
  <w:footnote w:type="continuationSeparator" w:id="0">
    <w:p w14:paraId="000640F8" w14:textId="77777777" w:rsidR="00E36B8D" w:rsidRDefault="00E36B8D" w:rsidP="009238CB">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A6732D"/>
    <w:multiLevelType w:val="multilevel"/>
    <w:tmpl w:val="913899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827521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840"/>
    <w:rsid w:val="0007387E"/>
    <w:rsid w:val="001534D5"/>
    <w:rsid w:val="001E1E8D"/>
    <w:rsid w:val="0020715B"/>
    <w:rsid w:val="0034301F"/>
    <w:rsid w:val="00542C4B"/>
    <w:rsid w:val="0059740B"/>
    <w:rsid w:val="005A7841"/>
    <w:rsid w:val="00656020"/>
    <w:rsid w:val="00825898"/>
    <w:rsid w:val="00843887"/>
    <w:rsid w:val="00862051"/>
    <w:rsid w:val="008C2138"/>
    <w:rsid w:val="009238CB"/>
    <w:rsid w:val="00A13A54"/>
    <w:rsid w:val="00A55B33"/>
    <w:rsid w:val="00AB3840"/>
    <w:rsid w:val="00D80D2F"/>
    <w:rsid w:val="00E36B8D"/>
    <w:rsid w:val="00F05139"/>
    <w:rsid w:val="00F56B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F9D84E"/>
  <w15:chartTrackingRefBased/>
  <w15:docId w15:val="{2BCCA95E-525C-49FC-81AE-9111819F8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B384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AB384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AB384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AB384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AB384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AB384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AB384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AB384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AB384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B384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AB384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AB384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AB3840"/>
    <w:rPr>
      <w:rFonts w:cstheme="majorBidi"/>
      <w:color w:val="2F5496" w:themeColor="accent1" w:themeShade="BF"/>
      <w:sz w:val="28"/>
      <w:szCs w:val="28"/>
    </w:rPr>
  </w:style>
  <w:style w:type="character" w:customStyle="1" w:styleId="50">
    <w:name w:val="标题 5 字符"/>
    <w:basedOn w:val="a0"/>
    <w:link w:val="5"/>
    <w:uiPriority w:val="9"/>
    <w:semiHidden/>
    <w:rsid w:val="00AB3840"/>
    <w:rPr>
      <w:rFonts w:cstheme="majorBidi"/>
      <w:color w:val="2F5496" w:themeColor="accent1" w:themeShade="BF"/>
      <w:sz w:val="24"/>
    </w:rPr>
  </w:style>
  <w:style w:type="character" w:customStyle="1" w:styleId="60">
    <w:name w:val="标题 6 字符"/>
    <w:basedOn w:val="a0"/>
    <w:link w:val="6"/>
    <w:uiPriority w:val="9"/>
    <w:semiHidden/>
    <w:rsid w:val="00AB3840"/>
    <w:rPr>
      <w:rFonts w:cstheme="majorBidi"/>
      <w:b/>
      <w:bCs/>
      <w:color w:val="2F5496" w:themeColor="accent1" w:themeShade="BF"/>
    </w:rPr>
  </w:style>
  <w:style w:type="character" w:customStyle="1" w:styleId="70">
    <w:name w:val="标题 7 字符"/>
    <w:basedOn w:val="a0"/>
    <w:link w:val="7"/>
    <w:uiPriority w:val="9"/>
    <w:semiHidden/>
    <w:rsid w:val="00AB3840"/>
    <w:rPr>
      <w:rFonts w:cstheme="majorBidi"/>
      <w:b/>
      <w:bCs/>
      <w:color w:val="595959" w:themeColor="text1" w:themeTint="A6"/>
    </w:rPr>
  </w:style>
  <w:style w:type="character" w:customStyle="1" w:styleId="80">
    <w:name w:val="标题 8 字符"/>
    <w:basedOn w:val="a0"/>
    <w:link w:val="8"/>
    <w:uiPriority w:val="9"/>
    <w:semiHidden/>
    <w:rsid w:val="00AB3840"/>
    <w:rPr>
      <w:rFonts w:cstheme="majorBidi"/>
      <w:color w:val="595959" w:themeColor="text1" w:themeTint="A6"/>
    </w:rPr>
  </w:style>
  <w:style w:type="character" w:customStyle="1" w:styleId="90">
    <w:name w:val="标题 9 字符"/>
    <w:basedOn w:val="a0"/>
    <w:link w:val="9"/>
    <w:uiPriority w:val="9"/>
    <w:semiHidden/>
    <w:rsid w:val="00AB3840"/>
    <w:rPr>
      <w:rFonts w:eastAsiaTheme="majorEastAsia" w:cstheme="majorBidi"/>
      <w:color w:val="595959" w:themeColor="text1" w:themeTint="A6"/>
    </w:rPr>
  </w:style>
  <w:style w:type="paragraph" w:styleId="a3">
    <w:name w:val="Title"/>
    <w:basedOn w:val="a"/>
    <w:next w:val="a"/>
    <w:link w:val="a4"/>
    <w:uiPriority w:val="10"/>
    <w:qFormat/>
    <w:rsid w:val="00AB384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AB384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384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AB384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3840"/>
    <w:pPr>
      <w:spacing w:before="160"/>
      <w:jc w:val="center"/>
    </w:pPr>
    <w:rPr>
      <w:i/>
      <w:iCs/>
      <w:color w:val="404040" w:themeColor="text1" w:themeTint="BF"/>
    </w:rPr>
  </w:style>
  <w:style w:type="character" w:customStyle="1" w:styleId="a8">
    <w:name w:val="引用 字符"/>
    <w:basedOn w:val="a0"/>
    <w:link w:val="a7"/>
    <w:uiPriority w:val="29"/>
    <w:rsid w:val="00AB3840"/>
    <w:rPr>
      <w:i/>
      <w:iCs/>
      <w:color w:val="404040" w:themeColor="text1" w:themeTint="BF"/>
    </w:rPr>
  </w:style>
  <w:style w:type="paragraph" w:styleId="a9">
    <w:name w:val="List Paragraph"/>
    <w:basedOn w:val="a"/>
    <w:uiPriority w:val="34"/>
    <w:qFormat/>
    <w:rsid w:val="00AB3840"/>
    <w:pPr>
      <w:ind w:left="720"/>
      <w:contextualSpacing/>
    </w:pPr>
  </w:style>
  <w:style w:type="character" w:styleId="aa">
    <w:name w:val="Intense Emphasis"/>
    <w:basedOn w:val="a0"/>
    <w:uiPriority w:val="21"/>
    <w:qFormat/>
    <w:rsid w:val="00AB3840"/>
    <w:rPr>
      <w:i/>
      <w:iCs/>
      <w:color w:val="2F5496" w:themeColor="accent1" w:themeShade="BF"/>
    </w:rPr>
  </w:style>
  <w:style w:type="paragraph" w:styleId="ab">
    <w:name w:val="Intense Quote"/>
    <w:basedOn w:val="a"/>
    <w:next w:val="a"/>
    <w:link w:val="ac"/>
    <w:uiPriority w:val="30"/>
    <w:qFormat/>
    <w:rsid w:val="00AB384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AB3840"/>
    <w:rPr>
      <w:i/>
      <w:iCs/>
      <w:color w:val="2F5496" w:themeColor="accent1" w:themeShade="BF"/>
    </w:rPr>
  </w:style>
  <w:style w:type="character" w:styleId="ad">
    <w:name w:val="Intense Reference"/>
    <w:basedOn w:val="a0"/>
    <w:uiPriority w:val="32"/>
    <w:qFormat/>
    <w:rsid w:val="00AB3840"/>
    <w:rPr>
      <w:b/>
      <w:bCs/>
      <w:smallCaps/>
      <w:color w:val="2F5496" w:themeColor="accent1" w:themeShade="BF"/>
      <w:spacing w:val="5"/>
    </w:rPr>
  </w:style>
  <w:style w:type="paragraph" w:styleId="ae">
    <w:name w:val="header"/>
    <w:basedOn w:val="a"/>
    <w:link w:val="af"/>
    <w:uiPriority w:val="99"/>
    <w:unhideWhenUsed/>
    <w:rsid w:val="009238CB"/>
    <w:pPr>
      <w:tabs>
        <w:tab w:val="center" w:pos="4153"/>
        <w:tab w:val="right" w:pos="8306"/>
      </w:tabs>
      <w:snapToGrid w:val="0"/>
      <w:spacing w:line="240" w:lineRule="auto"/>
      <w:jc w:val="center"/>
    </w:pPr>
    <w:rPr>
      <w:sz w:val="18"/>
      <w:szCs w:val="18"/>
    </w:rPr>
  </w:style>
  <w:style w:type="character" w:customStyle="1" w:styleId="af">
    <w:name w:val="页眉 字符"/>
    <w:basedOn w:val="a0"/>
    <w:link w:val="ae"/>
    <w:uiPriority w:val="99"/>
    <w:rsid w:val="009238CB"/>
    <w:rPr>
      <w:sz w:val="18"/>
      <w:szCs w:val="18"/>
    </w:rPr>
  </w:style>
  <w:style w:type="paragraph" w:styleId="af0">
    <w:name w:val="footer"/>
    <w:basedOn w:val="a"/>
    <w:link w:val="af1"/>
    <w:uiPriority w:val="99"/>
    <w:unhideWhenUsed/>
    <w:rsid w:val="009238CB"/>
    <w:pPr>
      <w:tabs>
        <w:tab w:val="center" w:pos="4153"/>
        <w:tab w:val="right" w:pos="8306"/>
      </w:tabs>
      <w:snapToGrid w:val="0"/>
      <w:spacing w:line="240" w:lineRule="auto"/>
    </w:pPr>
    <w:rPr>
      <w:sz w:val="18"/>
      <w:szCs w:val="18"/>
    </w:rPr>
  </w:style>
  <w:style w:type="character" w:customStyle="1" w:styleId="af1">
    <w:name w:val="页脚 字符"/>
    <w:basedOn w:val="a0"/>
    <w:link w:val="af0"/>
    <w:uiPriority w:val="99"/>
    <w:rsid w:val="009238C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1089</Words>
  <Characters>3323</Characters>
  <Application>Microsoft Office Word</Application>
  <DocSecurity>0</DocSecurity>
  <Lines>62</Lines>
  <Paragraphs>11</Paragraphs>
  <ScaleCrop>false</ScaleCrop>
  <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子嘉 刘</dc:creator>
  <cp:keywords/>
  <dc:description/>
  <cp:lastModifiedBy>liangyan zhang</cp:lastModifiedBy>
  <cp:revision>13</cp:revision>
  <dcterms:created xsi:type="dcterms:W3CDTF">2026-06-08T11:24:00Z</dcterms:created>
  <dcterms:modified xsi:type="dcterms:W3CDTF">2026-06-12T01:41:00Z</dcterms:modified>
</cp:coreProperties>
</file>