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8C6" w:rsidRDefault="005558C6" w:rsidP="002062A7">
      <w:pPr>
        <w:shd w:val="clear" w:color="auto" w:fill="FFFFFF"/>
        <w:spacing w:after="0" w:line="480" w:lineRule="auto"/>
        <w:outlineLvl w:val="1"/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2062A7">
        <w:rPr>
          <w:rFonts w:ascii="Segoe UI" w:eastAsia="Times New Roman" w:hAnsi="Segoe UI" w:cs="Arial"/>
          <w:b/>
          <w:sz w:val="28"/>
          <w:szCs w:val="24"/>
          <w:lang w:eastAsia="en-AU"/>
        </w:rPr>
        <w:t xml:space="preserve">Additional file 2 </w:t>
      </w:r>
    </w:p>
    <w:p w:rsidR="005558C6" w:rsidRDefault="005558C6" w:rsidP="002062A7">
      <w:pPr>
        <w:shd w:val="clear" w:color="auto" w:fill="FFFFFF"/>
        <w:spacing w:after="0" w:line="480" w:lineRule="auto"/>
        <w:outlineLvl w:val="1"/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2062A7">
        <w:rPr>
          <w:rFonts w:ascii="Segoe UI" w:eastAsia="Times New Roman" w:hAnsi="Segoe UI" w:cs="Arial"/>
          <w:b/>
          <w:sz w:val="28"/>
          <w:szCs w:val="24"/>
          <w:lang w:eastAsia="en-AU"/>
        </w:rPr>
        <w:t xml:space="preserve">Typology for </w:t>
      </w:r>
      <w:r>
        <w:rPr>
          <w:rFonts w:ascii="Segoe UI" w:eastAsia="Times New Roman" w:hAnsi="Segoe UI" w:cs="Arial"/>
          <w:b/>
          <w:sz w:val="28"/>
          <w:szCs w:val="24"/>
          <w:lang w:eastAsia="en-AU"/>
        </w:rPr>
        <w:t xml:space="preserve">community </w:t>
      </w:r>
      <w:r w:rsidRPr="002062A7">
        <w:rPr>
          <w:rFonts w:ascii="Segoe UI" w:eastAsia="Times New Roman" w:hAnsi="Segoe UI" w:cs="Arial"/>
          <w:b/>
          <w:sz w:val="28"/>
          <w:szCs w:val="24"/>
          <w:lang w:eastAsia="en-AU"/>
        </w:rPr>
        <w:t>incentive based interventions</w:t>
      </w:r>
    </w:p>
    <w:p w:rsidR="005558C6" w:rsidRPr="002062A7" w:rsidRDefault="005558C6" w:rsidP="00426C2E">
      <w:pPr>
        <w:rPr>
          <w:lang w:eastAsia="en-AU"/>
        </w:rPr>
      </w:pPr>
      <w:r>
        <w:rPr>
          <w:lang w:eastAsia="en-AU"/>
        </w:rPr>
        <w:t xml:space="preserve">Categories adapted from Section 6 of the </w:t>
      </w:r>
      <w:r w:rsidRPr="00426C2E">
        <w:rPr>
          <w:lang w:eastAsia="en-AU"/>
        </w:rPr>
        <w:t>Conservation Actions Classification Scheme (Version 2.0)</w:t>
      </w:r>
      <w:r>
        <w:rPr>
          <w:lang w:eastAsia="en-AU"/>
        </w:rPr>
        <w:t xml:space="preserve"> </w:t>
      </w:r>
      <w:r>
        <w:rPr>
          <w:noProof/>
          <w:lang w:eastAsia="en-AU"/>
        </w:rPr>
        <w:t>[1</w:t>
      </w:r>
      <w:bookmarkStart w:id="0" w:name="_GoBack"/>
      <w:bookmarkEnd w:id="0"/>
      <w:r>
        <w:rPr>
          <w:noProof/>
          <w:lang w:eastAsia="en-AU"/>
        </w:rPr>
        <w:t>]</w:t>
      </w:r>
      <w:r>
        <w:rPr>
          <w:lang w:eastAsia="en-AU"/>
        </w:rPr>
        <w:t>.</w:t>
      </w:r>
    </w:p>
    <w:tbl>
      <w:tblPr>
        <w:tblStyle w:val="TableGrid3"/>
        <w:tblW w:w="5000" w:type="pct"/>
        <w:tblLook w:val="04A0" w:firstRow="1" w:lastRow="0" w:firstColumn="1" w:lastColumn="0" w:noHBand="0" w:noVBand="1"/>
      </w:tblPr>
      <w:tblGrid>
        <w:gridCol w:w="3006"/>
        <w:gridCol w:w="3006"/>
        <w:gridCol w:w="3004"/>
      </w:tblGrid>
      <w:tr w:rsidR="005558C6" w:rsidRPr="002062A7" w:rsidTr="003A5440"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b/>
                <w:lang w:eastAsia="en-AU"/>
              </w:rPr>
            </w:pPr>
            <w:r w:rsidRPr="002062A7">
              <w:rPr>
                <w:rFonts w:eastAsia="Times New Roman" w:cs="Arial"/>
                <w:b/>
                <w:lang w:eastAsia="en-AU"/>
              </w:rPr>
              <w:t>Category</w:t>
            </w:r>
          </w:p>
        </w:tc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b/>
                <w:lang w:eastAsia="en-AU"/>
              </w:rPr>
            </w:pPr>
            <w:r w:rsidRPr="002062A7">
              <w:rPr>
                <w:rFonts w:eastAsia="Times New Roman" w:cs="Arial"/>
                <w:b/>
                <w:lang w:eastAsia="en-AU"/>
              </w:rPr>
              <w:t>Description</w:t>
            </w:r>
          </w:p>
        </w:tc>
        <w:tc>
          <w:tcPr>
            <w:tcW w:w="1666" w:type="pct"/>
          </w:tcPr>
          <w:p w:rsidR="005558C6" w:rsidRPr="002062A7" w:rsidRDefault="005558C6" w:rsidP="002062A7">
            <w:pPr>
              <w:rPr>
                <w:rFonts w:eastAsia="Times New Roman" w:cs="Arial"/>
                <w:b/>
                <w:lang w:eastAsia="en-AU"/>
              </w:rPr>
            </w:pPr>
            <w:r w:rsidRPr="002062A7">
              <w:rPr>
                <w:rFonts w:eastAsia="Times New Roman" w:cs="Arial"/>
                <w:b/>
                <w:lang w:eastAsia="en-AU"/>
              </w:rPr>
              <w:t>Intervention examples</w:t>
            </w:r>
          </w:p>
        </w:tc>
      </w:tr>
      <w:tr w:rsidR="005558C6" w:rsidRPr="002062A7" w:rsidTr="003A5440">
        <w:trPr>
          <w:trHeight w:val="5288"/>
        </w:trPr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>Linked enterprises &amp; livelihood alternatives</w:t>
            </w:r>
          </w:p>
        </w:tc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>Developing enterprises that directly depend on the maintenance of natural resources or provide substitute livelihoods as a means of</w:t>
            </w:r>
          </w:p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changing </w:t>
            </w:r>
            <w:proofErr w:type="spellStart"/>
            <w:r w:rsidRPr="002062A7">
              <w:rPr>
                <w:rFonts w:eastAsia="Times New Roman" w:cs="Arial"/>
                <w:lang w:eastAsia="en-AU"/>
              </w:rPr>
              <w:t>behaviours</w:t>
            </w:r>
            <w:proofErr w:type="spellEnd"/>
            <w:r w:rsidRPr="002062A7">
              <w:rPr>
                <w:rFonts w:eastAsia="Times New Roman" w:cs="Arial"/>
                <w:lang w:eastAsia="en-AU"/>
              </w:rPr>
              <w:t xml:space="preserve"> and attitudes</w:t>
            </w:r>
          </w:p>
        </w:tc>
        <w:tc>
          <w:tcPr>
            <w:tcW w:w="1666" w:type="pct"/>
          </w:tcPr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Eco/Adventure tourism </w:t>
            </w:r>
            <w:r>
              <w:rPr>
                <w:rFonts w:eastAsia="Times New Roman" w:cs="Arial"/>
                <w:noProof/>
                <w:lang w:eastAsia="en-AU"/>
              </w:rPr>
              <w:t>[2]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Religious tourism </w:t>
            </w:r>
            <w:r>
              <w:rPr>
                <w:rFonts w:eastAsia="Times New Roman" w:cs="Arial"/>
                <w:noProof/>
                <w:lang w:eastAsia="en-AU"/>
              </w:rPr>
              <w:t>[3]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Non-timber forest product harvesting </w:t>
            </w:r>
            <w:r>
              <w:rPr>
                <w:rFonts w:eastAsia="Times New Roman" w:cs="Arial"/>
                <w:noProof/>
                <w:lang w:eastAsia="en-AU"/>
              </w:rPr>
              <w:t>[2, 4]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Handicraft </w:t>
            </w:r>
            <w:r>
              <w:rPr>
                <w:rFonts w:eastAsia="Times New Roman" w:cs="Arial"/>
                <w:noProof/>
                <w:lang w:eastAsia="en-AU"/>
              </w:rPr>
              <w:t>[5]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Herbal medicine </w:t>
            </w:r>
            <w:r>
              <w:rPr>
                <w:rFonts w:eastAsia="Times New Roman" w:cs="Arial"/>
                <w:noProof/>
                <w:lang w:eastAsia="en-AU"/>
              </w:rPr>
              <w:t>[6]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Timber </w:t>
            </w:r>
            <w:r>
              <w:rPr>
                <w:rFonts w:eastAsia="Times New Roman" w:cs="Arial"/>
                <w:noProof/>
                <w:lang w:eastAsia="en-AU"/>
              </w:rPr>
              <w:t>[7]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Butterfly farming </w:t>
            </w:r>
            <w:r>
              <w:rPr>
                <w:rFonts w:eastAsia="Times New Roman" w:cs="Arial"/>
                <w:noProof/>
                <w:lang w:eastAsia="en-AU"/>
              </w:rPr>
              <w:t>[8]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Reef fishing </w:t>
            </w:r>
            <w:r>
              <w:rPr>
                <w:rFonts w:eastAsia="Times New Roman" w:cs="Arial"/>
                <w:noProof/>
                <w:lang w:eastAsia="en-AU"/>
              </w:rPr>
              <w:t>[9]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Honey hives </w:t>
            </w:r>
            <w:r>
              <w:rPr>
                <w:rFonts w:eastAsia="Times New Roman" w:cs="Arial"/>
                <w:noProof/>
                <w:lang w:eastAsia="en-AU"/>
              </w:rPr>
              <w:t>[4]</w:t>
            </w:r>
          </w:p>
          <w:p w:rsidR="005558C6" w:rsidRPr="002062A7" w:rsidRDefault="005558C6" w:rsidP="002062A7">
            <w:pPr>
              <w:numPr>
                <w:ilvl w:val="0"/>
                <w:numId w:val="1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Biodiversity prospecting </w:t>
            </w:r>
            <w:r>
              <w:rPr>
                <w:rFonts w:eastAsia="Times New Roman" w:cs="Arial"/>
                <w:noProof/>
                <w:lang w:eastAsia="en-AU"/>
              </w:rPr>
              <w:t>[10]</w:t>
            </w:r>
          </w:p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</w:p>
        </w:tc>
      </w:tr>
      <w:tr w:rsidR="005558C6" w:rsidRPr="002062A7" w:rsidTr="003A5440">
        <w:trPr>
          <w:trHeight w:val="2234"/>
        </w:trPr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>Substitution</w:t>
            </w:r>
          </w:p>
        </w:tc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>Promoting alternative products and services that substitute for</w:t>
            </w:r>
          </w:p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>environmentally damaging ones</w:t>
            </w:r>
          </w:p>
        </w:tc>
        <w:tc>
          <w:tcPr>
            <w:tcW w:w="1666" w:type="pct"/>
          </w:tcPr>
          <w:p w:rsidR="005558C6" w:rsidRPr="002062A7" w:rsidRDefault="005558C6" w:rsidP="002062A7">
            <w:pPr>
              <w:numPr>
                <w:ilvl w:val="0"/>
                <w:numId w:val="2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Domestic animal breeding in place of wild capture </w:t>
            </w:r>
            <w:r>
              <w:rPr>
                <w:rFonts w:eastAsia="Times New Roman" w:cs="Arial"/>
                <w:noProof/>
                <w:lang w:eastAsia="en-AU"/>
              </w:rPr>
              <w:t>[11]</w:t>
            </w:r>
          </w:p>
          <w:p w:rsidR="005558C6" w:rsidRPr="002062A7" w:rsidRDefault="005558C6" w:rsidP="002062A7">
            <w:pPr>
              <w:numPr>
                <w:ilvl w:val="0"/>
                <w:numId w:val="2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Agriculture in place of subsistence gathering </w:t>
            </w:r>
          </w:p>
          <w:p w:rsidR="005558C6" w:rsidRPr="002062A7" w:rsidRDefault="005558C6" w:rsidP="002062A7">
            <w:pPr>
              <w:numPr>
                <w:ilvl w:val="0"/>
                <w:numId w:val="2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Aquaculture in place of wild fishing </w:t>
            </w:r>
            <w:r>
              <w:rPr>
                <w:rFonts w:eastAsia="Times New Roman" w:cs="Arial"/>
                <w:noProof/>
                <w:lang w:eastAsia="en-AU"/>
              </w:rPr>
              <w:t>[12]</w:t>
            </w:r>
          </w:p>
          <w:p w:rsidR="005558C6" w:rsidRPr="002062A7" w:rsidRDefault="005558C6" w:rsidP="002062A7">
            <w:pPr>
              <w:numPr>
                <w:ilvl w:val="0"/>
                <w:numId w:val="2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Using synthetic medicinal products instead of wild harvested </w:t>
            </w:r>
            <w:r>
              <w:rPr>
                <w:rFonts w:eastAsia="Times New Roman" w:cs="Arial"/>
                <w:noProof/>
                <w:lang w:eastAsia="en-AU"/>
              </w:rPr>
              <w:t>[13]</w:t>
            </w:r>
          </w:p>
          <w:p w:rsidR="005558C6" w:rsidRPr="002062A7" w:rsidRDefault="005558C6" w:rsidP="002062A7">
            <w:pPr>
              <w:shd w:val="clear" w:color="auto" w:fill="FFFFFF"/>
              <w:spacing w:line="480" w:lineRule="auto"/>
              <w:ind w:left="29"/>
              <w:rPr>
                <w:rFonts w:eastAsia="Times New Roman" w:cs="Arial"/>
                <w:lang w:eastAsia="en-AU"/>
              </w:rPr>
            </w:pPr>
          </w:p>
        </w:tc>
      </w:tr>
      <w:tr w:rsidR="005558C6" w:rsidRPr="002062A7" w:rsidTr="003A5440"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>Market forces</w:t>
            </w:r>
          </w:p>
        </w:tc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Using market mechanisms to change </w:t>
            </w:r>
            <w:proofErr w:type="spellStart"/>
            <w:r w:rsidRPr="002062A7">
              <w:rPr>
                <w:rFonts w:eastAsia="Times New Roman" w:cs="Arial"/>
                <w:lang w:eastAsia="en-AU"/>
              </w:rPr>
              <w:t>behaviours</w:t>
            </w:r>
            <w:proofErr w:type="spellEnd"/>
            <w:r w:rsidRPr="002062A7">
              <w:rPr>
                <w:rFonts w:eastAsia="Times New Roman" w:cs="Arial"/>
                <w:lang w:eastAsia="en-AU"/>
              </w:rPr>
              <w:t xml:space="preserve"> and attitudes</w:t>
            </w:r>
          </w:p>
        </w:tc>
        <w:tc>
          <w:tcPr>
            <w:tcW w:w="1666" w:type="pct"/>
          </w:tcPr>
          <w:p w:rsidR="005558C6" w:rsidRPr="002062A7" w:rsidRDefault="005558C6" w:rsidP="002062A7">
            <w:pPr>
              <w:numPr>
                <w:ilvl w:val="0"/>
                <w:numId w:val="3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Eco-certification </w:t>
            </w:r>
            <w:r>
              <w:rPr>
                <w:rFonts w:eastAsia="Times New Roman" w:cs="Arial"/>
                <w:noProof/>
                <w:lang w:eastAsia="en-AU"/>
              </w:rPr>
              <w:t>[14]</w:t>
            </w:r>
          </w:p>
          <w:p w:rsidR="005558C6" w:rsidRPr="002062A7" w:rsidRDefault="005558C6" w:rsidP="002062A7">
            <w:pPr>
              <w:numPr>
                <w:ilvl w:val="0"/>
                <w:numId w:val="3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Scholarships </w:t>
            </w:r>
            <w:r>
              <w:rPr>
                <w:rFonts w:eastAsia="Times New Roman" w:cs="Arial"/>
                <w:noProof/>
                <w:lang w:eastAsia="en-AU"/>
              </w:rPr>
              <w:t>[15]</w:t>
            </w:r>
          </w:p>
          <w:p w:rsidR="005558C6" w:rsidRPr="002062A7" w:rsidRDefault="005558C6" w:rsidP="002062A7">
            <w:pPr>
              <w:numPr>
                <w:ilvl w:val="0"/>
                <w:numId w:val="3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Development planning </w:t>
            </w:r>
            <w:r>
              <w:rPr>
                <w:rFonts w:eastAsia="Times New Roman" w:cs="Arial"/>
                <w:noProof/>
                <w:lang w:eastAsia="en-AU"/>
              </w:rPr>
              <w:t>[16]</w:t>
            </w:r>
          </w:p>
          <w:p w:rsidR="005558C6" w:rsidRPr="002062A7" w:rsidRDefault="005558C6" w:rsidP="002062A7">
            <w:pPr>
              <w:numPr>
                <w:ilvl w:val="0"/>
                <w:numId w:val="3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Ecosystem services valuation </w:t>
            </w:r>
            <w:r>
              <w:rPr>
                <w:rFonts w:eastAsia="Times New Roman" w:cs="Arial"/>
                <w:noProof/>
                <w:lang w:eastAsia="en-AU"/>
              </w:rPr>
              <w:t>[17]</w:t>
            </w:r>
            <w:r w:rsidRPr="002062A7">
              <w:rPr>
                <w:rFonts w:eastAsia="Times New Roman" w:cs="Arial"/>
                <w:lang w:eastAsia="en-AU"/>
              </w:rPr>
              <w:t xml:space="preserve"> </w:t>
            </w:r>
          </w:p>
          <w:p w:rsidR="005558C6" w:rsidRPr="002062A7" w:rsidRDefault="005558C6" w:rsidP="002062A7">
            <w:pPr>
              <w:numPr>
                <w:ilvl w:val="0"/>
                <w:numId w:val="3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Commodity conservation </w:t>
            </w:r>
            <w:r>
              <w:rPr>
                <w:rFonts w:eastAsia="Times New Roman" w:cs="Arial"/>
                <w:noProof/>
                <w:lang w:eastAsia="en-AU"/>
              </w:rPr>
              <w:t>[18]</w:t>
            </w:r>
          </w:p>
          <w:p w:rsidR="005558C6" w:rsidRPr="002062A7" w:rsidRDefault="005558C6" w:rsidP="002062A7">
            <w:pPr>
              <w:numPr>
                <w:ilvl w:val="0"/>
                <w:numId w:val="3"/>
              </w:numPr>
              <w:shd w:val="clear" w:color="auto" w:fill="FFFFFF"/>
              <w:ind w:left="389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lastRenderedPageBreak/>
              <w:t xml:space="preserve">Market access </w:t>
            </w:r>
            <w:r>
              <w:rPr>
                <w:rFonts w:eastAsia="Times New Roman" w:cs="Arial"/>
                <w:noProof/>
                <w:lang w:eastAsia="en-AU"/>
              </w:rPr>
              <w:t>[19]</w:t>
            </w:r>
          </w:p>
          <w:p w:rsidR="005558C6" w:rsidRPr="002062A7" w:rsidRDefault="005558C6" w:rsidP="002062A7">
            <w:pPr>
              <w:ind w:left="389"/>
              <w:rPr>
                <w:rFonts w:eastAsia="Times New Roman" w:cs="Arial"/>
                <w:lang w:eastAsia="en-AU"/>
              </w:rPr>
            </w:pPr>
          </w:p>
        </w:tc>
      </w:tr>
      <w:tr w:rsidR="005558C6" w:rsidRPr="002062A7" w:rsidTr="003A5440"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lastRenderedPageBreak/>
              <w:t>Conservation payments</w:t>
            </w:r>
          </w:p>
        </w:tc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Using direct or indirect payments to change </w:t>
            </w:r>
            <w:proofErr w:type="spellStart"/>
            <w:r w:rsidRPr="002062A7">
              <w:rPr>
                <w:rFonts w:eastAsia="Times New Roman" w:cs="Arial"/>
                <w:lang w:eastAsia="en-AU"/>
              </w:rPr>
              <w:t>behaviours</w:t>
            </w:r>
            <w:proofErr w:type="spellEnd"/>
            <w:r w:rsidRPr="002062A7">
              <w:rPr>
                <w:rFonts w:eastAsia="Times New Roman" w:cs="Arial"/>
                <w:lang w:eastAsia="en-AU"/>
              </w:rPr>
              <w:t xml:space="preserve"> and attitudes</w:t>
            </w:r>
          </w:p>
        </w:tc>
        <w:tc>
          <w:tcPr>
            <w:tcW w:w="1666" w:type="pct"/>
          </w:tcPr>
          <w:p w:rsidR="005558C6" w:rsidRPr="002062A7" w:rsidRDefault="005558C6" w:rsidP="002062A7">
            <w:pPr>
              <w:numPr>
                <w:ilvl w:val="0"/>
                <w:numId w:val="4"/>
              </w:numPr>
              <w:shd w:val="clear" w:color="auto" w:fill="FFFFFF"/>
              <w:ind w:left="470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REDD+ </w:t>
            </w:r>
            <w:r>
              <w:rPr>
                <w:rFonts w:eastAsia="Times New Roman" w:cs="Arial"/>
                <w:noProof/>
                <w:lang w:eastAsia="en-AU"/>
              </w:rPr>
              <w:t>[20]</w:t>
            </w:r>
          </w:p>
          <w:p w:rsidR="005558C6" w:rsidRPr="002062A7" w:rsidRDefault="005558C6" w:rsidP="002062A7">
            <w:pPr>
              <w:numPr>
                <w:ilvl w:val="0"/>
                <w:numId w:val="4"/>
              </w:numPr>
              <w:shd w:val="clear" w:color="auto" w:fill="FFFFFF"/>
              <w:ind w:left="470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Buyouts </w:t>
            </w:r>
            <w:r>
              <w:rPr>
                <w:rFonts w:eastAsia="Times New Roman" w:cs="Arial"/>
                <w:noProof/>
                <w:lang w:eastAsia="en-AU"/>
              </w:rPr>
              <w:t>[21]</w:t>
            </w:r>
          </w:p>
          <w:p w:rsidR="005558C6" w:rsidRPr="002062A7" w:rsidRDefault="005558C6" w:rsidP="002062A7">
            <w:pPr>
              <w:numPr>
                <w:ilvl w:val="0"/>
                <w:numId w:val="4"/>
              </w:numPr>
              <w:shd w:val="clear" w:color="auto" w:fill="FFFFFF"/>
              <w:ind w:left="470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Forest Banking </w:t>
            </w:r>
            <w:r>
              <w:rPr>
                <w:rFonts w:eastAsia="Times New Roman" w:cs="Arial"/>
                <w:noProof/>
                <w:lang w:eastAsia="en-AU"/>
              </w:rPr>
              <w:t>[22]</w:t>
            </w:r>
          </w:p>
          <w:p w:rsidR="005558C6" w:rsidRPr="002062A7" w:rsidRDefault="005558C6" w:rsidP="002062A7">
            <w:pPr>
              <w:numPr>
                <w:ilvl w:val="0"/>
                <w:numId w:val="4"/>
              </w:numPr>
              <w:shd w:val="clear" w:color="auto" w:fill="FFFFFF"/>
              <w:ind w:left="470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Payments for environmental Services </w:t>
            </w:r>
            <w:r>
              <w:rPr>
                <w:rFonts w:eastAsia="Times New Roman" w:cs="Arial"/>
                <w:noProof/>
                <w:lang w:eastAsia="en-AU"/>
              </w:rPr>
              <w:t>[23]</w:t>
            </w:r>
          </w:p>
          <w:p w:rsidR="005558C6" w:rsidRPr="002062A7" w:rsidRDefault="005558C6" w:rsidP="002062A7">
            <w:pPr>
              <w:numPr>
                <w:ilvl w:val="0"/>
                <w:numId w:val="4"/>
              </w:numPr>
              <w:shd w:val="clear" w:color="auto" w:fill="FFFFFF"/>
              <w:ind w:left="470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Payments for explicit biodiversity conservation </w:t>
            </w:r>
            <w:r>
              <w:rPr>
                <w:rFonts w:eastAsia="Times New Roman" w:cs="Arial"/>
                <w:noProof/>
                <w:lang w:eastAsia="en-AU"/>
              </w:rPr>
              <w:t>[24]</w:t>
            </w:r>
          </w:p>
          <w:p w:rsidR="005558C6" w:rsidRPr="002062A7" w:rsidRDefault="005558C6" w:rsidP="002062A7">
            <w:pPr>
              <w:numPr>
                <w:ilvl w:val="0"/>
                <w:numId w:val="4"/>
              </w:numPr>
              <w:shd w:val="clear" w:color="auto" w:fill="FFFFFF"/>
              <w:ind w:left="470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Payments for restoration </w:t>
            </w:r>
            <w:r>
              <w:rPr>
                <w:rFonts w:eastAsia="Times New Roman" w:cs="Arial"/>
                <w:noProof/>
                <w:lang w:eastAsia="en-AU"/>
              </w:rPr>
              <w:t>[25]</w:t>
            </w:r>
          </w:p>
          <w:p w:rsidR="005558C6" w:rsidRPr="002062A7" w:rsidRDefault="005558C6" w:rsidP="002062A7">
            <w:pPr>
              <w:numPr>
                <w:ilvl w:val="0"/>
                <w:numId w:val="4"/>
              </w:numPr>
              <w:shd w:val="clear" w:color="auto" w:fill="FFFFFF"/>
              <w:ind w:left="470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Performance payments </w:t>
            </w:r>
            <w:r>
              <w:rPr>
                <w:rFonts w:eastAsia="Times New Roman" w:cs="Arial"/>
                <w:noProof/>
                <w:lang w:eastAsia="en-AU"/>
              </w:rPr>
              <w:t>[26]</w:t>
            </w:r>
          </w:p>
          <w:p w:rsidR="005558C6" w:rsidRPr="002062A7" w:rsidRDefault="005558C6" w:rsidP="002062A7">
            <w:pPr>
              <w:numPr>
                <w:ilvl w:val="0"/>
                <w:numId w:val="4"/>
              </w:numPr>
              <w:shd w:val="clear" w:color="auto" w:fill="FFFFFF"/>
              <w:ind w:left="470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Resource tenure incentives </w:t>
            </w:r>
            <w:r>
              <w:rPr>
                <w:rFonts w:eastAsia="Times New Roman" w:cs="Arial"/>
                <w:noProof/>
                <w:lang w:eastAsia="en-AU"/>
              </w:rPr>
              <w:t>[27]</w:t>
            </w:r>
          </w:p>
          <w:p w:rsidR="005558C6" w:rsidRPr="002062A7" w:rsidRDefault="005558C6" w:rsidP="002062A7">
            <w:pPr>
              <w:ind w:left="470"/>
              <w:contextualSpacing/>
              <w:rPr>
                <w:rFonts w:eastAsia="Times New Roman" w:cs="Arial"/>
                <w:lang w:eastAsia="en-AU"/>
              </w:rPr>
            </w:pPr>
          </w:p>
        </w:tc>
      </w:tr>
      <w:tr w:rsidR="005558C6" w:rsidRPr="002062A7" w:rsidTr="003A5440"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>Non-monetary values</w:t>
            </w:r>
          </w:p>
        </w:tc>
        <w:tc>
          <w:tcPr>
            <w:tcW w:w="1667" w:type="pct"/>
          </w:tcPr>
          <w:p w:rsidR="005558C6" w:rsidRPr="002062A7" w:rsidRDefault="005558C6" w:rsidP="002062A7">
            <w:pPr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Using intangible values to change </w:t>
            </w:r>
            <w:proofErr w:type="spellStart"/>
            <w:r w:rsidRPr="002062A7">
              <w:rPr>
                <w:rFonts w:eastAsia="Times New Roman" w:cs="Arial"/>
                <w:lang w:eastAsia="en-AU"/>
              </w:rPr>
              <w:t>behaviours</w:t>
            </w:r>
            <w:proofErr w:type="spellEnd"/>
            <w:r w:rsidRPr="002062A7">
              <w:rPr>
                <w:rFonts w:eastAsia="Times New Roman" w:cs="Arial"/>
                <w:lang w:eastAsia="en-AU"/>
              </w:rPr>
              <w:t xml:space="preserve"> and attitudes</w:t>
            </w:r>
          </w:p>
        </w:tc>
        <w:tc>
          <w:tcPr>
            <w:tcW w:w="1666" w:type="pct"/>
          </w:tcPr>
          <w:p w:rsidR="005558C6" w:rsidRPr="002062A7" w:rsidRDefault="005558C6" w:rsidP="002062A7">
            <w:pPr>
              <w:numPr>
                <w:ilvl w:val="0"/>
                <w:numId w:val="5"/>
              </w:numPr>
              <w:shd w:val="clear" w:color="auto" w:fill="FFFFFF"/>
              <w:ind w:left="516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Spiritual values </w:t>
            </w:r>
            <w:r>
              <w:rPr>
                <w:rFonts w:eastAsia="Times New Roman" w:cs="Arial"/>
                <w:noProof/>
                <w:lang w:eastAsia="en-AU"/>
              </w:rPr>
              <w:t>[28]</w:t>
            </w:r>
          </w:p>
          <w:p w:rsidR="005558C6" w:rsidRPr="002062A7" w:rsidRDefault="005558C6" w:rsidP="002062A7">
            <w:pPr>
              <w:numPr>
                <w:ilvl w:val="0"/>
                <w:numId w:val="5"/>
              </w:numPr>
              <w:shd w:val="clear" w:color="auto" w:fill="FFFFFF"/>
              <w:ind w:left="516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Cultural values </w:t>
            </w:r>
            <w:r>
              <w:rPr>
                <w:rFonts w:eastAsia="Times New Roman" w:cs="Arial"/>
                <w:noProof/>
                <w:lang w:eastAsia="en-AU"/>
              </w:rPr>
              <w:t>[29]</w:t>
            </w:r>
          </w:p>
          <w:p w:rsidR="005558C6" w:rsidRPr="002062A7" w:rsidRDefault="005558C6" w:rsidP="002062A7">
            <w:pPr>
              <w:numPr>
                <w:ilvl w:val="0"/>
                <w:numId w:val="5"/>
              </w:numPr>
              <w:shd w:val="clear" w:color="auto" w:fill="FFFFFF"/>
              <w:ind w:left="516"/>
              <w:contextualSpacing/>
              <w:rPr>
                <w:rFonts w:eastAsia="Times New Roman" w:cs="Arial"/>
                <w:lang w:eastAsia="en-AU"/>
              </w:rPr>
            </w:pPr>
            <w:r w:rsidRPr="002062A7">
              <w:rPr>
                <w:rFonts w:eastAsia="Times New Roman" w:cs="Arial"/>
                <w:lang w:eastAsia="en-AU"/>
              </w:rPr>
              <w:t xml:space="preserve">Links to human health </w:t>
            </w:r>
            <w:r>
              <w:rPr>
                <w:rFonts w:eastAsia="Times New Roman" w:cs="Arial"/>
                <w:noProof/>
                <w:lang w:eastAsia="en-AU"/>
              </w:rPr>
              <w:t>[30]</w:t>
            </w:r>
          </w:p>
          <w:p w:rsidR="005558C6" w:rsidRPr="002062A7" w:rsidRDefault="005558C6" w:rsidP="002062A7">
            <w:pPr>
              <w:ind w:left="516"/>
              <w:contextualSpacing/>
              <w:rPr>
                <w:rFonts w:eastAsia="Times New Roman" w:cs="Arial"/>
                <w:lang w:eastAsia="en-AU"/>
              </w:rPr>
            </w:pPr>
          </w:p>
        </w:tc>
      </w:tr>
    </w:tbl>
    <w:p w:rsidR="005558C6" w:rsidRDefault="005558C6"/>
    <w:p w:rsidR="005558C6" w:rsidRPr="009018DD" w:rsidRDefault="005558C6">
      <w:pPr>
        <w:rPr>
          <w:rFonts w:ascii="Segoe UI" w:eastAsia="Times New Roman" w:hAnsi="Segoe UI" w:cs="Arial"/>
          <w:b/>
          <w:sz w:val="28"/>
          <w:szCs w:val="24"/>
          <w:lang w:eastAsia="en-AU"/>
        </w:rPr>
      </w:pPr>
      <w:r w:rsidRPr="009018DD">
        <w:rPr>
          <w:rFonts w:ascii="Segoe UI" w:eastAsia="Times New Roman" w:hAnsi="Segoe UI" w:cs="Arial"/>
          <w:b/>
          <w:sz w:val="28"/>
          <w:szCs w:val="24"/>
          <w:lang w:eastAsia="en-AU"/>
        </w:rPr>
        <w:t>References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1.</w:t>
      </w:r>
      <w:r w:rsidRPr="00426C2E">
        <w:tab/>
      </w:r>
      <w:r w:rsidRPr="00426C2E">
        <w:rPr>
          <w:b/>
        </w:rPr>
        <w:t xml:space="preserve">Conservation Actions Classification Scheme (Version 2.0). </w:t>
      </w:r>
      <w:r w:rsidRPr="005558C6">
        <w:t>http://www.iucnredlist.org/technical-documents/classification-schemes/conservation-actions-classification-scheme-ver2</w:t>
      </w:r>
      <w:r w:rsidRPr="00426C2E">
        <w:t>. Accessed 30 January 2015.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2.</w:t>
      </w:r>
      <w:r w:rsidRPr="00426C2E">
        <w:tab/>
        <w:t xml:space="preserve">Salafsky N, Wollenberg E: </w:t>
      </w:r>
      <w:r w:rsidRPr="00426C2E">
        <w:rPr>
          <w:b/>
        </w:rPr>
        <w:t>Linking Livelihoods and Conservation: A Conceptual Framework and Scale for Assessing the Integration of Human Needs and Biodiversity.</w:t>
      </w:r>
      <w:r w:rsidRPr="00426C2E">
        <w:t xml:space="preserve"> </w:t>
      </w:r>
      <w:r w:rsidRPr="00426C2E">
        <w:rPr>
          <w:i/>
        </w:rPr>
        <w:t xml:space="preserve">World Development </w:t>
      </w:r>
      <w:r w:rsidRPr="00426C2E">
        <w:t xml:space="preserve">2000, </w:t>
      </w:r>
      <w:r w:rsidRPr="00426C2E">
        <w:rPr>
          <w:b/>
        </w:rPr>
        <w:t>28:</w:t>
      </w:r>
      <w:r w:rsidRPr="00426C2E">
        <w:t>1421-1438.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3.</w:t>
      </w:r>
      <w:r w:rsidRPr="00426C2E">
        <w:tab/>
        <w:t xml:space="preserve">Liutikas D: </w:t>
      </w:r>
      <w:r w:rsidRPr="00426C2E">
        <w:rPr>
          <w:b/>
        </w:rPr>
        <w:t>Religious Landscape and Ecological Ethics: Pilgrimage to the Lithuanian Calvaries.</w:t>
      </w:r>
      <w:r w:rsidRPr="00426C2E">
        <w:t xml:space="preserve"> </w:t>
      </w:r>
      <w:r w:rsidRPr="00426C2E">
        <w:rPr>
          <w:i/>
        </w:rPr>
        <w:t xml:space="preserve">International Journal of Religious Tourism and Pilgrimage </w:t>
      </w:r>
      <w:r w:rsidRPr="00426C2E">
        <w:t xml:space="preserve">2015, </w:t>
      </w:r>
      <w:r w:rsidRPr="00426C2E">
        <w:rPr>
          <w:b/>
        </w:rPr>
        <w:t>3:</w:t>
      </w:r>
      <w:r w:rsidRPr="00426C2E">
        <w:t>4.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4.</w:t>
      </w:r>
      <w:r w:rsidRPr="00426C2E">
        <w:tab/>
        <w:t xml:space="preserve">Huber FK, Ineichen R, Yang Y, Weckerle CS: </w:t>
      </w:r>
      <w:r w:rsidRPr="00426C2E">
        <w:rPr>
          <w:b/>
        </w:rPr>
        <w:t>Livelihood and Conservation Aspects of Non-wood Forest Product Collection in the Shaxi Valley, Southwest China1.</w:t>
      </w:r>
      <w:r w:rsidRPr="00426C2E">
        <w:t xml:space="preserve"> </w:t>
      </w:r>
      <w:r w:rsidRPr="00426C2E">
        <w:rPr>
          <w:i/>
        </w:rPr>
        <w:t xml:space="preserve">Economic Botany </w:t>
      </w:r>
      <w:r w:rsidRPr="00426C2E">
        <w:t xml:space="preserve">2010, </w:t>
      </w:r>
      <w:r w:rsidRPr="00426C2E">
        <w:rPr>
          <w:b/>
        </w:rPr>
        <w:t>64:</w:t>
      </w:r>
      <w:r w:rsidRPr="00426C2E">
        <w:t>189-204.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5.</w:t>
      </w:r>
      <w:r w:rsidRPr="00426C2E">
        <w:tab/>
        <w:t xml:space="preserve">Torri MC: </w:t>
      </w:r>
      <w:r w:rsidRPr="00426C2E">
        <w:rPr>
          <w:b/>
        </w:rPr>
        <w:t xml:space="preserve">Linking Local Plants with Small Handicraft Enterprises among Indigenous Mapuche Communities: Towards a Combined Approach of Local Development and </w:t>
      </w:r>
      <w:r w:rsidRPr="00426C2E">
        <w:rPr>
          <w:b/>
        </w:rPr>
        <w:lastRenderedPageBreak/>
        <w:t>Enhancement of Ethnobotanical Knowledge?</w:t>
      </w:r>
      <w:r w:rsidRPr="00426C2E">
        <w:t xml:space="preserve"> </w:t>
      </w:r>
      <w:r w:rsidRPr="00426C2E">
        <w:rPr>
          <w:i/>
        </w:rPr>
        <w:t xml:space="preserve">Bulletin of Latin American Research </w:t>
      </w:r>
      <w:r w:rsidRPr="00426C2E">
        <w:t xml:space="preserve">2014, </w:t>
      </w:r>
      <w:r w:rsidRPr="00426C2E">
        <w:rPr>
          <w:b/>
        </w:rPr>
        <w:t>33:</w:t>
      </w:r>
      <w:r w:rsidRPr="00426C2E">
        <w:t>419-435.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6.</w:t>
      </w:r>
      <w:r w:rsidRPr="00426C2E">
        <w:tab/>
        <w:t xml:space="preserve">Li X, Xiwen L, Jingyuan S, Jianhe W, Zhigang H: </w:t>
      </w:r>
      <w:r w:rsidRPr="00426C2E">
        <w:rPr>
          <w:b/>
        </w:rPr>
        <w:t>Natural Fostering in Fritillaria cirrhosa: Integrating herbal medicine production with biodiversity conservation.</w:t>
      </w:r>
      <w:r w:rsidRPr="00426C2E">
        <w:t xml:space="preserve"> </w:t>
      </w:r>
      <w:r w:rsidRPr="00426C2E">
        <w:rPr>
          <w:i/>
        </w:rPr>
        <w:t xml:space="preserve">Acta pharmaceutica Sinica B </w:t>
      </w:r>
      <w:r w:rsidRPr="00426C2E">
        <w:t xml:space="preserve">2012, </w:t>
      </w:r>
      <w:r w:rsidRPr="00426C2E">
        <w:rPr>
          <w:b/>
        </w:rPr>
        <w:t>2:</w:t>
      </w:r>
      <w:r w:rsidRPr="00426C2E">
        <w:t>77-82.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7.</w:t>
      </w:r>
      <w:r w:rsidRPr="00426C2E">
        <w:tab/>
        <w:t xml:space="preserve">Persha L, Fischer H, Chhatre A, Agrawal A, Benson C: </w:t>
      </w:r>
      <w:r w:rsidRPr="00426C2E">
        <w:rPr>
          <w:b/>
        </w:rPr>
        <w:t>Biodiversity conservation and livelihoods in human-dominated landscapes: Forest commons in South Asia.</w:t>
      </w:r>
      <w:r w:rsidRPr="00426C2E">
        <w:t xml:space="preserve"> </w:t>
      </w:r>
      <w:r w:rsidRPr="00426C2E">
        <w:rPr>
          <w:i/>
        </w:rPr>
        <w:t xml:space="preserve">Biological Conservation </w:t>
      </w:r>
      <w:r w:rsidRPr="00426C2E">
        <w:t xml:space="preserve">2010, </w:t>
      </w:r>
      <w:r w:rsidRPr="00426C2E">
        <w:rPr>
          <w:b/>
        </w:rPr>
        <w:t>143:</w:t>
      </w:r>
      <w:r w:rsidRPr="00426C2E">
        <w:t>2918-2925.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8.</w:t>
      </w:r>
      <w:r w:rsidRPr="00426C2E">
        <w:tab/>
        <w:t xml:space="preserve">Gordon I, Ayiemba W: </w:t>
      </w:r>
      <w:r w:rsidRPr="00426C2E">
        <w:rPr>
          <w:b/>
        </w:rPr>
        <w:t>Harnessing Butterfly Biodiversity for Improving Livelihoods and Forest Conservation: The Kipepeo Project.</w:t>
      </w:r>
      <w:r w:rsidRPr="00426C2E">
        <w:t xml:space="preserve"> </w:t>
      </w:r>
      <w:r w:rsidRPr="00426C2E">
        <w:rPr>
          <w:i/>
        </w:rPr>
        <w:t xml:space="preserve">The Journal of Environment &amp; Development </w:t>
      </w:r>
      <w:r w:rsidRPr="00426C2E">
        <w:t xml:space="preserve">2003, </w:t>
      </w:r>
      <w:r w:rsidRPr="00426C2E">
        <w:rPr>
          <w:b/>
        </w:rPr>
        <w:t>12:</w:t>
      </w:r>
      <w:r w:rsidRPr="00426C2E">
        <w:t>82-98.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9.</w:t>
      </w:r>
      <w:r w:rsidRPr="00426C2E">
        <w:tab/>
        <w:t xml:space="preserve">Jiménez-Badillo L: </w:t>
      </w:r>
      <w:r w:rsidRPr="00426C2E">
        <w:rPr>
          <w:b/>
        </w:rPr>
        <w:t>Management challenges of small-scale fishing communities in a protected reef system of Veracruz, Gulf of Mexico.</w:t>
      </w:r>
      <w:r w:rsidRPr="00426C2E">
        <w:t xml:space="preserve"> </w:t>
      </w:r>
      <w:r w:rsidRPr="00426C2E">
        <w:rPr>
          <w:i/>
        </w:rPr>
        <w:t xml:space="preserve">Fisheries Management and Ecology </w:t>
      </w:r>
      <w:r w:rsidRPr="00426C2E">
        <w:t xml:space="preserve">2008, </w:t>
      </w:r>
      <w:r w:rsidRPr="00426C2E">
        <w:rPr>
          <w:b/>
        </w:rPr>
        <w:t>15:</w:t>
      </w:r>
      <w:r w:rsidRPr="00426C2E">
        <w:t>19-26.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10.</w:t>
      </w:r>
      <w:r w:rsidRPr="00426C2E">
        <w:tab/>
        <w:t xml:space="preserve">Bjorkan M, Qvenild M: </w:t>
      </w:r>
      <w:r w:rsidRPr="00426C2E">
        <w:rPr>
          <w:b/>
        </w:rPr>
        <w:t>The Biodiversity Discourse: Categorisation of Indigenous People in a Mexican Bio-prospecting Case.</w:t>
      </w:r>
      <w:r w:rsidRPr="00426C2E">
        <w:t xml:space="preserve"> </w:t>
      </w:r>
      <w:r w:rsidRPr="00426C2E">
        <w:rPr>
          <w:i/>
        </w:rPr>
        <w:t xml:space="preserve">Human Ecology </w:t>
      </w:r>
      <w:r w:rsidRPr="00426C2E">
        <w:t xml:space="preserve">2010, </w:t>
      </w:r>
      <w:r w:rsidRPr="00426C2E">
        <w:rPr>
          <w:b/>
        </w:rPr>
        <w:t>38:</w:t>
      </w:r>
      <w:r w:rsidRPr="00426C2E">
        <w:t>193-204.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11.</w:t>
      </w:r>
      <w:r w:rsidRPr="00426C2E">
        <w:tab/>
        <w:t xml:space="preserve">Jepson P, Ladle RJ: </w:t>
      </w:r>
      <w:r w:rsidRPr="00426C2E">
        <w:rPr>
          <w:b/>
        </w:rPr>
        <w:t>Bird-keeping in Indonesia: conservation impacts and the potential for substitution-based conservation responses.</w:t>
      </w:r>
      <w:r w:rsidRPr="00426C2E">
        <w:t xml:space="preserve"> </w:t>
      </w:r>
      <w:r w:rsidRPr="00426C2E">
        <w:rPr>
          <w:i/>
        </w:rPr>
        <w:t xml:space="preserve">Oryx </w:t>
      </w:r>
      <w:r w:rsidRPr="00426C2E">
        <w:t xml:space="preserve">2005, </w:t>
      </w:r>
      <w:r w:rsidRPr="00426C2E">
        <w:rPr>
          <w:b/>
        </w:rPr>
        <w:t>39:</w:t>
      </w:r>
      <w:r w:rsidRPr="00426C2E">
        <w:t>442-448.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12.</w:t>
      </w:r>
      <w:r w:rsidRPr="00426C2E">
        <w:tab/>
        <w:t xml:space="preserve">Diana JS: </w:t>
      </w:r>
      <w:r w:rsidRPr="00426C2E">
        <w:rPr>
          <w:b/>
        </w:rPr>
        <w:t>Aquaculture Production and Biodiversity Conservation.</w:t>
      </w:r>
      <w:r w:rsidRPr="00426C2E">
        <w:t xml:space="preserve"> </w:t>
      </w:r>
      <w:r w:rsidRPr="00426C2E">
        <w:rPr>
          <w:i/>
        </w:rPr>
        <w:t xml:space="preserve">BioScience </w:t>
      </w:r>
      <w:r w:rsidRPr="00426C2E">
        <w:t xml:space="preserve">2009, </w:t>
      </w:r>
      <w:r w:rsidRPr="00426C2E">
        <w:rPr>
          <w:b/>
        </w:rPr>
        <w:t>59:</w:t>
      </w:r>
      <w:r w:rsidRPr="00426C2E">
        <w:t>27-38.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13.</w:t>
      </w:r>
      <w:r w:rsidRPr="00426C2E">
        <w:tab/>
        <w:t xml:space="preserve">Ferreira FS, Brito SV, de Oliveira Almeida W, Alves RRN: </w:t>
      </w:r>
      <w:r w:rsidRPr="00426C2E">
        <w:rPr>
          <w:b/>
        </w:rPr>
        <w:t>Conservation of animals traded for medicinal purposes in Brazil: Can products derived from plants or domestic animals replace products of wild animals?</w:t>
      </w:r>
      <w:r w:rsidRPr="00426C2E">
        <w:t xml:space="preserve"> </w:t>
      </w:r>
      <w:r w:rsidRPr="00426C2E">
        <w:rPr>
          <w:i/>
        </w:rPr>
        <w:t xml:space="preserve">Regional Environmental Change </w:t>
      </w:r>
      <w:r w:rsidRPr="00426C2E">
        <w:t xml:space="preserve">2016, </w:t>
      </w:r>
      <w:r w:rsidRPr="00426C2E">
        <w:rPr>
          <w:b/>
        </w:rPr>
        <w:t>16:</w:t>
      </w:r>
      <w:r w:rsidRPr="00426C2E">
        <w:t>543-551.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14.</w:t>
      </w:r>
      <w:r w:rsidRPr="00426C2E">
        <w:tab/>
        <w:t xml:space="preserve">Blackman A, Rivera JE: </w:t>
      </w:r>
      <w:r w:rsidRPr="00426C2E">
        <w:rPr>
          <w:i/>
        </w:rPr>
        <w:t>The evidence base for environmental and socioeconomic impacts of ‘sustainable’certification.</w:t>
      </w:r>
      <w:r w:rsidRPr="00426C2E">
        <w:t xml:space="preserve"> Washington, DC: Resources for the Future; 2010.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15.</w:t>
      </w:r>
      <w:r w:rsidRPr="00426C2E">
        <w:tab/>
        <w:t xml:space="preserve">Gjertsen H, Niesten E: </w:t>
      </w:r>
      <w:r w:rsidRPr="00426C2E">
        <w:rPr>
          <w:b/>
        </w:rPr>
        <w:t>Incentive-based approaches in marine conservation: Applications for sea turtles.</w:t>
      </w:r>
      <w:r w:rsidRPr="00426C2E">
        <w:t xml:space="preserve"> </w:t>
      </w:r>
      <w:r w:rsidRPr="00426C2E">
        <w:rPr>
          <w:i/>
        </w:rPr>
        <w:t xml:space="preserve">Conservation and Society </w:t>
      </w:r>
      <w:r w:rsidRPr="00426C2E">
        <w:t xml:space="preserve">2010, </w:t>
      </w:r>
      <w:r w:rsidRPr="00426C2E">
        <w:rPr>
          <w:b/>
        </w:rPr>
        <w:t>8:</w:t>
      </w:r>
      <w:r w:rsidRPr="00426C2E">
        <w:t>5-14.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lastRenderedPageBreak/>
        <w:t>16.</w:t>
      </w:r>
      <w:r w:rsidRPr="00426C2E">
        <w:tab/>
        <w:t xml:space="preserve">Ingram GB: </w:t>
      </w:r>
      <w:r w:rsidRPr="00426C2E">
        <w:rPr>
          <w:b/>
        </w:rPr>
        <w:t>Rainforest Conservation Initiated by Traditional Island Communities: Implications for Development Planning.</w:t>
      </w:r>
      <w:r w:rsidRPr="00426C2E">
        <w:t xml:space="preserve"> </w:t>
      </w:r>
      <w:r w:rsidRPr="00426C2E">
        <w:rPr>
          <w:i/>
        </w:rPr>
        <w:t xml:space="preserve">Canadian Journal of Development Studies </w:t>
      </w:r>
      <w:r w:rsidRPr="00426C2E">
        <w:t xml:space="preserve">1994, </w:t>
      </w:r>
      <w:r w:rsidRPr="00426C2E">
        <w:rPr>
          <w:b/>
        </w:rPr>
        <w:t>15:</w:t>
      </w:r>
      <w:r w:rsidRPr="00426C2E">
        <w:t>193-218.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17.</w:t>
      </w:r>
      <w:r w:rsidRPr="00426C2E">
        <w:tab/>
        <w:t xml:space="preserve">Resende FM, Fernandes GW, Coelho MS: </w:t>
      </w:r>
      <w:r w:rsidRPr="00426C2E">
        <w:rPr>
          <w:b/>
        </w:rPr>
        <w:t>Economic valuation of plant diversity storage service provided by Brazilian rupestrian grassland ecosystems.</w:t>
      </w:r>
      <w:r w:rsidRPr="00426C2E">
        <w:t xml:space="preserve"> </w:t>
      </w:r>
      <w:r w:rsidRPr="00426C2E">
        <w:rPr>
          <w:i/>
        </w:rPr>
        <w:t xml:space="preserve">Brazilian Journal of Biology </w:t>
      </w:r>
      <w:r w:rsidRPr="00426C2E">
        <w:t xml:space="preserve">2013, </w:t>
      </w:r>
      <w:r w:rsidRPr="00426C2E">
        <w:rPr>
          <w:b/>
        </w:rPr>
        <w:t>73:</w:t>
      </w:r>
      <w:r w:rsidRPr="00426C2E">
        <w:t>709-716.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18.</w:t>
      </w:r>
      <w:r w:rsidRPr="00426C2E">
        <w:tab/>
        <w:t xml:space="preserve">Büscher B, Dressler W: </w:t>
      </w:r>
      <w:r w:rsidRPr="00426C2E">
        <w:rPr>
          <w:b/>
        </w:rPr>
        <w:t>Commodity conservation: The restructuring of community conservation in South Africa and the Philippines.</w:t>
      </w:r>
      <w:r w:rsidRPr="00426C2E">
        <w:t xml:space="preserve"> </w:t>
      </w:r>
      <w:r w:rsidRPr="00426C2E">
        <w:rPr>
          <w:i/>
        </w:rPr>
        <w:t xml:space="preserve">Geoforum </w:t>
      </w:r>
      <w:r w:rsidRPr="00426C2E">
        <w:t xml:space="preserve">2012, </w:t>
      </w:r>
      <w:r w:rsidRPr="00426C2E">
        <w:rPr>
          <w:b/>
        </w:rPr>
        <w:t>43:</w:t>
      </w:r>
      <w:r w:rsidRPr="00426C2E">
        <w:t>367-376.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19.</w:t>
      </w:r>
      <w:r w:rsidRPr="00426C2E">
        <w:tab/>
        <w:t xml:space="preserve">DeCaro D, Stokes M: </w:t>
      </w:r>
      <w:r w:rsidRPr="00426C2E">
        <w:rPr>
          <w:b/>
        </w:rPr>
        <w:t>Social-Psychological Principles of Community-Based Conservation and Conservancy Motivation: Attaining Goals within an Autonomy-Supportive Environment.</w:t>
      </w:r>
      <w:r w:rsidRPr="00426C2E">
        <w:t xml:space="preserve"> </w:t>
      </w:r>
      <w:r w:rsidRPr="00426C2E">
        <w:rPr>
          <w:i/>
        </w:rPr>
        <w:t xml:space="preserve">Conservation Biology </w:t>
      </w:r>
      <w:r w:rsidRPr="00426C2E">
        <w:t xml:space="preserve">2008, </w:t>
      </w:r>
      <w:r w:rsidRPr="00426C2E">
        <w:rPr>
          <w:b/>
        </w:rPr>
        <w:t>22:</w:t>
      </w:r>
      <w:r w:rsidRPr="00426C2E">
        <w:t>1443-1451.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20.</w:t>
      </w:r>
      <w:r w:rsidRPr="00426C2E">
        <w:tab/>
        <w:t xml:space="preserve">Krause T, Nielsen TD: </w:t>
      </w:r>
      <w:r w:rsidRPr="00426C2E">
        <w:rPr>
          <w:b/>
        </w:rPr>
        <w:t>The legitimacy of incentive-based conservation and a critical account of social safeguards.</w:t>
      </w:r>
      <w:r w:rsidRPr="00426C2E">
        <w:t xml:space="preserve"> </w:t>
      </w:r>
      <w:r w:rsidRPr="00426C2E">
        <w:rPr>
          <w:i/>
        </w:rPr>
        <w:t xml:space="preserve">Environmental Science &amp; Policy </w:t>
      </w:r>
      <w:r w:rsidRPr="00426C2E">
        <w:t xml:space="preserve">2014, </w:t>
      </w:r>
      <w:r w:rsidRPr="00426C2E">
        <w:rPr>
          <w:b/>
        </w:rPr>
        <w:t>41:</w:t>
      </w:r>
      <w:r w:rsidRPr="00426C2E">
        <w:t>44-51.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21.</w:t>
      </w:r>
      <w:r w:rsidRPr="00426C2E">
        <w:tab/>
        <w:t xml:space="preserve">Niesten E, Gjertsen H, Fong PS: </w:t>
      </w:r>
      <w:r w:rsidRPr="00426C2E">
        <w:rPr>
          <w:b/>
        </w:rPr>
        <w:t>Incentives for marine conservation: options for small island developing states.</w:t>
      </w:r>
      <w:r w:rsidRPr="00426C2E">
        <w:t xml:space="preserve"> </w:t>
      </w:r>
      <w:r w:rsidRPr="00426C2E">
        <w:rPr>
          <w:i/>
        </w:rPr>
        <w:t xml:space="preserve">Environment and Development Economics </w:t>
      </w:r>
      <w:r w:rsidRPr="00426C2E">
        <w:t xml:space="preserve">2013, </w:t>
      </w:r>
      <w:r w:rsidRPr="00426C2E">
        <w:rPr>
          <w:b/>
        </w:rPr>
        <w:t>18:</w:t>
      </w:r>
      <w:r w:rsidRPr="00426C2E">
        <w:t>440-458.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22.</w:t>
      </w:r>
      <w:r w:rsidRPr="00426C2E">
        <w:tab/>
        <w:t xml:space="preserve">Sullivan J, Amacher GS, Chapman S: </w:t>
      </w:r>
      <w:r w:rsidRPr="00426C2E">
        <w:rPr>
          <w:b/>
        </w:rPr>
        <w:t>Forest banking and forest landowners forgoing management rights for guaranteed financial returns.</w:t>
      </w:r>
      <w:r w:rsidRPr="00426C2E">
        <w:t xml:space="preserve"> </w:t>
      </w:r>
      <w:r w:rsidRPr="00426C2E">
        <w:rPr>
          <w:i/>
        </w:rPr>
        <w:t xml:space="preserve">Forest Policy and Economics </w:t>
      </w:r>
      <w:r w:rsidRPr="00426C2E">
        <w:t xml:space="preserve">2005, </w:t>
      </w:r>
      <w:r w:rsidRPr="00426C2E">
        <w:rPr>
          <w:b/>
        </w:rPr>
        <w:t>7:</w:t>
      </w:r>
      <w:r w:rsidRPr="00426C2E">
        <w:t>381-392.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23.</w:t>
      </w:r>
      <w:r w:rsidRPr="00426C2E">
        <w:tab/>
        <w:t xml:space="preserve">Samii C, Lisiecki M, Kulkarni P, Paler L, Chavis L: </w:t>
      </w:r>
      <w:r w:rsidRPr="00426C2E">
        <w:rPr>
          <w:b/>
        </w:rPr>
        <w:t>Effects of Payment for Environmental Services (PES) on Deforestation and Poverty in Low and Middle Income Countries: A Systematic Review.</w:t>
      </w:r>
      <w:r w:rsidRPr="00426C2E">
        <w:t xml:space="preserve"> </w:t>
      </w:r>
      <w:r w:rsidRPr="00426C2E">
        <w:rPr>
          <w:i/>
        </w:rPr>
        <w:t xml:space="preserve">Campbell Systematic Reviews </w:t>
      </w:r>
      <w:r w:rsidRPr="00426C2E">
        <w:t xml:space="preserve">2014, </w:t>
      </w:r>
      <w:r w:rsidRPr="00426C2E">
        <w:rPr>
          <w:b/>
        </w:rPr>
        <w:t>10</w:t>
      </w:r>
      <w:r w:rsidRPr="00426C2E">
        <w:t>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24.</w:t>
      </w:r>
      <w:r w:rsidRPr="00426C2E">
        <w:tab/>
        <w:t xml:space="preserve">Milne S, Niesten E: </w:t>
      </w:r>
      <w:r w:rsidRPr="00426C2E">
        <w:rPr>
          <w:b/>
        </w:rPr>
        <w:t>Direct payments for biodiversity conservation in developing countries: practical insights for design and implementation.</w:t>
      </w:r>
      <w:r w:rsidRPr="00426C2E">
        <w:t xml:space="preserve"> </w:t>
      </w:r>
      <w:r w:rsidRPr="00426C2E">
        <w:rPr>
          <w:i/>
        </w:rPr>
        <w:t xml:space="preserve">Oryx </w:t>
      </w:r>
      <w:r w:rsidRPr="00426C2E">
        <w:t xml:space="preserve">2009, </w:t>
      </w:r>
      <w:r w:rsidRPr="00426C2E">
        <w:rPr>
          <w:b/>
        </w:rPr>
        <w:t>43:</w:t>
      </w:r>
      <w:r w:rsidRPr="00426C2E">
        <w:t>530-541.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25.</w:t>
      </w:r>
      <w:r w:rsidRPr="00426C2E">
        <w:tab/>
        <w:t xml:space="preserve">Berget C, Duran E, Bray DB: </w:t>
      </w:r>
      <w:r w:rsidRPr="00426C2E">
        <w:rPr>
          <w:b/>
        </w:rPr>
        <w:t>Participatory Restoration of Degraded Agricultural Areas Invaded by Bracken Fern (Pteridium aquilinum) and Conservation in the Chinantla Region, Oaxaca, Mexico.</w:t>
      </w:r>
      <w:r w:rsidRPr="00426C2E">
        <w:t xml:space="preserve"> </w:t>
      </w:r>
      <w:r w:rsidRPr="00426C2E">
        <w:rPr>
          <w:i/>
        </w:rPr>
        <w:t xml:space="preserve">Human Ecology </w:t>
      </w:r>
      <w:r w:rsidRPr="00426C2E">
        <w:t xml:space="preserve">2015, </w:t>
      </w:r>
      <w:r w:rsidRPr="00426C2E">
        <w:rPr>
          <w:b/>
        </w:rPr>
        <w:t>43:</w:t>
      </w:r>
      <w:r w:rsidRPr="00426C2E">
        <w:t>547-558.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26.</w:t>
      </w:r>
      <w:r w:rsidRPr="00426C2E">
        <w:tab/>
        <w:t xml:space="preserve">Ferraro PJ, Gjertsen H: </w:t>
      </w:r>
      <w:r w:rsidRPr="00426C2E">
        <w:rPr>
          <w:b/>
        </w:rPr>
        <w:t>A Global Review of Incentive Payments for Sea Turtle Conservation.</w:t>
      </w:r>
      <w:r w:rsidRPr="00426C2E">
        <w:t xml:space="preserve"> </w:t>
      </w:r>
      <w:r w:rsidRPr="00426C2E">
        <w:rPr>
          <w:i/>
        </w:rPr>
        <w:t xml:space="preserve">Chelonian Conservation and Biology </w:t>
      </w:r>
      <w:r w:rsidRPr="00426C2E">
        <w:t xml:space="preserve">2009, </w:t>
      </w:r>
      <w:r w:rsidRPr="00426C2E">
        <w:rPr>
          <w:b/>
        </w:rPr>
        <w:t>8:</w:t>
      </w:r>
      <w:r w:rsidRPr="00426C2E">
        <w:t>48-56.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lastRenderedPageBreak/>
        <w:t>27.</w:t>
      </w:r>
      <w:r w:rsidRPr="00426C2E">
        <w:tab/>
        <w:t xml:space="preserve">Larson A, Dahal G: </w:t>
      </w:r>
      <w:r w:rsidRPr="00426C2E">
        <w:rPr>
          <w:b/>
        </w:rPr>
        <w:t>Forest tenure reform: New resource rights for forest-based communities?</w:t>
      </w:r>
      <w:r w:rsidRPr="00426C2E">
        <w:t xml:space="preserve"> </w:t>
      </w:r>
      <w:r w:rsidRPr="00426C2E">
        <w:rPr>
          <w:i/>
        </w:rPr>
        <w:t xml:space="preserve">Conservation and Society </w:t>
      </w:r>
      <w:r w:rsidRPr="00426C2E">
        <w:t xml:space="preserve">2012, </w:t>
      </w:r>
      <w:r w:rsidRPr="00426C2E">
        <w:rPr>
          <w:b/>
        </w:rPr>
        <w:t>10:</w:t>
      </w:r>
      <w:r w:rsidRPr="00426C2E">
        <w:t>77-90.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28.</w:t>
      </w:r>
      <w:r w:rsidRPr="00426C2E">
        <w:tab/>
        <w:t xml:space="preserve">Torri MC, Herrmann TM: </w:t>
      </w:r>
      <w:r w:rsidRPr="00426C2E">
        <w:rPr>
          <w:b/>
        </w:rPr>
        <w:t>Spiritual Beliefs and Ecological Traditions in Indigenous Communities in India: Enhancing Community-Based Biodiversity Conservation.</w:t>
      </w:r>
      <w:r w:rsidRPr="00426C2E">
        <w:t xml:space="preserve"> </w:t>
      </w:r>
      <w:r w:rsidRPr="00426C2E">
        <w:rPr>
          <w:i/>
        </w:rPr>
        <w:t xml:space="preserve">Nature + Culture </w:t>
      </w:r>
      <w:r w:rsidRPr="00426C2E">
        <w:t xml:space="preserve">2011, </w:t>
      </w:r>
      <w:r w:rsidRPr="00426C2E">
        <w:rPr>
          <w:b/>
        </w:rPr>
        <w:t>6:</w:t>
      </w:r>
      <w:r w:rsidRPr="00426C2E">
        <w:t>168-191.</w:t>
      </w:r>
    </w:p>
    <w:p w:rsidR="005558C6" w:rsidRPr="00426C2E" w:rsidRDefault="005558C6" w:rsidP="00426C2E">
      <w:pPr>
        <w:pStyle w:val="EndNoteBibliography"/>
        <w:spacing w:after="0"/>
        <w:ind w:left="720" w:hanging="720"/>
      </w:pPr>
      <w:r w:rsidRPr="00426C2E">
        <w:t>29.</w:t>
      </w:r>
      <w:r w:rsidRPr="00426C2E">
        <w:tab/>
        <w:t xml:space="preserve">Waylen KA, Fischer A, McGowan PJK, Thirgood SJ, Milner-Gulland EJ: </w:t>
      </w:r>
      <w:r w:rsidRPr="00426C2E">
        <w:rPr>
          <w:b/>
        </w:rPr>
        <w:t>Effect of Local Cultural Context on the Success of Community-Based Conservation Interventions.</w:t>
      </w:r>
      <w:r w:rsidRPr="00426C2E">
        <w:t xml:space="preserve"> </w:t>
      </w:r>
      <w:r w:rsidRPr="00426C2E">
        <w:rPr>
          <w:i/>
        </w:rPr>
        <w:t xml:space="preserve">Conservation Biology </w:t>
      </w:r>
      <w:r w:rsidRPr="00426C2E">
        <w:t xml:space="preserve">2010, </w:t>
      </w:r>
      <w:r w:rsidRPr="00426C2E">
        <w:rPr>
          <w:b/>
        </w:rPr>
        <w:t>24:</w:t>
      </w:r>
      <w:r w:rsidRPr="00426C2E">
        <w:t>1119-1129.</w:t>
      </w:r>
    </w:p>
    <w:p w:rsidR="005558C6" w:rsidRPr="00426C2E" w:rsidRDefault="005558C6" w:rsidP="00426C2E">
      <w:pPr>
        <w:pStyle w:val="EndNoteBibliography"/>
        <w:ind w:left="720" w:hanging="720"/>
      </w:pPr>
      <w:r w:rsidRPr="00426C2E">
        <w:t>30.</w:t>
      </w:r>
      <w:r w:rsidRPr="00426C2E">
        <w:tab/>
        <w:t xml:space="preserve">Redford KH, Myers SS, Ricketts TH, Osofsky SA: </w:t>
      </w:r>
      <w:r w:rsidRPr="00426C2E">
        <w:rPr>
          <w:b/>
        </w:rPr>
        <w:t>Human Health as a Judicious Conservation Opportunity.</w:t>
      </w:r>
      <w:r w:rsidRPr="00426C2E">
        <w:t xml:space="preserve"> </w:t>
      </w:r>
      <w:r w:rsidRPr="00426C2E">
        <w:rPr>
          <w:i/>
        </w:rPr>
        <w:t xml:space="preserve">Conservation Biology </w:t>
      </w:r>
      <w:r w:rsidRPr="00426C2E">
        <w:t xml:space="preserve">2014, </w:t>
      </w:r>
      <w:r w:rsidRPr="00426C2E">
        <w:rPr>
          <w:b/>
        </w:rPr>
        <w:t>28:</w:t>
      </w:r>
      <w:r w:rsidRPr="00426C2E">
        <w:t>627-629.</w:t>
      </w:r>
    </w:p>
    <w:p w:rsidR="005558C6" w:rsidRDefault="005558C6" w:rsidP="00911D2C"/>
    <w:p w:rsidR="00594E48" w:rsidRDefault="00594E48"/>
    <w:sectPr w:rsidR="00594E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E6246"/>
    <w:multiLevelType w:val="hybridMultilevel"/>
    <w:tmpl w:val="B4F246B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21FBA"/>
    <w:multiLevelType w:val="hybridMultilevel"/>
    <w:tmpl w:val="AD9A8D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92665"/>
    <w:multiLevelType w:val="hybridMultilevel"/>
    <w:tmpl w:val="51E8B5B6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A46A1A"/>
    <w:multiLevelType w:val="hybridMultilevel"/>
    <w:tmpl w:val="5C0E06B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3078A"/>
    <w:multiLevelType w:val="hybridMultilevel"/>
    <w:tmpl w:val="DCB49D6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1&lt;/Suspended&gt;&lt;/ENInstantFormat&gt;"/>
  </w:docVars>
  <w:rsids>
    <w:rsidRoot w:val="005558C6"/>
    <w:rsid w:val="005558C6"/>
    <w:rsid w:val="0059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1C261F-49C3-414A-9B2D-62F90302C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58C6"/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  <w:rsid w:val="005558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8C6"/>
  </w:style>
  <w:style w:type="table" w:customStyle="1" w:styleId="TableGrid3">
    <w:name w:val="Table Grid3"/>
    <w:basedOn w:val="TableNormal"/>
    <w:next w:val="TableGrid"/>
    <w:uiPriority w:val="59"/>
    <w:rsid w:val="005558C6"/>
    <w:pPr>
      <w:spacing w:after="0" w:line="240" w:lineRule="auto"/>
    </w:pPr>
    <w:rPr>
      <w:rFonts w:eastAsia="MS PGothic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555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5558C6"/>
    <w:pPr>
      <w:spacing w:after="0"/>
      <w:jc w:val="center"/>
    </w:pPr>
    <w:rPr>
      <w:rFonts w:cs="Times New Roman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558C6"/>
    <w:rPr>
      <w:rFonts w:ascii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558C6"/>
    <w:pPr>
      <w:spacing w:line="480" w:lineRule="auto"/>
    </w:pPr>
    <w:rPr>
      <w:rFonts w:cs="Times New Roman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558C6"/>
    <w:rPr>
      <w:rFonts w:ascii="Times New Roman" w:hAnsi="Times New Roman" w:cs="Times New Roman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5558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1074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G.A.</dc:creator>
  <cp:keywords/>
  <dc:description/>
  <cp:lastModifiedBy>G.A.</cp:lastModifiedBy>
  <cp:revision>1</cp:revision>
  <dcterms:created xsi:type="dcterms:W3CDTF">2016-06-22T04:36:00Z</dcterms:created>
  <dcterms:modified xsi:type="dcterms:W3CDTF">2016-06-22T04:36:00Z</dcterms:modified>
</cp:coreProperties>
</file>