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B22" w:rsidRDefault="00002B22" w:rsidP="005D4A2D">
      <w:pPr>
        <w:shd w:val="clear" w:color="auto" w:fill="FFFFFF"/>
        <w:spacing w:after="0" w:line="480" w:lineRule="auto"/>
        <w:outlineLvl w:val="1"/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5D4A2D">
        <w:rPr>
          <w:rFonts w:ascii="Segoe UI" w:eastAsia="Times New Roman" w:hAnsi="Segoe UI" w:cs="Arial"/>
          <w:b/>
          <w:sz w:val="28"/>
          <w:szCs w:val="24"/>
          <w:lang w:eastAsia="en-AU"/>
        </w:rPr>
        <w:t xml:space="preserve">Additional file 3 </w:t>
      </w:r>
    </w:p>
    <w:p w:rsidR="00002B22" w:rsidRDefault="00002B22" w:rsidP="005D4A2D">
      <w:pPr>
        <w:shd w:val="clear" w:color="auto" w:fill="FFFFFF"/>
        <w:spacing w:after="0" w:line="480" w:lineRule="auto"/>
        <w:outlineLvl w:val="1"/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5D4A2D">
        <w:rPr>
          <w:rFonts w:ascii="Segoe UI" w:eastAsia="Times New Roman" w:hAnsi="Segoe UI" w:cs="Arial"/>
          <w:b/>
          <w:sz w:val="28"/>
          <w:szCs w:val="24"/>
          <w:lang w:eastAsia="en-AU"/>
        </w:rPr>
        <w:t>Social equity typologies</w:t>
      </w:r>
    </w:p>
    <w:p w:rsidR="00002B22" w:rsidRPr="005D4A2D" w:rsidRDefault="00002B22" w:rsidP="005D4A2D">
      <w:pPr>
        <w:shd w:val="clear" w:color="auto" w:fill="FFFFFF"/>
        <w:spacing w:after="0" w:line="480" w:lineRule="auto"/>
        <w:outlineLvl w:val="1"/>
        <w:rPr>
          <w:rFonts w:ascii="Segoe UI" w:eastAsia="Times New Roman" w:hAnsi="Segoe UI" w:cs="Arial"/>
          <w:b/>
          <w:sz w:val="28"/>
          <w:szCs w:val="24"/>
          <w:lang w:eastAsia="en-AU"/>
        </w:rPr>
      </w:pPr>
      <w:r>
        <w:rPr>
          <w:rFonts w:ascii="Times New Roman" w:eastAsia="Times New Roman" w:hAnsi="Times New Roman" w:cs="Arial"/>
          <w:lang w:eastAsia="en-AU"/>
        </w:rPr>
        <w:t xml:space="preserve">These typologies are adapted from the social equity literature </w:t>
      </w:r>
      <w:r>
        <w:rPr>
          <w:rFonts w:ascii="Times New Roman" w:eastAsia="Times New Roman" w:hAnsi="Times New Roman" w:cs="Arial"/>
          <w:noProof/>
          <w:lang w:eastAsia="en-AU"/>
        </w:rPr>
        <w:t>[1-3]</w:t>
      </w:r>
      <w:r>
        <w:rPr>
          <w:rFonts w:ascii="Times New Roman" w:eastAsia="Times New Roman" w:hAnsi="Times New Roman" w:cs="Arial"/>
          <w:lang w:eastAsia="en-AU"/>
        </w:rPr>
        <w:t>.</w:t>
      </w:r>
    </w:p>
    <w:p w:rsidR="00002B22" w:rsidRPr="00EF3A21" w:rsidRDefault="00002B22" w:rsidP="005D4A2D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5D4A2D">
        <w:rPr>
          <w:rFonts w:ascii="Times New Roman" w:eastAsia="Times New Roman" w:hAnsi="Times New Roman" w:cs="Arial"/>
          <w:b/>
          <w:lang w:eastAsia="en-AU"/>
        </w:rPr>
        <w:t>Typology of social equity metrics</w:t>
      </w:r>
      <w:r w:rsidRPr="005D4A2D">
        <w:rPr>
          <w:rFonts w:ascii="Times New Roman" w:eastAsia="Times New Roman" w:hAnsi="Times New Roman" w:cs="Arial"/>
          <w:lang w:eastAsia="en-AU"/>
        </w:rPr>
        <w:t>. Including the category, description and a list of outcomes within each action type.</w:t>
      </w:r>
      <w:r>
        <w:rPr>
          <w:rFonts w:ascii="Times New Roman" w:eastAsia="Times New Roman" w:hAnsi="Times New Roman" w:cs="Arial"/>
          <w:lang w:eastAsia="en-AU"/>
        </w:rPr>
        <w:t xml:space="preserve">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301"/>
        <w:gridCol w:w="3565"/>
        <w:gridCol w:w="3150"/>
      </w:tblGrid>
      <w:tr w:rsidR="00002B22" w:rsidRPr="005D4A2D" w:rsidTr="003A5440">
        <w:trPr>
          <w:trHeight w:val="329"/>
        </w:trPr>
        <w:tc>
          <w:tcPr>
            <w:tcW w:w="2547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b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b/>
                <w:lang w:eastAsia="en-AU"/>
              </w:rPr>
              <w:t>Category</w:t>
            </w:r>
          </w:p>
        </w:tc>
        <w:tc>
          <w:tcPr>
            <w:tcW w:w="4132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b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b/>
                <w:lang w:eastAsia="en-AU"/>
              </w:rPr>
              <w:t>Description</w:t>
            </w:r>
          </w:p>
        </w:tc>
        <w:tc>
          <w:tcPr>
            <w:tcW w:w="3376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b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b/>
                <w:lang w:eastAsia="en-AU"/>
              </w:rPr>
              <w:t>Social Equity Outcomes</w:t>
            </w:r>
          </w:p>
        </w:tc>
      </w:tr>
      <w:tr w:rsidR="00002B22" w:rsidRPr="005D4A2D" w:rsidTr="003A5440">
        <w:tc>
          <w:tcPr>
            <w:tcW w:w="2547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Participation</w:t>
            </w:r>
          </w:p>
        </w:tc>
        <w:tc>
          <w:tcPr>
            <w:tcW w:w="4132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The degree of representation by persons or groups in intervention decision making processes.</w:t>
            </w:r>
          </w:p>
        </w:tc>
        <w:tc>
          <w:tcPr>
            <w:tcW w:w="3376" w:type="dxa"/>
          </w:tcPr>
          <w:p w:rsidR="00002B22" w:rsidRPr="005D4A2D" w:rsidRDefault="00002B22" w:rsidP="005D4A2D">
            <w:pPr>
              <w:numPr>
                <w:ilvl w:val="0"/>
                <w:numId w:val="1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Stakeholder representation</w:t>
            </w:r>
          </w:p>
          <w:p w:rsidR="00002B22" w:rsidRPr="005D4A2D" w:rsidRDefault="00002B22" w:rsidP="005D4A2D">
            <w:pPr>
              <w:numPr>
                <w:ilvl w:val="0"/>
                <w:numId w:val="1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Stakeholder involvement</w:t>
            </w:r>
          </w:p>
          <w:p w:rsidR="00002B22" w:rsidRPr="005D4A2D" w:rsidRDefault="00002B22" w:rsidP="005D4A2D">
            <w:pPr>
              <w:numPr>
                <w:ilvl w:val="0"/>
                <w:numId w:val="1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Decision making power</w:t>
            </w:r>
          </w:p>
        </w:tc>
      </w:tr>
      <w:tr w:rsidR="00002B22" w:rsidRPr="005D4A2D" w:rsidTr="003A5440">
        <w:tc>
          <w:tcPr>
            <w:tcW w:w="2547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Access</w:t>
            </w:r>
          </w:p>
        </w:tc>
        <w:tc>
          <w:tcPr>
            <w:tcW w:w="4132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Access or restrictions on resources, places and areas to persons or groups.</w:t>
            </w:r>
          </w:p>
        </w:tc>
        <w:tc>
          <w:tcPr>
            <w:tcW w:w="3376" w:type="dxa"/>
          </w:tcPr>
          <w:p w:rsidR="00002B22" w:rsidRPr="005D4A2D" w:rsidRDefault="00002B22" w:rsidP="005D4A2D">
            <w:pPr>
              <w:numPr>
                <w:ilvl w:val="0"/>
                <w:numId w:val="2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Context relevant access</w:t>
            </w:r>
          </w:p>
          <w:p w:rsidR="00002B22" w:rsidRPr="005D4A2D" w:rsidRDefault="00002B22" w:rsidP="005D4A2D">
            <w:pPr>
              <w:numPr>
                <w:ilvl w:val="0"/>
                <w:numId w:val="2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Distribution of resource access</w:t>
            </w:r>
          </w:p>
          <w:p w:rsidR="00002B22" w:rsidRPr="005D4A2D" w:rsidRDefault="00002B22" w:rsidP="005D4A2D">
            <w:pPr>
              <w:numPr>
                <w:ilvl w:val="0"/>
                <w:numId w:val="2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Availability of place and area access</w:t>
            </w:r>
          </w:p>
          <w:p w:rsidR="00002B22" w:rsidRPr="005D4A2D" w:rsidRDefault="00002B22" w:rsidP="005D4A2D">
            <w:pPr>
              <w:numPr>
                <w:ilvl w:val="0"/>
                <w:numId w:val="2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Place of residence</w:t>
            </w:r>
          </w:p>
        </w:tc>
      </w:tr>
      <w:tr w:rsidR="00002B22" w:rsidRPr="005D4A2D" w:rsidTr="003A5440">
        <w:tc>
          <w:tcPr>
            <w:tcW w:w="2547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Economic</w:t>
            </w:r>
          </w:p>
        </w:tc>
        <w:tc>
          <w:tcPr>
            <w:tcW w:w="4132" w:type="dxa"/>
          </w:tcPr>
          <w:p w:rsidR="00002B22" w:rsidRPr="005D4A2D" w:rsidRDefault="00002B22" w:rsidP="005D4A2D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Financial resources available to persons or groups as a result of an intervention.</w:t>
            </w:r>
          </w:p>
        </w:tc>
        <w:tc>
          <w:tcPr>
            <w:tcW w:w="3376" w:type="dxa"/>
          </w:tcPr>
          <w:p w:rsidR="00002B22" w:rsidRPr="005D4A2D" w:rsidRDefault="00002B22" w:rsidP="005D4A2D">
            <w:pPr>
              <w:numPr>
                <w:ilvl w:val="0"/>
                <w:numId w:val="3"/>
              </w:numPr>
              <w:shd w:val="clear" w:color="auto" w:fill="FFFFFF"/>
              <w:spacing w:line="480" w:lineRule="auto"/>
              <w:ind w:left="466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 xml:space="preserve">Distribution of: </w:t>
            </w:r>
          </w:p>
          <w:p w:rsidR="00002B22" w:rsidRPr="005D4A2D" w:rsidRDefault="00002B22" w:rsidP="005D4A2D">
            <w:pPr>
              <w:numPr>
                <w:ilvl w:val="1"/>
                <w:numId w:val="3"/>
              </w:numPr>
              <w:shd w:val="clear" w:color="auto" w:fill="FFFFFF"/>
              <w:spacing w:line="480" w:lineRule="auto"/>
              <w:ind w:left="713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Income</w:t>
            </w:r>
          </w:p>
          <w:p w:rsidR="00002B22" w:rsidRPr="005D4A2D" w:rsidRDefault="00002B22" w:rsidP="005D4A2D">
            <w:pPr>
              <w:numPr>
                <w:ilvl w:val="1"/>
                <w:numId w:val="3"/>
              </w:numPr>
              <w:shd w:val="clear" w:color="auto" w:fill="FFFFFF"/>
              <w:spacing w:line="480" w:lineRule="auto"/>
              <w:ind w:left="713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Employment</w:t>
            </w:r>
          </w:p>
          <w:p w:rsidR="00002B22" w:rsidRPr="005D4A2D" w:rsidRDefault="00002B22" w:rsidP="005D4A2D">
            <w:pPr>
              <w:numPr>
                <w:ilvl w:val="1"/>
                <w:numId w:val="3"/>
              </w:numPr>
              <w:shd w:val="clear" w:color="auto" w:fill="FFFFFF"/>
              <w:spacing w:line="480" w:lineRule="auto"/>
              <w:ind w:left="713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Wealth</w:t>
            </w:r>
          </w:p>
          <w:p w:rsidR="00002B22" w:rsidRPr="005D4A2D" w:rsidRDefault="00002B22" w:rsidP="005D4A2D">
            <w:pPr>
              <w:numPr>
                <w:ilvl w:val="1"/>
                <w:numId w:val="3"/>
              </w:numPr>
              <w:shd w:val="clear" w:color="auto" w:fill="FFFFFF"/>
              <w:spacing w:line="480" w:lineRule="auto"/>
              <w:ind w:left="713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Savings/Credit</w:t>
            </w:r>
          </w:p>
          <w:p w:rsidR="00002B22" w:rsidRPr="005D4A2D" w:rsidRDefault="00002B22" w:rsidP="005D4A2D">
            <w:pPr>
              <w:numPr>
                <w:ilvl w:val="1"/>
                <w:numId w:val="3"/>
              </w:numPr>
              <w:shd w:val="clear" w:color="auto" w:fill="FFFFFF"/>
              <w:spacing w:line="480" w:lineRule="auto"/>
              <w:ind w:left="713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Compensation</w:t>
            </w:r>
          </w:p>
          <w:p w:rsidR="00002B22" w:rsidRPr="005D4A2D" w:rsidRDefault="00002B22" w:rsidP="005D4A2D">
            <w:pPr>
              <w:numPr>
                <w:ilvl w:val="1"/>
                <w:numId w:val="3"/>
              </w:numPr>
              <w:shd w:val="clear" w:color="auto" w:fill="FFFFFF"/>
              <w:spacing w:line="480" w:lineRule="auto"/>
              <w:ind w:left="713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Payments</w:t>
            </w:r>
          </w:p>
        </w:tc>
      </w:tr>
    </w:tbl>
    <w:p w:rsidR="00002B22" w:rsidRPr="005D4A2D" w:rsidRDefault="00002B22" w:rsidP="005D4A2D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</w:p>
    <w:p w:rsidR="00002B22" w:rsidRPr="005D4A2D" w:rsidRDefault="00002B22" w:rsidP="005D4A2D">
      <w:pPr>
        <w:shd w:val="clear" w:color="auto" w:fill="FFFFFF"/>
        <w:spacing w:after="0" w:line="480" w:lineRule="auto"/>
        <w:rPr>
          <w:rFonts w:ascii="Times New Roman" w:eastAsia="Times New Roman" w:hAnsi="Times New Roman" w:cs="Arial"/>
          <w:lang w:eastAsia="en-AU"/>
        </w:rPr>
      </w:pPr>
      <w:r w:rsidRPr="005D4A2D">
        <w:rPr>
          <w:rFonts w:ascii="Times New Roman" w:eastAsia="Times New Roman" w:hAnsi="Times New Roman" w:cs="Arial"/>
          <w:b/>
          <w:lang w:eastAsia="en-AU"/>
        </w:rPr>
        <w:lastRenderedPageBreak/>
        <w:t xml:space="preserve">Typology of common social stratifications. </w:t>
      </w:r>
      <w:r w:rsidRPr="005D4A2D">
        <w:rPr>
          <w:rFonts w:ascii="Times New Roman" w:eastAsia="Times New Roman" w:hAnsi="Times New Roman" w:cs="Arial"/>
          <w:lang w:eastAsia="en-AU"/>
        </w:rPr>
        <w:t>These social stratifications can result in avoidable and unfair cost and benefit distrib</w:t>
      </w:r>
      <w:r>
        <w:rPr>
          <w:rFonts w:ascii="Times New Roman" w:eastAsia="Times New Roman" w:hAnsi="Times New Roman" w:cs="Arial"/>
          <w:lang w:eastAsia="en-AU"/>
        </w:rPr>
        <w:t>utions among community members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418"/>
        <w:gridCol w:w="6598"/>
      </w:tblGrid>
      <w:tr w:rsidR="00002B22" w:rsidRPr="005D4A2D" w:rsidTr="00CC33D6">
        <w:tc>
          <w:tcPr>
            <w:tcW w:w="2418" w:type="dxa"/>
          </w:tcPr>
          <w:p w:rsidR="00002B22" w:rsidRPr="005D4A2D" w:rsidRDefault="00002B22" w:rsidP="005D4A2D">
            <w:pPr>
              <w:spacing w:line="480" w:lineRule="auto"/>
              <w:rPr>
                <w:rFonts w:ascii="Times New Roman" w:eastAsia="Times New Roman" w:hAnsi="Times New Roman" w:cs="Arial"/>
                <w:b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b/>
                <w:lang w:eastAsia="en-AU"/>
              </w:rPr>
              <w:t>Stratification</w:t>
            </w:r>
          </w:p>
        </w:tc>
        <w:tc>
          <w:tcPr>
            <w:tcW w:w="6598" w:type="dxa"/>
          </w:tcPr>
          <w:p w:rsidR="00002B22" w:rsidRPr="005D4A2D" w:rsidRDefault="00002B22" w:rsidP="005D4A2D">
            <w:pPr>
              <w:spacing w:line="480" w:lineRule="auto"/>
              <w:rPr>
                <w:rFonts w:ascii="Times New Roman" w:eastAsia="Times New Roman" w:hAnsi="Times New Roman" w:cs="Arial"/>
                <w:b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b/>
                <w:lang w:eastAsia="en-AU"/>
              </w:rPr>
              <w:t>Description</w:t>
            </w:r>
          </w:p>
        </w:tc>
      </w:tr>
      <w:tr w:rsidR="00002B22" w:rsidRPr="005D4A2D" w:rsidTr="00CC33D6">
        <w:tc>
          <w:tcPr>
            <w:tcW w:w="2418" w:type="dxa"/>
          </w:tcPr>
          <w:p w:rsidR="00002B22" w:rsidRPr="005D4A2D" w:rsidRDefault="00002B22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Race</w:t>
            </w:r>
          </w:p>
        </w:tc>
        <w:tc>
          <w:tcPr>
            <w:tcW w:w="6598" w:type="dxa"/>
          </w:tcPr>
          <w:p w:rsidR="00002B22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>
              <w:rPr>
                <w:rFonts w:ascii="Times New Roman" w:eastAsia="Times New Roman" w:hAnsi="Times New Roman" w:cs="Arial"/>
                <w:lang w:eastAsia="en-AU"/>
              </w:rPr>
              <w:t>Perceived s</w:t>
            </w:r>
            <w:r w:rsidRPr="00CC33D6">
              <w:rPr>
                <w:rFonts w:ascii="Times New Roman" w:eastAsia="Times New Roman" w:hAnsi="Times New Roman" w:cs="Arial"/>
                <w:lang w:eastAsia="en-AU"/>
              </w:rPr>
              <w:t xml:space="preserve">ocial constructs which determine how members of a society are considered physically distinctive by themselves or others. Self-imposed costs due to </w:t>
            </w:r>
            <w:r>
              <w:rPr>
                <w:rFonts w:ascii="Times New Roman" w:eastAsia="Times New Roman" w:hAnsi="Times New Roman" w:cs="Arial"/>
                <w:lang w:eastAsia="en-AU"/>
              </w:rPr>
              <w:t>racial</w:t>
            </w:r>
            <w:r w:rsidRPr="00CC33D6">
              <w:rPr>
                <w:rFonts w:ascii="Times New Roman" w:eastAsia="Times New Roman" w:hAnsi="Times New Roman" w:cs="Arial"/>
                <w:lang w:eastAsia="en-AU"/>
              </w:rPr>
              <w:t xml:space="preserve"> reasons are not considered socially inequitable.</w:t>
            </w:r>
          </w:p>
        </w:tc>
      </w:tr>
      <w:tr w:rsidR="00CC33D6" w:rsidRPr="005D4A2D" w:rsidTr="00B73883">
        <w:tc>
          <w:tcPr>
            <w:tcW w:w="241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Culture</w:t>
            </w:r>
          </w:p>
        </w:tc>
        <w:tc>
          <w:tcPr>
            <w:tcW w:w="659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Cultural beliefs and practices. Culture may be a personal choice or imposed by community or family. Self-imposed costs due to cultural reasons are not considered socially inequitable.</w:t>
            </w:r>
          </w:p>
        </w:tc>
      </w:tr>
      <w:tr w:rsidR="00CC33D6" w:rsidRPr="005D4A2D" w:rsidTr="00B73883">
        <w:tc>
          <w:tcPr>
            <w:tcW w:w="241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Language</w:t>
            </w:r>
          </w:p>
        </w:tc>
        <w:tc>
          <w:tcPr>
            <w:tcW w:w="659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Written or spoken languages among different groups.</w:t>
            </w:r>
          </w:p>
        </w:tc>
      </w:tr>
      <w:tr w:rsidR="00CC33D6" w:rsidRPr="005D4A2D" w:rsidTr="00B73883">
        <w:tc>
          <w:tcPr>
            <w:tcW w:w="241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Occupation</w:t>
            </w:r>
          </w:p>
        </w:tc>
        <w:tc>
          <w:tcPr>
            <w:tcW w:w="659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Differences in availability and quality of occupation.</w:t>
            </w:r>
          </w:p>
        </w:tc>
      </w:tr>
      <w:tr w:rsidR="00CC33D6" w:rsidRPr="005D4A2D" w:rsidTr="00B73883">
        <w:tc>
          <w:tcPr>
            <w:tcW w:w="241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Religion</w:t>
            </w:r>
          </w:p>
        </w:tc>
        <w:tc>
          <w:tcPr>
            <w:tcW w:w="659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Religious affiliations. Religion may be a personal choice or imposed by community or family. Self-imposed costs due to religious reasons are not considered socially inequitable.</w:t>
            </w:r>
          </w:p>
        </w:tc>
      </w:tr>
      <w:tr w:rsidR="00CC33D6" w:rsidRPr="005D4A2D" w:rsidTr="00B73883">
        <w:tc>
          <w:tcPr>
            <w:tcW w:w="241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Education</w:t>
            </w:r>
          </w:p>
        </w:tc>
        <w:tc>
          <w:tcPr>
            <w:tcW w:w="659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The level, quality and availability of education.</w:t>
            </w:r>
          </w:p>
        </w:tc>
      </w:tr>
      <w:tr w:rsidR="00CC33D6" w:rsidRPr="005D4A2D" w:rsidTr="00B73883">
        <w:tc>
          <w:tcPr>
            <w:tcW w:w="241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Socioeconomic status</w:t>
            </w:r>
          </w:p>
        </w:tc>
        <w:tc>
          <w:tcPr>
            <w:tcW w:w="659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Social class and wealth.</w:t>
            </w:r>
          </w:p>
        </w:tc>
      </w:tr>
      <w:tr w:rsidR="00CC33D6" w:rsidRPr="005D4A2D" w:rsidTr="00B73883">
        <w:tc>
          <w:tcPr>
            <w:tcW w:w="241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Social Capital</w:t>
            </w:r>
          </w:p>
        </w:tc>
        <w:tc>
          <w:tcPr>
            <w:tcW w:w="6598" w:type="dxa"/>
          </w:tcPr>
          <w:p w:rsidR="00CC33D6" w:rsidRPr="005D4A2D" w:rsidRDefault="00CC33D6" w:rsidP="005D4A2D">
            <w:pPr>
              <w:spacing w:line="480" w:lineRule="auto"/>
              <w:rPr>
                <w:rFonts w:ascii="Times New Roman" w:eastAsia="Times New Roman" w:hAnsi="Times New Roman" w:cs="Arial"/>
                <w:lang w:eastAsia="en-AU"/>
              </w:rPr>
            </w:pPr>
            <w:r w:rsidRPr="005D4A2D">
              <w:rPr>
                <w:rFonts w:ascii="Times New Roman" w:eastAsia="Times New Roman" w:hAnsi="Times New Roman" w:cs="Arial"/>
                <w:lang w:eastAsia="en-AU"/>
              </w:rPr>
              <w:t>Social networks, rel</w:t>
            </w:r>
            <w:bookmarkStart w:id="0" w:name="_GoBack"/>
            <w:bookmarkEnd w:id="0"/>
            <w:r w:rsidRPr="005D4A2D">
              <w:rPr>
                <w:rFonts w:ascii="Times New Roman" w:eastAsia="Times New Roman" w:hAnsi="Times New Roman" w:cs="Arial"/>
                <w:lang w:eastAsia="en-AU"/>
              </w:rPr>
              <w:t>ationships and community participation.</w:t>
            </w:r>
          </w:p>
        </w:tc>
      </w:tr>
    </w:tbl>
    <w:p w:rsidR="00002B22" w:rsidRPr="00614870" w:rsidRDefault="00002B22" w:rsidP="005D4A2D">
      <w:pPr>
        <w:rPr>
          <w:rFonts w:ascii="Segoe UI" w:eastAsia="Times New Roman" w:hAnsi="Segoe UI" w:cs="Arial"/>
          <w:b/>
          <w:sz w:val="28"/>
          <w:szCs w:val="24"/>
          <w:lang w:eastAsia="en-AU"/>
        </w:rPr>
      </w:pPr>
    </w:p>
    <w:p w:rsidR="00002B22" w:rsidRPr="00614870" w:rsidRDefault="00002B22" w:rsidP="005D4A2D">
      <w:pPr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614870">
        <w:rPr>
          <w:rFonts w:ascii="Segoe UI" w:eastAsia="Times New Roman" w:hAnsi="Segoe UI" w:cs="Arial"/>
          <w:b/>
          <w:sz w:val="28"/>
          <w:szCs w:val="24"/>
          <w:lang w:eastAsia="en-AU"/>
        </w:rPr>
        <w:t>References</w:t>
      </w:r>
    </w:p>
    <w:p w:rsidR="00002B22" w:rsidRPr="00A94BBE" w:rsidRDefault="00002B22" w:rsidP="00A94BBE">
      <w:pPr>
        <w:pStyle w:val="EndNoteBibliography"/>
        <w:spacing w:after="0"/>
        <w:ind w:left="720" w:hanging="720"/>
      </w:pPr>
      <w:r w:rsidRPr="00A94BBE">
        <w:t>1.</w:t>
      </w:r>
      <w:r w:rsidRPr="00A94BBE">
        <w:tab/>
        <w:t xml:space="preserve">Klein C, McKinnon MC, Wright BT, Possingham HP, Halpern BS: </w:t>
      </w:r>
      <w:r w:rsidRPr="00A94BBE">
        <w:rPr>
          <w:b/>
        </w:rPr>
        <w:t>Social equity and the probability of success of biodiversity conservation.</w:t>
      </w:r>
      <w:r w:rsidRPr="00A94BBE">
        <w:t xml:space="preserve"> </w:t>
      </w:r>
      <w:r w:rsidRPr="00A94BBE">
        <w:rPr>
          <w:i/>
        </w:rPr>
        <w:t xml:space="preserve">Global Environmental Change </w:t>
      </w:r>
      <w:r w:rsidRPr="00A94BBE">
        <w:t xml:space="preserve">2015, </w:t>
      </w:r>
      <w:r w:rsidRPr="00A94BBE">
        <w:rPr>
          <w:b/>
        </w:rPr>
        <w:t>35:</w:t>
      </w:r>
      <w:r w:rsidRPr="00A94BBE">
        <w:t>299-306.</w:t>
      </w:r>
    </w:p>
    <w:p w:rsidR="00002B22" w:rsidRPr="00A94BBE" w:rsidRDefault="00002B22" w:rsidP="00A94BBE">
      <w:pPr>
        <w:pStyle w:val="EndNoteBibliography"/>
        <w:spacing w:after="0"/>
        <w:ind w:left="720" w:hanging="720"/>
      </w:pPr>
      <w:r w:rsidRPr="00A94BBE">
        <w:t>2.</w:t>
      </w:r>
      <w:r w:rsidRPr="00A94BBE">
        <w:tab/>
        <w:t xml:space="preserve">O'Neill J, Tabish H, Welch V, Petticrew M, Pottie K, Clarke M, Evan s T, Pardo Pardo J, Waters E, White H, Tugwell P: </w:t>
      </w:r>
      <w:r w:rsidRPr="00A94BBE">
        <w:rPr>
          <w:b/>
        </w:rPr>
        <w:t xml:space="preserve">Applying an equity lens to interventions: using </w:t>
      </w:r>
      <w:r w:rsidRPr="00A94BBE">
        <w:rPr>
          <w:b/>
        </w:rPr>
        <w:lastRenderedPageBreak/>
        <w:t>PROGRESS ensures consideration of socially stratifying factors to illuminate inequities in health.</w:t>
      </w:r>
      <w:r w:rsidRPr="00A94BBE">
        <w:t xml:space="preserve"> </w:t>
      </w:r>
      <w:r w:rsidRPr="00A94BBE">
        <w:rPr>
          <w:i/>
        </w:rPr>
        <w:t xml:space="preserve">Journal of Clinical Epidemiology </w:t>
      </w:r>
      <w:r w:rsidRPr="00A94BBE">
        <w:t xml:space="preserve">2014, </w:t>
      </w:r>
      <w:r w:rsidRPr="00A94BBE">
        <w:rPr>
          <w:b/>
        </w:rPr>
        <w:t>67:</w:t>
      </w:r>
      <w:r w:rsidRPr="00A94BBE">
        <w:t>56-64.</w:t>
      </w:r>
    </w:p>
    <w:p w:rsidR="00002B22" w:rsidRPr="00A94BBE" w:rsidRDefault="00002B22" w:rsidP="00A94BBE">
      <w:pPr>
        <w:pStyle w:val="EndNoteBibliography"/>
        <w:ind w:left="720" w:hanging="720"/>
      </w:pPr>
      <w:r w:rsidRPr="00A94BBE">
        <w:t>3.</w:t>
      </w:r>
      <w:r w:rsidRPr="00A94BBE">
        <w:tab/>
        <w:t xml:space="preserve">Welch V, Petticrew M, Petkovic J, Moher D, Waters E, White H, Tugwell P, Atun R, Awasthi S, Barbour V, et al: </w:t>
      </w:r>
      <w:r w:rsidRPr="00A94BBE">
        <w:rPr>
          <w:b/>
        </w:rPr>
        <w:t>Extending the PRISMA statement to equity-focused systematic reviews (PRISMA-E 2012): explanation and elaboration.</w:t>
      </w:r>
      <w:r w:rsidRPr="00A94BBE">
        <w:t xml:space="preserve"> </w:t>
      </w:r>
      <w:r w:rsidRPr="00A94BBE">
        <w:rPr>
          <w:i/>
        </w:rPr>
        <w:t xml:space="preserve">Journal of Clinical Epidemiology </w:t>
      </w:r>
      <w:r w:rsidRPr="00A94BBE">
        <w:t xml:space="preserve">2015, </w:t>
      </w:r>
      <w:r w:rsidRPr="00A94BBE">
        <w:rPr>
          <w:b/>
        </w:rPr>
        <w:t>70:</w:t>
      </w:r>
      <w:r w:rsidRPr="00A94BBE">
        <w:t>68-89.</w:t>
      </w:r>
    </w:p>
    <w:p w:rsidR="00002B22" w:rsidRDefault="00002B22" w:rsidP="005D4A2D"/>
    <w:p w:rsidR="00594E48" w:rsidRDefault="00594E48"/>
    <w:sectPr w:rsidR="00594E48" w:rsidSect="00AD1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7DE2"/>
    <w:multiLevelType w:val="hybridMultilevel"/>
    <w:tmpl w:val="4C663D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773E4"/>
    <w:multiLevelType w:val="hybridMultilevel"/>
    <w:tmpl w:val="82C8AE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651CF"/>
    <w:multiLevelType w:val="hybridMultilevel"/>
    <w:tmpl w:val="811C93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</w:docVars>
  <w:rsids>
    <w:rsidRoot w:val="00002B22"/>
    <w:rsid w:val="00002B22"/>
    <w:rsid w:val="00485864"/>
    <w:rsid w:val="00594E48"/>
    <w:rsid w:val="00930704"/>
    <w:rsid w:val="00CC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DD8A0"/>
  <w15:chartTrackingRefBased/>
  <w15:docId w15:val="{CF24291C-8977-4178-9F56-86C992A1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2B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002B22"/>
    <w:pPr>
      <w:spacing w:after="0" w:line="240" w:lineRule="auto"/>
    </w:pPr>
    <w:rPr>
      <w:rFonts w:eastAsia="MS PGothic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0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02B22"/>
  </w:style>
  <w:style w:type="paragraph" w:customStyle="1" w:styleId="EndNoteBibliographyTitle">
    <w:name w:val="EndNote Bibliography Title"/>
    <w:basedOn w:val="Normal"/>
    <w:link w:val="EndNoteBibliographyTitleChar"/>
    <w:rsid w:val="00002B22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02B22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02B22"/>
    <w:pPr>
      <w:spacing w:line="48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02B22"/>
    <w:rPr>
      <w:rFonts w:ascii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G.A.</dc:creator>
  <cp:keywords/>
  <dc:description/>
  <cp:lastModifiedBy>Glenn Althor</cp:lastModifiedBy>
  <cp:revision>2</cp:revision>
  <dcterms:created xsi:type="dcterms:W3CDTF">2016-06-22T04:37:00Z</dcterms:created>
  <dcterms:modified xsi:type="dcterms:W3CDTF">2016-10-07T01:21:00Z</dcterms:modified>
</cp:coreProperties>
</file>