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DC0F4" w14:textId="77777777" w:rsidR="00EC1EE0" w:rsidRPr="00EC1EE0" w:rsidRDefault="00EC1EE0" w:rsidP="00EC1EE0">
      <w:pPr>
        <w:spacing w:line="480" w:lineRule="auto"/>
        <w:rPr>
          <w:rFonts w:asciiTheme="minorHAnsi" w:hAnsiTheme="minorHAnsi" w:cstheme="majorHAnsi"/>
          <w:sz w:val="22"/>
          <w:szCs w:val="22"/>
        </w:rPr>
      </w:pPr>
    </w:p>
    <w:p w14:paraId="1E003486" w14:textId="5560C8B7" w:rsidR="00EC1EE0" w:rsidRPr="00EC1EE0" w:rsidRDefault="00EC1EE0" w:rsidP="00EC1EE0">
      <w:pPr>
        <w:spacing w:line="480" w:lineRule="auto"/>
        <w:rPr>
          <w:rFonts w:asciiTheme="minorHAnsi" w:hAnsiTheme="minorHAnsi" w:cstheme="majorHAnsi"/>
          <w:b/>
          <w:sz w:val="22"/>
          <w:szCs w:val="22"/>
        </w:rPr>
      </w:pPr>
      <w:r w:rsidRPr="00EC1EE0">
        <w:rPr>
          <w:rFonts w:asciiTheme="minorHAnsi" w:hAnsiTheme="minorHAnsi" w:cstheme="majorHAnsi"/>
          <w:b/>
          <w:sz w:val="22"/>
          <w:szCs w:val="22"/>
        </w:rPr>
        <w:t xml:space="preserve">Table </w:t>
      </w:r>
      <w:r w:rsidR="00657A78">
        <w:rPr>
          <w:rFonts w:asciiTheme="minorHAnsi" w:hAnsiTheme="minorHAnsi" w:cstheme="majorHAnsi"/>
          <w:b/>
          <w:sz w:val="22"/>
          <w:szCs w:val="22"/>
        </w:rPr>
        <w:t>5.1</w:t>
      </w:r>
      <w:r w:rsidRPr="00EC1EE0">
        <w:rPr>
          <w:rFonts w:asciiTheme="minorHAnsi" w:hAnsiTheme="minorHAnsi" w:cstheme="majorHAnsi"/>
          <w:b/>
          <w:sz w:val="22"/>
          <w:szCs w:val="22"/>
        </w:rPr>
        <w:t xml:space="preserve">. </w:t>
      </w:r>
      <w:r w:rsidRPr="00EC1EE0">
        <w:rPr>
          <w:rFonts w:asciiTheme="minorHAnsi" w:hAnsiTheme="minorHAnsi" w:cstheme="majorHAnsi"/>
          <w:sz w:val="22"/>
          <w:szCs w:val="22"/>
        </w:rPr>
        <w:t>Critical appraisal criteria</w:t>
      </w:r>
      <w:r w:rsidRPr="00EC1EE0">
        <w:rPr>
          <w:rFonts w:asciiTheme="minorHAnsi" w:hAnsiTheme="minorHAnsi" w:cstheme="majorHAnsi"/>
          <w:b/>
          <w:sz w:val="22"/>
          <w:szCs w:val="22"/>
        </w:rPr>
        <w:t xml:space="preserve"> </w:t>
      </w:r>
      <w:bookmarkStart w:id="0" w:name="_GoBack"/>
      <w:bookmarkEnd w:id="0"/>
    </w:p>
    <w:tbl>
      <w:tblPr>
        <w:tblStyle w:val="TableGrid"/>
        <w:tblpPr w:leftFromText="187" w:rightFromText="187" w:vertAnchor="text" w:horzAnchor="margin" w:tblpY="59"/>
        <w:tblOverlap w:val="never"/>
        <w:tblW w:w="9018" w:type="dxa"/>
        <w:tblLook w:val="04A0" w:firstRow="1" w:lastRow="0" w:firstColumn="1" w:lastColumn="0" w:noHBand="0" w:noVBand="1"/>
      </w:tblPr>
      <w:tblGrid>
        <w:gridCol w:w="2205"/>
        <w:gridCol w:w="2341"/>
        <w:gridCol w:w="2410"/>
        <w:gridCol w:w="2062"/>
      </w:tblGrid>
      <w:tr w:rsidR="00EC1EE0" w:rsidRPr="00EC1EE0" w14:paraId="497779DB" w14:textId="77777777" w:rsidTr="00B979C2">
        <w:tc>
          <w:tcPr>
            <w:tcW w:w="2205" w:type="dxa"/>
            <w:vAlign w:val="center"/>
          </w:tcPr>
          <w:p w14:paraId="08EBB11B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b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b/>
                <w:sz w:val="22"/>
                <w:szCs w:val="22"/>
              </w:rPr>
              <w:t>Factor</w:t>
            </w:r>
          </w:p>
        </w:tc>
        <w:tc>
          <w:tcPr>
            <w:tcW w:w="2341" w:type="dxa"/>
            <w:vAlign w:val="center"/>
          </w:tcPr>
          <w:p w14:paraId="54F603AB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b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b/>
                <w:sz w:val="22"/>
                <w:szCs w:val="22"/>
              </w:rPr>
              <w:t>Low risk of bias</w:t>
            </w:r>
          </w:p>
        </w:tc>
        <w:tc>
          <w:tcPr>
            <w:tcW w:w="2410" w:type="dxa"/>
            <w:vAlign w:val="center"/>
          </w:tcPr>
          <w:p w14:paraId="7CF78D0F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b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b/>
                <w:sz w:val="22"/>
                <w:szCs w:val="22"/>
              </w:rPr>
              <w:t>Moderate risk of bias</w:t>
            </w:r>
          </w:p>
        </w:tc>
        <w:tc>
          <w:tcPr>
            <w:tcW w:w="2062" w:type="dxa"/>
            <w:vAlign w:val="center"/>
          </w:tcPr>
          <w:p w14:paraId="3FEB85C4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b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b/>
                <w:sz w:val="22"/>
                <w:szCs w:val="22"/>
              </w:rPr>
              <w:t>High risk of bias</w:t>
            </w:r>
          </w:p>
        </w:tc>
      </w:tr>
      <w:tr w:rsidR="00EC1EE0" w:rsidRPr="00EC1EE0" w14:paraId="32986166" w14:textId="77777777" w:rsidTr="00B979C2">
        <w:tc>
          <w:tcPr>
            <w:tcW w:w="2205" w:type="dxa"/>
            <w:vAlign w:val="center"/>
          </w:tcPr>
          <w:p w14:paraId="078AB59B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Study design</w:t>
            </w:r>
          </w:p>
        </w:tc>
        <w:tc>
          <w:tcPr>
            <w:tcW w:w="2341" w:type="dxa"/>
            <w:vAlign w:val="center"/>
          </w:tcPr>
          <w:p w14:paraId="6F65B620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Experimental studies (treatment vs control)</w:t>
            </w:r>
          </w:p>
        </w:tc>
        <w:tc>
          <w:tcPr>
            <w:tcW w:w="2410" w:type="dxa"/>
            <w:vAlign w:val="center"/>
          </w:tcPr>
          <w:p w14:paraId="2C08DA05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 xml:space="preserve"> Experimental studies (including concurrent controls)</w:t>
            </w:r>
          </w:p>
        </w:tc>
        <w:tc>
          <w:tcPr>
            <w:tcW w:w="2062" w:type="dxa"/>
            <w:vAlign w:val="center"/>
          </w:tcPr>
          <w:p w14:paraId="6AA0B6F9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Quasi – experimental studies, case studies and observational studies</w:t>
            </w:r>
          </w:p>
        </w:tc>
      </w:tr>
      <w:tr w:rsidR="00EC1EE0" w:rsidRPr="00EC1EE0" w14:paraId="36E84106" w14:textId="77777777" w:rsidTr="00B979C2">
        <w:tc>
          <w:tcPr>
            <w:tcW w:w="2205" w:type="dxa"/>
            <w:vAlign w:val="center"/>
          </w:tcPr>
          <w:p w14:paraId="1ADD51F6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Objectives/hypothesis</w:t>
            </w:r>
          </w:p>
        </w:tc>
        <w:tc>
          <w:tcPr>
            <w:tcW w:w="2341" w:type="dxa"/>
            <w:vAlign w:val="center"/>
          </w:tcPr>
          <w:p w14:paraId="379DFDEB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Clear relation between objectives and methodology</w:t>
            </w:r>
          </w:p>
        </w:tc>
        <w:tc>
          <w:tcPr>
            <w:tcW w:w="2410" w:type="dxa"/>
            <w:vAlign w:val="center"/>
          </w:tcPr>
          <w:p w14:paraId="4322F903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The relation between objectives and methodology are not very clear</w:t>
            </w:r>
          </w:p>
        </w:tc>
        <w:tc>
          <w:tcPr>
            <w:tcW w:w="2062" w:type="dxa"/>
            <w:vAlign w:val="center"/>
          </w:tcPr>
          <w:p w14:paraId="2FB7BD5C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No relation between objectives and methodology</w:t>
            </w:r>
          </w:p>
        </w:tc>
      </w:tr>
      <w:tr w:rsidR="00EC1EE0" w:rsidRPr="00EC1EE0" w14:paraId="370A8F24" w14:textId="77777777" w:rsidTr="00B979C2">
        <w:tc>
          <w:tcPr>
            <w:tcW w:w="2205" w:type="dxa"/>
            <w:vMerge w:val="restart"/>
            <w:vAlign w:val="center"/>
          </w:tcPr>
          <w:p w14:paraId="07134B6A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Sampling</w:t>
            </w:r>
          </w:p>
        </w:tc>
        <w:tc>
          <w:tcPr>
            <w:tcW w:w="2341" w:type="dxa"/>
            <w:vAlign w:val="center"/>
          </w:tcPr>
          <w:p w14:paraId="0A40D8E2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Sampling method is suitable for gathering data on the population of interest</w:t>
            </w:r>
          </w:p>
        </w:tc>
        <w:tc>
          <w:tcPr>
            <w:tcW w:w="2410" w:type="dxa"/>
            <w:vAlign w:val="center"/>
          </w:tcPr>
          <w:p w14:paraId="74CD127E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The method used for sampling is appropriate for data gathering on population of interest</w:t>
            </w:r>
          </w:p>
        </w:tc>
        <w:tc>
          <w:tcPr>
            <w:tcW w:w="2062" w:type="dxa"/>
            <w:vMerge w:val="restart"/>
            <w:vAlign w:val="center"/>
          </w:tcPr>
          <w:p w14:paraId="7A4B550B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Sampling method is not suitable for the population of interest</w:t>
            </w:r>
          </w:p>
        </w:tc>
      </w:tr>
      <w:tr w:rsidR="00EC1EE0" w:rsidRPr="00EC1EE0" w14:paraId="66071EAB" w14:textId="77777777" w:rsidTr="00B979C2">
        <w:tc>
          <w:tcPr>
            <w:tcW w:w="2205" w:type="dxa"/>
            <w:vMerge/>
            <w:vAlign w:val="center"/>
          </w:tcPr>
          <w:p w14:paraId="2B223391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41" w:type="dxa"/>
            <w:vAlign w:val="center"/>
          </w:tcPr>
          <w:p w14:paraId="5A211332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Replicates are proper (interventions are replicated)</w:t>
            </w:r>
          </w:p>
        </w:tc>
        <w:tc>
          <w:tcPr>
            <w:tcW w:w="2410" w:type="dxa"/>
            <w:vAlign w:val="center"/>
          </w:tcPr>
          <w:p w14:paraId="41EA56FB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Replicates are proper</w:t>
            </w:r>
          </w:p>
        </w:tc>
        <w:tc>
          <w:tcPr>
            <w:tcW w:w="2062" w:type="dxa"/>
            <w:vMerge/>
            <w:vAlign w:val="center"/>
          </w:tcPr>
          <w:p w14:paraId="5617B1A6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EC1EE0" w:rsidRPr="00EC1EE0" w14:paraId="08B68EB3" w14:textId="77777777" w:rsidTr="00B979C2">
        <w:tc>
          <w:tcPr>
            <w:tcW w:w="2205" w:type="dxa"/>
            <w:vMerge/>
            <w:vAlign w:val="center"/>
          </w:tcPr>
          <w:p w14:paraId="3A307F81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41" w:type="dxa"/>
            <w:vAlign w:val="center"/>
          </w:tcPr>
          <w:p w14:paraId="71985B97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Intervention and comparator areas are well-matched (soil conditions are the same)</w:t>
            </w:r>
          </w:p>
        </w:tc>
        <w:tc>
          <w:tcPr>
            <w:tcW w:w="2410" w:type="dxa"/>
            <w:vAlign w:val="center"/>
          </w:tcPr>
          <w:p w14:paraId="7CFEA6FD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Intervention and comparator areas are well-matched (soil conditions do not differ profoundly)</w:t>
            </w:r>
          </w:p>
        </w:tc>
        <w:tc>
          <w:tcPr>
            <w:tcW w:w="2062" w:type="dxa"/>
            <w:vMerge/>
            <w:vAlign w:val="center"/>
          </w:tcPr>
          <w:p w14:paraId="505930EB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EC1EE0" w:rsidRPr="00EC1EE0" w14:paraId="65D0473B" w14:textId="77777777" w:rsidTr="00B979C2">
        <w:tc>
          <w:tcPr>
            <w:tcW w:w="2205" w:type="dxa"/>
            <w:vMerge/>
            <w:vAlign w:val="center"/>
          </w:tcPr>
          <w:p w14:paraId="5E8D2F02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41" w:type="dxa"/>
            <w:vAlign w:val="center"/>
          </w:tcPr>
          <w:p w14:paraId="69515297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Confounding factors not present (both intervention and comparator are treated equally)</w:t>
            </w:r>
          </w:p>
        </w:tc>
        <w:tc>
          <w:tcPr>
            <w:tcW w:w="2410" w:type="dxa"/>
            <w:vAlign w:val="center"/>
          </w:tcPr>
          <w:p w14:paraId="6FDA5626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Confounding factors not present (both intervention and comparator are treated equally)</w:t>
            </w:r>
          </w:p>
        </w:tc>
        <w:tc>
          <w:tcPr>
            <w:tcW w:w="2062" w:type="dxa"/>
            <w:vMerge/>
            <w:vAlign w:val="center"/>
          </w:tcPr>
          <w:p w14:paraId="2627F434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EC1EE0" w:rsidRPr="00EC1EE0" w14:paraId="5A27DC4B" w14:textId="77777777" w:rsidTr="00B979C2">
        <w:tc>
          <w:tcPr>
            <w:tcW w:w="2205" w:type="dxa"/>
            <w:vAlign w:val="center"/>
          </w:tcPr>
          <w:p w14:paraId="02498232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Consideration of heterogeneity/effect modifiers</w:t>
            </w:r>
          </w:p>
        </w:tc>
        <w:tc>
          <w:tcPr>
            <w:tcW w:w="2341" w:type="dxa"/>
            <w:vAlign w:val="center"/>
          </w:tcPr>
          <w:p w14:paraId="591470E2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Precisely determined/considered effect modifiers</w:t>
            </w:r>
          </w:p>
        </w:tc>
        <w:tc>
          <w:tcPr>
            <w:tcW w:w="2410" w:type="dxa"/>
            <w:vAlign w:val="center"/>
          </w:tcPr>
          <w:p w14:paraId="003B7B34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 xml:space="preserve">Effect modifiers are partially considered </w:t>
            </w:r>
          </w:p>
        </w:tc>
        <w:tc>
          <w:tcPr>
            <w:tcW w:w="2062" w:type="dxa"/>
            <w:vAlign w:val="center"/>
          </w:tcPr>
          <w:p w14:paraId="04F22FFE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Effect modifiers not considered or determined</w:t>
            </w:r>
          </w:p>
        </w:tc>
      </w:tr>
      <w:tr w:rsidR="00EC1EE0" w:rsidRPr="00EC1EE0" w14:paraId="7AD6DD62" w14:textId="77777777" w:rsidTr="00B979C2">
        <w:tc>
          <w:tcPr>
            <w:tcW w:w="2205" w:type="dxa"/>
            <w:vAlign w:val="center"/>
          </w:tcPr>
          <w:p w14:paraId="463B1A39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 xml:space="preserve">Statistical analysis and data availability </w:t>
            </w:r>
          </w:p>
        </w:tc>
        <w:tc>
          <w:tcPr>
            <w:tcW w:w="2341" w:type="dxa"/>
            <w:vAlign w:val="center"/>
          </w:tcPr>
          <w:p w14:paraId="6469E2C2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Clear description of statistical analysis and results</w:t>
            </w:r>
          </w:p>
        </w:tc>
        <w:tc>
          <w:tcPr>
            <w:tcW w:w="2410" w:type="dxa"/>
            <w:vAlign w:val="center"/>
          </w:tcPr>
          <w:p w14:paraId="4D2D1573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 xml:space="preserve">Statistical analysis and results are clear enough </w:t>
            </w:r>
          </w:p>
        </w:tc>
        <w:tc>
          <w:tcPr>
            <w:tcW w:w="2062" w:type="dxa"/>
            <w:vAlign w:val="center"/>
          </w:tcPr>
          <w:p w14:paraId="559CC8F9" w14:textId="77777777" w:rsidR="00EC1EE0" w:rsidRPr="00EC1EE0" w:rsidRDefault="00EC1EE0" w:rsidP="00B979C2">
            <w:pPr>
              <w:spacing w:line="480" w:lineRule="auto"/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EC1EE0">
              <w:rPr>
                <w:rFonts w:asciiTheme="minorHAnsi" w:hAnsiTheme="minorHAnsi" w:cstheme="majorHAnsi"/>
                <w:sz w:val="22"/>
                <w:szCs w:val="22"/>
              </w:rPr>
              <w:t>No appropriate statistical analysis and results</w:t>
            </w:r>
          </w:p>
        </w:tc>
      </w:tr>
    </w:tbl>
    <w:p w14:paraId="1FF7EC25" w14:textId="77777777" w:rsidR="00EC1EE0" w:rsidRPr="00EC1EE0" w:rsidRDefault="00EC1EE0" w:rsidP="00EC1EE0">
      <w:pPr>
        <w:spacing w:line="480" w:lineRule="auto"/>
        <w:rPr>
          <w:rFonts w:asciiTheme="minorHAnsi" w:hAnsiTheme="minorHAnsi" w:cstheme="majorHAnsi"/>
          <w:sz w:val="22"/>
          <w:szCs w:val="22"/>
        </w:rPr>
      </w:pPr>
    </w:p>
    <w:p w14:paraId="052AFE85" w14:textId="77777777" w:rsidR="00EC1EE0" w:rsidRPr="00EC1EE0" w:rsidRDefault="00EC1EE0" w:rsidP="00EC1EE0">
      <w:pPr>
        <w:spacing w:line="480" w:lineRule="auto"/>
        <w:rPr>
          <w:rFonts w:asciiTheme="minorHAnsi" w:hAnsiTheme="minorHAnsi" w:cstheme="majorHAnsi"/>
          <w:sz w:val="22"/>
          <w:szCs w:val="22"/>
        </w:rPr>
      </w:pPr>
    </w:p>
    <w:p w14:paraId="45166848" w14:textId="77777777" w:rsidR="00EF5DA9" w:rsidRPr="00EC1EE0" w:rsidRDefault="00657A78">
      <w:pPr>
        <w:rPr>
          <w:rFonts w:asciiTheme="minorHAnsi" w:hAnsiTheme="minorHAnsi"/>
        </w:rPr>
      </w:pPr>
    </w:p>
    <w:sectPr w:rsidR="00EF5DA9" w:rsidRPr="00EC1EE0" w:rsidSect="00886DE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E0"/>
    <w:rsid w:val="000221EA"/>
    <w:rsid w:val="000344D1"/>
    <w:rsid w:val="000436E2"/>
    <w:rsid w:val="00096B85"/>
    <w:rsid w:val="000B0397"/>
    <w:rsid w:val="000B28F6"/>
    <w:rsid w:val="000C017A"/>
    <w:rsid w:val="000F1EE9"/>
    <w:rsid w:val="000F6813"/>
    <w:rsid w:val="001278D6"/>
    <w:rsid w:val="00161072"/>
    <w:rsid w:val="001627B7"/>
    <w:rsid w:val="00172EDD"/>
    <w:rsid w:val="00175FC8"/>
    <w:rsid w:val="001A7017"/>
    <w:rsid w:val="001D67D4"/>
    <w:rsid w:val="001F3A09"/>
    <w:rsid w:val="001F647A"/>
    <w:rsid w:val="00213368"/>
    <w:rsid w:val="00237FE6"/>
    <w:rsid w:val="00275E95"/>
    <w:rsid w:val="00297018"/>
    <w:rsid w:val="002D67DC"/>
    <w:rsid w:val="002F0AF7"/>
    <w:rsid w:val="002F37D0"/>
    <w:rsid w:val="00305EEB"/>
    <w:rsid w:val="0032596F"/>
    <w:rsid w:val="00361E53"/>
    <w:rsid w:val="00366BDB"/>
    <w:rsid w:val="00367048"/>
    <w:rsid w:val="00385E8D"/>
    <w:rsid w:val="00387DE4"/>
    <w:rsid w:val="003B63AD"/>
    <w:rsid w:val="003D62E0"/>
    <w:rsid w:val="003F57E9"/>
    <w:rsid w:val="003F667D"/>
    <w:rsid w:val="004254B8"/>
    <w:rsid w:val="0045579B"/>
    <w:rsid w:val="0047231F"/>
    <w:rsid w:val="004A01B7"/>
    <w:rsid w:val="004A1729"/>
    <w:rsid w:val="004B2687"/>
    <w:rsid w:val="004D6589"/>
    <w:rsid w:val="004F5B18"/>
    <w:rsid w:val="00561430"/>
    <w:rsid w:val="00593899"/>
    <w:rsid w:val="005F69C2"/>
    <w:rsid w:val="00631524"/>
    <w:rsid w:val="00636ACA"/>
    <w:rsid w:val="006409A5"/>
    <w:rsid w:val="006524EB"/>
    <w:rsid w:val="0065348B"/>
    <w:rsid w:val="00657A78"/>
    <w:rsid w:val="00672D40"/>
    <w:rsid w:val="00694F2D"/>
    <w:rsid w:val="006A4A9D"/>
    <w:rsid w:val="006B5FBE"/>
    <w:rsid w:val="006B69AB"/>
    <w:rsid w:val="006B6AEC"/>
    <w:rsid w:val="006C0F0F"/>
    <w:rsid w:val="006D4091"/>
    <w:rsid w:val="00705BDB"/>
    <w:rsid w:val="00706369"/>
    <w:rsid w:val="00717E2B"/>
    <w:rsid w:val="0077650B"/>
    <w:rsid w:val="00781063"/>
    <w:rsid w:val="0079429D"/>
    <w:rsid w:val="007C2CDE"/>
    <w:rsid w:val="007D2C3A"/>
    <w:rsid w:val="00805BFC"/>
    <w:rsid w:val="00812C47"/>
    <w:rsid w:val="008312B7"/>
    <w:rsid w:val="00881DB9"/>
    <w:rsid w:val="00884BF2"/>
    <w:rsid w:val="00886DE7"/>
    <w:rsid w:val="008E1826"/>
    <w:rsid w:val="008F3A7C"/>
    <w:rsid w:val="00934DFB"/>
    <w:rsid w:val="00940156"/>
    <w:rsid w:val="00950DCE"/>
    <w:rsid w:val="009679A6"/>
    <w:rsid w:val="00972A03"/>
    <w:rsid w:val="00982F2D"/>
    <w:rsid w:val="00990F68"/>
    <w:rsid w:val="009915FD"/>
    <w:rsid w:val="009B0D1E"/>
    <w:rsid w:val="009B72AA"/>
    <w:rsid w:val="009D31B2"/>
    <w:rsid w:val="00A03203"/>
    <w:rsid w:val="00A0541B"/>
    <w:rsid w:val="00A065C1"/>
    <w:rsid w:val="00A2516B"/>
    <w:rsid w:val="00A36650"/>
    <w:rsid w:val="00A43516"/>
    <w:rsid w:val="00A6796D"/>
    <w:rsid w:val="00A72DBF"/>
    <w:rsid w:val="00A80F40"/>
    <w:rsid w:val="00A850A4"/>
    <w:rsid w:val="00A90D4D"/>
    <w:rsid w:val="00AB06D1"/>
    <w:rsid w:val="00AB6140"/>
    <w:rsid w:val="00AC25A8"/>
    <w:rsid w:val="00AC5770"/>
    <w:rsid w:val="00AF10F8"/>
    <w:rsid w:val="00B44BEB"/>
    <w:rsid w:val="00B61A58"/>
    <w:rsid w:val="00B67C42"/>
    <w:rsid w:val="00BA40B0"/>
    <w:rsid w:val="00BC77A3"/>
    <w:rsid w:val="00BD308B"/>
    <w:rsid w:val="00BD3199"/>
    <w:rsid w:val="00BE2D90"/>
    <w:rsid w:val="00BF07C8"/>
    <w:rsid w:val="00BF1669"/>
    <w:rsid w:val="00C21A0D"/>
    <w:rsid w:val="00C32E39"/>
    <w:rsid w:val="00C379C0"/>
    <w:rsid w:val="00C41BCE"/>
    <w:rsid w:val="00C477A2"/>
    <w:rsid w:val="00C603AA"/>
    <w:rsid w:val="00C76543"/>
    <w:rsid w:val="00C8082C"/>
    <w:rsid w:val="00C93878"/>
    <w:rsid w:val="00CA0657"/>
    <w:rsid w:val="00CB10C2"/>
    <w:rsid w:val="00CD4BC5"/>
    <w:rsid w:val="00CD7D40"/>
    <w:rsid w:val="00CE633E"/>
    <w:rsid w:val="00CF62A9"/>
    <w:rsid w:val="00CF72E1"/>
    <w:rsid w:val="00D04788"/>
    <w:rsid w:val="00D44AE7"/>
    <w:rsid w:val="00D54467"/>
    <w:rsid w:val="00D812B3"/>
    <w:rsid w:val="00DA5D3C"/>
    <w:rsid w:val="00E56C4A"/>
    <w:rsid w:val="00E63CC2"/>
    <w:rsid w:val="00EA5B7A"/>
    <w:rsid w:val="00EA709C"/>
    <w:rsid w:val="00EA7E28"/>
    <w:rsid w:val="00EB4E5D"/>
    <w:rsid w:val="00EB4FEF"/>
    <w:rsid w:val="00EC1EE0"/>
    <w:rsid w:val="00F032CA"/>
    <w:rsid w:val="00F3677F"/>
    <w:rsid w:val="00F40798"/>
    <w:rsid w:val="00F72F8A"/>
    <w:rsid w:val="00F90EF8"/>
    <w:rsid w:val="00FA28BD"/>
    <w:rsid w:val="00FA51CE"/>
    <w:rsid w:val="00FC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415F7E"/>
  <w15:chartTrackingRefBased/>
  <w15:docId w15:val="{D878E7E2-48B3-5E43-84D3-4A794751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1EE0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1E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1306</Characters>
  <Application>Microsoft Office Word</Application>
  <DocSecurity>0</DocSecurity>
  <Lines>10</Lines>
  <Paragraphs>3</Paragraphs>
  <ScaleCrop>false</ScaleCrop>
  <Company>Hasselt University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 Bekchanova</dc:creator>
  <cp:keywords/>
  <dc:description/>
  <cp:lastModifiedBy>Madina Bekchanova</cp:lastModifiedBy>
  <cp:revision>2</cp:revision>
  <dcterms:created xsi:type="dcterms:W3CDTF">2023-03-17T11:54:00Z</dcterms:created>
  <dcterms:modified xsi:type="dcterms:W3CDTF">2023-07-23T11:32:00Z</dcterms:modified>
</cp:coreProperties>
</file>