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0D620" w14:textId="13C0E76F" w:rsidR="0ECC982F" w:rsidRPr="007501AD" w:rsidRDefault="1CC18F05" w:rsidP="3BCB1F27">
      <w:pPr>
        <w:shd w:val="clear" w:color="auto" w:fill="F2F2F2" w:themeFill="background1" w:themeFillShade="F2"/>
        <w:jc w:val="both"/>
        <w:rPr>
          <w:rFonts w:ascii="Garamond" w:eastAsia="Garamond" w:hAnsi="Garamond" w:cs="Garamond"/>
          <w:color w:val="000000" w:themeColor="text1"/>
          <w:sz w:val="20"/>
          <w:szCs w:val="20"/>
          <w:lang w:val="en-GB"/>
        </w:rPr>
      </w:pPr>
      <w:bookmarkStart w:id="0" w:name="_GoBack"/>
      <w:r w:rsidRPr="3BCB1F27">
        <w:rPr>
          <w:rFonts w:ascii="Garamond" w:eastAsia="Garamond" w:hAnsi="Garamond" w:cs="Garamond"/>
          <w:color w:val="000000" w:themeColor="text1"/>
          <w:sz w:val="20"/>
          <w:szCs w:val="20"/>
          <w:lang w:val="en-US"/>
        </w:rPr>
        <w:t>README</w:t>
      </w:r>
    </w:p>
    <w:p w14:paraId="7305D0A1" w14:textId="65C7CBCC" w:rsidR="0ECC982F" w:rsidRDefault="1CC18F05" w:rsidP="3BCB1F27">
      <w:pPr>
        <w:shd w:val="clear" w:color="auto" w:fill="F2F2F2" w:themeFill="background1" w:themeFillShade="F2"/>
        <w:jc w:val="both"/>
        <w:rPr>
          <w:rFonts w:ascii="Garamond" w:eastAsia="Garamond" w:hAnsi="Garamond" w:cs="Garamond"/>
          <w:color w:val="000000" w:themeColor="text1"/>
          <w:sz w:val="20"/>
          <w:szCs w:val="20"/>
          <w:lang w:val="en-US"/>
        </w:rPr>
      </w:pPr>
      <w:r w:rsidRPr="3BCB1F27">
        <w:rPr>
          <w:rFonts w:ascii="Garamond" w:eastAsia="Garamond" w:hAnsi="Garamond" w:cs="Garamond"/>
          <w:color w:val="000000" w:themeColor="text1"/>
          <w:sz w:val="20"/>
          <w:szCs w:val="20"/>
          <w:u w:val="single"/>
          <w:lang w:val="en-US"/>
        </w:rPr>
        <w:t>Title:</w:t>
      </w:r>
      <w:r w:rsidRPr="3BCB1F27">
        <w:rPr>
          <w:rFonts w:ascii="Garamond" w:eastAsia="Garamond" w:hAnsi="Garamond" w:cs="Garamond"/>
          <w:color w:val="000000" w:themeColor="text1"/>
          <w:sz w:val="20"/>
          <w:szCs w:val="20"/>
          <w:lang w:val="en-US"/>
        </w:rPr>
        <w:t xml:space="preserve"> </w:t>
      </w:r>
      <w:r w:rsidR="00182A76">
        <w:rPr>
          <w:rFonts w:ascii="Garamond" w:eastAsia="Garamond" w:hAnsi="Garamond" w:cs="Garamond"/>
          <w:color w:val="000000" w:themeColor="text1"/>
          <w:sz w:val="20"/>
          <w:szCs w:val="20"/>
          <w:lang w:val="en-US"/>
        </w:rPr>
        <w:t>Supplementary figures</w:t>
      </w:r>
    </w:p>
    <w:p w14:paraId="1A624E1A" w14:textId="55DB2224" w:rsidR="0ECC982F" w:rsidRDefault="004922A8" w:rsidP="004922A8">
      <w:pPr>
        <w:shd w:val="clear" w:color="auto" w:fill="F2F2F2" w:themeFill="background1" w:themeFillShade="F2"/>
        <w:jc w:val="both"/>
        <w:rPr>
          <w:rFonts w:ascii="Calibri" w:eastAsia="Calibri" w:hAnsi="Calibri" w:cs="Calibri"/>
          <w:lang w:val="en-GB"/>
        </w:rPr>
      </w:pPr>
      <w:r w:rsidRPr="004922A8">
        <w:rPr>
          <w:rFonts w:ascii="Garamond" w:eastAsia="Garamond" w:hAnsi="Garamond" w:cs="Garamond"/>
          <w:color w:val="000000" w:themeColor="text1"/>
          <w:sz w:val="20"/>
          <w:szCs w:val="20"/>
          <w:u w:val="single"/>
          <w:lang w:val="en-GB"/>
        </w:rPr>
        <w:t>Description:</w:t>
      </w:r>
      <w:r>
        <w:rPr>
          <w:rFonts w:ascii="Garamond" w:eastAsia="Garamond" w:hAnsi="Garamond" w:cs="Garamond"/>
          <w:color w:val="000000" w:themeColor="text1"/>
          <w:sz w:val="20"/>
          <w:szCs w:val="20"/>
          <w:lang w:val="en-GB"/>
        </w:rPr>
        <w:t xml:space="preserve"> </w:t>
      </w:r>
      <w:r w:rsidRPr="00494781">
        <w:rPr>
          <w:rFonts w:ascii="Garamond" w:eastAsia="Calibri" w:hAnsi="Garamond" w:cs="Calibri"/>
          <w:sz w:val="20"/>
          <w:szCs w:val="20"/>
          <w:lang w:val="en-GB"/>
        </w:rPr>
        <w:t xml:space="preserve">This additional file contains figures that show 1) the results of the electivity analyses without data from high risk of bias-studies, and </w:t>
      </w:r>
      <w:r w:rsidRPr="00494781">
        <w:rPr>
          <w:rStyle w:val="normaltextrun"/>
          <w:rFonts w:ascii="Garamond" w:hAnsi="Garamond"/>
          <w:color w:val="000000"/>
          <w:sz w:val="20"/>
          <w:szCs w:val="20"/>
          <w:bdr w:val="none" w:sz="0" w:space="0" w:color="auto" w:frame="1"/>
          <w:lang w:val="en-GB"/>
        </w:rPr>
        <w:t>2) the results of the analyses of forage dry matter intake (DMI), with and without data from high risk of bias-studies</w:t>
      </w:r>
      <w:r>
        <w:rPr>
          <w:rFonts w:ascii="Calibri" w:eastAsia="Calibri" w:hAnsi="Calibri" w:cs="Calibri"/>
          <w:lang w:val="en-GB"/>
        </w:rPr>
        <w:t>.</w:t>
      </w:r>
    </w:p>
    <w:p w14:paraId="34156D97" w14:textId="77777777" w:rsidR="004922A8" w:rsidRPr="004922A8" w:rsidRDefault="004922A8" w:rsidP="004922A8">
      <w:pPr>
        <w:shd w:val="clear" w:color="auto" w:fill="F2F2F2" w:themeFill="background1" w:themeFillShade="F2"/>
        <w:jc w:val="both"/>
        <w:rPr>
          <w:rFonts w:ascii="Garamond" w:eastAsia="Garamond" w:hAnsi="Garamond" w:cs="Garamond"/>
          <w:color w:val="000000" w:themeColor="text1"/>
          <w:sz w:val="20"/>
          <w:szCs w:val="20"/>
          <w:lang w:val="en-GB"/>
        </w:rPr>
      </w:pPr>
    </w:p>
    <w:p w14:paraId="53C99AFA" w14:textId="29D34D80" w:rsidR="0ECC982F" w:rsidRDefault="0ECC982F" w:rsidP="30B7A1B7">
      <w:pPr>
        <w:rPr>
          <w:rStyle w:val="eop"/>
          <w:rFonts w:ascii="Garamond" w:hAnsi="Garamond"/>
          <w:color w:val="000000" w:themeColor="text1"/>
          <w:sz w:val="18"/>
          <w:szCs w:val="18"/>
          <w:lang w:val="en-GB"/>
        </w:rPr>
      </w:pPr>
      <w:r>
        <w:rPr>
          <w:noProof/>
          <w:lang w:val="en-IN" w:eastAsia="en-IN"/>
        </w:rPr>
        <w:drawing>
          <wp:inline distT="0" distB="0" distL="0" distR="0" wp14:anchorId="3EF2C33E" wp14:editId="7E5B3CB2">
            <wp:extent cx="5573488" cy="5573488"/>
            <wp:effectExtent l="0" t="0" r="8255" b="8255"/>
            <wp:docPr id="18030396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3488" cy="5573488"/>
                    </a:xfrm>
                    <a:prstGeom prst="rect">
                      <a:avLst/>
                    </a:prstGeom>
                  </pic:spPr>
                </pic:pic>
              </a:graphicData>
            </a:graphic>
          </wp:inline>
        </w:drawing>
      </w:r>
    </w:p>
    <w:p w14:paraId="201BEE04" w14:textId="4CDE021C" w:rsidR="30B7A1B7" w:rsidRDefault="30B7A1B7" w:rsidP="30B7A1B7">
      <w:pPr>
        <w:rPr>
          <w:rStyle w:val="normaltextrun"/>
          <w:rFonts w:ascii="Garamond" w:hAnsi="Garamond"/>
          <w:color w:val="000000" w:themeColor="text1"/>
          <w:sz w:val="18"/>
          <w:szCs w:val="18"/>
          <w:lang w:val="en-GB"/>
        </w:rPr>
      </w:pPr>
    </w:p>
    <w:p w14:paraId="7E1C8B00" w14:textId="77777777" w:rsidR="00B41F6A" w:rsidRPr="000051DE" w:rsidRDefault="00B41F6A" w:rsidP="30B7A1B7">
      <w:pPr>
        <w:rPr>
          <w:sz w:val="12"/>
          <w:szCs w:val="12"/>
          <w:lang w:val="en-GB"/>
        </w:rPr>
      </w:pPr>
      <w:r w:rsidRPr="30B7A1B7">
        <w:rPr>
          <w:rStyle w:val="normaltextrun"/>
          <w:rFonts w:ascii="Garamond" w:hAnsi="Garamond"/>
          <w:color w:val="000000"/>
          <w:sz w:val="18"/>
          <w:szCs w:val="18"/>
          <w:lang w:val="en-GB"/>
        </w:rPr>
        <w:t xml:space="preserve">Figure S1. Boxplot of electivity values for improved areas in (semi-)natural pastures for each animal/animal combination with the measured outcome (general, grazing, resting, </w:t>
      </w:r>
      <w:proofErr w:type="gramStart"/>
      <w:r w:rsidRPr="30B7A1B7">
        <w:rPr>
          <w:rStyle w:val="normaltextrun"/>
          <w:rFonts w:ascii="Garamond" w:hAnsi="Garamond"/>
          <w:color w:val="000000"/>
          <w:sz w:val="18"/>
          <w:szCs w:val="18"/>
          <w:lang w:val="en-GB"/>
        </w:rPr>
        <w:t>urination</w:t>
      </w:r>
      <w:proofErr w:type="gramEnd"/>
      <w:r w:rsidRPr="30B7A1B7">
        <w:rPr>
          <w:rStyle w:val="normaltextrun"/>
          <w:rFonts w:ascii="Garamond" w:hAnsi="Garamond"/>
          <w:color w:val="000000"/>
          <w:sz w:val="18"/>
          <w:szCs w:val="18"/>
          <w:lang w:val="en-GB"/>
        </w:rPr>
        <w:t>/</w:t>
      </w:r>
      <w:proofErr w:type="spellStart"/>
      <w:r w:rsidRPr="30B7A1B7">
        <w:rPr>
          <w:rStyle w:val="normaltextrun"/>
          <w:rFonts w:ascii="Garamond" w:hAnsi="Garamond"/>
          <w:color w:val="000000"/>
          <w:sz w:val="18"/>
          <w:szCs w:val="18"/>
          <w:lang w:val="en-GB"/>
        </w:rPr>
        <w:t>defaecation</w:t>
      </w:r>
      <w:proofErr w:type="spellEnd"/>
      <w:r w:rsidRPr="30B7A1B7">
        <w:rPr>
          <w:rStyle w:val="normaltextrun"/>
          <w:rFonts w:ascii="Garamond" w:hAnsi="Garamond"/>
          <w:color w:val="000000"/>
          <w:sz w:val="18"/>
          <w:szCs w:val="18"/>
          <w:lang w:val="en-GB"/>
        </w:rPr>
        <w:t xml:space="preserve">) for each year with data from the included studies </w:t>
      </w:r>
      <w:r w:rsidRPr="000051DE">
        <w:rPr>
          <w:rStyle w:val="normaltextrun"/>
          <w:rFonts w:ascii="Garamond" w:hAnsi="Garamond"/>
          <w:b/>
          <w:bCs/>
          <w:color w:val="000000"/>
          <w:sz w:val="18"/>
          <w:szCs w:val="18"/>
          <w:lang w:val="en-GB"/>
        </w:rPr>
        <w:t>except the ones with high risk of bias</w:t>
      </w:r>
      <w:r w:rsidRPr="30B7A1B7">
        <w:rPr>
          <w:rStyle w:val="normaltextrun"/>
          <w:rFonts w:ascii="Garamond" w:hAnsi="Garamond"/>
          <w:color w:val="000000"/>
          <w:sz w:val="18"/>
          <w:szCs w:val="18"/>
          <w:lang w:val="en-GB"/>
        </w:rPr>
        <w:t xml:space="preserve">. The total number of studies is shown in brackets. Animal combinations are shown as the target species (for which the data relates to) first, and the other species listed after (i.e. if </w:t>
      </w:r>
      <w:r w:rsidRPr="30B7A1B7">
        <w:rPr>
          <w:rStyle w:val="normaltextrun"/>
          <w:rFonts w:ascii="Garamond" w:hAnsi="Garamond"/>
          <w:i/>
          <w:iCs/>
          <w:color w:val="000000"/>
          <w:sz w:val="18"/>
          <w:szCs w:val="18"/>
          <w:lang w:val="en-GB"/>
        </w:rPr>
        <w:t>herd type</w:t>
      </w:r>
      <w:r w:rsidRPr="30B7A1B7">
        <w:rPr>
          <w:rStyle w:val="normaltextrun"/>
          <w:rFonts w:ascii="Garamond" w:hAnsi="Garamond"/>
          <w:color w:val="000000"/>
          <w:sz w:val="18"/>
          <w:szCs w:val="18"/>
          <w:lang w:val="en-GB"/>
        </w:rPr>
        <w:t xml:space="preserve"> = mixed). Electivity values &gt; 0 indicates a preference for the improved area, values &lt; 0 indicates an avoidance of the improved area (values may in theory range from –1 to +1).</w:t>
      </w:r>
      <w:r w:rsidRPr="000051DE">
        <w:rPr>
          <w:rStyle w:val="eop"/>
          <w:rFonts w:ascii="Garamond" w:hAnsi="Garamond"/>
          <w:color w:val="000000"/>
          <w:sz w:val="18"/>
          <w:szCs w:val="18"/>
          <w:lang w:val="en-GB"/>
        </w:rPr>
        <w:t> </w:t>
      </w:r>
    </w:p>
    <w:p w14:paraId="672A6659" w14:textId="77777777" w:rsidR="00384E9B" w:rsidRPr="00B41F6A" w:rsidRDefault="00384E9B">
      <w:pPr>
        <w:rPr>
          <w:lang w:val="en-GB"/>
        </w:rPr>
      </w:pPr>
    </w:p>
    <w:p w14:paraId="0A37501D" w14:textId="77777777" w:rsidR="00384E9B" w:rsidRPr="00B41F6A" w:rsidRDefault="00384E9B">
      <w:pPr>
        <w:rPr>
          <w:lang w:val="en-GB"/>
        </w:rPr>
      </w:pPr>
    </w:p>
    <w:p w14:paraId="5DAB6C7B" w14:textId="77777777" w:rsidR="00E20E6D" w:rsidRPr="00B41F6A" w:rsidRDefault="00E20E6D">
      <w:pPr>
        <w:rPr>
          <w:lang w:val="en-GB"/>
        </w:rPr>
      </w:pPr>
    </w:p>
    <w:p w14:paraId="02EB378F" w14:textId="77777777" w:rsidR="00E20E6D" w:rsidRPr="00B41F6A" w:rsidRDefault="00E20E6D">
      <w:pPr>
        <w:rPr>
          <w:lang w:val="en-GB"/>
        </w:rPr>
      </w:pPr>
    </w:p>
    <w:p w14:paraId="6A05A809" w14:textId="77777777" w:rsidR="00E20E6D" w:rsidRPr="00B41F6A" w:rsidRDefault="00E20E6D">
      <w:pPr>
        <w:rPr>
          <w:lang w:val="en-GB"/>
        </w:rPr>
      </w:pPr>
    </w:p>
    <w:p w14:paraId="5A39BBE3" w14:textId="77777777" w:rsidR="00E20E6D" w:rsidRPr="00B41F6A" w:rsidRDefault="00E20E6D">
      <w:pPr>
        <w:rPr>
          <w:lang w:val="en-GB"/>
        </w:rPr>
      </w:pPr>
    </w:p>
    <w:p w14:paraId="41C8F396" w14:textId="77777777" w:rsidR="00E20E6D" w:rsidRPr="00B41F6A" w:rsidRDefault="00E20E6D">
      <w:pPr>
        <w:rPr>
          <w:lang w:val="en-GB"/>
        </w:rPr>
      </w:pPr>
    </w:p>
    <w:p w14:paraId="72A3D3EC" w14:textId="77777777" w:rsidR="00E20E6D" w:rsidRPr="00B41F6A" w:rsidRDefault="00E20E6D">
      <w:pPr>
        <w:rPr>
          <w:lang w:val="en-GB"/>
        </w:rPr>
      </w:pPr>
    </w:p>
    <w:p w14:paraId="4BD5AC71" w14:textId="77777777" w:rsidR="00384E9B" w:rsidRPr="00B41F6A" w:rsidRDefault="00F171BE">
      <w:pPr>
        <w:rPr>
          <w:lang w:val="en-GB"/>
        </w:rPr>
      </w:pPr>
      <w:r>
        <w:rPr>
          <w:noProof/>
          <w:lang w:val="en-IN" w:eastAsia="en-IN"/>
        </w:rPr>
        <w:drawing>
          <wp:anchor distT="0" distB="0" distL="114300" distR="114300" simplePos="0" relativeHeight="251658242" behindDoc="0" locked="0" layoutInCell="1" allowOverlap="1" wp14:anchorId="21B3B856" wp14:editId="07777777">
            <wp:simplePos x="0" y="0"/>
            <wp:positionH relativeFrom="margin">
              <wp:align>left</wp:align>
            </wp:positionH>
            <wp:positionV relativeFrom="paragraph">
              <wp:posOffset>275499</wp:posOffset>
            </wp:positionV>
            <wp:extent cx="5486411" cy="2743206"/>
            <wp:effectExtent l="0" t="0" r="0" b="0"/>
            <wp:wrapTopAndBottom/>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rea-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11" cy="2743206"/>
                    </a:xfrm>
                    <a:prstGeom prst="rect">
                      <a:avLst/>
                    </a:prstGeom>
                  </pic:spPr>
                </pic:pic>
              </a:graphicData>
            </a:graphic>
          </wp:anchor>
        </w:drawing>
      </w:r>
    </w:p>
    <w:p w14:paraId="4EC73F41" w14:textId="77777777" w:rsidR="00B41F6A" w:rsidRPr="000051DE" w:rsidRDefault="00B41F6A" w:rsidP="00B41F6A">
      <w:pPr>
        <w:rPr>
          <w:sz w:val="6"/>
          <w:lang w:val="en-GB"/>
        </w:rPr>
      </w:pPr>
      <w:r w:rsidRPr="000051DE">
        <w:rPr>
          <w:rStyle w:val="normaltextrun"/>
          <w:rFonts w:ascii="Garamond" w:hAnsi="Garamond"/>
          <w:bCs/>
          <w:color w:val="000000"/>
          <w:sz w:val="18"/>
          <w:szCs w:val="23"/>
          <w:shd w:val="clear" w:color="auto" w:fill="FFFFFF"/>
          <w:lang w:val="en-GB"/>
        </w:rPr>
        <w:t xml:space="preserve">Figure S2. Grazing electivity values for improved areas in (semi-)natural pastures in relation to the </w:t>
      </w:r>
      <w:r w:rsidRPr="000051DE">
        <w:rPr>
          <w:rStyle w:val="normaltextrun"/>
          <w:rFonts w:ascii="Garamond" w:hAnsi="Garamond"/>
          <w:bCs/>
          <w:i/>
          <w:iCs/>
          <w:color w:val="000000"/>
          <w:sz w:val="18"/>
          <w:szCs w:val="23"/>
          <w:shd w:val="clear" w:color="auto" w:fill="FFFFFF"/>
          <w:lang w:val="en-GB"/>
        </w:rPr>
        <w:t xml:space="preserve">proportion of improved pasture </w:t>
      </w:r>
      <w:r w:rsidRPr="000051DE">
        <w:rPr>
          <w:rStyle w:val="normaltextrun"/>
          <w:rFonts w:ascii="Garamond" w:hAnsi="Garamond"/>
          <w:bCs/>
          <w:iCs/>
          <w:color w:val="000000"/>
          <w:sz w:val="18"/>
          <w:szCs w:val="23"/>
          <w:shd w:val="clear" w:color="auto" w:fill="FFFFFF"/>
          <w:lang w:val="en-GB"/>
        </w:rPr>
        <w:t>area</w:t>
      </w:r>
      <w:r w:rsidRPr="000051DE">
        <w:rPr>
          <w:rStyle w:val="normaltextrun"/>
          <w:rFonts w:ascii="Garamond" w:hAnsi="Garamond"/>
          <w:bCs/>
          <w:color w:val="000000"/>
          <w:sz w:val="18"/>
          <w:szCs w:val="23"/>
          <w:shd w:val="clear" w:color="auto" w:fill="FFFFFF"/>
          <w:lang w:val="en-GB"/>
        </w:rPr>
        <w:t xml:space="preserve"> within the pasture. Electivity values &gt; 0 indicates a preference for the improved area, values &lt; 0 indicates an avoidance of the improved area (values may in theory range from –1 to +1). The figure shows data from all studies included in the analysis except the ones with high risk of bias (all studies included data on the proportional area of improved pasture), across all </w:t>
      </w:r>
      <w:r w:rsidRPr="000051DE">
        <w:rPr>
          <w:rStyle w:val="normaltextrun"/>
          <w:rFonts w:ascii="Garamond" w:hAnsi="Garamond"/>
          <w:bCs/>
          <w:i/>
          <w:iCs/>
          <w:color w:val="000000"/>
          <w:sz w:val="18"/>
          <w:szCs w:val="23"/>
          <w:shd w:val="clear" w:color="auto" w:fill="FFFFFF"/>
          <w:lang w:val="en-GB"/>
        </w:rPr>
        <w:t>grazer species</w:t>
      </w:r>
      <w:r w:rsidRPr="000051DE">
        <w:rPr>
          <w:rStyle w:val="normaltextrun"/>
          <w:rFonts w:ascii="Garamond" w:hAnsi="Garamond"/>
          <w:bCs/>
          <w:color w:val="000000"/>
          <w:sz w:val="18"/>
          <w:szCs w:val="23"/>
          <w:shd w:val="clear" w:color="auto" w:fill="FFFFFF"/>
          <w:lang w:val="en-GB"/>
        </w:rPr>
        <w:t xml:space="preserve"> and </w:t>
      </w:r>
      <w:r w:rsidRPr="000051DE">
        <w:rPr>
          <w:rStyle w:val="normaltextrun"/>
          <w:rFonts w:ascii="Garamond" w:hAnsi="Garamond"/>
          <w:bCs/>
          <w:i/>
          <w:iCs/>
          <w:color w:val="000000"/>
          <w:sz w:val="18"/>
          <w:szCs w:val="23"/>
          <w:shd w:val="clear" w:color="auto" w:fill="FFFFFF"/>
          <w:lang w:val="en-GB"/>
        </w:rPr>
        <w:t>herd types</w:t>
      </w:r>
      <w:r w:rsidRPr="000051DE">
        <w:rPr>
          <w:rStyle w:val="normaltextrun"/>
          <w:rFonts w:ascii="Garamond" w:hAnsi="Garamond"/>
          <w:bCs/>
          <w:color w:val="000000"/>
          <w:sz w:val="18"/>
          <w:szCs w:val="23"/>
          <w:shd w:val="clear" w:color="auto" w:fill="FFFFFF"/>
          <w:lang w:val="en-GB"/>
        </w:rPr>
        <w:t>. </w:t>
      </w:r>
      <w:r w:rsidRPr="000051DE">
        <w:rPr>
          <w:rStyle w:val="eop"/>
          <w:rFonts w:ascii="Garamond" w:hAnsi="Garamond"/>
          <w:color w:val="000000"/>
          <w:sz w:val="18"/>
          <w:szCs w:val="23"/>
          <w:shd w:val="clear" w:color="auto" w:fill="FFFFFF"/>
          <w:lang w:val="en-GB"/>
        </w:rPr>
        <w:t> </w:t>
      </w:r>
    </w:p>
    <w:p w14:paraId="0D0B940D" w14:textId="77777777" w:rsidR="00384E9B" w:rsidRPr="00B41F6A" w:rsidRDefault="00384E9B">
      <w:pPr>
        <w:rPr>
          <w:lang w:val="en-GB"/>
        </w:rPr>
      </w:pPr>
    </w:p>
    <w:p w14:paraId="0E27B00A" w14:textId="77777777" w:rsidR="00384E9B" w:rsidRPr="00B41F6A" w:rsidRDefault="00384E9B">
      <w:pPr>
        <w:rPr>
          <w:lang w:val="en-GB"/>
        </w:rPr>
      </w:pPr>
    </w:p>
    <w:p w14:paraId="60061E4C" w14:textId="77777777" w:rsidR="00384E9B" w:rsidRPr="00B41F6A" w:rsidRDefault="00384E9B">
      <w:pPr>
        <w:rPr>
          <w:lang w:val="en-GB"/>
        </w:rPr>
      </w:pPr>
    </w:p>
    <w:p w14:paraId="44EAFD9C" w14:textId="77777777" w:rsidR="00384E9B" w:rsidRPr="00B41F6A" w:rsidRDefault="00384E9B">
      <w:pPr>
        <w:rPr>
          <w:lang w:val="en-GB"/>
        </w:rPr>
      </w:pPr>
    </w:p>
    <w:p w14:paraId="4B94D5A5" w14:textId="77777777" w:rsidR="00F171BE" w:rsidRPr="00B41F6A" w:rsidRDefault="00F171BE">
      <w:pPr>
        <w:rPr>
          <w:lang w:val="en-GB"/>
        </w:rPr>
      </w:pPr>
    </w:p>
    <w:p w14:paraId="3DEEC669" w14:textId="77777777" w:rsidR="00F171BE" w:rsidRPr="00B41F6A" w:rsidRDefault="00F171BE">
      <w:pPr>
        <w:rPr>
          <w:lang w:val="en-GB"/>
        </w:rPr>
      </w:pPr>
    </w:p>
    <w:p w14:paraId="3656B9AB" w14:textId="77777777" w:rsidR="00F171BE" w:rsidRPr="00B41F6A" w:rsidRDefault="00F171BE">
      <w:pPr>
        <w:rPr>
          <w:lang w:val="en-GB"/>
        </w:rPr>
      </w:pPr>
    </w:p>
    <w:p w14:paraId="45FB0818" w14:textId="77777777" w:rsidR="00384E9B" w:rsidRPr="00B41F6A" w:rsidRDefault="00384E9B">
      <w:pPr>
        <w:rPr>
          <w:lang w:val="en-GB"/>
        </w:rPr>
      </w:pPr>
    </w:p>
    <w:p w14:paraId="049F31CB" w14:textId="77777777" w:rsidR="00384E9B" w:rsidRPr="00B41F6A" w:rsidRDefault="00384E9B">
      <w:pPr>
        <w:rPr>
          <w:lang w:val="en-GB"/>
        </w:rPr>
      </w:pPr>
    </w:p>
    <w:p w14:paraId="53128261" w14:textId="77777777" w:rsidR="00384E9B" w:rsidRPr="00B41F6A" w:rsidRDefault="00384E9B">
      <w:pPr>
        <w:rPr>
          <w:lang w:val="en-GB"/>
        </w:rPr>
      </w:pPr>
    </w:p>
    <w:p w14:paraId="62486C05" w14:textId="77777777" w:rsidR="00384E9B" w:rsidRPr="00B41F6A" w:rsidRDefault="00384E9B">
      <w:pPr>
        <w:rPr>
          <w:lang w:val="en-GB"/>
        </w:rPr>
      </w:pPr>
    </w:p>
    <w:p w14:paraId="4101652C" w14:textId="77777777" w:rsidR="00384E9B" w:rsidRPr="00B41F6A" w:rsidRDefault="00384E9B">
      <w:pPr>
        <w:rPr>
          <w:lang w:val="en-GB"/>
        </w:rPr>
      </w:pPr>
    </w:p>
    <w:p w14:paraId="4B99056E" w14:textId="77777777" w:rsidR="00384E9B" w:rsidRPr="00B41F6A" w:rsidRDefault="00384E9B">
      <w:pPr>
        <w:rPr>
          <w:lang w:val="en-GB"/>
        </w:rPr>
      </w:pPr>
    </w:p>
    <w:p w14:paraId="1299C43A" w14:textId="77777777" w:rsidR="00384E9B" w:rsidRPr="00B41F6A" w:rsidRDefault="00384E9B">
      <w:pPr>
        <w:rPr>
          <w:lang w:val="en-GB"/>
        </w:rPr>
      </w:pPr>
    </w:p>
    <w:p w14:paraId="4DDBEF00" w14:textId="77777777" w:rsidR="00384E9B" w:rsidRPr="00B41F6A" w:rsidRDefault="00384E9B">
      <w:pPr>
        <w:rPr>
          <w:lang w:val="en-GB"/>
        </w:rPr>
      </w:pPr>
    </w:p>
    <w:p w14:paraId="3461D779" w14:textId="77777777" w:rsidR="00384E9B" w:rsidRPr="00B41F6A" w:rsidRDefault="00384E9B">
      <w:pPr>
        <w:rPr>
          <w:lang w:val="en-GB"/>
        </w:rPr>
      </w:pPr>
    </w:p>
    <w:p w14:paraId="3CF2D8B6" w14:textId="77777777" w:rsidR="002E6AC3" w:rsidRPr="00B41F6A" w:rsidRDefault="002E6AC3">
      <w:pPr>
        <w:rPr>
          <w:lang w:val="en-GB"/>
        </w:rPr>
      </w:pPr>
    </w:p>
    <w:p w14:paraId="0FB78278" w14:textId="77777777" w:rsidR="00384E9B" w:rsidRPr="00B41F6A" w:rsidRDefault="00384E9B">
      <w:pPr>
        <w:rPr>
          <w:lang w:val="en-GB"/>
        </w:rPr>
      </w:pPr>
    </w:p>
    <w:p w14:paraId="0DBAE375" w14:textId="77777777" w:rsidR="00384E9B" w:rsidRPr="00B41F6A" w:rsidRDefault="00D7308D">
      <w:pPr>
        <w:rPr>
          <w:lang w:val="en-GB"/>
        </w:rPr>
      </w:pPr>
      <w:r>
        <w:rPr>
          <w:noProof/>
          <w:lang w:val="en-IN" w:eastAsia="en-IN"/>
        </w:rPr>
        <w:drawing>
          <wp:anchor distT="0" distB="0" distL="114300" distR="114300" simplePos="0" relativeHeight="251658241" behindDoc="0" locked="0" layoutInCell="1" allowOverlap="1" wp14:anchorId="6ED6841F" wp14:editId="07777777">
            <wp:simplePos x="0" y="0"/>
            <wp:positionH relativeFrom="margin">
              <wp:posOffset>-10795</wp:posOffset>
            </wp:positionH>
            <wp:positionV relativeFrom="paragraph">
              <wp:posOffset>1905</wp:posOffset>
            </wp:positionV>
            <wp:extent cx="2527300" cy="3790950"/>
            <wp:effectExtent l="0" t="0" r="635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mi.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7300" cy="3790950"/>
                    </a:xfrm>
                    <a:prstGeom prst="rect">
                      <a:avLst/>
                    </a:prstGeom>
                  </pic:spPr>
                </pic:pic>
              </a:graphicData>
            </a:graphic>
            <wp14:sizeRelH relativeFrom="margin">
              <wp14:pctWidth>0</wp14:pctWidth>
            </wp14:sizeRelH>
            <wp14:sizeRelV relativeFrom="margin">
              <wp14:pctHeight>0</wp14:pctHeight>
            </wp14:sizeRelV>
          </wp:anchor>
        </w:drawing>
      </w:r>
      <w:r>
        <w:rPr>
          <w:noProof/>
          <w:lang w:val="en-IN" w:eastAsia="en-IN"/>
        </w:rPr>
        <w:drawing>
          <wp:anchor distT="0" distB="0" distL="114300" distR="114300" simplePos="0" relativeHeight="251658240" behindDoc="0" locked="0" layoutInCell="1" allowOverlap="1" wp14:anchorId="52E91EB8" wp14:editId="07777777">
            <wp:simplePos x="0" y="0"/>
            <wp:positionH relativeFrom="margin">
              <wp:posOffset>3113404</wp:posOffset>
            </wp:positionH>
            <wp:positionV relativeFrom="paragraph">
              <wp:posOffset>1905</wp:posOffset>
            </wp:positionV>
            <wp:extent cx="2509041" cy="3763562"/>
            <wp:effectExtent l="0" t="0" r="5715" b="889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mi-SEN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1767" cy="3767652"/>
                    </a:xfrm>
                    <a:prstGeom prst="rect">
                      <a:avLst/>
                    </a:prstGeom>
                  </pic:spPr>
                </pic:pic>
              </a:graphicData>
            </a:graphic>
            <wp14:sizeRelH relativeFrom="margin">
              <wp14:pctWidth>0</wp14:pctWidth>
            </wp14:sizeRelH>
            <wp14:sizeRelV relativeFrom="margin">
              <wp14:pctHeight>0</wp14:pctHeight>
            </wp14:sizeRelV>
          </wp:anchor>
        </w:drawing>
      </w:r>
    </w:p>
    <w:p w14:paraId="1FC39945" w14:textId="77777777" w:rsidR="00B41F6A" w:rsidRDefault="00B41F6A" w:rsidP="00B41F6A">
      <w:pPr>
        <w:rPr>
          <w:rStyle w:val="normaltextrun"/>
          <w:rFonts w:ascii="Garamond" w:hAnsi="Garamond"/>
          <w:bCs/>
          <w:color w:val="000000"/>
          <w:sz w:val="20"/>
          <w:szCs w:val="23"/>
          <w:lang w:val="en-GB"/>
        </w:rPr>
        <w:sectPr w:rsidR="00B41F6A" w:rsidSect="004663C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pPr>
    </w:p>
    <w:p w14:paraId="6E68F82A" w14:textId="77777777" w:rsidR="00B41F6A" w:rsidRDefault="00B41F6A" w:rsidP="00B41F6A">
      <w:pPr>
        <w:rPr>
          <w:rStyle w:val="normaltextrun"/>
          <w:rFonts w:ascii="Garamond" w:hAnsi="Garamond"/>
          <w:bCs/>
          <w:color w:val="000000"/>
          <w:sz w:val="20"/>
          <w:szCs w:val="23"/>
          <w:shd w:val="clear" w:color="auto" w:fill="FFFFFF"/>
          <w:lang w:val="en-GB"/>
        </w:rPr>
      </w:pPr>
      <w:r w:rsidRPr="000051DE">
        <w:rPr>
          <w:rStyle w:val="normaltextrun"/>
          <w:rFonts w:ascii="Garamond" w:hAnsi="Garamond"/>
          <w:bCs/>
          <w:color w:val="000000"/>
          <w:sz w:val="20"/>
          <w:szCs w:val="23"/>
          <w:lang w:val="en-GB"/>
        </w:rPr>
        <w:lastRenderedPageBreak/>
        <w:t>Figure S3a</w:t>
      </w:r>
      <w:r w:rsidRPr="000051DE">
        <w:rPr>
          <w:rStyle w:val="normaltextrun"/>
          <w:rFonts w:ascii="Garamond" w:hAnsi="Garamond"/>
          <w:bCs/>
          <w:color w:val="000000"/>
          <w:sz w:val="20"/>
          <w:szCs w:val="23"/>
          <w:shd w:val="clear" w:color="auto" w:fill="FFFFFF"/>
          <w:lang w:val="en-GB"/>
        </w:rPr>
        <w:t>. Boxplot of the log-ratio between forage dry matter intake (DMI) of grazing animals with and without, respectively, supplementary feeding. Log-ratios &gt; 0 indicates a higher intake for animals with supplements, log-ratios &lt; 0 indicates a lower intake for animals with supplements, compared with animals without supplements.</w:t>
      </w:r>
    </w:p>
    <w:p w14:paraId="0562CB0E" w14:textId="77777777" w:rsidR="00B41F6A" w:rsidRDefault="00B41F6A" w:rsidP="00B41F6A">
      <w:pPr>
        <w:rPr>
          <w:sz w:val="18"/>
          <w:lang w:val="en-GB"/>
        </w:rPr>
      </w:pPr>
    </w:p>
    <w:p w14:paraId="0090D334" w14:textId="77777777" w:rsidR="00B41F6A" w:rsidRPr="000051DE" w:rsidRDefault="00B41F6A" w:rsidP="00B41F6A">
      <w:pPr>
        <w:rPr>
          <w:sz w:val="18"/>
          <w:lang w:val="en-GB"/>
        </w:rPr>
      </w:pPr>
      <w:r w:rsidRPr="000051DE">
        <w:rPr>
          <w:rStyle w:val="normaltextrun"/>
          <w:rFonts w:ascii="Garamond" w:hAnsi="Garamond"/>
          <w:bCs/>
          <w:color w:val="000000"/>
          <w:sz w:val="20"/>
          <w:szCs w:val="23"/>
          <w:lang w:val="en-GB"/>
        </w:rPr>
        <w:lastRenderedPageBreak/>
        <w:t>Figure S3b</w:t>
      </w:r>
      <w:r w:rsidRPr="000051DE">
        <w:rPr>
          <w:rStyle w:val="normaltextrun"/>
          <w:rFonts w:ascii="Garamond" w:hAnsi="Garamond"/>
          <w:bCs/>
          <w:color w:val="000000"/>
          <w:sz w:val="20"/>
          <w:szCs w:val="23"/>
          <w:shd w:val="clear" w:color="auto" w:fill="FFFFFF"/>
          <w:lang w:val="en-GB"/>
        </w:rPr>
        <w:t xml:space="preserve">. Boxplot of the log-ratio between forage dry matter intake (DMI) of grazing animals with and without, respectively, supplementary feeding. Log-ratios &gt; 0 indicates a higher intake for animals with supplements, log-ratios &lt; 0 indicates a lower intake for animals with supplements, compared with animals without supplements. The figure </w:t>
      </w:r>
      <w:r w:rsidRPr="000051DE">
        <w:rPr>
          <w:rStyle w:val="normaltextrun"/>
          <w:rFonts w:ascii="Garamond" w:hAnsi="Garamond"/>
          <w:b/>
          <w:bCs/>
          <w:color w:val="000000"/>
          <w:sz w:val="20"/>
          <w:szCs w:val="23"/>
          <w:shd w:val="clear" w:color="auto" w:fill="FFFFFF"/>
          <w:lang w:val="en-GB"/>
        </w:rPr>
        <w:t>excludes data from studies with high risk of bias</w:t>
      </w:r>
      <w:r w:rsidRPr="000051DE">
        <w:rPr>
          <w:rStyle w:val="normaltextrun"/>
          <w:rFonts w:ascii="Garamond" w:hAnsi="Garamond"/>
          <w:bCs/>
          <w:color w:val="000000"/>
          <w:sz w:val="20"/>
          <w:szCs w:val="23"/>
          <w:shd w:val="clear" w:color="auto" w:fill="FFFFFF"/>
          <w:lang w:val="en-GB"/>
        </w:rPr>
        <w:t>.</w:t>
      </w:r>
    </w:p>
    <w:p w14:paraId="34CE0A41" w14:textId="77777777" w:rsidR="00B41F6A" w:rsidRDefault="00B41F6A" w:rsidP="00B41F6A">
      <w:pPr>
        <w:rPr>
          <w:sz w:val="18"/>
          <w:lang w:val="en-GB"/>
        </w:rPr>
        <w:sectPr w:rsidR="00B41F6A" w:rsidSect="004663C6">
          <w:type w:val="continuous"/>
          <w:pgSz w:w="11906" w:h="16838"/>
          <w:pgMar w:top="1417" w:right="1417" w:bottom="1417" w:left="1417" w:header="708" w:footer="708" w:gutter="0"/>
          <w:cols w:num="2" w:space="708"/>
          <w:docGrid w:linePitch="360"/>
        </w:sectPr>
      </w:pPr>
    </w:p>
    <w:p w14:paraId="62EBF3C5" w14:textId="77777777" w:rsidR="00B41F6A" w:rsidRPr="000051DE" w:rsidRDefault="00B41F6A" w:rsidP="00B41F6A">
      <w:pPr>
        <w:rPr>
          <w:sz w:val="18"/>
          <w:lang w:val="en-GB"/>
        </w:rPr>
      </w:pPr>
    </w:p>
    <w:p w14:paraId="6D98A12B" w14:textId="77777777" w:rsidR="00384E9B" w:rsidRPr="00B41F6A" w:rsidRDefault="00384E9B">
      <w:pPr>
        <w:rPr>
          <w:lang w:val="en-GB"/>
        </w:rPr>
      </w:pPr>
    </w:p>
    <w:p w14:paraId="2946DB82" w14:textId="77777777" w:rsidR="00384E9B" w:rsidRPr="00B41F6A" w:rsidRDefault="00384E9B">
      <w:pPr>
        <w:rPr>
          <w:lang w:val="en-GB"/>
        </w:rPr>
      </w:pPr>
    </w:p>
    <w:p w14:paraId="5997CC1D" w14:textId="77777777" w:rsidR="00384E9B" w:rsidRPr="00B41F6A" w:rsidRDefault="00384E9B">
      <w:pPr>
        <w:rPr>
          <w:lang w:val="en-GB"/>
        </w:rPr>
      </w:pPr>
    </w:p>
    <w:p w14:paraId="110FFD37" w14:textId="77777777" w:rsidR="00384E9B" w:rsidRPr="00B41F6A" w:rsidRDefault="00384E9B">
      <w:pPr>
        <w:rPr>
          <w:lang w:val="en-GB"/>
        </w:rPr>
      </w:pPr>
    </w:p>
    <w:p w14:paraId="6B699379" w14:textId="77777777" w:rsidR="00384E9B" w:rsidRPr="00B41F6A" w:rsidRDefault="00384E9B">
      <w:pPr>
        <w:rPr>
          <w:lang w:val="en-GB"/>
        </w:rPr>
      </w:pPr>
    </w:p>
    <w:p w14:paraId="3FE9F23F" w14:textId="77777777" w:rsidR="00384E9B" w:rsidRPr="00B41F6A" w:rsidRDefault="00384E9B">
      <w:pPr>
        <w:rPr>
          <w:lang w:val="en-GB"/>
        </w:rPr>
      </w:pPr>
    </w:p>
    <w:p w14:paraId="1F72F646" w14:textId="77777777" w:rsidR="00384E9B" w:rsidRPr="00B41F6A" w:rsidRDefault="00384E9B">
      <w:pPr>
        <w:rPr>
          <w:lang w:val="en-GB"/>
        </w:rPr>
      </w:pPr>
    </w:p>
    <w:p w14:paraId="08CE6F91" w14:textId="77777777" w:rsidR="00384E9B" w:rsidRPr="00B41F6A" w:rsidRDefault="00384E9B">
      <w:pPr>
        <w:rPr>
          <w:lang w:val="en-GB"/>
        </w:rPr>
      </w:pPr>
    </w:p>
    <w:bookmarkEnd w:id="0"/>
    <w:p w14:paraId="61CDCEAD" w14:textId="77777777" w:rsidR="00384E9B" w:rsidRPr="00B41F6A" w:rsidRDefault="00384E9B">
      <w:pPr>
        <w:rPr>
          <w:lang w:val="en-GB"/>
        </w:rPr>
      </w:pPr>
    </w:p>
    <w:sectPr w:rsidR="00384E9B" w:rsidRPr="00B41F6A" w:rsidSect="004663C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CBB38" w14:textId="77777777" w:rsidR="0094559A" w:rsidRDefault="0094559A" w:rsidP="0094559A">
      <w:pPr>
        <w:spacing w:after="0" w:line="240" w:lineRule="auto"/>
      </w:pPr>
      <w:r>
        <w:separator/>
      </w:r>
    </w:p>
  </w:endnote>
  <w:endnote w:type="continuationSeparator" w:id="0">
    <w:p w14:paraId="7AA47B2D" w14:textId="77777777" w:rsidR="0094559A" w:rsidRDefault="0094559A" w:rsidP="0094559A">
      <w:pPr>
        <w:spacing w:after="0" w:line="240" w:lineRule="auto"/>
      </w:pPr>
      <w:r>
        <w:continuationSeparator/>
      </w:r>
    </w:p>
  </w:endnote>
  <w:endnote w:type="continuationNotice" w:id="1">
    <w:p w14:paraId="5B95AD13" w14:textId="77777777" w:rsidR="00E41444" w:rsidRDefault="00E414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29830" w14:textId="77777777" w:rsidR="0064396F" w:rsidRDefault="006439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0078C" w14:textId="77777777" w:rsidR="0064396F" w:rsidRDefault="006439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9BA38" w14:textId="77777777" w:rsidR="0064396F" w:rsidRDefault="006439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88873" w14:textId="77777777" w:rsidR="0094559A" w:rsidRDefault="0094559A" w:rsidP="0094559A">
      <w:pPr>
        <w:spacing w:after="0" w:line="240" w:lineRule="auto"/>
      </w:pPr>
      <w:r>
        <w:separator/>
      </w:r>
    </w:p>
  </w:footnote>
  <w:footnote w:type="continuationSeparator" w:id="0">
    <w:p w14:paraId="19C32CB6" w14:textId="77777777" w:rsidR="0094559A" w:rsidRDefault="0094559A" w:rsidP="0094559A">
      <w:pPr>
        <w:spacing w:after="0" w:line="240" w:lineRule="auto"/>
      </w:pPr>
      <w:r>
        <w:continuationSeparator/>
      </w:r>
    </w:p>
  </w:footnote>
  <w:footnote w:type="continuationNotice" w:id="1">
    <w:p w14:paraId="103878C9" w14:textId="77777777" w:rsidR="00E41444" w:rsidRDefault="00E4144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EBEF4" w14:textId="77777777" w:rsidR="0064396F" w:rsidRDefault="006439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6D2F0" w14:textId="7F1E3156" w:rsidR="0094559A" w:rsidRPr="00BD1614" w:rsidRDefault="0094559A">
    <w:pPr>
      <w:pStyle w:val="Header"/>
      <w:rPr>
        <w:rFonts w:cstheme="minorHAnsi"/>
        <w:sz w:val="16"/>
        <w:szCs w:val="16"/>
        <w:lang w:val="en-GB"/>
      </w:rPr>
    </w:pPr>
    <w:r w:rsidRPr="00BD1614">
      <w:rPr>
        <w:rFonts w:cstheme="minorHAnsi"/>
        <w:sz w:val="16"/>
        <w:szCs w:val="16"/>
        <w:lang w:val="en-GB"/>
      </w:rPr>
      <w:t>Effects o</w:t>
    </w:r>
    <w:r w:rsidR="0064396F">
      <w:rPr>
        <w:rFonts w:cstheme="minorHAnsi"/>
        <w:sz w:val="16"/>
        <w:szCs w:val="16"/>
        <w:lang w:val="en-GB"/>
      </w:rPr>
      <w:t>n</w:t>
    </w:r>
    <w:r w:rsidRPr="00BD1614">
      <w:rPr>
        <w:rFonts w:cstheme="minorHAnsi"/>
        <w:sz w:val="16"/>
        <w:szCs w:val="16"/>
        <w:lang w:val="en-GB"/>
      </w:rPr>
      <w:t xml:space="preserve"> biodiversity in semi-natural </w:t>
    </w:r>
    <w:r w:rsidR="00182A76">
      <w:rPr>
        <w:rFonts w:cstheme="minorHAnsi"/>
        <w:sz w:val="16"/>
        <w:szCs w:val="16"/>
        <w:lang w:val="en-GB"/>
      </w:rPr>
      <w:t>pastures</w:t>
    </w:r>
    <w:r w:rsidRPr="00BD1614">
      <w:rPr>
        <w:rFonts w:cstheme="minorHAnsi"/>
        <w:sz w:val="16"/>
        <w:szCs w:val="16"/>
        <w:lang w:val="en-GB"/>
      </w:rPr>
      <w:t xml:space="preserve"> of giving </w:t>
    </w:r>
    <w:r w:rsidR="002B5217">
      <w:rPr>
        <w:rFonts w:cstheme="minorHAnsi"/>
        <w:sz w:val="16"/>
        <w:szCs w:val="16"/>
        <w:lang w:val="en-GB"/>
      </w:rPr>
      <w:t xml:space="preserve">the </w:t>
    </w:r>
    <w:r w:rsidRPr="00BD1614">
      <w:rPr>
        <w:rFonts w:cstheme="minorHAnsi"/>
        <w:sz w:val="16"/>
        <w:szCs w:val="16"/>
        <w:lang w:val="en-GB"/>
      </w:rPr>
      <w:t>grazing animals access to additional nutrient sources</w:t>
    </w:r>
    <w:r w:rsidR="00CA632F">
      <w:rPr>
        <w:rFonts w:cstheme="minorHAnsi"/>
        <w:sz w:val="16"/>
        <w:szCs w:val="16"/>
        <w:lang w:val="en-GB"/>
      </w:rPr>
      <w:t>: a systematic review</w:t>
    </w:r>
  </w:p>
  <w:p w14:paraId="1D94FDCC" w14:textId="77777777" w:rsidR="0094559A" w:rsidRPr="0094559A" w:rsidRDefault="0094559A">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FEBC4" w14:textId="77777777" w:rsidR="0064396F" w:rsidRDefault="00643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9D"/>
    <w:rsid w:val="000051DE"/>
    <w:rsid w:val="00182A76"/>
    <w:rsid w:val="002B5217"/>
    <w:rsid w:val="002D5349"/>
    <w:rsid w:val="002E6AC3"/>
    <w:rsid w:val="00360E9E"/>
    <w:rsid w:val="003651B4"/>
    <w:rsid w:val="00384E9B"/>
    <w:rsid w:val="003B72CB"/>
    <w:rsid w:val="004663C6"/>
    <w:rsid w:val="004922A8"/>
    <w:rsid w:val="00494781"/>
    <w:rsid w:val="0064396F"/>
    <w:rsid w:val="007501AD"/>
    <w:rsid w:val="007658FB"/>
    <w:rsid w:val="00805A6C"/>
    <w:rsid w:val="0094559A"/>
    <w:rsid w:val="00B41F6A"/>
    <w:rsid w:val="00BD1614"/>
    <w:rsid w:val="00BD259C"/>
    <w:rsid w:val="00BE33B4"/>
    <w:rsid w:val="00C90335"/>
    <w:rsid w:val="00CA632F"/>
    <w:rsid w:val="00CB5319"/>
    <w:rsid w:val="00D7139D"/>
    <w:rsid w:val="00D7308D"/>
    <w:rsid w:val="00E20E6D"/>
    <w:rsid w:val="00E35179"/>
    <w:rsid w:val="00E41444"/>
    <w:rsid w:val="00E97F03"/>
    <w:rsid w:val="00EC29EE"/>
    <w:rsid w:val="00ED4154"/>
    <w:rsid w:val="00F171BE"/>
    <w:rsid w:val="0ECC982F"/>
    <w:rsid w:val="1CC18F05"/>
    <w:rsid w:val="30B7A1B7"/>
    <w:rsid w:val="3BCB1F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4B73"/>
  <w15:chartTrackingRefBased/>
  <w15:docId w15:val="{427A02BB-C232-4141-A17E-FCF1B11D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84E9B"/>
  </w:style>
  <w:style w:type="character" w:customStyle="1" w:styleId="eop">
    <w:name w:val="eop"/>
    <w:basedOn w:val="DefaultParagraphFont"/>
    <w:rsid w:val="00384E9B"/>
  </w:style>
  <w:style w:type="paragraph" w:styleId="Header">
    <w:name w:val="header"/>
    <w:basedOn w:val="Normal"/>
    <w:link w:val="HeaderChar"/>
    <w:uiPriority w:val="99"/>
    <w:unhideWhenUsed/>
    <w:rsid w:val="009455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59A"/>
  </w:style>
  <w:style w:type="paragraph" w:styleId="Footer">
    <w:name w:val="footer"/>
    <w:basedOn w:val="Normal"/>
    <w:link w:val="FooterChar"/>
    <w:uiPriority w:val="99"/>
    <w:unhideWhenUsed/>
    <w:rsid w:val="009455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59A"/>
  </w:style>
  <w:style w:type="paragraph" w:customStyle="1" w:styleId="paragraph">
    <w:name w:val="paragraph"/>
    <w:basedOn w:val="Normal"/>
    <w:rsid w:val="00182A76"/>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398204">
      <w:bodyDiv w:val="1"/>
      <w:marLeft w:val="0"/>
      <w:marRight w:val="0"/>
      <w:marTop w:val="0"/>
      <w:marBottom w:val="0"/>
      <w:divBdr>
        <w:top w:val="none" w:sz="0" w:space="0" w:color="auto"/>
        <w:left w:val="none" w:sz="0" w:space="0" w:color="auto"/>
        <w:bottom w:val="none" w:sz="0" w:space="0" w:color="auto"/>
        <w:right w:val="none" w:sz="0" w:space="0" w:color="auto"/>
      </w:divBdr>
      <w:divsChild>
        <w:div w:id="1582762645">
          <w:marLeft w:val="0"/>
          <w:marRight w:val="0"/>
          <w:marTop w:val="0"/>
          <w:marBottom w:val="0"/>
          <w:divBdr>
            <w:top w:val="none" w:sz="0" w:space="0" w:color="auto"/>
            <w:left w:val="none" w:sz="0" w:space="0" w:color="auto"/>
            <w:bottom w:val="none" w:sz="0" w:space="0" w:color="auto"/>
            <w:right w:val="none" w:sz="0" w:space="0" w:color="auto"/>
          </w:divBdr>
        </w:div>
        <w:div w:id="1589774193">
          <w:marLeft w:val="0"/>
          <w:marRight w:val="0"/>
          <w:marTop w:val="0"/>
          <w:marBottom w:val="0"/>
          <w:divBdr>
            <w:top w:val="none" w:sz="0" w:space="0" w:color="auto"/>
            <w:left w:val="none" w:sz="0" w:space="0" w:color="auto"/>
            <w:bottom w:val="none" w:sz="0" w:space="0" w:color="auto"/>
            <w:right w:val="none" w:sz="0" w:space="0" w:color="auto"/>
          </w:divBdr>
        </w:div>
        <w:div w:id="1637027546">
          <w:marLeft w:val="0"/>
          <w:marRight w:val="0"/>
          <w:marTop w:val="0"/>
          <w:marBottom w:val="0"/>
          <w:divBdr>
            <w:top w:val="none" w:sz="0" w:space="0" w:color="auto"/>
            <w:left w:val="none" w:sz="0" w:space="0" w:color="auto"/>
            <w:bottom w:val="none" w:sz="0" w:space="0" w:color="auto"/>
            <w:right w:val="none" w:sz="0" w:space="0" w:color="auto"/>
          </w:divBdr>
        </w:div>
        <w:div w:id="1656910235">
          <w:marLeft w:val="0"/>
          <w:marRight w:val="0"/>
          <w:marTop w:val="0"/>
          <w:marBottom w:val="0"/>
          <w:divBdr>
            <w:top w:val="none" w:sz="0" w:space="0" w:color="auto"/>
            <w:left w:val="none" w:sz="0" w:space="0" w:color="auto"/>
            <w:bottom w:val="none" w:sz="0" w:space="0" w:color="auto"/>
            <w:right w:val="none" w:sz="0" w:space="0" w:color="auto"/>
          </w:divBdr>
        </w:div>
        <w:div w:id="1858616919">
          <w:marLeft w:val="0"/>
          <w:marRight w:val="0"/>
          <w:marTop w:val="0"/>
          <w:marBottom w:val="0"/>
          <w:divBdr>
            <w:top w:val="none" w:sz="0" w:space="0" w:color="auto"/>
            <w:left w:val="none" w:sz="0" w:space="0" w:color="auto"/>
            <w:bottom w:val="none" w:sz="0" w:space="0" w:color="auto"/>
            <w:right w:val="none" w:sz="0" w:space="0" w:color="auto"/>
          </w:divBdr>
        </w:div>
        <w:div w:id="2031956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4B3DCB142FAE48A90F4A79693948F9" ma:contentTypeVersion="27" ma:contentTypeDescription="Skapa ett nytt dokument." ma:contentTypeScope="" ma:versionID="20e9a7a947ff2251bb2bb4be97953b91">
  <xsd:schema xmlns:xsd="http://www.w3.org/2001/XMLSchema" xmlns:xs="http://www.w3.org/2001/XMLSchema" xmlns:p="http://schemas.microsoft.com/office/2006/metadata/properties" xmlns:ns2="1d295ec3-120e-4bab-943e-ec5374f061ea" xmlns:ns3="1d2f45cb-5791-4cf0-9982-0b478ce95723" targetNamespace="http://schemas.microsoft.com/office/2006/metadata/properties" ma:root="true" ma:fieldsID="f007ccf7fdd332e7549fb32ac7c5baa9" ns2:_="" ns3:_="">
    <xsd:import namespace="1d295ec3-120e-4bab-943e-ec5374f061ea"/>
    <xsd:import namespace="1d2f45cb-5791-4cf0-9982-0b478ce95723"/>
    <xsd:element name="properties">
      <xsd:complexType>
        <xsd:sequence>
          <xsd:element name="documentManagement">
            <xsd:complexType>
              <xsd:all>
                <xsd:element ref="ns2:TaxCatchAll"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95ec3-120e-4bab-943e-ec5374f061e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393bbf2-6476-4e33-b232-89c549df2e07}" ma:internalName="TaxCatchAll" ma:showField="CatchAllData" ma:web="1d295ec3-120e-4bab-943e-ec5374f061ea">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2f45cb-5791-4cf0-9982-0b478ce9572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2f45cb-5791-4cf0-9982-0b478ce95723">
      <Terms xmlns="http://schemas.microsoft.com/office/infopath/2007/PartnerControls"/>
    </lcf76f155ced4ddcb4097134ff3c332f>
    <TaxCatchAll xmlns="1d295ec3-120e-4bab-943e-ec5374f061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5EC7B-0F25-4B5F-8F57-BD6FCE776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95ec3-120e-4bab-943e-ec5374f061ea"/>
    <ds:schemaRef ds:uri="1d2f45cb-5791-4cf0-9982-0b478ce95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C82B34-A03C-41C6-889B-4FCA105E0DAF}">
  <ds:schemaRefs>
    <ds:schemaRef ds:uri="http://schemas.openxmlformats.org/package/2006/metadata/core-properties"/>
    <ds:schemaRef ds:uri="http://purl.org/dc/elements/1.1/"/>
    <ds:schemaRef ds:uri="1d295ec3-120e-4bab-943e-ec5374f061ea"/>
    <ds:schemaRef ds:uri="http://purl.org/dc/terms/"/>
    <ds:schemaRef ds:uri="http://www.w3.org/XML/1998/namespace"/>
    <ds:schemaRef ds:uri="http://schemas.microsoft.com/office/2006/documentManagement/types"/>
    <ds:schemaRef ds:uri="http://schemas.microsoft.com/office/infopath/2007/PartnerControls"/>
    <ds:schemaRef ds:uri="1d2f45cb-5791-4cf0-9982-0b478ce9572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47D66F3-CFDC-4167-9E47-BEFBF0BA1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342</Words>
  <Characters>1951</Characters>
  <Application>Microsoft Office Word</Application>
  <DocSecurity>0</DocSecurity>
  <Lines>16</Lines>
  <Paragraphs>4</Paragraphs>
  <ScaleCrop>false</ScaleCrop>
  <Company>463-Stockholms_Universitet</Company>
  <LinksUpToDate>false</LinksUpToDate>
  <CharactersWithSpaces>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Jakobsson</dc:creator>
  <cp:keywords/>
  <dc:description/>
  <cp:lastModifiedBy>Sahaya Jenifer M MartinC</cp:lastModifiedBy>
  <cp:revision>25</cp:revision>
  <dcterms:created xsi:type="dcterms:W3CDTF">2023-09-13T15:19:00Z</dcterms:created>
  <dcterms:modified xsi:type="dcterms:W3CDTF">2024-07-13T17:14:00Z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0x0101003E4B3DCB142FAE48A90F4A79693948F9</vt:lpwstr>
  </property>
  <property fmtid="{D5CDD505-2E9C-101B-9397-08002B2CF9AE}" pid="3" name="k32efb86b1c5429fa8f0e3b5b5c7f693">
    <vt:lpwstr/>
  </property>
  <property fmtid="{D5CDD505-2E9C-101B-9397-08002B2CF9AE}" pid="4" name="MediaServiceImageTags">
    <vt:lpwstr/>
  </property>
  <property fmtid="{D5CDD505-2E9C-101B-9397-08002B2CF9AE}" pid="5" name="Nyckelord_x0020__x0028_Formas_x0029_">
    <vt:lpwstr/>
  </property>
  <property fmtid="{D5CDD505-2E9C-101B-9397-08002B2CF9AE}" pid="6" name="Dokumenttyp">
    <vt:lpwstr/>
  </property>
  <property fmtid="{D5CDD505-2E9C-101B-9397-08002B2CF9AE}" pid="7" name="n9a90ef6e11d435fbbeb93686bdd0882">
    <vt:lpwstr/>
  </property>
  <property fmtid="{D5CDD505-2E9C-101B-9397-08002B2CF9AE}" pid="8" name="Nyckelord (Formas)">
    <vt:lpwstr/>
  </property>
</Properties>
</file>