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AFB" w:rsidRPr="00BE156B" w:rsidRDefault="00F23AFB" w:rsidP="00F23AFB">
      <w:pPr>
        <w:spacing w:line="480" w:lineRule="auto"/>
        <w:rPr>
          <w:rFonts w:cs="Arial"/>
          <w:b/>
          <w:szCs w:val="24"/>
        </w:rPr>
      </w:pPr>
      <w:r>
        <w:rPr>
          <w:rFonts w:cs="Arial"/>
          <w:b/>
          <w:szCs w:val="24"/>
        </w:rPr>
        <w:t>Additional file 1</w:t>
      </w:r>
    </w:p>
    <w:p w:rsidR="00F23AFB" w:rsidRPr="007E28F3" w:rsidRDefault="00F23AFB" w:rsidP="00F23AFB">
      <w:pPr>
        <w:spacing w:line="480" w:lineRule="auto"/>
        <w:rPr>
          <w:u w:val="single"/>
        </w:rPr>
      </w:pPr>
      <w:r w:rsidRPr="007E28F3">
        <w:rPr>
          <w:u w:val="single"/>
        </w:rPr>
        <w:t xml:space="preserve">Susceptibility inputs - Program to Assess </w:t>
      </w:r>
      <w:proofErr w:type="spellStart"/>
      <w:r w:rsidRPr="007E28F3">
        <w:rPr>
          <w:u w:val="single"/>
        </w:rPr>
        <w:t>Ceftolozane</w:t>
      </w:r>
      <w:proofErr w:type="spellEnd"/>
      <w:r w:rsidRPr="007E28F3">
        <w:rPr>
          <w:u w:val="single"/>
        </w:rPr>
        <w:t>/</w:t>
      </w:r>
      <w:proofErr w:type="spellStart"/>
      <w:r w:rsidRPr="007E28F3">
        <w:rPr>
          <w:u w:val="single"/>
        </w:rPr>
        <w:t>Tazobactam</w:t>
      </w:r>
      <w:proofErr w:type="spellEnd"/>
      <w:r w:rsidRPr="007E28F3">
        <w:rPr>
          <w:u w:val="single"/>
        </w:rPr>
        <w:t xml:space="preserve"> Susceptibility (PACTS) dataset</w:t>
      </w:r>
    </w:p>
    <w:p w:rsidR="00F23AFB" w:rsidRDefault="00F23AFB" w:rsidP="00F23AFB">
      <w:pPr>
        <w:spacing w:line="480" w:lineRule="auto"/>
      </w:pPr>
      <w:r>
        <w:t>The</w:t>
      </w:r>
      <w:r w:rsidRPr="007E28F3">
        <w:t xml:space="preserve"> PACTS is a surveillance study evaluating the activity of </w:t>
      </w:r>
      <w:proofErr w:type="spellStart"/>
      <w:r w:rsidRPr="007E28F3">
        <w:t>ceftolozane</w:t>
      </w:r>
      <w:proofErr w:type="spellEnd"/>
      <w:r w:rsidRPr="007E28F3">
        <w:t>/</w:t>
      </w:r>
      <w:proofErr w:type="spellStart"/>
      <w:r w:rsidRPr="007E28F3">
        <w:t>tazobactam</w:t>
      </w:r>
      <w:proofErr w:type="spellEnd"/>
      <w:r w:rsidRPr="007E28F3">
        <w:t xml:space="preserve"> and numerous Gram-negative agents against contemporary clinical isolates obtained from hospitalized patients with serious infections including bloodstream infections, skin and skin structure infections, urinary tract infections, intra-abdominal infections, and respiratory tract infections. The isolates were consecutively collected from 28 medical centers located in the US and 31 medical centers in 15 European countries from January 2011 to December 2013.</w:t>
      </w:r>
      <w:r w:rsidRPr="007E28F3">
        <w:fldChar w:fldCharType="begin"/>
      </w:r>
      <w:r>
        <w:instrText xml:space="preserve"> ADDIN EN.CITE &lt;EndNote&gt;&lt;Cite&gt;&lt;Author&gt;Sader&lt;/Author&gt;&lt;Year&gt;2014&lt;/Year&gt;&lt;RecNum&gt;148&lt;/RecNum&gt;&lt;DisplayText&gt;[1]&lt;/DisplayText&gt;&lt;record&gt;&lt;rec-number&gt;148&lt;/rec-number&gt;&lt;foreign-keys&gt;&lt;key app="EN" db-id="zvp5t9zdk525ffe5w0gp050z090a0azxwase" timestamp="1447252509"&gt;148&lt;/key&gt;&lt;/foreign-keys&gt;&lt;ref-type name="Journal Article"&gt;17&lt;/ref-type&gt;&lt;contributors&gt;&lt;authors&gt;&lt;author&gt;Sader, H. S.&lt;/author&gt;&lt;author&gt;Farrell, D. J.&lt;/author&gt;&lt;author&gt;Flamm, R. K.&lt;/author&gt;&lt;author&gt;Jones, R. N.&lt;/author&gt;&lt;/authors&gt;&lt;/contributors&gt;&lt;auth-address&gt;JMI Laboratories, North Liberty, IA, USA. Electronic address: helio-sader@jmilabs.com.&amp;#xD;JMI Laboratories, North Liberty, IA, USA.&lt;/auth-address&gt;&lt;titles&gt;&lt;title&gt;Ceftolozane/tazobactam activity tested against aerobic Gram-negative organisms isolated from intra-abdominal and urinary tract infections in European and United States hospitals (2012)&lt;/title&gt;&lt;secondary-title&gt;J Infect&lt;/secondary-title&gt;&lt;alt-title&gt;The Journal of infection&lt;/alt-title&gt;&lt;/titles&gt;&lt;periodical&gt;&lt;full-title&gt;J Infect&lt;/full-title&gt;&lt;abbr-1&gt;The Journal of infection&lt;/abbr-1&gt;&lt;/periodical&gt;&lt;alt-periodical&gt;&lt;full-title&gt;J Infect&lt;/full-title&gt;&lt;abbr-1&gt;The Journal of infection&lt;/abbr-1&gt;&lt;/alt-periodical&gt;&lt;pages&gt;266-77&lt;/pages&gt;&lt;volume&gt;69&lt;/volume&gt;&lt;number&gt;3&lt;/number&gt;&lt;dates&gt;&lt;year&gt;2014&lt;/year&gt;&lt;pub-dates&gt;&lt;date&gt;Sep&lt;/date&gt;&lt;/pub-dates&gt;&lt;/dates&gt;&lt;isbn&gt;1532-2742 (Electronic)&amp;#xD;0163-4453 (Linking)&lt;/isbn&gt;&lt;accession-num&gt;24780763&lt;/accession-num&gt;&lt;urls&gt;&lt;related-urls&gt;&lt;url&gt;http://www.ncbi.nlm.nih.gov/pubmed/24780763&lt;/url&gt;&lt;/related-urls&gt;&lt;/urls&gt;&lt;electronic-resource-num&gt;10.1016/j.jinf.2014.04.004&lt;/electronic-resource-num&gt;&lt;/record&gt;&lt;/Cite&gt;&lt;/EndNote&gt;</w:instrText>
      </w:r>
      <w:r w:rsidRPr="007E28F3">
        <w:fldChar w:fldCharType="separate"/>
      </w:r>
      <w:r>
        <w:rPr>
          <w:noProof/>
        </w:rPr>
        <w:t>[1]</w:t>
      </w:r>
      <w:r w:rsidRPr="007E28F3">
        <w:fldChar w:fldCharType="end"/>
      </w:r>
      <w:r w:rsidRPr="007E28F3">
        <w:t xml:space="preserve"> One isolate per patient infection was included in the surveillance.</w:t>
      </w:r>
    </w:p>
    <w:p w:rsidR="00F23AFB" w:rsidRPr="00F71702" w:rsidRDefault="00F23AFB" w:rsidP="00F23AFB">
      <w:pPr>
        <w:spacing w:line="480" w:lineRule="auto"/>
      </w:pPr>
      <w:r w:rsidRPr="007E28F3">
        <w:t xml:space="preserve">In order to assess the antimicrobial activity of </w:t>
      </w:r>
      <w:proofErr w:type="spellStart"/>
      <w:r w:rsidRPr="007E28F3">
        <w:t>ceftolozane</w:t>
      </w:r>
      <w:proofErr w:type="spellEnd"/>
      <w:r w:rsidRPr="007E28F3">
        <w:t>/</w:t>
      </w:r>
      <w:proofErr w:type="spellStart"/>
      <w:r w:rsidRPr="007E28F3">
        <w:t>tazobactam</w:t>
      </w:r>
      <w:proofErr w:type="spellEnd"/>
      <w:r w:rsidRPr="007E28F3">
        <w:t xml:space="preserve"> and other (comparator) agents, the isolates were tested for susceptibility to these agents. Minimum inhibitory concentration (MIC) values of the agents were determined using standard broth micro-dilution methods as described by the Clinical and Laboratory Standards Institute (CLSI).</w:t>
      </w:r>
      <w:r w:rsidRPr="007E28F3">
        <w:fldChar w:fldCharType="begin"/>
      </w:r>
      <w:r>
        <w:instrText xml:space="preserve"> ADDIN EN.CITE &lt;EndNote&gt;&lt;Cite&gt;&lt;Author&gt;Clinical and Laboratory Standards Institute&lt;/Author&gt;&lt;RecNum&gt;202&lt;/RecNum&gt;&lt;DisplayText&gt;[2]&lt;/DisplayText&gt;&lt;record&gt;&lt;rec-number&gt;202&lt;/rec-number&gt;&lt;foreign-keys&gt;&lt;key app="EN" db-id="zvp5t9zdk525ffe5w0gp050z090a0azxwase" timestamp="1456404616"&gt;202&lt;/key&gt;&lt;/foreign-keys&gt;&lt;ref-type name="Book"&gt;6&lt;/ref-type&gt;&lt;contributors&gt;&lt;authors&gt;&lt;author&gt;Clinical and Laboratory Standards Institute,&lt;/author&gt;&lt;/authors&gt;&lt;tertiary-authors&gt;&lt;author&gt;Wayne, P.A.,&lt;/author&gt;&lt;/tertiary-authors&gt;&lt;/contributors&gt;&lt;titles&gt;&lt;title&gt;Performance Standards for Antimicrobial Susceptibility Testing. CLSI supplement M100S.&lt;/title&gt;&lt;/titles&gt;&lt;edition&gt;26th&lt;/edition&gt;&lt;dates&gt;&lt;year&gt;2016&lt;/year&gt;&lt;/dates&gt;&lt;urls&gt;&lt;/urls&gt;&lt;/record&gt;&lt;/Cite&gt;&lt;/EndNote&gt;</w:instrText>
      </w:r>
      <w:r w:rsidRPr="007E28F3">
        <w:fldChar w:fldCharType="separate"/>
      </w:r>
      <w:r>
        <w:rPr>
          <w:noProof/>
        </w:rPr>
        <w:t>[2]</w:t>
      </w:r>
      <w:r w:rsidRPr="007E28F3">
        <w:fldChar w:fldCharType="end"/>
      </w:r>
      <w:r w:rsidRPr="007E28F3">
        <w:t xml:space="preserve"> MIC values at 90% were interpreted according to susceptible and resistant breakpoints for comparator antibiotics. </w:t>
      </w:r>
    </w:p>
    <w:p w:rsidR="00F23AFB" w:rsidRDefault="00F23AFB" w:rsidP="00F23AFB">
      <w:pPr>
        <w:spacing w:line="480" w:lineRule="auto"/>
        <w:jc w:val="left"/>
        <w:rPr>
          <w:u w:val="single"/>
        </w:rPr>
      </w:pPr>
      <w:r>
        <w:rPr>
          <w:u w:val="single"/>
        </w:rPr>
        <w:t>Complicated intra-abdominal infection</w:t>
      </w:r>
      <w:r w:rsidRPr="007E28F3">
        <w:rPr>
          <w:u w:val="single"/>
        </w:rPr>
        <w:t xml:space="preserve"> pathogen distribution – Premier database </w:t>
      </w:r>
    </w:p>
    <w:p w:rsidR="00F23AFB" w:rsidRPr="00F71702" w:rsidRDefault="00F23AFB" w:rsidP="00F23AFB">
      <w:pPr>
        <w:spacing w:line="480" w:lineRule="auto"/>
      </w:pPr>
      <w:r w:rsidRPr="007E28F3">
        <w:t>Premier is an alliance of community-based hospitals with over 2,800 hospital members.</w:t>
      </w:r>
      <w:r>
        <w:fldChar w:fldCharType="begin">
          <w:fldData xml:space="preserve">PEVuZE5vdGU+PENpdGU+PFJlY051bT4yMDc8L1JlY051bT48RGlzcGxheVRleHQ+WzNdPC9EaXNw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</w:fldData>
        </w:fldChar>
      </w:r>
      <w:r>
        <w:instrText xml:space="preserve"> ADDIN EN.CITE </w:instrText>
      </w:r>
      <w:r>
        <w:fldChar w:fldCharType="begin">
          <w:fldData xml:space="preserve">PEVuZE5vdGU+PENpdGU+PFJlY051bT4yMDc8L1JlY051bT48RGlzcGxheVRleHQ+WzNdPC9EaXNw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</w:fldData>
        </w:fldChar>
      </w:r>
      <w:r>
        <w:instrText xml:space="preserve"> ADDIN EN.CITE.DATA </w:instrText>
      </w:r>
      <w:r>
        <w:fldChar w:fldCharType="end"/>
      </w:r>
      <w:r>
        <w:fldChar w:fldCharType="separate"/>
      </w:r>
      <w:r>
        <w:rPr>
          <w:noProof/>
        </w:rPr>
        <w:t>[3]</w:t>
      </w:r>
      <w:r>
        <w:fldChar w:fldCharType="end"/>
      </w:r>
      <w:r w:rsidRPr="007E28F3">
        <w:t xml:space="preserve"> The data</w:t>
      </w:r>
      <w:r>
        <w:t>base</w:t>
      </w:r>
      <w:r w:rsidRPr="007E28F3">
        <w:t xml:space="preserve"> is a complete census of inpatients and hospital-based outpatients from geographically diverse hospitals in the US. The data</w:t>
      </w:r>
      <w:r>
        <w:t>base</w:t>
      </w:r>
      <w:r w:rsidRPr="007E28F3">
        <w:t xml:space="preserve"> currently contains data from more than 480 million patient encounters, or one in every five discharges in the US. Laboratory results are available from a subset of facilities in the Premier research database. </w:t>
      </w:r>
    </w:p>
    <w:p w:rsidR="00F23AFB" w:rsidRDefault="00F23AFB"/>
    <w:p w:rsidR="00F23AFB" w:rsidRDefault="00F23AFB">
      <w:bookmarkStart w:id="0" w:name="_GoBack"/>
      <w:bookmarkEnd w:id="0"/>
    </w:p>
    <w:p w:rsidR="00F23AFB" w:rsidRPr="00F23AFB" w:rsidRDefault="00F23AFB" w:rsidP="00F23AFB">
      <w:pPr>
        <w:pStyle w:val="EndNoteBibliographyTitle"/>
        <w:spacing w:line="480" w:lineRule="auto"/>
      </w:pPr>
      <w:r>
        <w:lastRenderedPageBreak/>
        <w:fldChar w:fldCharType="begin"/>
      </w:r>
      <w:r>
        <w:instrText xml:space="preserve"> ADDIN EN.REFLIST </w:instrText>
      </w:r>
      <w:r>
        <w:fldChar w:fldCharType="separate"/>
      </w:r>
      <w:r w:rsidRPr="00F23AFB">
        <w:t>References</w:t>
      </w:r>
    </w:p>
    <w:p w:rsidR="00F23AFB" w:rsidRPr="00F23AFB" w:rsidRDefault="00F23AFB" w:rsidP="00F23AFB">
      <w:pPr>
        <w:pStyle w:val="EndNoteBibliographyTitle"/>
        <w:spacing w:line="480" w:lineRule="auto"/>
      </w:pPr>
    </w:p>
    <w:p w:rsidR="00F23AFB" w:rsidRPr="00F23AFB" w:rsidRDefault="00F23AFB" w:rsidP="00F23AFB">
      <w:pPr>
        <w:pStyle w:val="EndNoteBibliography"/>
        <w:spacing w:line="480" w:lineRule="auto"/>
        <w:ind w:left="720" w:hanging="720"/>
      </w:pPr>
      <w:r w:rsidRPr="00F23AFB">
        <w:t>1.</w:t>
      </w:r>
      <w:r w:rsidRPr="00F23AFB">
        <w:tab/>
        <w:t xml:space="preserve">Sader HS, Farrell DJ, Flamm RK, Jones RN: </w:t>
      </w:r>
      <w:r w:rsidRPr="00F23AFB">
        <w:rPr>
          <w:b/>
        </w:rPr>
        <w:t>Ceftolozane/tazobactam activity tested against aerobic Gram-negative organisms isolated from intra-abdominal and urinary tract infections in European and United States hospitals (2012)</w:t>
      </w:r>
      <w:r w:rsidRPr="00F23AFB">
        <w:t xml:space="preserve">. </w:t>
      </w:r>
      <w:r w:rsidRPr="00F23AFB">
        <w:rPr>
          <w:i/>
        </w:rPr>
        <w:t xml:space="preserve">The Journal of infection </w:t>
      </w:r>
      <w:r w:rsidRPr="00F23AFB">
        <w:t xml:space="preserve">2014, </w:t>
      </w:r>
      <w:r w:rsidRPr="00F23AFB">
        <w:rPr>
          <w:b/>
        </w:rPr>
        <w:t>69</w:t>
      </w:r>
      <w:r w:rsidRPr="00F23AFB">
        <w:t>(3):266-277.</w:t>
      </w:r>
    </w:p>
    <w:p w:rsidR="00F23AFB" w:rsidRPr="00F23AFB" w:rsidRDefault="00F23AFB" w:rsidP="00F23AFB">
      <w:pPr>
        <w:pStyle w:val="EndNoteBibliography"/>
        <w:spacing w:line="480" w:lineRule="auto"/>
        <w:ind w:left="720" w:hanging="720"/>
      </w:pPr>
      <w:r w:rsidRPr="00F23AFB">
        <w:t>2.</w:t>
      </w:r>
      <w:r w:rsidRPr="00F23AFB">
        <w:tab/>
        <w:t xml:space="preserve">Clinical and Laboratory Standards Institute: </w:t>
      </w:r>
      <w:r w:rsidRPr="00F23AFB">
        <w:rPr>
          <w:b/>
        </w:rPr>
        <w:t>Performance Standards for Antimicrobial Susceptibility Testing. CLSI supplement M100S.</w:t>
      </w:r>
      <w:r w:rsidRPr="00F23AFB">
        <w:t>, 26th edn; 2016.</w:t>
      </w:r>
    </w:p>
    <w:p w:rsidR="00F23AFB" w:rsidRPr="00F23AFB" w:rsidRDefault="00F23AFB" w:rsidP="00F23AFB">
      <w:pPr>
        <w:pStyle w:val="EndNoteBibliography"/>
        <w:spacing w:line="480" w:lineRule="auto"/>
        <w:ind w:left="720" w:hanging="720"/>
      </w:pPr>
      <w:r w:rsidRPr="00F23AFB">
        <w:t>3.</w:t>
      </w:r>
      <w:r w:rsidRPr="00F23AFB">
        <w:tab/>
        <w:t xml:space="preserve">Ready NK, N. A. Orlov, S. V. Luft, A. V. Popovych, O. Holmlund, J. T. Wood, B. A. Leopold, L.: </w:t>
      </w:r>
      <w:r w:rsidRPr="00F23AFB">
        <w:rPr>
          <w:b/>
        </w:rPr>
        <w:t>Double-blind, placebo-controlled, randomized phase 2 study of the proapoptotic agent AT-101 plus docetaxel, in second-line non-small cell lung cancer</w:t>
      </w:r>
      <w:r w:rsidRPr="00F23AFB">
        <w:t xml:space="preserve">. </w:t>
      </w:r>
      <w:r w:rsidRPr="00F23AFB">
        <w:rPr>
          <w:i/>
        </w:rPr>
        <w:t xml:space="preserve">Journal of Thoracic Oncology </w:t>
      </w:r>
      <w:r w:rsidRPr="00F23AFB">
        <w:t xml:space="preserve">2011, </w:t>
      </w:r>
      <w:r w:rsidRPr="00F23AFB">
        <w:rPr>
          <w:b/>
        </w:rPr>
        <w:t>6</w:t>
      </w:r>
      <w:r w:rsidRPr="00F23AFB">
        <w:t>(4):781-785.</w:t>
      </w:r>
    </w:p>
    <w:p w:rsidR="0043372D" w:rsidRDefault="00F23AFB" w:rsidP="00F23AFB">
      <w:pPr>
        <w:spacing w:line="480" w:lineRule="auto"/>
      </w:pPr>
      <w:r>
        <w:fldChar w:fldCharType="end"/>
      </w:r>
    </w:p>
    <w:sectPr w:rsidR="0043372D" w:rsidSect="00C72B1B">
      <w:footerReference w:type="default" r:id="rId5"/>
      <w:pgSz w:w="11907" w:h="16839" w:code="9"/>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3794042"/>
      <w:docPartObj>
        <w:docPartGallery w:val="Page Numbers (Bottom of Page)"/>
        <w:docPartUnique/>
      </w:docPartObj>
    </w:sdtPr>
    <w:sdtEndPr>
      <w:rPr>
        <w:noProof/>
      </w:rPr>
    </w:sdtEndPr>
    <w:sdtContent>
      <w:p w:rsidR="00873A06" w:rsidRDefault="00F23AF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873A06" w:rsidRDefault="00F23AFB">
    <w:pPr>
      <w:pStyle w:val="Footer"/>
    </w:pPr>
    <w:r>
      <w:rPr>
        <w:noProof/>
        <w:lang w:val="en-GB" w:eastAsia="en-GB"/>
      </w:rPr>
      <w:drawing>
        <wp:anchor distT="0" distB="0" distL="114300" distR="114300" simplePos="0" relativeHeight="251659264" behindDoc="0" locked="0" layoutInCell="1" allowOverlap="1" wp14:anchorId="1E9EF730" wp14:editId="537DA24F">
          <wp:simplePos x="0" y="0"/>
          <wp:positionH relativeFrom="margin">
            <wp:posOffset>152400</wp:posOffset>
          </wp:positionH>
          <wp:positionV relativeFrom="paragraph">
            <wp:posOffset>0</wp:posOffset>
          </wp:positionV>
          <wp:extent cx="809625" cy="323850"/>
          <wp:effectExtent l="0" t="0" r="9525" b="0"/>
          <wp:wrapNone/>
          <wp:docPr id="4" name="bjCLFRImagePrimFoote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9625" cy="323850"/>
                  </a:xfrm>
                  <a:prstGeom prst="rect">
                    <a:avLst/>
                  </a:prstGeom>
                </pic:spPr>
              </pic:pic>
            </a:graphicData>
          </a:graphic>
        </wp:anchor>
      </w:drawing>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BMC Microbiology&lt;/Style&gt;&lt;LeftDelim&gt;{&lt;/LeftDelim&gt;&lt;RightDelim&gt;}&lt;/RightDelim&gt;&lt;FontName&gt;Arial&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ttwrwf25t9zdkexp9sxs096esrpf9ews2tz&quot;&gt;RO040323 SLR Report&lt;record-ids&gt;&lt;item&gt;207&lt;/item&gt;&lt;/record-ids&gt;&lt;/item&gt;&lt;/Libraries&gt;"/>
  </w:docVars>
  <w:rsids>
    <w:rsidRoot w:val="00F23AFB"/>
    <w:rsid w:val="0043372D"/>
    <w:rsid w:val="00F23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AFB"/>
    <w:pPr>
      <w:spacing w:after="0" w:line="360" w:lineRule="auto"/>
      <w:jc w:val="both"/>
    </w:pPr>
    <w:rPr>
      <w:rFonts w:ascii="Arial" w:hAnsi="Arial"/>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23AFB"/>
    <w:pPr>
      <w:tabs>
        <w:tab w:val="center" w:pos="4680"/>
        <w:tab w:val="right" w:pos="9360"/>
      </w:tabs>
      <w:spacing w:line="240" w:lineRule="auto"/>
    </w:pPr>
  </w:style>
  <w:style w:type="character" w:customStyle="1" w:styleId="FooterChar">
    <w:name w:val="Footer Char"/>
    <w:basedOn w:val="DefaultParagraphFont"/>
    <w:link w:val="Footer"/>
    <w:uiPriority w:val="99"/>
    <w:rsid w:val="00F23AFB"/>
    <w:rPr>
      <w:rFonts w:ascii="Arial" w:hAnsi="Arial"/>
      <w:sz w:val="24"/>
    </w:rPr>
  </w:style>
  <w:style w:type="character" w:styleId="LineNumber">
    <w:name w:val="line number"/>
    <w:basedOn w:val="DefaultParagraphFont"/>
    <w:uiPriority w:val="99"/>
    <w:semiHidden/>
    <w:unhideWhenUsed/>
    <w:rsid w:val="00F23AFB"/>
  </w:style>
  <w:style w:type="paragraph" w:customStyle="1" w:styleId="EndNoteBibliographyTitle">
    <w:name w:val="EndNote Bibliography Title"/>
    <w:basedOn w:val="Normal"/>
    <w:link w:val="EndNoteBibliographyTitleChar"/>
    <w:rsid w:val="00F23AFB"/>
    <w:pPr>
      <w:jc w:val="center"/>
    </w:pPr>
    <w:rPr>
      <w:rFonts w:cs="Arial"/>
      <w:noProof/>
    </w:rPr>
  </w:style>
  <w:style w:type="character" w:customStyle="1" w:styleId="EndNoteBibliographyTitleChar">
    <w:name w:val="EndNote Bibliography Title Char"/>
    <w:basedOn w:val="DefaultParagraphFont"/>
    <w:link w:val="EndNoteBibliographyTitle"/>
    <w:rsid w:val="00F23AFB"/>
    <w:rPr>
      <w:rFonts w:ascii="Arial" w:hAnsi="Arial" w:cs="Arial"/>
      <w:noProof/>
      <w:sz w:val="24"/>
    </w:rPr>
  </w:style>
  <w:style w:type="paragraph" w:customStyle="1" w:styleId="EndNoteBibliography">
    <w:name w:val="EndNote Bibliography"/>
    <w:basedOn w:val="Normal"/>
    <w:link w:val="EndNoteBibliographyChar"/>
    <w:rsid w:val="00F23AFB"/>
    <w:pPr>
      <w:spacing w:line="240" w:lineRule="auto"/>
    </w:pPr>
    <w:rPr>
      <w:rFonts w:cs="Arial"/>
      <w:noProof/>
    </w:rPr>
  </w:style>
  <w:style w:type="character" w:customStyle="1" w:styleId="EndNoteBibliographyChar">
    <w:name w:val="EndNote Bibliography Char"/>
    <w:basedOn w:val="DefaultParagraphFont"/>
    <w:link w:val="EndNoteBibliography"/>
    <w:rsid w:val="00F23AFB"/>
    <w:rPr>
      <w:rFonts w:ascii="Arial" w:hAnsi="Arial" w:cs="Arial"/>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AFB"/>
    <w:pPr>
      <w:spacing w:after="0" w:line="360" w:lineRule="auto"/>
      <w:jc w:val="both"/>
    </w:pPr>
    <w:rPr>
      <w:rFonts w:ascii="Arial" w:hAnsi="Arial"/>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23AFB"/>
    <w:pPr>
      <w:tabs>
        <w:tab w:val="center" w:pos="4680"/>
        <w:tab w:val="right" w:pos="9360"/>
      </w:tabs>
      <w:spacing w:line="240" w:lineRule="auto"/>
    </w:pPr>
  </w:style>
  <w:style w:type="character" w:customStyle="1" w:styleId="FooterChar">
    <w:name w:val="Footer Char"/>
    <w:basedOn w:val="DefaultParagraphFont"/>
    <w:link w:val="Footer"/>
    <w:uiPriority w:val="99"/>
    <w:rsid w:val="00F23AFB"/>
    <w:rPr>
      <w:rFonts w:ascii="Arial" w:hAnsi="Arial"/>
      <w:sz w:val="24"/>
    </w:rPr>
  </w:style>
  <w:style w:type="character" w:styleId="LineNumber">
    <w:name w:val="line number"/>
    <w:basedOn w:val="DefaultParagraphFont"/>
    <w:uiPriority w:val="99"/>
    <w:semiHidden/>
    <w:unhideWhenUsed/>
    <w:rsid w:val="00F23AFB"/>
  </w:style>
  <w:style w:type="paragraph" w:customStyle="1" w:styleId="EndNoteBibliographyTitle">
    <w:name w:val="EndNote Bibliography Title"/>
    <w:basedOn w:val="Normal"/>
    <w:link w:val="EndNoteBibliographyTitleChar"/>
    <w:rsid w:val="00F23AFB"/>
    <w:pPr>
      <w:jc w:val="center"/>
    </w:pPr>
    <w:rPr>
      <w:rFonts w:cs="Arial"/>
      <w:noProof/>
    </w:rPr>
  </w:style>
  <w:style w:type="character" w:customStyle="1" w:styleId="EndNoteBibliographyTitleChar">
    <w:name w:val="EndNote Bibliography Title Char"/>
    <w:basedOn w:val="DefaultParagraphFont"/>
    <w:link w:val="EndNoteBibliographyTitle"/>
    <w:rsid w:val="00F23AFB"/>
    <w:rPr>
      <w:rFonts w:ascii="Arial" w:hAnsi="Arial" w:cs="Arial"/>
      <w:noProof/>
      <w:sz w:val="24"/>
    </w:rPr>
  </w:style>
  <w:style w:type="paragraph" w:customStyle="1" w:styleId="EndNoteBibliography">
    <w:name w:val="EndNote Bibliography"/>
    <w:basedOn w:val="Normal"/>
    <w:link w:val="EndNoteBibliographyChar"/>
    <w:rsid w:val="00F23AFB"/>
    <w:pPr>
      <w:spacing w:line="240" w:lineRule="auto"/>
    </w:pPr>
    <w:rPr>
      <w:rFonts w:cs="Arial"/>
      <w:noProof/>
    </w:rPr>
  </w:style>
  <w:style w:type="character" w:customStyle="1" w:styleId="EndNoteBibliographyChar">
    <w:name w:val="EndNote Bibliography Char"/>
    <w:basedOn w:val="DefaultParagraphFont"/>
    <w:link w:val="EndNoteBibliography"/>
    <w:rsid w:val="00F23AFB"/>
    <w:rPr>
      <w:rFonts w:ascii="Arial" w:hAnsi="Arial" w:cs="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721</Words>
  <Characters>4114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JFoo</dc:creator>
  <cp:lastModifiedBy>JFoo</cp:lastModifiedBy>
  <cp:revision>1</cp:revision>
  <dcterms:created xsi:type="dcterms:W3CDTF">2016-12-14T15:50:00Z</dcterms:created>
  <dcterms:modified xsi:type="dcterms:W3CDTF">2016-12-14T15:51:00Z</dcterms:modified>
</cp:coreProperties>
</file>