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95" w:rsidRDefault="005F70CF" w:rsidP="00FF7095">
      <w:pPr>
        <w:spacing w:line="360" w:lineRule="auto"/>
        <w:rPr>
          <w:b/>
        </w:rPr>
      </w:pPr>
      <w:r>
        <w:rPr>
          <w:b/>
        </w:rPr>
        <w:t>Additional file 1</w:t>
      </w:r>
    </w:p>
    <w:p w:rsidR="00FF7095" w:rsidRDefault="00FF7095" w:rsidP="00FF7095">
      <w:pPr>
        <w:spacing w:line="360" w:lineRule="auto"/>
        <w:rPr>
          <w:b/>
        </w:rPr>
      </w:pPr>
    </w:p>
    <w:p w:rsidR="00FF7095" w:rsidRPr="00A639B8" w:rsidRDefault="001167C5" w:rsidP="00FF7095">
      <w:pPr>
        <w:rPr>
          <w:sz w:val="20"/>
          <w:szCs w:val="20"/>
        </w:rPr>
      </w:pPr>
      <w:r w:rsidRPr="00A639B8">
        <w:rPr>
          <w:b/>
          <w:sz w:val="20"/>
          <w:szCs w:val="20"/>
        </w:rPr>
        <w:t xml:space="preserve">Table </w:t>
      </w:r>
      <w:r w:rsidR="00A639B8" w:rsidRPr="00A639B8">
        <w:rPr>
          <w:b/>
          <w:sz w:val="20"/>
          <w:szCs w:val="20"/>
        </w:rPr>
        <w:t>S</w:t>
      </w:r>
      <w:r w:rsidR="00FF7095" w:rsidRPr="00A639B8">
        <w:rPr>
          <w:b/>
          <w:sz w:val="20"/>
          <w:szCs w:val="20"/>
        </w:rPr>
        <w:t>1</w:t>
      </w:r>
      <w:r w:rsidR="00A639B8">
        <w:rPr>
          <w:sz w:val="20"/>
          <w:szCs w:val="20"/>
        </w:rPr>
        <w:t xml:space="preserve">. </w:t>
      </w:r>
      <w:r w:rsidR="00FF7095" w:rsidRPr="00A639B8">
        <w:rPr>
          <w:sz w:val="20"/>
          <w:szCs w:val="20"/>
        </w:rPr>
        <w:t>Standard units per course by antibiotic drug class</w:t>
      </w:r>
    </w:p>
    <w:p w:rsidR="00FF7095" w:rsidRPr="00C0657C" w:rsidRDefault="00FF7095" w:rsidP="00FF709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2181"/>
        <w:gridCol w:w="1341"/>
        <w:gridCol w:w="1038"/>
        <w:gridCol w:w="1715"/>
        <w:gridCol w:w="1133"/>
        <w:gridCol w:w="912"/>
      </w:tblGrid>
      <w:tr w:rsidR="00FF7095" w:rsidRPr="006B1AA1" w:rsidTr="00027A74">
        <w:trPr>
          <w:trHeight w:val="880"/>
        </w:trPr>
        <w:tc>
          <w:tcPr>
            <w:tcW w:w="960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Indication</w:t>
            </w:r>
          </w:p>
        </w:tc>
        <w:tc>
          <w:tcPr>
            <w:tcW w:w="1059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Antibiotic</w:t>
            </w:r>
          </w:p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Drug class</w:t>
            </w:r>
          </w:p>
        </w:tc>
        <w:tc>
          <w:tcPr>
            <w:tcW w:w="651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Prescribed Dosage</w:t>
            </w:r>
          </w:p>
        </w:tc>
        <w:tc>
          <w:tcPr>
            <w:tcW w:w="504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Available form</w:t>
            </w:r>
          </w:p>
        </w:tc>
        <w:tc>
          <w:tcPr>
            <w:tcW w:w="833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Number of pill/vial/tablets per day</w:t>
            </w:r>
          </w:p>
        </w:tc>
        <w:tc>
          <w:tcPr>
            <w:tcW w:w="550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Duration (Days)</w:t>
            </w:r>
          </w:p>
        </w:tc>
        <w:tc>
          <w:tcPr>
            <w:tcW w:w="443" w:type="pct"/>
            <w:shd w:val="clear" w:color="auto" w:fill="B8CCE4" w:themeFill="accent1" w:themeFillTint="66"/>
            <w:vAlign w:val="center"/>
            <w:hideMark/>
          </w:tcPr>
          <w:p w:rsidR="00FF7095" w:rsidRPr="006B1AA1" w:rsidRDefault="00FF7095" w:rsidP="00027A74">
            <w:pPr>
              <w:spacing w:after="120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6B1AA1">
              <w:rPr>
                <w:rFonts w:eastAsia="Times New Roman"/>
                <w:b/>
                <w:color w:val="000000"/>
                <w:sz w:val="20"/>
                <w:szCs w:val="20"/>
              </w:rPr>
              <w:t>SUs per course</w:t>
            </w:r>
          </w:p>
        </w:tc>
      </w:tr>
      <w:tr w:rsidR="00FF7095" w:rsidRPr="00DD0781" w:rsidTr="00027A74">
        <w:trPr>
          <w:trHeight w:val="290"/>
        </w:trPr>
        <w:tc>
          <w:tcPr>
            <w:tcW w:w="96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Community acquired pneumoniae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Levofloxacin (Quinolone)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500mg twice daily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250mg tablets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28</w:t>
            </w:r>
          </w:p>
        </w:tc>
      </w:tr>
      <w:tr w:rsidR="00FF7095" w:rsidRPr="00DD0781" w:rsidTr="00027A74">
        <w:trPr>
          <w:trHeight w:val="290"/>
        </w:trPr>
        <w:tc>
          <w:tcPr>
            <w:tcW w:w="96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Syphilis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Ceftriaxone (Cephalosporin)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1g daily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1g vials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</w:tr>
      <w:tr w:rsidR="00FF7095" w:rsidRPr="00DD0781" w:rsidTr="00027A74">
        <w:trPr>
          <w:trHeight w:val="290"/>
        </w:trPr>
        <w:tc>
          <w:tcPr>
            <w:tcW w:w="96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Severe dental infections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Co-</w:t>
            </w:r>
            <w:proofErr w:type="spellStart"/>
            <w:r w:rsidRPr="00DD0781">
              <w:rPr>
                <w:rFonts w:eastAsia="Times New Roman"/>
                <w:color w:val="000000"/>
                <w:sz w:val="20"/>
                <w:szCs w:val="20"/>
              </w:rPr>
              <w:t>amoxiclav</w:t>
            </w:r>
            <w:proofErr w:type="spellEnd"/>
            <w:r w:rsidRPr="00DD0781">
              <w:rPr>
                <w:rFonts w:eastAsia="Times New Roman"/>
                <w:color w:val="000000"/>
                <w:sz w:val="20"/>
                <w:szCs w:val="20"/>
              </w:rPr>
              <w:t xml:space="preserve"> (Broad spectrum penicillin)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250mg thrice daily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250mg tablets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15</w:t>
            </w:r>
          </w:p>
        </w:tc>
      </w:tr>
      <w:tr w:rsidR="00FF7095" w:rsidRPr="00DD0781" w:rsidTr="00027A74">
        <w:trPr>
          <w:trHeight w:val="880"/>
        </w:trPr>
        <w:tc>
          <w:tcPr>
            <w:tcW w:w="960" w:type="pct"/>
            <w:shd w:val="clear" w:color="auto" w:fill="auto"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Serious Gram-negative infections resistant to gentamicin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Amikacin (Aminoglycoside)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15 mg/kg daily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250mg/mL, 2mL vials</w:t>
            </w:r>
          </w:p>
        </w:tc>
        <w:tc>
          <w:tcPr>
            <w:tcW w:w="83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FF7095" w:rsidRPr="00DD0781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D0781">
              <w:rPr>
                <w:rFonts w:eastAsia="Times New Roman"/>
                <w:color w:val="000000"/>
                <w:sz w:val="20"/>
                <w:szCs w:val="20"/>
              </w:rPr>
              <w:t>20</w:t>
            </w:r>
          </w:p>
        </w:tc>
      </w:tr>
      <w:tr w:rsidR="00FF7095" w:rsidRPr="00DD0781" w:rsidTr="00027A74">
        <w:trPr>
          <w:trHeight w:val="880"/>
        </w:trPr>
        <w:tc>
          <w:tcPr>
            <w:tcW w:w="960" w:type="pct"/>
            <w:shd w:val="clear" w:color="auto" w:fill="auto"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Clostridium difficile infection</w:t>
            </w:r>
          </w:p>
        </w:tc>
        <w:tc>
          <w:tcPr>
            <w:tcW w:w="1059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Vancomycin (</w:t>
            </w:r>
            <w:proofErr w:type="spellStart"/>
            <w:r w:rsidRPr="00E11605">
              <w:rPr>
                <w:color w:val="000000"/>
                <w:sz w:val="20"/>
                <w:szCs w:val="20"/>
              </w:rPr>
              <w:t>Glycopeptide</w:t>
            </w:r>
            <w:proofErr w:type="spellEnd"/>
            <w:r w:rsidRPr="00E1160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125mg four times daily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125mg capsules</w:t>
            </w:r>
          </w:p>
        </w:tc>
        <w:tc>
          <w:tcPr>
            <w:tcW w:w="83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56</w:t>
            </w:r>
          </w:p>
        </w:tc>
      </w:tr>
      <w:tr w:rsidR="00FF7095" w:rsidRPr="00DD0781" w:rsidTr="00027A74">
        <w:trPr>
          <w:trHeight w:val="880"/>
        </w:trPr>
        <w:tc>
          <w:tcPr>
            <w:tcW w:w="960" w:type="pct"/>
            <w:shd w:val="clear" w:color="auto" w:fill="auto"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Streptococcal infection</w:t>
            </w:r>
          </w:p>
        </w:tc>
        <w:tc>
          <w:tcPr>
            <w:tcW w:w="1059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11605">
              <w:rPr>
                <w:color w:val="000000"/>
                <w:sz w:val="20"/>
                <w:szCs w:val="20"/>
              </w:rPr>
              <w:t>Phenoxymethylpenicillin</w:t>
            </w:r>
            <w:proofErr w:type="spellEnd"/>
            <w:r w:rsidRPr="00E11605">
              <w:rPr>
                <w:color w:val="000000"/>
                <w:sz w:val="20"/>
                <w:szCs w:val="20"/>
              </w:rPr>
              <w:t xml:space="preserve"> (Narrow spectrum penicillin)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250mg four times daily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250mg tablets</w:t>
            </w:r>
          </w:p>
        </w:tc>
        <w:tc>
          <w:tcPr>
            <w:tcW w:w="83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40</w:t>
            </w:r>
          </w:p>
        </w:tc>
      </w:tr>
      <w:tr w:rsidR="00FF7095" w:rsidRPr="00DD0781" w:rsidTr="00027A74">
        <w:trPr>
          <w:trHeight w:val="880"/>
        </w:trPr>
        <w:tc>
          <w:tcPr>
            <w:tcW w:w="960" w:type="pct"/>
            <w:shd w:val="clear" w:color="auto" w:fill="auto"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Nosocomial Pneumonia</w:t>
            </w:r>
          </w:p>
        </w:tc>
        <w:tc>
          <w:tcPr>
            <w:tcW w:w="1059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11605">
              <w:rPr>
                <w:color w:val="000000"/>
                <w:sz w:val="20"/>
                <w:szCs w:val="20"/>
              </w:rPr>
              <w:t>Meropenem</w:t>
            </w:r>
            <w:proofErr w:type="spellEnd"/>
            <w:r w:rsidRPr="00E1160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11605">
              <w:rPr>
                <w:color w:val="000000"/>
                <w:sz w:val="20"/>
                <w:szCs w:val="20"/>
              </w:rPr>
              <w:t>Carbapenem</w:t>
            </w:r>
            <w:proofErr w:type="spellEnd"/>
            <w:r w:rsidRPr="00E1160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1g IV thrice daily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1g vials</w:t>
            </w:r>
          </w:p>
        </w:tc>
        <w:tc>
          <w:tcPr>
            <w:tcW w:w="83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11605">
              <w:rPr>
                <w:color w:val="000000"/>
                <w:sz w:val="20"/>
                <w:szCs w:val="20"/>
              </w:rPr>
              <w:t>21</w:t>
            </w:r>
          </w:p>
        </w:tc>
      </w:tr>
      <w:tr w:rsidR="00FF7095" w:rsidRPr="00DD0781" w:rsidTr="00027A74">
        <w:trPr>
          <w:trHeight w:val="880"/>
        </w:trPr>
        <w:tc>
          <w:tcPr>
            <w:tcW w:w="960" w:type="pct"/>
            <w:shd w:val="clear" w:color="auto" w:fill="auto"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5D0D9B">
              <w:rPr>
                <w:color w:val="000000"/>
                <w:sz w:val="20"/>
                <w:szCs w:val="20"/>
              </w:rPr>
              <w:t>Community-acquired pneumonia, low to moderate severity</w:t>
            </w:r>
          </w:p>
        </w:tc>
        <w:tc>
          <w:tcPr>
            <w:tcW w:w="1059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Azithromycin (Macrolide)</w:t>
            </w:r>
          </w:p>
        </w:tc>
        <w:tc>
          <w:tcPr>
            <w:tcW w:w="651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 w:rsidRPr="005D0D9B">
              <w:rPr>
                <w:color w:val="000000"/>
                <w:sz w:val="20"/>
                <w:szCs w:val="20"/>
              </w:rPr>
              <w:t>500 mg once daily for 3 days</w:t>
            </w:r>
          </w:p>
        </w:tc>
        <w:tc>
          <w:tcPr>
            <w:tcW w:w="504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500mg tablets</w:t>
            </w:r>
          </w:p>
        </w:tc>
        <w:tc>
          <w:tcPr>
            <w:tcW w:w="83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FF7095" w:rsidRPr="00E11605" w:rsidRDefault="00FF7095" w:rsidP="00027A74">
            <w:pPr>
              <w:spacing w:after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</w:tbl>
    <w:p w:rsidR="00FF7095" w:rsidRDefault="00FF7095" w:rsidP="00FF7095">
      <w:pPr>
        <w:spacing w:line="360" w:lineRule="auto"/>
        <w:rPr>
          <w:b/>
        </w:rPr>
      </w:pPr>
    </w:p>
    <w:p w:rsidR="00FF7095" w:rsidRDefault="00FF7095" w:rsidP="00FF7095">
      <w:pPr>
        <w:pStyle w:val="Caption"/>
        <w:keepNext/>
      </w:pPr>
      <w:bookmarkStart w:id="0" w:name="_Toc458988601"/>
    </w:p>
    <w:p w:rsidR="00FF7095" w:rsidRDefault="00FF7095" w:rsidP="00FF7095"/>
    <w:p w:rsidR="00FF7095" w:rsidRDefault="00FF7095" w:rsidP="00FF7095"/>
    <w:p w:rsidR="00FF7095" w:rsidRDefault="00FF7095" w:rsidP="00FF7095"/>
    <w:p w:rsidR="003C0838" w:rsidRDefault="003C0838" w:rsidP="00FF7095"/>
    <w:p w:rsidR="003C0838" w:rsidRDefault="003C0838" w:rsidP="00FF7095"/>
    <w:p w:rsidR="003C0838" w:rsidRDefault="003C0838" w:rsidP="00FF7095"/>
    <w:p w:rsidR="003C0838" w:rsidRDefault="003C0838" w:rsidP="00FF7095"/>
    <w:p w:rsidR="003C0838" w:rsidRDefault="003C0838" w:rsidP="00FF7095"/>
    <w:p w:rsidR="003C0838" w:rsidRDefault="003C0838" w:rsidP="00FF7095"/>
    <w:p w:rsidR="00FF7095" w:rsidRPr="001C3FE8" w:rsidRDefault="00FF7095" w:rsidP="00FF7095"/>
    <w:p w:rsidR="00FF7095" w:rsidRPr="00A639B8" w:rsidRDefault="001167C5" w:rsidP="00FF7095">
      <w:pPr>
        <w:pStyle w:val="Caption"/>
        <w:keepNext/>
        <w:rPr>
          <w:i w:val="0"/>
        </w:rPr>
      </w:pPr>
      <w:bookmarkStart w:id="1" w:name="_GoBack"/>
      <w:bookmarkEnd w:id="1"/>
      <w:r w:rsidRPr="00A639B8">
        <w:rPr>
          <w:b/>
          <w:i w:val="0"/>
        </w:rPr>
        <w:lastRenderedPageBreak/>
        <w:t xml:space="preserve">Table </w:t>
      </w:r>
      <w:r w:rsidR="00A639B8" w:rsidRPr="00A639B8">
        <w:rPr>
          <w:b/>
          <w:i w:val="0"/>
        </w:rPr>
        <w:t>S</w:t>
      </w:r>
      <w:r w:rsidR="00FF7095" w:rsidRPr="00A639B8">
        <w:rPr>
          <w:b/>
          <w:i w:val="0"/>
        </w:rPr>
        <w:t>2</w:t>
      </w:r>
      <w:r w:rsidR="00A639B8" w:rsidRPr="00A639B8">
        <w:rPr>
          <w:i w:val="0"/>
        </w:rPr>
        <w:t xml:space="preserve">. </w:t>
      </w:r>
      <w:r w:rsidR="00FF7095" w:rsidRPr="00A639B8">
        <w:rPr>
          <w:i w:val="0"/>
        </w:rPr>
        <w:t>Summary of assumptions and limitation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2"/>
        <w:gridCol w:w="3839"/>
        <w:gridCol w:w="2552"/>
      </w:tblGrid>
      <w:tr w:rsidR="00FF7095" w:rsidRPr="003D08C6" w:rsidTr="00027A74">
        <w:trPr>
          <w:trHeight w:val="266"/>
        </w:trPr>
        <w:tc>
          <w:tcPr>
            <w:tcW w:w="3102" w:type="dxa"/>
            <w:shd w:val="clear" w:color="auto" w:fill="B8CCE4" w:themeFill="accent1" w:themeFillTint="66"/>
            <w:vAlign w:val="center"/>
          </w:tcPr>
          <w:p w:rsidR="00FF7095" w:rsidRPr="003D08C6" w:rsidRDefault="00FF7095" w:rsidP="00027A74">
            <w:pPr>
              <w:spacing w:after="12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D08C6">
              <w:rPr>
                <w:rFonts w:eastAsia="Times New Roman"/>
                <w:b/>
                <w:sz w:val="20"/>
                <w:szCs w:val="20"/>
              </w:rPr>
              <w:t>Assumption / Limitation</w:t>
            </w:r>
          </w:p>
        </w:tc>
        <w:tc>
          <w:tcPr>
            <w:tcW w:w="3839" w:type="dxa"/>
            <w:shd w:val="clear" w:color="auto" w:fill="B8CCE4" w:themeFill="accent1" w:themeFillTint="66"/>
            <w:vAlign w:val="center"/>
          </w:tcPr>
          <w:p w:rsidR="00FF7095" w:rsidRPr="003D08C6" w:rsidRDefault="00FF7095" w:rsidP="00027A74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D08C6">
              <w:rPr>
                <w:rFonts w:eastAsia="Times New Roman"/>
                <w:b/>
                <w:sz w:val="20"/>
                <w:szCs w:val="20"/>
              </w:rPr>
              <w:t>Discussion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FF7095" w:rsidRPr="003D08C6" w:rsidRDefault="00FF7095" w:rsidP="00027A74">
            <w:pPr>
              <w:jc w:val="center"/>
              <w:rPr>
                <w:b/>
                <w:sz w:val="20"/>
                <w:szCs w:val="20"/>
              </w:rPr>
            </w:pPr>
            <w:r w:rsidRPr="003D08C6">
              <w:rPr>
                <w:rFonts w:eastAsia="Times New Roman"/>
                <w:b/>
                <w:sz w:val="20"/>
                <w:szCs w:val="20"/>
              </w:rPr>
              <w:t>Likely Impact</w:t>
            </w:r>
          </w:p>
        </w:tc>
      </w:tr>
      <w:tr w:rsidR="00FF7095" w:rsidRPr="003D08C6" w:rsidTr="00027A74">
        <w:trPr>
          <w:trHeight w:val="285"/>
        </w:trPr>
        <w:tc>
          <w:tcPr>
            <w:tcW w:w="9493" w:type="dxa"/>
            <w:gridSpan w:val="3"/>
            <w:shd w:val="clear" w:color="auto" w:fill="B8CCE4" w:themeFill="accent1" w:themeFillTint="66"/>
            <w:vAlign w:val="center"/>
          </w:tcPr>
          <w:p w:rsidR="00FF7095" w:rsidRPr="003D08C6" w:rsidRDefault="00FF7095" w:rsidP="00027A74">
            <w:pPr>
              <w:jc w:val="center"/>
              <w:rPr>
                <w:b/>
                <w:sz w:val="20"/>
                <w:szCs w:val="20"/>
              </w:rPr>
            </w:pPr>
            <w:r w:rsidRPr="003D08C6">
              <w:rPr>
                <w:b/>
                <w:sz w:val="20"/>
                <w:szCs w:val="20"/>
              </w:rPr>
              <w:t>Pertaining to Cost data</w:t>
            </w:r>
          </w:p>
        </w:tc>
      </w:tr>
      <w:tr w:rsidR="00FF7095" w:rsidRPr="003D08C6" w:rsidTr="00027A74">
        <w:trPr>
          <w:trHeight w:val="1708"/>
        </w:trPr>
        <w:tc>
          <w:tcPr>
            <w:tcW w:w="3102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>The model only takes into account the impact of mortality</w:t>
            </w:r>
            <w:r>
              <w:rPr>
                <w:rFonts w:eastAsia="Times New Roman"/>
                <w:sz w:val="20"/>
                <w:szCs w:val="20"/>
              </w:rPr>
              <w:t xml:space="preserve"> and direct medical costs attributable to resistant infections</w:t>
            </w:r>
            <w:r w:rsidRPr="003D08C6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>It excludes other possible d</w:t>
            </w:r>
            <w:r>
              <w:rPr>
                <w:rFonts w:eastAsia="Times New Roman"/>
                <w:sz w:val="20"/>
                <w:szCs w:val="20"/>
              </w:rPr>
              <w:t>irect and indirect effects such as the spread of resistant infections, other medical services that will be affected by loss of effective prophylactic treatment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Underestimating the economic cost of AMR</w:t>
            </w:r>
          </w:p>
        </w:tc>
      </w:tr>
      <w:tr w:rsidR="00FF7095" w:rsidRPr="003D08C6" w:rsidTr="00027A74">
        <w:trPr>
          <w:trHeight w:val="1408"/>
        </w:trPr>
        <w:tc>
          <w:tcPr>
            <w:tcW w:w="3102" w:type="dxa"/>
            <w:vAlign w:val="center"/>
          </w:tcPr>
          <w:p w:rsidR="00FF7095" w:rsidRDefault="00FF7095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Only present burden is accounted for.</w:t>
            </w:r>
          </w:p>
        </w:tc>
        <w:tc>
          <w:tcPr>
            <w:tcW w:w="3839" w:type="dxa"/>
            <w:vAlign w:val="center"/>
          </w:tcPr>
          <w:p w:rsidR="00FF7095" w:rsidRDefault="00FF7095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AMR is predicted to continue to spread, incurring ever higher tolls in future years. Models to predict and quantify the future burdens are impractical.  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Underestimating the economic cost of AMR</w:t>
            </w:r>
          </w:p>
        </w:tc>
      </w:tr>
      <w:tr w:rsidR="00FF7095" w:rsidRPr="003D08C6" w:rsidTr="00027A74">
        <w:trPr>
          <w:trHeight w:val="1408"/>
        </w:trPr>
        <w:tc>
          <w:tcPr>
            <w:tcW w:w="310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</w:t>
            </w:r>
            <w:r w:rsidRPr="003D08C6">
              <w:rPr>
                <w:rFonts w:eastAsia="Times New Roman"/>
                <w:sz w:val="20"/>
                <w:szCs w:val="20"/>
              </w:rPr>
              <w:t xml:space="preserve">he model takes into account only </w:t>
            </w:r>
            <w:r>
              <w:rPr>
                <w:rFonts w:eastAsia="Times New Roman"/>
                <w:sz w:val="20"/>
                <w:szCs w:val="20"/>
              </w:rPr>
              <w:t>a subset of resistant infections</w:t>
            </w:r>
            <w:r w:rsidRPr="003D08C6">
              <w:rPr>
                <w:rFonts w:eastAsia="Times New Roman"/>
                <w:sz w:val="20"/>
                <w:szCs w:val="20"/>
              </w:rPr>
              <w:t>.</w:t>
            </w:r>
          </w:p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Further data on the incidence of other resistant infections and their associated costs could be incorporated if/when available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Underestimating the economic cost of AMR</w:t>
            </w:r>
          </w:p>
        </w:tc>
      </w:tr>
      <w:tr w:rsidR="00FF7095" w:rsidRPr="003D08C6" w:rsidTr="00027A74">
        <w:trPr>
          <w:trHeight w:val="1289"/>
        </w:trPr>
        <w:tc>
          <w:tcPr>
            <w:tcW w:w="310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One death was assumed to result in 10 </w:t>
            </w:r>
            <w:r>
              <w:rPr>
                <w:rFonts w:eastAsia="Times New Roman"/>
                <w:sz w:val="20"/>
                <w:szCs w:val="20"/>
              </w:rPr>
              <w:t>life years</w:t>
            </w:r>
            <w:r w:rsidRPr="003D08C6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sz w:val="20"/>
                <w:szCs w:val="20"/>
              </w:rPr>
              <w:t>Data on</w:t>
            </w:r>
            <w:r>
              <w:rPr>
                <w:sz w:val="20"/>
                <w:szCs w:val="20"/>
              </w:rPr>
              <w:t xml:space="preserve"> mean number of productive life years </w:t>
            </w:r>
            <w:r w:rsidRPr="003D08C6">
              <w:rPr>
                <w:sz w:val="20"/>
                <w:szCs w:val="20"/>
              </w:rPr>
              <w:t xml:space="preserve">lost due to </w:t>
            </w:r>
            <w:r>
              <w:rPr>
                <w:sz w:val="20"/>
                <w:szCs w:val="20"/>
              </w:rPr>
              <w:t xml:space="preserve">an </w:t>
            </w:r>
            <w:r w:rsidRPr="003D08C6">
              <w:rPr>
                <w:sz w:val="20"/>
                <w:szCs w:val="20"/>
              </w:rPr>
              <w:t xml:space="preserve">AMR </w:t>
            </w:r>
            <w:r>
              <w:rPr>
                <w:sz w:val="20"/>
                <w:szCs w:val="20"/>
              </w:rPr>
              <w:t xml:space="preserve">associated death are limited. 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sz w:val="20"/>
                <w:szCs w:val="20"/>
              </w:rPr>
              <w:t>Under- or over-estimation of the economic loss data per organism.</w:t>
            </w:r>
          </w:p>
        </w:tc>
      </w:tr>
      <w:tr w:rsidR="00FF7095" w:rsidRPr="003D08C6" w:rsidTr="00027A74">
        <w:trPr>
          <w:trHeight w:val="1147"/>
        </w:trPr>
        <w:tc>
          <w:tcPr>
            <w:tcW w:w="310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>The drug classes implicated could be responsible for selective pressure in other excluded organisms.</w:t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Antibiotic consumption is likely to drive resistance in a host of other pathogens for which mortality estimates are less readily available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Underestimates the </w:t>
            </w:r>
            <w:r>
              <w:rPr>
                <w:sz w:val="20"/>
                <w:szCs w:val="20"/>
              </w:rPr>
              <w:t xml:space="preserve">economic </w:t>
            </w:r>
            <w:r w:rsidRPr="003D08C6">
              <w:rPr>
                <w:sz w:val="20"/>
                <w:szCs w:val="20"/>
              </w:rPr>
              <w:t>cost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of AMR </w:t>
            </w:r>
            <w:r w:rsidRPr="003D08C6">
              <w:rPr>
                <w:rFonts w:eastAsia="Times New Roman"/>
                <w:sz w:val="20"/>
                <w:szCs w:val="20"/>
              </w:rPr>
              <w:t>attributable to these drugs.</w:t>
            </w:r>
          </w:p>
        </w:tc>
      </w:tr>
      <w:tr w:rsidR="00FF7095" w:rsidRPr="003D08C6" w:rsidTr="00027A74">
        <w:trPr>
          <w:trHeight w:val="1339"/>
        </w:trPr>
        <w:tc>
          <w:tcPr>
            <w:tcW w:w="310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>Assumption that selected drug classes contribute equally in promoting the resistance.</w:t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There are complex mechanisms involving propagation of resistance. Hence, relative contribution intuitively, should be different. 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The model can use weighing to incorporate relative contributions once </w:t>
            </w:r>
            <w:r>
              <w:rPr>
                <w:rFonts w:eastAsia="Times New Roman"/>
                <w:sz w:val="20"/>
                <w:szCs w:val="20"/>
              </w:rPr>
              <w:t xml:space="preserve">better </w:t>
            </w:r>
            <w:r w:rsidRPr="003D08C6">
              <w:rPr>
                <w:rFonts w:eastAsia="Times New Roman"/>
                <w:sz w:val="20"/>
                <w:szCs w:val="20"/>
              </w:rPr>
              <w:t xml:space="preserve">evidence is available.  </w:t>
            </w:r>
          </w:p>
        </w:tc>
      </w:tr>
      <w:tr w:rsidR="00FF7095" w:rsidRPr="003D08C6" w:rsidTr="00027A74">
        <w:trPr>
          <w:trHeight w:val="1528"/>
        </w:trPr>
        <w:tc>
          <w:tcPr>
            <w:tcW w:w="3102" w:type="dxa"/>
            <w:vAlign w:val="center"/>
          </w:tcPr>
          <w:p w:rsidR="00FF7095" w:rsidRPr="003D08C6" w:rsidRDefault="00F114DC" w:rsidP="00027A7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The consumption data is for 2014</w:t>
            </w:r>
            <w:r w:rsidR="00FF7095" w:rsidRPr="003D08C6">
              <w:rPr>
                <w:rFonts w:eastAsia="Times New Roman"/>
                <w:sz w:val="20"/>
                <w:szCs w:val="20"/>
              </w:rPr>
              <w:t>, as this was the latest data available.</w:t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More recent</w:t>
            </w:r>
            <w:r w:rsidRPr="003D08C6">
              <w:rPr>
                <w:rFonts w:eastAsia="Times New Roman"/>
                <w:sz w:val="20"/>
                <w:szCs w:val="20"/>
              </w:rPr>
              <w:t xml:space="preserve"> consumption data for the countries would have been ideal. 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If consumption increased from our figures, </w:t>
            </w:r>
            <w:r>
              <w:rPr>
                <w:rFonts w:eastAsia="Times New Roman"/>
                <w:sz w:val="20"/>
                <w:szCs w:val="20"/>
              </w:rPr>
              <w:t>economic</w:t>
            </w:r>
            <w:r w:rsidRPr="003D08C6">
              <w:rPr>
                <w:rFonts w:eastAsia="Times New Roman"/>
                <w:sz w:val="20"/>
                <w:szCs w:val="20"/>
              </w:rPr>
              <w:t xml:space="preserve"> cost might have been overestimated, and vice versa.</w:t>
            </w:r>
          </w:p>
        </w:tc>
      </w:tr>
      <w:tr w:rsidR="00FF7095" w:rsidRPr="003D08C6" w:rsidTr="00027A74">
        <w:trPr>
          <w:trHeight w:val="1181"/>
        </w:trPr>
        <w:tc>
          <w:tcPr>
            <w:tcW w:w="3102" w:type="dxa"/>
            <w:vAlign w:val="center"/>
          </w:tcPr>
          <w:p w:rsidR="00FF7095" w:rsidRPr="003D08C6" w:rsidRDefault="00FF7095" w:rsidP="003C0838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lastRenderedPageBreak/>
              <w:t>The consumption data was estimated using retail and/or hospital information.</w:t>
            </w:r>
            <w:r w:rsidR="003C0838">
              <w:rPr>
                <w:rStyle w:val="FootnoteReference"/>
                <w:rFonts w:eastAsia="Times New Roman"/>
                <w:sz w:val="20"/>
                <w:szCs w:val="20"/>
              </w:rPr>
              <w:footnoteReference w:id="1"/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>The actual consumption at the patient-level could be much lower than this estimate.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Could contribute to an underestimation of the </w:t>
            </w:r>
            <w:r>
              <w:rPr>
                <w:rFonts w:eastAsia="Times New Roman"/>
                <w:sz w:val="20"/>
                <w:szCs w:val="20"/>
              </w:rPr>
              <w:t>economic</w:t>
            </w:r>
            <w:r w:rsidRPr="003D08C6">
              <w:rPr>
                <w:rFonts w:eastAsia="Times New Roman"/>
                <w:sz w:val="20"/>
                <w:szCs w:val="20"/>
              </w:rPr>
              <w:t xml:space="preserve"> cost.</w:t>
            </w:r>
          </w:p>
        </w:tc>
      </w:tr>
      <w:tr w:rsidR="00FF7095" w:rsidRPr="003D08C6" w:rsidTr="00027A74">
        <w:trPr>
          <w:trHeight w:val="1520"/>
        </w:trPr>
        <w:tc>
          <w:tcPr>
            <w:tcW w:w="3102" w:type="dxa"/>
            <w:vAlign w:val="center"/>
          </w:tcPr>
          <w:p w:rsidR="00FF7095" w:rsidRPr="003D08C6" w:rsidRDefault="00FF7095" w:rsidP="003C0838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>The data used for resistance only represents blood samples.</w:t>
            </w:r>
            <w:r w:rsidR="003C0838">
              <w:rPr>
                <w:rStyle w:val="FootnoteReference"/>
                <w:rFonts w:eastAsia="Times New Roman"/>
                <w:sz w:val="20"/>
                <w:szCs w:val="20"/>
              </w:rPr>
              <w:footnoteReference w:id="2"/>
            </w:r>
          </w:p>
        </w:tc>
        <w:tc>
          <w:tcPr>
            <w:tcW w:w="3839" w:type="dxa"/>
            <w:vAlign w:val="center"/>
          </w:tcPr>
          <w:p w:rsidR="00FF7095" w:rsidRPr="003D08C6" w:rsidRDefault="00FF7095" w:rsidP="00027A74">
            <w:pPr>
              <w:rPr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Inclusion of other samples would make the data richer </w:t>
            </w:r>
            <w:r>
              <w:rPr>
                <w:rFonts w:eastAsia="Times New Roman"/>
                <w:sz w:val="20"/>
                <w:szCs w:val="20"/>
              </w:rPr>
              <w:t xml:space="preserve">if </w:t>
            </w:r>
            <w:r w:rsidRPr="003D08C6">
              <w:rPr>
                <w:rFonts w:eastAsia="Times New Roman"/>
                <w:sz w:val="20"/>
                <w:szCs w:val="20"/>
              </w:rPr>
              <w:t>available for all countries.</w:t>
            </w:r>
          </w:p>
        </w:tc>
        <w:tc>
          <w:tcPr>
            <w:tcW w:w="2552" w:type="dxa"/>
            <w:vAlign w:val="center"/>
          </w:tcPr>
          <w:p w:rsidR="00FF7095" w:rsidRPr="003D08C6" w:rsidRDefault="00FF7095" w:rsidP="00027A74">
            <w:pPr>
              <w:rPr>
                <w:rFonts w:eastAsia="Times New Roman"/>
                <w:sz w:val="20"/>
                <w:szCs w:val="20"/>
              </w:rPr>
            </w:pPr>
            <w:r w:rsidRPr="003D08C6">
              <w:rPr>
                <w:rFonts w:eastAsia="Times New Roman"/>
                <w:sz w:val="20"/>
                <w:szCs w:val="20"/>
              </w:rPr>
              <w:t xml:space="preserve">Including other samples could increase or decrease the rates and henceforth shift </w:t>
            </w:r>
            <w:r>
              <w:rPr>
                <w:rFonts w:eastAsia="Times New Roman"/>
                <w:sz w:val="20"/>
                <w:szCs w:val="20"/>
              </w:rPr>
              <w:t xml:space="preserve">the </w:t>
            </w:r>
            <w:r w:rsidRPr="003D08C6">
              <w:rPr>
                <w:rFonts w:eastAsia="Times New Roman"/>
                <w:sz w:val="20"/>
                <w:szCs w:val="20"/>
              </w:rPr>
              <w:t>cost</w:t>
            </w:r>
            <w:r>
              <w:rPr>
                <w:rFonts w:eastAsia="Times New Roman"/>
                <w:sz w:val="20"/>
                <w:szCs w:val="20"/>
              </w:rPr>
              <w:t xml:space="preserve"> in</w:t>
            </w:r>
            <w:r w:rsidRPr="003D08C6">
              <w:rPr>
                <w:rFonts w:eastAsia="Times New Roman"/>
                <w:sz w:val="20"/>
                <w:szCs w:val="20"/>
              </w:rPr>
              <w:t xml:space="preserve"> either direction.</w:t>
            </w:r>
          </w:p>
        </w:tc>
      </w:tr>
    </w:tbl>
    <w:p w:rsidR="00FF7095" w:rsidRPr="00284994" w:rsidRDefault="00FF7095" w:rsidP="00FF7095">
      <w:pPr>
        <w:spacing w:line="360" w:lineRule="auto"/>
        <w:rPr>
          <w:b/>
        </w:rPr>
      </w:pPr>
    </w:p>
    <w:p w:rsidR="004D6AA1" w:rsidRPr="00FF7095" w:rsidRDefault="004D6AA1" w:rsidP="00FF7095"/>
    <w:sectPr w:rsidR="004D6AA1" w:rsidRPr="00FF7095" w:rsidSect="002406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46C" w:rsidRDefault="001A646C" w:rsidP="003C0838">
      <w:r>
        <w:separator/>
      </w:r>
    </w:p>
  </w:endnote>
  <w:endnote w:type="continuationSeparator" w:id="0">
    <w:p w:rsidR="001A646C" w:rsidRDefault="001A646C" w:rsidP="003C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46C" w:rsidRDefault="001A646C" w:rsidP="003C0838">
      <w:r>
        <w:separator/>
      </w:r>
    </w:p>
  </w:footnote>
  <w:footnote w:type="continuationSeparator" w:id="0">
    <w:p w:rsidR="001A646C" w:rsidRDefault="001A646C" w:rsidP="003C0838">
      <w:r>
        <w:continuationSeparator/>
      </w:r>
    </w:p>
  </w:footnote>
  <w:footnote w:id="1">
    <w:p w:rsidR="003C0838" w:rsidRPr="003C0838" w:rsidRDefault="003C0838" w:rsidP="003C0838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noProof/>
          <w:sz w:val="16"/>
          <w:szCs w:val="16"/>
        </w:rPr>
      </w:pPr>
      <w:r w:rsidRPr="003C0838">
        <w:rPr>
          <w:rStyle w:val="FootnoteReference"/>
          <w:sz w:val="16"/>
          <w:szCs w:val="16"/>
        </w:rPr>
        <w:footnoteRef/>
      </w:r>
      <w:r w:rsidRPr="003C0838">
        <w:rPr>
          <w:sz w:val="16"/>
          <w:szCs w:val="16"/>
        </w:rPr>
        <w:t xml:space="preserve"> </w:t>
      </w:r>
      <w:r w:rsidRPr="003C0838">
        <w:rPr>
          <w:noProof/>
          <w:sz w:val="16"/>
          <w:szCs w:val="16"/>
        </w:rPr>
        <w:t>Van Boeckel TP, Gandra S, Ashok A, Caudron Q, Grenfell BT, Levin SA, et al. Global antibiotic consumption 2000 to 2010: An analysis of national pharmaceutical sales data [supplementary appendix] [Internet]. Vol. 14, The Lancet Infectious Diseases. 2014 [cited 2016 Aug 10]. p. 742–50. Available from: http://www.thelancet.com/cms/attachment/2021722899/2041540096/mmc1.pdf</w:t>
      </w:r>
    </w:p>
    <w:p w:rsidR="003C0838" w:rsidRPr="003C0838" w:rsidRDefault="003C0838">
      <w:pPr>
        <w:pStyle w:val="FootnoteText"/>
        <w:rPr>
          <w:sz w:val="16"/>
          <w:szCs w:val="16"/>
          <w:lang w:val="en-US"/>
        </w:rPr>
      </w:pPr>
    </w:p>
  </w:footnote>
  <w:footnote w:id="2">
    <w:p w:rsidR="003C0838" w:rsidRPr="003C0838" w:rsidRDefault="003C0838" w:rsidP="003C0838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noProof/>
          <w:sz w:val="16"/>
          <w:szCs w:val="16"/>
        </w:rPr>
      </w:pPr>
      <w:r w:rsidRPr="003C0838">
        <w:rPr>
          <w:rStyle w:val="FootnoteReference"/>
          <w:sz w:val="16"/>
          <w:szCs w:val="16"/>
        </w:rPr>
        <w:footnoteRef/>
      </w:r>
      <w:r w:rsidRPr="003C0838">
        <w:rPr>
          <w:sz w:val="16"/>
          <w:szCs w:val="16"/>
        </w:rPr>
        <w:t xml:space="preserve"> </w:t>
      </w:r>
      <w:r w:rsidRPr="003C0838">
        <w:rPr>
          <w:noProof/>
          <w:sz w:val="16"/>
          <w:szCs w:val="16"/>
        </w:rPr>
        <w:t>The Center for Disease Dynamics Economics and Policy. ResistanceMap beta [Internet]. [cited 2016 Jun 22]. Available from: http://resistancemap.cddep.org</w:t>
      </w:r>
    </w:p>
    <w:p w:rsidR="003C0838" w:rsidRPr="003C0838" w:rsidRDefault="003C0838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6"/>
  </w:docVars>
  <w:rsids>
    <w:rsidRoot w:val="00FF7095"/>
    <w:rsid w:val="001167C5"/>
    <w:rsid w:val="001A646C"/>
    <w:rsid w:val="002643BB"/>
    <w:rsid w:val="003C0838"/>
    <w:rsid w:val="004D6AA1"/>
    <w:rsid w:val="005F70CF"/>
    <w:rsid w:val="00A639B8"/>
    <w:rsid w:val="00B02099"/>
    <w:rsid w:val="00F114DC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095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0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F70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FF7095"/>
    <w:pPr>
      <w:spacing w:after="200"/>
    </w:pPr>
    <w:rPr>
      <w:i/>
      <w:iCs/>
      <w:sz w:val="20"/>
      <w:szCs w:val="18"/>
    </w:rPr>
  </w:style>
  <w:style w:type="table" w:styleId="TableGrid">
    <w:name w:val="Table Grid"/>
    <w:basedOn w:val="TableNormal"/>
    <w:uiPriority w:val="39"/>
    <w:rsid w:val="00FF709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C08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0838"/>
    <w:rPr>
      <w:rFonts w:ascii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C08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17E6B-E24B-422B-B61D-B193580DC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524</Words>
  <Characters>3056</Characters>
  <Application>Microsoft Office Word</Application>
  <DocSecurity>0</DocSecurity>
  <Lines>218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Poojan</dc:creator>
  <cp:keywords/>
  <dc:description/>
  <cp:lastModifiedBy>EKONG</cp:lastModifiedBy>
  <cp:revision>6</cp:revision>
  <dcterms:created xsi:type="dcterms:W3CDTF">2018-02-21T19:59:00Z</dcterms:created>
  <dcterms:modified xsi:type="dcterms:W3CDTF">2018-07-24T07:28:00Z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http://www.zotero.org/styles/biomed-central</vt:lpwstr>
  </property>
  <property fmtid="{D5CDD505-2E9C-101B-9397-08002B2CF9AE}" pid="7" name="Mendeley Recent Style Name 2_1">
    <vt:lpwstr>BioMed Central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http://www.zotero.org/styles/sage-vancouver-brackets</vt:lpwstr>
  </property>
  <property fmtid="{D5CDD505-2E9C-101B-9397-08002B2CF9AE}" pid="15" name="Mendeley Recent Style Name 6_1">
    <vt:lpwstr>SAGE - Vancouver (brackets)</vt:lpwstr>
  </property>
  <property fmtid="{D5CDD505-2E9C-101B-9397-08002B2CF9AE}" pid="16" name="Mendeley Recent Style Id 7_1">
    <vt:lpwstr>http://www.zotero.org/styles/springer-vancouver</vt:lpwstr>
  </property>
  <property fmtid="{D5CDD505-2E9C-101B-9397-08002B2CF9AE}" pid="17" name="Mendeley Recent Style Name 7_1">
    <vt:lpwstr>Springer - Vancouver</vt:lpwstr>
  </property>
  <property fmtid="{D5CDD505-2E9C-101B-9397-08002B2CF9AE}" pid="18" name="Mendeley Recent Style Id 8_1">
    <vt:lpwstr>http://www.zotero.org/styles/the-lancet-infectious-diseases</vt:lpwstr>
  </property>
  <property fmtid="{D5CDD505-2E9C-101B-9397-08002B2CF9AE}" pid="19" name="Mendeley Recent Style Name 8_1">
    <vt:lpwstr>The Lancet Infectious Diseases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