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0A" w:rsidRDefault="004E4DFF" w:rsidP="00130B7B">
      <w:pPr>
        <w:rPr>
          <w:rFonts w:ascii="Calibri" w:hAnsi="Calibri"/>
          <w:b/>
          <w:sz w:val="24"/>
          <w:szCs w:val="24"/>
          <w:lang w:val="en-GB"/>
        </w:rPr>
      </w:pPr>
      <w:r>
        <w:rPr>
          <w:rFonts w:ascii="Calibri" w:hAnsi="Calibri"/>
          <w:b/>
          <w:sz w:val="24"/>
          <w:szCs w:val="24"/>
          <w:lang w:val="en-GB"/>
        </w:rPr>
        <w:t>Supplementary material</w:t>
      </w:r>
    </w:p>
    <w:p w:rsidR="008C6E0A" w:rsidRDefault="008C6E0A" w:rsidP="00130B7B">
      <w:pPr>
        <w:rPr>
          <w:rFonts w:ascii="Calibri" w:hAnsi="Calibri"/>
          <w:b/>
          <w:sz w:val="24"/>
          <w:szCs w:val="24"/>
          <w:lang w:val="en-GB"/>
        </w:rPr>
      </w:pPr>
    </w:p>
    <w:p w:rsidR="008C6E0A" w:rsidRDefault="008C6E0A" w:rsidP="00130B7B">
      <w:pPr>
        <w:rPr>
          <w:rFonts w:ascii="Calibri" w:hAnsi="Calibri"/>
          <w:b/>
          <w:sz w:val="24"/>
          <w:szCs w:val="24"/>
          <w:lang w:val="en-GB"/>
        </w:rPr>
      </w:pPr>
    </w:p>
    <w:p w:rsidR="00130B7B" w:rsidRPr="00A76907" w:rsidRDefault="00130B7B" w:rsidP="00130B7B">
      <w:pPr>
        <w:rPr>
          <w:rFonts w:ascii="Calibri" w:hAnsi="Calibri"/>
          <w:b/>
          <w:sz w:val="24"/>
          <w:szCs w:val="24"/>
          <w:lang w:val="en-GB"/>
        </w:rPr>
      </w:pPr>
      <w:r w:rsidRPr="00A76907">
        <w:rPr>
          <w:rFonts w:ascii="Calibri" w:hAnsi="Calibri"/>
          <w:b/>
          <w:sz w:val="24"/>
          <w:szCs w:val="24"/>
          <w:lang w:val="en-GB"/>
        </w:rPr>
        <w:t>Description of ICD-9 CM Codes and ICD-10 CM Codes</w:t>
      </w:r>
    </w:p>
    <w:p w:rsidR="00130B7B" w:rsidRDefault="00130B7B" w:rsidP="00130B7B">
      <w:pPr>
        <w:pStyle w:val="Default"/>
        <w:rPr>
          <w:rFonts w:ascii="Calibri" w:hAnsi="Calibri"/>
          <w:b/>
          <w:lang w:val="en-GB"/>
        </w:rPr>
      </w:pPr>
    </w:p>
    <w:p w:rsidR="00130B7B" w:rsidRPr="00361396" w:rsidRDefault="00130B7B" w:rsidP="00130B7B">
      <w:pPr>
        <w:pStyle w:val="Default"/>
        <w:rPr>
          <w:rFonts w:ascii="Calibri" w:hAnsi="Calibri"/>
          <w:lang w:val="en-GB"/>
        </w:rPr>
      </w:pPr>
      <w:r w:rsidRPr="00361396">
        <w:rPr>
          <w:rFonts w:ascii="Calibri" w:hAnsi="Calibri"/>
          <w:b/>
          <w:lang w:val="en-GB"/>
        </w:rPr>
        <w:t>International Classification of Diseases ICD-9 Data</w:t>
      </w:r>
      <w:r w:rsidRPr="00361396">
        <w:rPr>
          <w:rFonts w:ascii="Calibri" w:hAnsi="Calibri"/>
          <w:lang w:val="en-GB"/>
        </w:rPr>
        <w:br/>
        <w:t xml:space="preserve">http://icd9data.com/2015/volume1/580-629/default.htm </w:t>
      </w:r>
    </w:p>
    <w:p w:rsidR="00130B7B" w:rsidRPr="00361396" w:rsidRDefault="00130B7B" w:rsidP="00130B7B">
      <w:pPr>
        <w:rPr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1"/>
        <w:gridCol w:w="7526"/>
      </w:tblGrid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b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b/>
                <w:kern w:val="1"/>
                <w:sz w:val="24"/>
                <w:szCs w:val="24"/>
                <w:lang w:val="en-GB"/>
              </w:rPr>
              <w:t>ICD-9 CM Codes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b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b/>
                <w:kern w:val="1"/>
                <w:sz w:val="24"/>
                <w:szCs w:val="24"/>
                <w:lang w:val="en-GB"/>
              </w:rPr>
              <w:t>Disease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590.1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Acute pyelonephritis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590.10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Acute pyelonephritis without lesion of renal </w:t>
            </w: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medullary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 necrosis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590.11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Acute pyelonephritis with lesion of renal </w:t>
            </w: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medullary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 necrosis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590.2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Renal </w:t>
            </w: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perinephric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 abscess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590.8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Other pyelonephritis or </w:t>
            </w: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pyonephrosis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 not specified as acute or chronic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590.80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Pyelonephritis, unspecified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590.9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Infection of kidney, unspecified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595.0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Acute cystitis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595.89 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Other specified types of cystitis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595.9 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Cystitis, unspecified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599.0 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Urinary tract infection, site not specified (</w:t>
            </w: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urosepsis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 could be included here</w:t>
            </w:r>
            <w:r w:rsidR="00C547F1">
              <w:rPr>
                <w:rFonts w:ascii="Calibri" w:hAnsi="Calibri"/>
                <w:kern w:val="1"/>
                <w:sz w:val="24"/>
                <w:szCs w:val="24"/>
                <w:lang w:val="en-GB"/>
              </w:rPr>
              <w:t>)</w:t>
            </w:r>
          </w:p>
        </w:tc>
      </w:tr>
    </w:tbl>
    <w:p w:rsidR="00130B7B" w:rsidRDefault="00130B7B" w:rsidP="00130B7B">
      <w:pPr>
        <w:pStyle w:val="Default"/>
        <w:rPr>
          <w:rFonts w:ascii="Calibri" w:hAnsi="Calibri"/>
          <w:b/>
          <w:lang w:val="en-GB"/>
        </w:rPr>
      </w:pPr>
    </w:p>
    <w:p w:rsidR="00130B7B" w:rsidRDefault="00130B7B" w:rsidP="00130B7B">
      <w:pPr>
        <w:pStyle w:val="Default"/>
        <w:rPr>
          <w:rFonts w:ascii="Calibri" w:hAnsi="Calibri"/>
          <w:b/>
          <w:lang w:val="en-GB"/>
        </w:rPr>
      </w:pPr>
    </w:p>
    <w:p w:rsidR="00130B7B" w:rsidRPr="00361396" w:rsidRDefault="00130B7B" w:rsidP="00130B7B">
      <w:pPr>
        <w:pStyle w:val="Default"/>
        <w:rPr>
          <w:rFonts w:ascii="Calibri" w:hAnsi="Calibri"/>
          <w:lang w:val="en-GB"/>
        </w:rPr>
      </w:pPr>
      <w:proofErr w:type="gramStart"/>
      <w:r w:rsidRPr="00361396">
        <w:rPr>
          <w:rFonts w:ascii="Calibri" w:hAnsi="Calibri"/>
          <w:b/>
          <w:lang w:val="en-GB"/>
        </w:rPr>
        <w:t>International Statistical Classification of diseases and related health Problems 10th Revision.</w:t>
      </w:r>
      <w:proofErr w:type="gramEnd"/>
      <w:r w:rsidRPr="00361396">
        <w:rPr>
          <w:rFonts w:ascii="Calibri" w:hAnsi="Calibri"/>
          <w:b/>
          <w:lang w:val="en-GB"/>
        </w:rPr>
        <w:t xml:space="preserve"> </w:t>
      </w:r>
      <w:proofErr w:type="gramStart"/>
      <w:r w:rsidRPr="00361396">
        <w:rPr>
          <w:rFonts w:ascii="Calibri" w:hAnsi="Calibri"/>
          <w:b/>
          <w:lang w:val="en-GB"/>
        </w:rPr>
        <w:t>ICD-10.</w:t>
      </w:r>
      <w:proofErr w:type="gramEnd"/>
      <w:r w:rsidRPr="00361396">
        <w:rPr>
          <w:rFonts w:ascii="Calibri" w:hAnsi="Calibri"/>
          <w:b/>
          <w:lang w:val="en-GB"/>
        </w:rPr>
        <w:t xml:space="preserve"> </w:t>
      </w:r>
      <w:proofErr w:type="gramStart"/>
      <w:r w:rsidRPr="00361396">
        <w:rPr>
          <w:rFonts w:ascii="Calibri" w:hAnsi="Calibri"/>
          <w:b/>
          <w:lang w:val="en-GB"/>
        </w:rPr>
        <w:t>Version 2015.</w:t>
      </w:r>
      <w:proofErr w:type="gramEnd"/>
      <w:r w:rsidRPr="00361396">
        <w:rPr>
          <w:rFonts w:ascii="Calibri" w:hAnsi="Calibri"/>
          <w:lang w:val="en-GB"/>
        </w:rPr>
        <w:br/>
        <w:t xml:space="preserve">http://apps.who.int/classifications/icd10/browse/2015/en </w:t>
      </w:r>
    </w:p>
    <w:p w:rsidR="00130B7B" w:rsidRPr="00361396" w:rsidRDefault="00130B7B" w:rsidP="00130B7B">
      <w:pPr>
        <w:rPr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8"/>
        <w:gridCol w:w="8138"/>
      </w:tblGrid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b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b/>
                <w:kern w:val="1"/>
                <w:sz w:val="24"/>
                <w:szCs w:val="24"/>
                <w:lang w:val="en-GB"/>
              </w:rPr>
              <w:t>ICD-10 CM Codes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b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b/>
                <w:kern w:val="1"/>
                <w:sz w:val="24"/>
                <w:szCs w:val="24"/>
                <w:lang w:val="en-GB"/>
              </w:rPr>
              <w:t>Disease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N10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Acute </w:t>
            </w: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tubulo-intersticial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 nephritis, including Acute Infectious interstitial nephritis, Acute </w:t>
            </w: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pyelitis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, and Acute pyelonephritis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N12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Tubulo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-interstitial nephritis, not specified as acute or chronic including </w:t>
            </w: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Intersticial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 nephritis NOS, </w:t>
            </w: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Pyelitis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 NOS, and Pyelonephritis NOS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N13.6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Pyonephrosis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, includes Obstructive uropathy with infection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N15.1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Renal and </w:t>
            </w: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perinephric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 abscess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N15.9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Renal </w:t>
            </w:r>
            <w:proofErr w:type="spellStart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tubulo-intersticial</w:t>
            </w:r>
            <w:proofErr w:type="spellEnd"/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 disease, unspecified including Infection of kidney NOS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N30.0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Acute cystitis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N30.8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Other cystitis including Abscess of bladder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 xml:space="preserve">N30.9 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Cystitis, unspecified</w:t>
            </w:r>
          </w:p>
        </w:tc>
      </w:tr>
      <w:tr w:rsidR="00130B7B" w:rsidRPr="00361396" w:rsidTr="009A772D"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N39.0</w:t>
            </w:r>
          </w:p>
        </w:tc>
        <w:tc>
          <w:tcPr>
            <w:tcW w:w="0" w:type="auto"/>
          </w:tcPr>
          <w:p w:rsidR="00130B7B" w:rsidRPr="00A76907" w:rsidRDefault="00130B7B" w:rsidP="009A772D">
            <w:pPr>
              <w:rPr>
                <w:rFonts w:ascii="Calibri" w:hAnsi="Calibri"/>
                <w:kern w:val="1"/>
                <w:sz w:val="24"/>
                <w:szCs w:val="24"/>
                <w:lang w:val="en-GB"/>
              </w:rPr>
            </w:pPr>
            <w:r w:rsidRPr="00A76907">
              <w:rPr>
                <w:rFonts w:ascii="Calibri" w:hAnsi="Calibri"/>
                <w:kern w:val="1"/>
                <w:sz w:val="24"/>
                <w:szCs w:val="24"/>
                <w:lang w:val="en-GB"/>
              </w:rPr>
              <w:t>Urinary tract infection, site not specified</w:t>
            </w:r>
          </w:p>
        </w:tc>
      </w:tr>
    </w:tbl>
    <w:p w:rsidR="00130B7B" w:rsidRPr="00361396" w:rsidRDefault="00130B7B" w:rsidP="00130B7B">
      <w:pPr>
        <w:rPr>
          <w:sz w:val="24"/>
          <w:szCs w:val="24"/>
          <w:lang w:val="en-GB"/>
        </w:rPr>
      </w:pPr>
    </w:p>
    <w:p w:rsidR="00130B7B" w:rsidRPr="00A76907" w:rsidRDefault="00130B7B" w:rsidP="00130B7B">
      <w:pPr>
        <w:rPr>
          <w:lang w:val="en-GB"/>
        </w:rPr>
      </w:pPr>
    </w:p>
    <w:p w:rsidR="00130B7B" w:rsidRDefault="00130B7B" w:rsidP="00130B7B">
      <w:pPr>
        <w:rPr>
          <w:lang w:val="en-US"/>
        </w:rPr>
      </w:pPr>
    </w:p>
    <w:p w:rsidR="00130B7B" w:rsidRDefault="00130B7B" w:rsidP="00130B7B">
      <w:pPr>
        <w:rPr>
          <w:lang w:val="en-US"/>
        </w:rPr>
      </w:pPr>
    </w:p>
    <w:p w:rsidR="008E0B3B" w:rsidRDefault="005431A9">
      <w:pPr>
        <w:rPr>
          <w:lang w:val="en-US"/>
        </w:rPr>
      </w:pPr>
    </w:p>
    <w:p w:rsidR="004E4DFF" w:rsidRPr="00C31CD4" w:rsidRDefault="007E1C1B" w:rsidP="004E4DFF">
      <w:pPr>
        <w:spacing w:line="480" w:lineRule="auto"/>
        <w:jc w:val="both"/>
        <w:rPr>
          <w:rFonts w:ascii="Calibri" w:hAnsi="Calibri" w:cs="Calibri"/>
          <w:b/>
          <w:sz w:val="24"/>
          <w:szCs w:val="24"/>
          <w:lang w:val="en-US"/>
        </w:rPr>
      </w:pPr>
      <w:r>
        <w:rPr>
          <w:rFonts w:ascii="Calibri" w:hAnsi="Calibri" w:cs="Calibri"/>
          <w:b/>
          <w:sz w:val="24"/>
          <w:szCs w:val="24"/>
          <w:lang w:val="en-US"/>
        </w:rPr>
        <w:lastRenderedPageBreak/>
        <w:t>Calculating the r</w:t>
      </w:r>
      <w:r w:rsidR="004E4DFF" w:rsidRPr="00C31CD4">
        <w:rPr>
          <w:rFonts w:ascii="Calibri" w:hAnsi="Calibri" w:cs="Calibri"/>
          <w:b/>
          <w:sz w:val="24"/>
          <w:szCs w:val="24"/>
          <w:lang w:val="en-US"/>
        </w:rPr>
        <w:t xml:space="preserve">isk of </w:t>
      </w:r>
      <w:r>
        <w:rPr>
          <w:rFonts w:ascii="Calibri" w:hAnsi="Calibri" w:cs="Calibri"/>
          <w:b/>
          <w:sz w:val="24"/>
          <w:szCs w:val="24"/>
          <w:lang w:val="en-US"/>
        </w:rPr>
        <w:t>Multidrug-Resista</w:t>
      </w:r>
      <w:r w:rsidR="0033580A">
        <w:rPr>
          <w:rFonts w:ascii="Calibri" w:hAnsi="Calibri" w:cs="Calibri"/>
          <w:b/>
          <w:sz w:val="24"/>
          <w:szCs w:val="24"/>
          <w:lang w:val="en-US"/>
        </w:rPr>
        <w:t>nt (MDR) Gram-negative bacteria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(GNB) infections in new patients with complicated urinary tract i</w:t>
      </w:r>
      <w:bookmarkStart w:id="0" w:name="_GoBack"/>
      <w:bookmarkEnd w:id="0"/>
      <w:r w:rsidR="004E4DFF" w:rsidRPr="00C31CD4">
        <w:rPr>
          <w:rFonts w:ascii="Calibri" w:hAnsi="Calibri" w:cs="Calibri"/>
          <w:b/>
          <w:sz w:val="24"/>
          <w:szCs w:val="24"/>
          <w:lang w:val="en-US"/>
        </w:rPr>
        <w:t>nfections (UTIs)</w:t>
      </w:r>
    </w:p>
    <w:p w:rsidR="004E4DFF" w:rsidRPr="00C31CD4" w:rsidRDefault="004E4DFF" w:rsidP="004E4DFF">
      <w:pPr>
        <w:spacing w:line="48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C31CD4">
        <w:rPr>
          <w:rFonts w:ascii="Calibri" w:hAnsi="Calibri" w:cs="Calibri"/>
          <w:sz w:val="24"/>
          <w:szCs w:val="24"/>
          <w:lang w:val="en-US"/>
        </w:rPr>
        <w:t>The p</w:t>
      </w:r>
      <w:r w:rsidR="0033580A">
        <w:rPr>
          <w:rFonts w:ascii="Calibri" w:hAnsi="Calibri" w:cs="Calibri"/>
          <w:sz w:val="24"/>
          <w:szCs w:val="24"/>
          <w:lang w:val="en-US"/>
        </w:rPr>
        <w:t>robability of developing an MDR-</w:t>
      </w:r>
      <w:r w:rsidRPr="00C31CD4">
        <w:rPr>
          <w:rFonts w:ascii="Calibri" w:hAnsi="Calibri" w:cs="Calibri"/>
          <w:sz w:val="24"/>
          <w:szCs w:val="24"/>
          <w:lang w:val="en-US"/>
        </w:rPr>
        <w:t>GNB infection in a particular patient can be calculated as follows:</w:t>
      </w:r>
    </w:p>
    <w:p w:rsidR="004E4DFF" w:rsidRPr="00C31CD4" w:rsidRDefault="004E4DFF" w:rsidP="004E4DFF">
      <w:pPr>
        <w:spacing w:line="480" w:lineRule="auto"/>
        <w:ind w:left="709"/>
        <w:jc w:val="both"/>
        <w:rPr>
          <w:rFonts w:ascii="Calibri" w:eastAsia="Yu Mincho" w:hAnsi="Calibri" w:cs="Calibri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Calibri"/>
              <w:sz w:val="24"/>
              <w:szCs w:val="24"/>
              <w:lang w:val="en-US"/>
            </w:rPr>
            <m:t>P</m:t>
          </m:r>
          <m:d>
            <m:dPr>
              <m:ctrlPr>
                <w:rPr>
                  <w:rFonts w:ascii="Cambria Math" w:hAnsi="Cambria Math" w:cs="Calibri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Calibri"/>
                  <w:sz w:val="24"/>
                  <w:szCs w:val="24"/>
                  <w:lang w:val="en-US"/>
                </w:rPr>
                <m:t>MDR</m:t>
              </m:r>
            </m:e>
          </m:d>
          <m:r>
            <w:rPr>
              <w:rFonts w:ascii="Cambria Math" w:hAnsi="Cambria Math" w:cs="Calibr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Calibri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Calibri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Calibri"/>
                  <w:sz w:val="24"/>
                  <w:szCs w:val="24"/>
                  <w:lang w:val="en-US"/>
                </w:rPr>
                <m:t>1+exp</m:t>
              </m:r>
              <m:d>
                <m:d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val="en-US"/>
                    </w:rPr>
                    <m:t>-</m:t>
                  </m:r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Calibri"/>
                          <w:sz w:val="24"/>
                          <w:szCs w:val="24"/>
                          <w:lang w:val="en-US"/>
                        </w:rPr>
                      </m:ctrlPr>
                    </m:naryPr>
                    <m:sub/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  <w:sz w:val="24"/>
                          <w:szCs w:val="24"/>
                          <w:lang w:val="en-US"/>
                        </w:rPr>
                        <m:t>βx</m:t>
                      </m:r>
                    </m:e>
                  </m:nary>
                </m:e>
              </m:d>
            </m:den>
          </m:f>
        </m:oMath>
      </m:oMathPara>
    </w:p>
    <w:p w:rsidR="004E4DFF" w:rsidRPr="00C31CD4" w:rsidRDefault="004E4DFF" w:rsidP="004E4DFF">
      <w:pPr>
        <w:spacing w:line="480" w:lineRule="auto"/>
        <w:rPr>
          <w:rFonts w:ascii="Calibri" w:eastAsia="Yu Mincho" w:hAnsi="Calibri" w:cs="Calibri"/>
          <w:sz w:val="24"/>
          <w:szCs w:val="24"/>
          <w:lang w:val="en-US"/>
        </w:rPr>
      </w:pPr>
      <w:proofErr w:type="gramStart"/>
      <w:r w:rsidRPr="00C31CD4">
        <w:rPr>
          <w:rFonts w:ascii="Calibri" w:eastAsia="Yu Mincho" w:hAnsi="Calibri" w:cs="Calibri"/>
          <w:sz w:val="24"/>
          <w:szCs w:val="24"/>
          <w:lang w:val="en-US"/>
        </w:rPr>
        <w:t>where</w:t>
      </w:r>
      <w:proofErr w:type="gramEnd"/>
      <w:r w:rsidRPr="00C31CD4">
        <w:rPr>
          <w:rFonts w:ascii="Calibri" w:eastAsia="Yu Mincho" w:hAnsi="Calibri" w:cs="Calibri"/>
          <w:sz w:val="24"/>
          <w:szCs w:val="24"/>
          <w:lang w:val="en-US"/>
        </w:rPr>
        <w:t xml:space="preserve"> </w:t>
      </w:r>
      <m:oMath>
        <m:d>
          <m:d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dPr>
          <m:e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  <m:t>βx</m:t>
                </m:r>
              </m:e>
            </m:nary>
          </m:e>
        </m:d>
      </m:oMath>
      <w:r w:rsidRPr="00C31CD4">
        <w:rPr>
          <w:rFonts w:ascii="Calibri" w:eastAsia="Yu Mincho" w:hAnsi="Calibri" w:cs="Calibri"/>
          <w:sz w:val="24"/>
          <w:szCs w:val="24"/>
          <w:lang w:val="en-US"/>
        </w:rPr>
        <w:t xml:space="preserve"> is the linear function of key predictors in the model. Each predictor is multiplied by its corresponding </w:t>
      </w:r>
      <w:r w:rsidR="00C547F1" w:rsidRPr="001C737D">
        <w:rPr>
          <w:position w:val="-5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9pt;height:13.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87A43&quot;/&gt;&lt;wsp:rsid wsp:val=&quot;00316A26&quot;/&gt;&lt;wsp:rsid wsp:val=&quot;006C643C&quot;/&gt;&lt;wsp:rsid wsp:val=&quot;00E52256&quot;/&gt;&lt;wsp:rsid wsp:val=&quot;00F87A43&quot;/&gt;&lt;/wsp:rsids&gt;&lt;/w:docPr&gt;&lt;w:body&gt;&lt;wx:sect&gt;&lt;w:p wsp:rsidR=&quot;00000000&quot; wsp:rsidRDefault=&quot;00316A26&quot; wsp:rsidP=&quot;00316A26&quot;&gt;&lt;m:oMathPara&gt;&lt;m:oMath&gt;&lt;m:r&gt;&lt;m:rPr&gt;&lt;m:sty m:val=&quot;p&quot;/&gt;&lt;/m:rPr&gt;&lt;w:rPr&gt;&lt;w:rFonts w:ascii=&quot;Cambria Math&quot; w:fareast=&quot;Yu Mincho&quot; w:h-ansi=&quot;Cambria Math&quot; w:cs=&quot;Calibri&quot;/&gt;&lt;wx:font wx:val=&quot;Cambria Math&quot;/&gt;&lt;w:sz w:val=&quot;24&quot;/&gt;&lt;w:sz-cs w:val=&quot;24&quot;/&gt;&lt;w:lang w:val=&quot;EN-US&quot;/&gt;&lt;/w:rPr&gt;&lt;m:t&gt;Î_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C31CD4">
        <w:rPr>
          <w:rFonts w:ascii="Calibri" w:eastAsia="Yu Mincho" w:hAnsi="Calibri" w:cs="Calibri"/>
          <w:sz w:val="24"/>
          <w:szCs w:val="24"/>
          <w:lang w:val="en-US"/>
        </w:rPr>
        <w:t xml:space="preserve"> as in the table below.</w:t>
      </w:r>
    </w:p>
    <w:p w:rsidR="004E4DFF" w:rsidRPr="00C31CD4" w:rsidRDefault="004E4DFF" w:rsidP="004E4DFF">
      <w:pPr>
        <w:spacing w:line="480" w:lineRule="auto"/>
        <w:ind w:firstLine="708"/>
        <w:rPr>
          <w:rFonts w:ascii="Calibri" w:eastAsia="Yu Mincho" w:hAnsi="Calibri" w:cs="Calibri"/>
          <w:sz w:val="24"/>
          <w:szCs w:val="24"/>
          <w:lang w:val="en-US"/>
        </w:rPr>
      </w:pPr>
      <w:r w:rsidRPr="00C31CD4">
        <w:rPr>
          <w:rFonts w:ascii="Calibri" w:eastAsia="Yu Mincho" w:hAnsi="Calibri" w:cs="Calibri"/>
          <w:sz w:val="24"/>
          <w:szCs w:val="24"/>
          <w:lang w:val="en-US"/>
        </w:rPr>
        <w:t>For illustrative purposes, we calculate here the MDR</w:t>
      </w:r>
      <w:r w:rsidR="0033580A">
        <w:rPr>
          <w:rFonts w:ascii="Calibri" w:eastAsia="Yu Mincho" w:hAnsi="Calibri" w:cs="Calibri"/>
          <w:sz w:val="24"/>
          <w:szCs w:val="24"/>
          <w:lang w:val="en-US"/>
        </w:rPr>
        <w:t>-</w:t>
      </w:r>
      <w:r w:rsidRPr="00C31CD4">
        <w:rPr>
          <w:rFonts w:ascii="Calibri" w:eastAsia="Yu Mincho" w:hAnsi="Calibri" w:cs="Calibri"/>
          <w:sz w:val="24"/>
          <w:szCs w:val="24"/>
          <w:lang w:val="en-US"/>
        </w:rPr>
        <w:t>GNB risk for a male, who acquired a cUTI in a medical facility, has an indwelling urinary catheter, has not had a UTI within the previous year, and has received antibiotic treatment within the previous 30 days.</w:t>
      </w:r>
    </w:p>
    <w:p w:rsidR="004E4DFF" w:rsidRPr="00C31CD4" w:rsidRDefault="004E4DFF" w:rsidP="004E4DFF">
      <w:pPr>
        <w:spacing w:line="480" w:lineRule="auto"/>
        <w:ind w:firstLine="708"/>
        <w:rPr>
          <w:rFonts w:ascii="Calibri" w:eastAsia="Yu Mincho" w:hAnsi="Calibri" w:cs="Calibri"/>
          <w:sz w:val="24"/>
          <w:szCs w:val="24"/>
          <w:lang w:val="en-US"/>
        </w:rPr>
      </w:pPr>
    </w:p>
    <w:tbl>
      <w:tblPr>
        <w:tblW w:w="5182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402"/>
        <w:gridCol w:w="1211"/>
        <w:gridCol w:w="969"/>
        <w:gridCol w:w="1427"/>
        <w:gridCol w:w="1544"/>
        <w:gridCol w:w="1372"/>
      </w:tblGrid>
      <w:tr w:rsidR="004E4DFF" w:rsidRPr="00C31CD4" w:rsidTr="005058BE">
        <w:trPr>
          <w:jc w:val="center"/>
        </w:trPr>
        <w:tc>
          <w:tcPr>
            <w:tcW w:w="1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</w:pPr>
            <w:r w:rsidRPr="00C31CD4"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  <w:t>Key Factor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</w:pPr>
            <w:r w:rsidRPr="00C31CD4"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  <w:t>Log-Odds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</w:pPr>
            <w:r w:rsidRPr="00C31CD4"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  <w:t>Patient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</w:pPr>
            <w:r w:rsidRPr="00C31CD4"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  <w:t>90% High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</w:pPr>
            <w:r w:rsidRPr="00C31CD4"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  <w:t>Average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</w:pPr>
            <w:r w:rsidRPr="00C31CD4">
              <w:rPr>
                <w:rFonts w:ascii="Calibri" w:eastAsia="Yu Mincho" w:hAnsi="Calibri" w:cs="Calibri"/>
                <w:b/>
                <w:sz w:val="24"/>
                <w:szCs w:val="24"/>
                <w:lang w:val="en-US"/>
              </w:rPr>
              <w:t>10% Low</w:t>
            </w:r>
          </w:p>
        </w:tc>
      </w:tr>
      <w:tr w:rsidR="004E4DFF" w:rsidRPr="00C31CD4" w:rsidTr="005058BE">
        <w:trPr>
          <w:jc w:val="center"/>
        </w:trPr>
        <w:tc>
          <w:tcPr>
            <w:tcW w:w="17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rPr>
                <w:rFonts w:ascii="Calibri" w:eastAsia="Yu Mincho" w:hAnsi="Calibri" w:cs="Calibri"/>
                <w:sz w:val="24"/>
                <w:szCs w:val="24"/>
                <w:lang w:val="en-US"/>
              </w:rPr>
            </w:pPr>
            <w:r w:rsidRPr="00C31CD4">
              <w:rPr>
                <w:rFonts w:ascii="Calibri" w:eastAsia="Yu Mincho" w:hAnsi="Calibri" w:cs="Calibri"/>
                <w:sz w:val="24"/>
                <w:szCs w:val="24"/>
                <w:lang w:val="en-US"/>
              </w:rPr>
              <w:t>(Intercept)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-2.31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--</w:t>
            </w:r>
          </w:p>
        </w:tc>
        <w:tc>
          <w:tcPr>
            <w:tcW w:w="7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-2.98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-2.31</w:t>
            </w:r>
          </w:p>
        </w:tc>
        <w:tc>
          <w:tcPr>
            <w:tcW w:w="6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4DFF" w:rsidRPr="00C31CD4" w:rsidRDefault="004E4DFF" w:rsidP="005058B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-1.72</w:t>
            </w:r>
          </w:p>
        </w:tc>
      </w:tr>
      <w:tr w:rsidR="004E4DFF" w:rsidRPr="00C31CD4" w:rsidTr="005058BE">
        <w:trPr>
          <w:jc w:val="center"/>
        </w:trPr>
        <w:tc>
          <w:tcPr>
            <w:tcW w:w="1714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rPr>
                <w:rFonts w:ascii="Calibri" w:eastAsia="Yu Mincho" w:hAnsi="Calibri" w:cs="Calibri"/>
                <w:sz w:val="24"/>
                <w:szCs w:val="24"/>
                <w:lang w:val="en-US"/>
              </w:rPr>
            </w:pPr>
            <w:r w:rsidRPr="00C31CD4">
              <w:rPr>
                <w:rFonts w:ascii="Calibri" w:eastAsia="Yu Mincho" w:hAnsi="Calibri" w:cs="Calibri"/>
                <w:sz w:val="24"/>
                <w:szCs w:val="24"/>
                <w:lang w:val="en-US"/>
              </w:rPr>
              <w:t>Females/males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0.51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Males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0.51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0.51×1=0.51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0.51</w:t>
            </w:r>
          </w:p>
        </w:tc>
      </w:tr>
      <w:tr w:rsidR="004E4DFF" w:rsidRPr="00C31CD4" w:rsidTr="005058BE">
        <w:trPr>
          <w:jc w:val="center"/>
        </w:trPr>
        <w:tc>
          <w:tcPr>
            <w:tcW w:w="1714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contextualSpacing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Acquisition in a medical facility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0.95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0.95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0.95×1=0.95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0.95</w:t>
            </w:r>
          </w:p>
        </w:tc>
      </w:tr>
      <w:tr w:rsidR="004E4DFF" w:rsidRPr="00C31CD4" w:rsidTr="005058BE">
        <w:trPr>
          <w:jc w:val="center"/>
        </w:trPr>
        <w:tc>
          <w:tcPr>
            <w:tcW w:w="1714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contextualSpacing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Indwelling urinary catheter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0.36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0.36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0.36×1=0.36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0.36</w:t>
            </w:r>
          </w:p>
        </w:tc>
      </w:tr>
      <w:tr w:rsidR="004E4DFF" w:rsidRPr="00C31CD4" w:rsidTr="005058BE">
        <w:trPr>
          <w:jc w:val="center"/>
        </w:trPr>
        <w:tc>
          <w:tcPr>
            <w:tcW w:w="1714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rPr>
                <w:rFonts w:ascii="Calibri" w:eastAsia="Yu Mincho" w:hAnsi="Calibri" w:cs="Calibri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UTI within the previous year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0.64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0.64×0=0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4E4DFF" w:rsidRPr="00C31CD4" w:rsidTr="005058BE">
        <w:trPr>
          <w:jc w:val="center"/>
        </w:trPr>
        <w:tc>
          <w:tcPr>
            <w:tcW w:w="1714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rPr>
                <w:rFonts w:ascii="Calibri" w:eastAsia="Yu Mincho" w:hAnsi="Calibri" w:cs="Calibri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Antibiotic treatment within the previous 30 days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0.52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0.52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0.52×1=0.52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0.52</w:t>
            </w:r>
          </w:p>
        </w:tc>
      </w:tr>
      <w:tr w:rsidR="004E4DFF" w:rsidRPr="00C31CD4" w:rsidTr="005058BE">
        <w:trPr>
          <w:jc w:val="center"/>
        </w:trPr>
        <w:tc>
          <w:tcPr>
            <w:tcW w:w="1714" w:type="pct"/>
            <w:shd w:val="clear" w:color="auto" w:fill="auto"/>
            <w:vAlign w:val="center"/>
          </w:tcPr>
          <w:p w:rsidR="004E4DFF" w:rsidRPr="00C31CD4" w:rsidRDefault="001C737D" w:rsidP="005058BE">
            <w:pPr>
              <w:spacing w:line="480" w:lineRule="auto"/>
              <w:rPr>
                <w:rFonts w:ascii="Calibri" w:eastAsia="Yu Mincho" w:hAnsi="Calibri" w:cs="Calibri"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Calibri"/>
                        <w:sz w:val="24"/>
                        <w:szCs w:val="24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  <m:t>βx</m:t>
                        </m:r>
                      </m:e>
                    </m:nary>
                  </m:e>
                </m:d>
              </m:oMath>
            </m:oMathPara>
          </w:p>
        </w:tc>
        <w:tc>
          <w:tcPr>
            <w:tcW w:w="610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-1.03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0.03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1.57</w:t>
            </w:r>
          </w:p>
        </w:tc>
      </w:tr>
      <w:tr w:rsidR="004E4DFF" w:rsidRPr="00C31CD4" w:rsidTr="005058BE">
        <w:trPr>
          <w:jc w:val="center"/>
        </w:trPr>
        <w:tc>
          <w:tcPr>
            <w:tcW w:w="1714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Calibri"/>
                    <w:sz w:val="24"/>
                    <w:szCs w:val="24"/>
                  </w:rPr>
                  <w:lastRenderedPageBreak/>
                  <m:t>P</m:t>
                </m:r>
                <m:d>
                  <m:d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Calibri"/>
                        <w:sz w:val="24"/>
                        <w:szCs w:val="24"/>
                      </w:rPr>
                      <m:t>MDR</m:t>
                    </m:r>
                  </m:e>
                </m:d>
                <m:r>
                  <w:rPr>
                    <w:rFonts w:ascii="Cambria Math" w:hAnsi="Cambria Math" w:cs="Calibri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Calibri"/>
                        <w:sz w:val="24"/>
                        <w:szCs w:val="24"/>
                      </w:rPr>
                      <m:t>1+exp</m:t>
                    </m:r>
                    <m:d>
                      <m:dPr>
                        <m:ctrlPr>
                          <w:rPr>
                            <w:rFonts w:ascii="Cambria Math" w:hAnsi="Cambria Math" w:cs="Calibr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  <m:t>-</m:t>
                        </m:r>
                        <m:nary>
                          <m:naryPr>
                            <m:chr m:val="∑"/>
                            <m:limLoc m:val="undOvr"/>
                            <m:subHide m:val="on"/>
                            <m:supHide m:val="on"/>
                            <m:ctrlPr>
                              <w:rPr>
                                <w:rFonts w:ascii="Cambria Math" w:hAnsi="Cambria Math" w:cs="Calibri"/>
                                <w:sz w:val="24"/>
                                <w:szCs w:val="24"/>
                              </w:rPr>
                            </m:ctrlPr>
                          </m:naryPr>
                          <m:sub/>
                          <m:sup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libri"/>
                                <w:sz w:val="24"/>
                                <w:szCs w:val="24"/>
                              </w:rPr>
                              <m:t>βx</m:t>
                            </m:r>
                          </m:e>
                        </m:nary>
                      </m:e>
                    </m:d>
                  </m:den>
                </m:f>
              </m:oMath>
            </m:oMathPara>
          </w:p>
        </w:tc>
        <w:tc>
          <w:tcPr>
            <w:tcW w:w="610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0.65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0.49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4E4DFF" w:rsidRPr="00C31CD4" w:rsidRDefault="004E4DFF" w:rsidP="005058BE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C31CD4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0.35</w:t>
            </w:r>
          </w:p>
        </w:tc>
      </w:tr>
    </w:tbl>
    <w:p w:rsidR="004E4DFF" w:rsidRPr="00C31CD4" w:rsidRDefault="004E4DFF" w:rsidP="004E4DFF">
      <w:pPr>
        <w:spacing w:line="480" w:lineRule="auto"/>
        <w:rPr>
          <w:rFonts w:ascii="Calibri" w:eastAsia="Yu Mincho" w:hAnsi="Calibri" w:cs="Calibri"/>
          <w:sz w:val="24"/>
          <w:szCs w:val="24"/>
          <w:lang w:val="en-US"/>
        </w:rPr>
      </w:pPr>
    </w:p>
    <w:p w:rsidR="004E4DFF" w:rsidRPr="00C31CD4" w:rsidRDefault="004E4DFF" w:rsidP="004E4DFF">
      <w:pPr>
        <w:spacing w:line="480" w:lineRule="auto"/>
        <w:rPr>
          <w:rFonts w:ascii="Calibri" w:hAnsi="Calibri" w:cs="Calibri"/>
          <w:sz w:val="24"/>
          <w:szCs w:val="24"/>
          <w:lang w:val="en-US"/>
        </w:rPr>
      </w:pPr>
      <w:r w:rsidRPr="00C31CD4">
        <w:rPr>
          <w:rFonts w:ascii="Calibri" w:hAnsi="Calibri" w:cs="Calibri"/>
          <w:sz w:val="24"/>
          <w:szCs w:val="24"/>
          <w:lang w:val="en-US"/>
        </w:rPr>
        <w:t>Based on the calculation, the risk f</w:t>
      </w:r>
      <w:r w:rsidR="0033580A">
        <w:rPr>
          <w:rFonts w:ascii="Calibri" w:hAnsi="Calibri" w:cs="Calibri"/>
          <w:sz w:val="24"/>
          <w:szCs w:val="24"/>
          <w:lang w:val="en-US"/>
        </w:rPr>
        <w:t>or such a patient having an MDR-</w:t>
      </w:r>
      <w:r w:rsidRPr="00C31CD4">
        <w:rPr>
          <w:rFonts w:ascii="Calibri" w:hAnsi="Calibri" w:cs="Calibri"/>
          <w:sz w:val="24"/>
          <w:szCs w:val="24"/>
          <w:lang w:val="en-US"/>
        </w:rPr>
        <w:t>GNB infection</w:t>
      </w:r>
      <w:r w:rsidRPr="00C31CD4">
        <w:rPr>
          <w:rFonts w:ascii="Calibri" w:eastAsia="Yu Mincho" w:hAnsi="Calibri" w:cs="Calibri"/>
          <w:sz w:val="24"/>
          <w:szCs w:val="24"/>
          <w:lang w:val="en-US"/>
        </w:rPr>
        <w:t xml:space="preserve"> </w:t>
      </w:r>
      <w:r w:rsidRPr="00C31CD4">
        <w:rPr>
          <w:rFonts w:ascii="Calibri" w:hAnsi="Calibri" w:cs="Calibri"/>
          <w:sz w:val="24"/>
          <w:szCs w:val="24"/>
          <w:lang w:val="en-US"/>
        </w:rPr>
        <w:t xml:space="preserve">is </w:t>
      </w:r>
      <w:r w:rsidRPr="00C31CD4">
        <w:rPr>
          <w:rFonts w:ascii="Calibri" w:hAnsi="Calibri" w:cs="Calibri"/>
          <w:b/>
          <w:sz w:val="24"/>
          <w:szCs w:val="24"/>
          <w:lang w:val="en-US"/>
        </w:rPr>
        <w:t>49%</w:t>
      </w:r>
      <w:r w:rsidRPr="00C31CD4">
        <w:rPr>
          <w:rFonts w:ascii="Calibri" w:hAnsi="Calibri" w:cs="Calibri"/>
          <w:sz w:val="24"/>
          <w:szCs w:val="24"/>
          <w:lang w:val="en-US"/>
        </w:rPr>
        <w:t xml:space="preserve"> when assisted in an average center, </w:t>
      </w:r>
      <w:r w:rsidRPr="00C31CD4">
        <w:rPr>
          <w:rFonts w:ascii="Calibri" w:hAnsi="Calibri" w:cs="Calibri"/>
          <w:b/>
          <w:sz w:val="24"/>
          <w:szCs w:val="24"/>
          <w:lang w:val="en-US"/>
        </w:rPr>
        <w:t>35</w:t>
      </w:r>
      <w:r w:rsidRPr="00C31CD4">
        <w:rPr>
          <w:rFonts w:ascii="Calibri" w:hAnsi="Calibri" w:cs="Calibri"/>
          <w:sz w:val="24"/>
          <w:szCs w:val="24"/>
          <w:lang w:val="en-US"/>
        </w:rPr>
        <w:t xml:space="preserve">% if in a center with low MDR </w:t>
      </w:r>
      <w:proofErr w:type="gramStart"/>
      <w:r w:rsidRPr="00C31CD4">
        <w:rPr>
          <w:rFonts w:ascii="Calibri" w:hAnsi="Calibri" w:cs="Calibri"/>
          <w:sz w:val="24"/>
          <w:szCs w:val="24"/>
          <w:lang w:val="en-US"/>
        </w:rPr>
        <w:t>incidence,</w:t>
      </w:r>
      <w:proofErr w:type="gramEnd"/>
      <w:r w:rsidRPr="00C31CD4">
        <w:rPr>
          <w:rFonts w:ascii="Calibri" w:hAnsi="Calibri" w:cs="Calibri"/>
          <w:sz w:val="24"/>
          <w:szCs w:val="24"/>
          <w:lang w:val="en-US"/>
        </w:rPr>
        <w:t xml:space="preserve"> and </w:t>
      </w:r>
      <w:r w:rsidRPr="00C31CD4">
        <w:rPr>
          <w:rFonts w:ascii="Calibri" w:hAnsi="Calibri" w:cs="Calibri"/>
          <w:b/>
          <w:sz w:val="24"/>
          <w:szCs w:val="24"/>
          <w:lang w:val="en-US"/>
        </w:rPr>
        <w:t>65</w:t>
      </w:r>
      <w:r w:rsidRPr="00C31CD4">
        <w:rPr>
          <w:rFonts w:ascii="Calibri" w:hAnsi="Calibri" w:cs="Calibri"/>
          <w:sz w:val="24"/>
          <w:szCs w:val="24"/>
          <w:lang w:val="en-US"/>
        </w:rPr>
        <w:t>% if in a center with high MDR incidence.</w:t>
      </w: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Default="004E4DFF" w:rsidP="004E4DFF">
      <w:pPr>
        <w:rPr>
          <w:lang w:val="en-US"/>
        </w:rPr>
      </w:pPr>
    </w:p>
    <w:p w:rsidR="004E4DFF" w:rsidRPr="00130B7B" w:rsidRDefault="004E4DFF">
      <w:pPr>
        <w:rPr>
          <w:lang w:val="en-US"/>
        </w:rPr>
      </w:pPr>
    </w:p>
    <w:sectPr w:rsidR="004E4DFF" w:rsidRPr="00130B7B" w:rsidSect="00FA28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1A9" w:rsidRDefault="005431A9" w:rsidP="00FA2805">
      <w:r>
        <w:separator/>
      </w:r>
    </w:p>
  </w:endnote>
  <w:endnote w:type="continuationSeparator" w:id="0">
    <w:p w:rsidR="005431A9" w:rsidRDefault="005431A9" w:rsidP="00FA2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CD4" w:rsidRDefault="005431A9">
    <w:pPr>
      <w:pStyle w:val="Peu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CD4" w:rsidRPr="00C31CD4" w:rsidRDefault="005431A9">
    <w:pPr>
      <w:pStyle w:val="Peu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CD4" w:rsidRPr="00C31CD4" w:rsidRDefault="005431A9">
    <w:pPr>
      <w:pStyle w:val="Peu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1A9" w:rsidRDefault="005431A9" w:rsidP="00FA2805">
      <w:r>
        <w:separator/>
      </w:r>
    </w:p>
  </w:footnote>
  <w:footnote w:type="continuationSeparator" w:id="0">
    <w:p w:rsidR="005431A9" w:rsidRDefault="005431A9" w:rsidP="00FA2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CD4" w:rsidRDefault="005431A9">
    <w:pPr>
      <w:pStyle w:val="Capaler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CD4" w:rsidRPr="00C31CD4" w:rsidRDefault="005431A9">
    <w:pPr>
      <w:pStyle w:val="Capalera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CD4" w:rsidRPr="00C31CD4" w:rsidRDefault="005431A9">
    <w:pPr>
      <w:pStyle w:val="Capalera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B7B"/>
    <w:rsid w:val="00043594"/>
    <w:rsid w:val="00103A01"/>
    <w:rsid w:val="00130B7B"/>
    <w:rsid w:val="001C737D"/>
    <w:rsid w:val="00245153"/>
    <w:rsid w:val="0033580A"/>
    <w:rsid w:val="004279F1"/>
    <w:rsid w:val="004E4DFF"/>
    <w:rsid w:val="005431A9"/>
    <w:rsid w:val="005F0744"/>
    <w:rsid w:val="0061085A"/>
    <w:rsid w:val="00681D37"/>
    <w:rsid w:val="007E1C1B"/>
    <w:rsid w:val="008C6E0A"/>
    <w:rsid w:val="00A96F72"/>
    <w:rsid w:val="00C547F1"/>
    <w:rsid w:val="00FA2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B7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PH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130B7B"/>
    <w:pPr>
      <w:suppressAutoHyphens/>
      <w:spacing w:after="0" w:line="240" w:lineRule="auto"/>
    </w:pPr>
    <w:rPr>
      <w:rFonts w:ascii="Franklin Gothic Medium" w:eastAsia="Calibri" w:hAnsi="Franklin Gothic Medium" w:cs="Franklin Gothic Medium"/>
      <w:color w:val="000000"/>
      <w:kern w:val="1"/>
      <w:sz w:val="24"/>
      <w:szCs w:val="24"/>
      <w:lang w:val="pl-PL"/>
    </w:rPr>
  </w:style>
  <w:style w:type="paragraph" w:styleId="Capalera">
    <w:name w:val="header"/>
    <w:basedOn w:val="Normal"/>
    <w:link w:val="CapaleraCar"/>
    <w:uiPriority w:val="99"/>
    <w:unhideWhenUsed/>
    <w:rsid w:val="00130B7B"/>
    <w:pPr>
      <w:tabs>
        <w:tab w:val="center" w:pos="4536"/>
        <w:tab w:val="right" w:pos="9072"/>
      </w:tabs>
    </w:pPr>
    <w:rPr>
      <w:rFonts w:ascii="Calibri" w:hAnsi="Calibri"/>
      <w:kern w:val="1"/>
      <w:lang w:val="pl-PL"/>
    </w:rPr>
  </w:style>
  <w:style w:type="character" w:customStyle="1" w:styleId="CapaleraCar">
    <w:name w:val="Capçalera Car"/>
    <w:basedOn w:val="Tipusdelletraperdefectedelpargraf"/>
    <w:link w:val="Capalera"/>
    <w:uiPriority w:val="99"/>
    <w:rsid w:val="00130B7B"/>
    <w:rPr>
      <w:rFonts w:ascii="Calibri" w:eastAsia="Calibri" w:hAnsi="Calibri" w:cs="Times New Roman"/>
      <w:kern w:val="1"/>
      <w:sz w:val="20"/>
      <w:szCs w:val="20"/>
      <w:lang w:val="pl-PL"/>
    </w:rPr>
  </w:style>
  <w:style w:type="paragraph" w:styleId="Peu">
    <w:name w:val="footer"/>
    <w:basedOn w:val="Normal"/>
    <w:link w:val="PeuCar"/>
    <w:uiPriority w:val="99"/>
    <w:unhideWhenUsed/>
    <w:rsid w:val="00130B7B"/>
    <w:pPr>
      <w:tabs>
        <w:tab w:val="center" w:pos="4536"/>
        <w:tab w:val="right" w:pos="9072"/>
      </w:tabs>
    </w:pPr>
    <w:rPr>
      <w:rFonts w:ascii="Calibri" w:hAnsi="Calibri"/>
      <w:kern w:val="1"/>
      <w:lang w:val="pl-PL"/>
    </w:rPr>
  </w:style>
  <w:style w:type="character" w:customStyle="1" w:styleId="PeuCar">
    <w:name w:val="Peu Car"/>
    <w:basedOn w:val="Tipusdelletraperdefectedelpargraf"/>
    <w:link w:val="Peu"/>
    <w:uiPriority w:val="99"/>
    <w:rsid w:val="00130B7B"/>
    <w:rPr>
      <w:rFonts w:ascii="Calibri" w:eastAsia="Calibri" w:hAnsi="Calibri" w:cs="Times New Roman"/>
      <w:kern w:val="1"/>
      <w:sz w:val="20"/>
      <w:szCs w:val="20"/>
      <w:lang w:val="pl-P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4E4DF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4E4DFF"/>
    <w:rPr>
      <w:rFonts w:ascii="Tahoma" w:eastAsia="Calibri" w:hAnsi="Tahoma" w:cs="Tahoma"/>
      <w:sz w:val="16"/>
      <w:szCs w:val="16"/>
      <w:lang w:val="en-P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450</Words>
  <Characters>2566</Characters>
  <Application>Microsoft Office Word</Application>
  <DocSecurity>0</DocSecurity>
  <Lines>21</Lines>
  <Paragraphs>6</Paragraphs>
  <ScaleCrop>false</ScaleCrop>
  <Company>ICS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h501lagg</dc:creator>
  <cp:lastModifiedBy>h501lagg</cp:lastModifiedBy>
  <cp:revision>4</cp:revision>
  <dcterms:created xsi:type="dcterms:W3CDTF">2018-07-22T10:50:00Z</dcterms:created>
  <dcterms:modified xsi:type="dcterms:W3CDTF">2018-09-07T14:28:00Z</dcterms:modified>
</cp:coreProperties>
</file>