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842" w:rsidRPr="008C653C" w:rsidRDefault="007A0842" w:rsidP="007A0842">
      <w:pPr>
        <w:spacing w:after="0" w:line="480" w:lineRule="auto"/>
        <w:jc w:val="both"/>
        <w:rPr>
          <w:rFonts w:ascii="Arial" w:hAnsi="Arial" w:cs="Arial"/>
          <w:b/>
          <w:i/>
          <w:lang w:val="en-GB"/>
        </w:rPr>
      </w:pPr>
      <w:r>
        <w:rPr>
          <w:rFonts w:ascii="Arial" w:hAnsi="Arial" w:cs="Arial"/>
          <w:b/>
          <w:i/>
          <w:lang w:val="en-GB"/>
        </w:rPr>
        <w:t xml:space="preserve">Additional file </w:t>
      </w:r>
      <w:bookmarkStart w:id="0" w:name="_GoBack"/>
      <w:bookmarkEnd w:id="0"/>
      <w:r w:rsidRPr="00AD4B8C">
        <w:rPr>
          <w:rFonts w:ascii="Arial" w:hAnsi="Arial" w:cs="Arial"/>
          <w:b/>
          <w:i/>
          <w:lang w:val="en-GB"/>
        </w:rPr>
        <w:t>3</w:t>
      </w:r>
    </w:p>
    <w:p w:rsidR="007A0842" w:rsidRPr="009401A9" w:rsidRDefault="007A0842" w:rsidP="007A0842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  <w:proofErr w:type="gramStart"/>
      <w:r>
        <w:rPr>
          <w:rFonts w:ascii="Arial" w:hAnsi="Arial" w:cs="Arial"/>
          <w:b/>
          <w:lang w:val="en-GB"/>
        </w:rPr>
        <w:t>Supplementary table 2</w:t>
      </w:r>
      <w:r w:rsidRPr="009401A9">
        <w:rPr>
          <w:rFonts w:ascii="Arial" w:hAnsi="Arial" w:cs="Arial"/>
          <w:b/>
          <w:lang w:val="en-GB"/>
        </w:rPr>
        <w:t>.</w:t>
      </w:r>
      <w:proofErr w:type="gramEnd"/>
      <w:r w:rsidRPr="009401A9">
        <w:rPr>
          <w:rFonts w:ascii="Arial" w:hAnsi="Arial" w:cs="Arial"/>
          <w:b/>
          <w:lang w:val="en-GB"/>
        </w:rPr>
        <w:t xml:space="preserve"> </w:t>
      </w:r>
      <w:proofErr w:type="gramStart"/>
      <w:r w:rsidRPr="009401A9">
        <w:rPr>
          <w:rFonts w:ascii="Arial" w:hAnsi="Arial" w:cs="Arial"/>
          <w:b/>
          <w:lang w:val="en-GB"/>
        </w:rPr>
        <w:t>Multivariable regression analysis assessing the interaction between region and year of sampling.</w:t>
      </w:r>
      <w:proofErr w:type="gramEnd"/>
    </w:p>
    <w:tbl>
      <w:tblPr>
        <w:tblW w:w="6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54"/>
        <w:gridCol w:w="577"/>
        <w:gridCol w:w="1387"/>
        <w:gridCol w:w="952"/>
      </w:tblGrid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2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multivariable analysis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OR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(95% CI)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p-value</w:t>
            </w:r>
          </w:p>
        </w:tc>
      </w:tr>
      <w:tr w:rsidR="007A0842" w:rsidRPr="00DD0CAB" w:rsidTr="00C63A49">
        <w:trPr>
          <w:trHeight w:val="290"/>
        </w:trPr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Region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Southwest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Southeast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0.35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(0.18-0.65)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0.001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West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2.34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(1.40-3.90)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Northwest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1.91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(1.11-3.30)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0.021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Northeast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1.38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(0.81-2.37)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0.242</w:t>
            </w:r>
          </w:p>
        </w:tc>
      </w:tr>
      <w:tr w:rsidR="007A0842" w:rsidRPr="00DD0CAB" w:rsidTr="00C63A49">
        <w:trPr>
          <w:trHeight w:val="290"/>
        </w:trPr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Year (per unit from 2012)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1.42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(1.31-1.54)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</w:tr>
      <w:tr w:rsidR="007A0842" w:rsidRPr="003B06AA" w:rsidTr="00C63A49">
        <w:trPr>
          <w:trHeight w:val="290"/>
        </w:trPr>
        <w:tc>
          <w:tcPr>
            <w:tcW w:w="6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 w:eastAsia="de-DE"/>
              </w:rPr>
            </w:pPr>
            <w:r w:rsidRPr="00DD0CAB">
              <w:rPr>
                <w:rFonts w:ascii="Calibri" w:eastAsia="Times New Roman" w:hAnsi="Calibri" w:cs="Calibri"/>
                <w:i/>
                <w:iCs/>
                <w:color w:val="000000"/>
                <w:lang w:val="en-US" w:eastAsia="de-DE"/>
              </w:rPr>
              <w:t>Region x Year (per unit from 2012)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Southwest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Southeast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(1.03-1.43)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0.020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West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0.69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(0.63-0.76)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Northwest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(0.54-0.71)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Northeast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0.71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(0.59-0.85)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</w:tr>
      <w:tr w:rsidR="007A0842" w:rsidRPr="00DD0CAB" w:rsidTr="00C63A49">
        <w:trPr>
          <w:trHeight w:val="290"/>
        </w:trPr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Gender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1.00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(0.94-1.11)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0.517</w:t>
            </w:r>
          </w:p>
        </w:tc>
      </w:tr>
      <w:tr w:rsidR="007A0842" w:rsidRPr="00DD0CAB" w:rsidTr="00C63A49">
        <w:trPr>
          <w:trHeight w:val="290"/>
        </w:trPr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Age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0-19 years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(0.22-0.47)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20-39 years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0.85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(0.71-1.01)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0.074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40-59 years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60-79 years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0.94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(0.83-1.05)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0.263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80+ years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(0.69-1.00)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0.048</w:t>
            </w:r>
          </w:p>
        </w:tc>
      </w:tr>
      <w:tr w:rsidR="007A0842" w:rsidRPr="00DD0CAB" w:rsidTr="00C63A49">
        <w:trPr>
          <w:trHeight w:val="290"/>
        </w:trPr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Specimen (sampling site)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Blood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Urine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1.19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(0.92-1.52)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0.187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Swab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0.92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(0.74-1.16)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0.496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Wound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(0.88-1.22)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0.661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Other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(0.84-1.17)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0.885</w:t>
            </w:r>
          </w:p>
        </w:tc>
      </w:tr>
      <w:tr w:rsidR="007A0842" w:rsidRPr="00DD0CAB" w:rsidTr="00C63A49">
        <w:trPr>
          <w:trHeight w:val="290"/>
        </w:trPr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Hospital care type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Secondary care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Tertiary care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1.38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(0.90-2.11)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0.144</w:t>
            </w:r>
          </w:p>
        </w:tc>
      </w:tr>
      <w:tr w:rsidR="007A0842" w:rsidRPr="00DD0CAB" w:rsidTr="00C63A49">
        <w:trPr>
          <w:trHeight w:val="29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Specialist care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2.41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(1.33-4.38)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</w:tr>
      <w:tr w:rsidR="007A0842" w:rsidRPr="00DD0CAB" w:rsidTr="00C63A49">
        <w:trPr>
          <w:trHeight w:val="58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Prevention and rehabilitation care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2.43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(1.91-3.07)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D0CA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</w:tr>
      <w:tr w:rsidR="007A0842" w:rsidRPr="00DD0CAB" w:rsidTr="00C63A49">
        <w:trPr>
          <w:trHeight w:val="58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0842" w:rsidRPr="00DD0CAB" w:rsidRDefault="007A0842" w:rsidP="00C63A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7A0842" w:rsidRDefault="007A0842" w:rsidP="007A0842">
      <w:pPr>
        <w:spacing w:after="120" w:line="480" w:lineRule="auto"/>
        <w:rPr>
          <w:rFonts w:ascii="Arial" w:hAnsi="Arial" w:cs="Arial"/>
          <w:sz w:val="20"/>
          <w:szCs w:val="20"/>
          <w:lang w:val="en-GB"/>
        </w:rPr>
      </w:pPr>
      <w:r w:rsidRPr="00D0714E">
        <w:rPr>
          <w:rFonts w:ascii="Arial" w:hAnsi="Arial" w:cs="Arial"/>
          <w:sz w:val="20"/>
          <w:szCs w:val="20"/>
          <w:lang w:val="en-GB"/>
        </w:rPr>
        <w:t xml:space="preserve">Year was treated as a continuous predictor and the interaction between region and year was included. In order to calculate the influence of a given region and year on the </w:t>
      </w:r>
      <w:r>
        <w:rPr>
          <w:rFonts w:ascii="Arial" w:hAnsi="Arial" w:cs="Arial"/>
          <w:sz w:val="20"/>
          <w:szCs w:val="20"/>
          <w:lang w:val="en-GB"/>
        </w:rPr>
        <w:t>odds ratio</w:t>
      </w:r>
      <w:r w:rsidRPr="00D0714E">
        <w:rPr>
          <w:rFonts w:ascii="Arial" w:hAnsi="Arial" w:cs="Arial"/>
          <w:sz w:val="20"/>
          <w:szCs w:val="20"/>
          <w:lang w:val="en-GB"/>
        </w:rPr>
        <w:t>, the coefficient for region</w:t>
      </w:r>
      <w:r>
        <w:rPr>
          <w:rFonts w:ascii="Arial" w:hAnsi="Arial" w:cs="Arial"/>
          <w:sz w:val="20"/>
          <w:szCs w:val="20"/>
          <w:lang w:val="en-GB"/>
        </w:rPr>
        <w:t xml:space="preserve"> is multiplied </w:t>
      </w:r>
      <w:r w:rsidRPr="00D0714E">
        <w:rPr>
          <w:rFonts w:ascii="Arial" w:hAnsi="Arial" w:cs="Arial"/>
          <w:sz w:val="20"/>
          <w:szCs w:val="20"/>
          <w:lang w:val="en-GB"/>
        </w:rPr>
        <w:t>with the coefficient for year (per unit) to the power (chosen year – 2012)</w:t>
      </w:r>
      <w:r>
        <w:rPr>
          <w:rFonts w:ascii="Arial" w:hAnsi="Arial" w:cs="Arial"/>
          <w:sz w:val="20"/>
          <w:szCs w:val="20"/>
          <w:lang w:val="en-GB"/>
        </w:rPr>
        <w:t>, and finally multiplied</w:t>
      </w:r>
      <w:r w:rsidRPr="00D0714E">
        <w:rPr>
          <w:rFonts w:ascii="Arial" w:hAnsi="Arial" w:cs="Arial"/>
          <w:sz w:val="20"/>
          <w:szCs w:val="20"/>
          <w:lang w:val="en-GB"/>
        </w:rPr>
        <w:t xml:space="preserve"> with the coefficient region x year to the</w:t>
      </w:r>
      <w:r>
        <w:rPr>
          <w:rFonts w:ascii="Arial" w:hAnsi="Arial" w:cs="Arial"/>
          <w:sz w:val="20"/>
          <w:szCs w:val="20"/>
          <w:lang w:val="en-GB"/>
        </w:rPr>
        <w:t xml:space="preserve"> power (chosen year – 2012), i.</w:t>
      </w:r>
      <w:r w:rsidRPr="00D0714E">
        <w:rPr>
          <w:rFonts w:ascii="Arial" w:hAnsi="Arial" w:cs="Arial"/>
          <w:sz w:val="20"/>
          <w:szCs w:val="20"/>
          <w:lang w:val="en-GB"/>
        </w:rPr>
        <w:t>e.</w:t>
      </w:r>
    </w:p>
    <w:p w:rsidR="007A0842" w:rsidRDefault="007A0842" w:rsidP="007A0842">
      <w:pPr>
        <w:spacing w:after="120" w:line="480" w:lineRule="auto"/>
        <w:jc w:val="both"/>
        <w:rPr>
          <w:rFonts w:ascii="Arial" w:hAnsi="Arial" w:cs="Arial"/>
          <w:i/>
          <w:sz w:val="20"/>
          <w:szCs w:val="20"/>
          <w:lang w:val="en-GB"/>
        </w:rPr>
      </w:pPr>
      <w:r w:rsidRPr="00D0714E">
        <w:rPr>
          <w:rFonts w:ascii="Arial" w:hAnsi="Arial" w:cs="Arial"/>
          <w:i/>
          <w:sz w:val="20"/>
          <w:szCs w:val="20"/>
          <w:lang w:val="en-GB"/>
        </w:rPr>
        <w:lastRenderedPageBreak/>
        <w:t>(</w:t>
      </w:r>
      <w:proofErr w:type="gramStart"/>
      <w:r w:rsidRPr="00D0714E">
        <w:rPr>
          <w:rFonts w:ascii="Arial" w:hAnsi="Arial" w:cs="Arial"/>
          <w:i/>
          <w:sz w:val="20"/>
          <w:szCs w:val="20"/>
          <w:lang w:val="en-GB"/>
        </w:rPr>
        <w:t>region</w:t>
      </w:r>
      <w:proofErr w:type="gramEnd"/>
      <w:r w:rsidRPr="00D0714E">
        <w:rPr>
          <w:rFonts w:ascii="Arial" w:hAnsi="Arial" w:cs="Arial"/>
          <w:i/>
          <w:sz w:val="20"/>
          <w:szCs w:val="20"/>
          <w:lang w:val="en-GB"/>
        </w:rPr>
        <w:t xml:space="preserve"> * year(per unit)</w:t>
      </w:r>
      <w:r w:rsidRPr="00D0714E">
        <w:rPr>
          <w:rFonts w:ascii="Arial" w:hAnsi="Arial" w:cs="Arial"/>
          <w:sz w:val="20"/>
          <w:szCs w:val="20"/>
          <w:vertAlign w:val="superscript"/>
          <w:lang w:val="en-GB"/>
        </w:rPr>
        <w:t>(chosen year</w:t>
      </w:r>
      <w:r w:rsidRPr="00D0714E">
        <w:rPr>
          <w:rFonts w:ascii="Arial" w:hAnsi="Arial" w:cs="Arial"/>
          <w:i/>
          <w:sz w:val="20"/>
          <w:szCs w:val="20"/>
          <w:vertAlign w:val="superscript"/>
          <w:lang w:val="en-GB"/>
        </w:rPr>
        <w:t xml:space="preserve"> – 2012)</w:t>
      </w:r>
      <w:r w:rsidRPr="00D0714E">
        <w:rPr>
          <w:rFonts w:ascii="Arial" w:hAnsi="Arial" w:cs="Arial"/>
          <w:i/>
          <w:sz w:val="20"/>
          <w:szCs w:val="20"/>
          <w:lang w:val="en-GB"/>
        </w:rPr>
        <w:t xml:space="preserve">) * (region x </w:t>
      </w:r>
      <w:proofErr w:type="gramStart"/>
      <w:r w:rsidRPr="00D0714E">
        <w:rPr>
          <w:rFonts w:ascii="Arial" w:hAnsi="Arial" w:cs="Arial"/>
          <w:i/>
          <w:sz w:val="20"/>
          <w:szCs w:val="20"/>
          <w:lang w:val="en-GB"/>
        </w:rPr>
        <w:t>year(</w:t>
      </w:r>
      <w:proofErr w:type="gramEnd"/>
      <w:r w:rsidRPr="00D0714E">
        <w:rPr>
          <w:rFonts w:ascii="Arial" w:hAnsi="Arial" w:cs="Arial"/>
          <w:i/>
          <w:sz w:val="20"/>
          <w:szCs w:val="20"/>
          <w:lang w:val="en-GB"/>
        </w:rPr>
        <w:t xml:space="preserve">per unit) </w:t>
      </w:r>
      <w:r w:rsidRPr="00D0714E">
        <w:rPr>
          <w:rFonts w:ascii="Arial" w:hAnsi="Arial" w:cs="Arial"/>
          <w:sz w:val="20"/>
          <w:szCs w:val="20"/>
          <w:vertAlign w:val="superscript"/>
          <w:lang w:val="en-GB"/>
        </w:rPr>
        <w:t>(chosen year</w:t>
      </w:r>
      <w:r w:rsidRPr="00D0714E">
        <w:rPr>
          <w:rFonts w:ascii="Arial" w:hAnsi="Arial" w:cs="Arial"/>
          <w:i/>
          <w:sz w:val="20"/>
          <w:szCs w:val="20"/>
          <w:vertAlign w:val="superscript"/>
          <w:lang w:val="en-GB"/>
        </w:rPr>
        <w:t xml:space="preserve"> – 2012)</w:t>
      </w:r>
      <w:r w:rsidRPr="00D0714E">
        <w:rPr>
          <w:rFonts w:ascii="Arial" w:hAnsi="Arial" w:cs="Arial"/>
          <w:i/>
          <w:sz w:val="20"/>
          <w:szCs w:val="20"/>
          <w:lang w:val="en-GB"/>
        </w:rPr>
        <w:t>).</w:t>
      </w:r>
    </w:p>
    <w:p w:rsidR="007A0842" w:rsidRPr="00D0714E" w:rsidRDefault="007A0842" w:rsidP="007A0842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D0714E">
        <w:rPr>
          <w:rFonts w:ascii="Arial" w:hAnsi="Arial" w:cs="Arial"/>
          <w:sz w:val="20"/>
          <w:szCs w:val="20"/>
          <w:lang w:val="en-GB"/>
        </w:rPr>
        <w:t xml:space="preserve">Example: In order to analyse the </w:t>
      </w:r>
      <w:r>
        <w:rPr>
          <w:rFonts w:ascii="Arial" w:hAnsi="Arial" w:cs="Arial"/>
          <w:sz w:val="20"/>
          <w:szCs w:val="20"/>
          <w:lang w:val="en-GB"/>
        </w:rPr>
        <w:t>odds ratio</w:t>
      </w:r>
      <w:r w:rsidRPr="00D0714E">
        <w:rPr>
          <w:rFonts w:ascii="Arial" w:hAnsi="Arial" w:cs="Arial"/>
          <w:sz w:val="20"/>
          <w:szCs w:val="20"/>
          <w:lang w:val="en-GB"/>
        </w:rPr>
        <w:t xml:space="preserve"> of the Southeast in 2015 in relation to the Southwest in 2012 (with </w:t>
      </w:r>
      <w:r>
        <w:rPr>
          <w:rFonts w:ascii="Arial" w:hAnsi="Arial" w:cs="Arial"/>
          <w:sz w:val="20"/>
          <w:szCs w:val="20"/>
          <w:lang w:val="en-GB"/>
        </w:rPr>
        <w:t>the</w:t>
      </w:r>
      <w:r w:rsidRPr="00D0714E">
        <w:rPr>
          <w:rFonts w:ascii="Arial" w:hAnsi="Arial" w:cs="Arial"/>
          <w:sz w:val="20"/>
          <w:szCs w:val="20"/>
          <w:lang w:val="en-GB"/>
        </w:rPr>
        <w:t xml:space="preserve"> same isolate characteristics) following calculation is performed: (0.35 * 1.42</w:t>
      </w:r>
      <w:r w:rsidRPr="00D0714E">
        <w:rPr>
          <w:rFonts w:ascii="Arial" w:hAnsi="Arial" w:cs="Arial"/>
          <w:sz w:val="20"/>
          <w:szCs w:val="20"/>
          <w:vertAlign w:val="superscript"/>
          <w:lang w:val="en-GB"/>
        </w:rPr>
        <w:t>(2015 – 2012)</w:t>
      </w:r>
      <w:r w:rsidRPr="00D0714E">
        <w:rPr>
          <w:rFonts w:ascii="Arial" w:hAnsi="Arial" w:cs="Arial"/>
          <w:sz w:val="20"/>
          <w:szCs w:val="20"/>
          <w:lang w:val="en-GB"/>
        </w:rPr>
        <w:t xml:space="preserve">) * (1.21 </w:t>
      </w:r>
      <w:r w:rsidRPr="00D0714E">
        <w:rPr>
          <w:rFonts w:ascii="Arial" w:hAnsi="Arial" w:cs="Arial"/>
          <w:sz w:val="20"/>
          <w:szCs w:val="20"/>
          <w:vertAlign w:val="superscript"/>
          <w:lang w:val="en-GB"/>
        </w:rPr>
        <w:t>(2015 – 2012)</w:t>
      </w:r>
      <w:r w:rsidRPr="00D0714E">
        <w:rPr>
          <w:rFonts w:ascii="Arial" w:hAnsi="Arial" w:cs="Arial"/>
          <w:sz w:val="20"/>
          <w:szCs w:val="20"/>
          <w:lang w:val="en-GB"/>
        </w:rPr>
        <w:t>).</w:t>
      </w:r>
    </w:p>
    <w:p w:rsidR="00BC1DD1" w:rsidRPr="007A0842" w:rsidRDefault="00BC1DD1" w:rsidP="007A0842"/>
    <w:sectPr w:rsidR="00BC1DD1" w:rsidRPr="007A0842" w:rsidSect="00BC34E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D4B8C">
      <w:pPr>
        <w:spacing w:after="0" w:line="240" w:lineRule="auto"/>
      </w:pPr>
      <w:r>
        <w:separator/>
      </w:r>
    </w:p>
  </w:endnote>
  <w:endnote w:type="continuationSeparator" w:id="0">
    <w:p w:rsidR="00000000" w:rsidRDefault="00AD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840177"/>
      <w:docPartObj>
        <w:docPartGallery w:val="Page Numbers (Bottom of Page)"/>
        <w:docPartUnique/>
      </w:docPartObj>
    </w:sdtPr>
    <w:sdtEndPr/>
    <w:sdtContent>
      <w:p w:rsidR="00A926FD" w:rsidRDefault="007A0842">
        <w:pPr>
          <w:pStyle w:val="Footer"/>
          <w:jc w:val="center"/>
        </w:pPr>
        <w:r w:rsidRPr="002910B1">
          <w:rPr>
            <w:sz w:val="16"/>
            <w:szCs w:val="16"/>
          </w:rPr>
          <w:fldChar w:fldCharType="begin"/>
        </w:r>
        <w:r w:rsidRPr="002910B1">
          <w:rPr>
            <w:sz w:val="16"/>
            <w:szCs w:val="16"/>
          </w:rPr>
          <w:instrText>PAGE   \* MERGEFORMAT</w:instrText>
        </w:r>
        <w:r w:rsidRPr="002910B1">
          <w:rPr>
            <w:sz w:val="16"/>
            <w:szCs w:val="16"/>
          </w:rPr>
          <w:fldChar w:fldCharType="separate"/>
        </w:r>
        <w:r w:rsidR="00AD4B8C">
          <w:rPr>
            <w:noProof/>
            <w:sz w:val="16"/>
            <w:szCs w:val="16"/>
          </w:rPr>
          <w:t>1</w:t>
        </w:r>
        <w:r w:rsidRPr="002910B1">
          <w:rPr>
            <w:sz w:val="16"/>
            <w:szCs w:val="16"/>
          </w:rPr>
          <w:fldChar w:fldCharType="end"/>
        </w:r>
      </w:p>
    </w:sdtContent>
  </w:sdt>
  <w:p w:rsidR="00A926FD" w:rsidRDefault="00AD4B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D4B8C">
      <w:pPr>
        <w:spacing w:after="0" w:line="240" w:lineRule="auto"/>
      </w:pPr>
      <w:r>
        <w:separator/>
      </w:r>
    </w:p>
  </w:footnote>
  <w:footnote w:type="continuationSeparator" w:id="0">
    <w:p w:rsidR="00000000" w:rsidRDefault="00AD4B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64"/>
    <w:rsid w:val="00060630"/>
    <w:rsid w:val="00370E4B"/>
    <w:rsid w:val="007A0842"/>
    <w:rsid w:val="0086433D"/>
    <w:rsid w:val="00AD4B8C"/>
    <w:rsid w:val="00BC1DD1"/>
    <w:rsid w:val="00C4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842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630"/>
    <w:rPr>
      <w:rFonts w:ascii="Tahoma" w:hAnsi="Tahoma" w:cs="Tahoma"/>
      <w:sz w:val="16"/>
      <w:szCs w:val="16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7A0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842"/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842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630"/>
    <w:rPr>
      <w:rFonts w:ascii="Tahoma" w:hAnsi="Tahoma" w:cs="Tahoma"/>
      <w:sz w:val="16"/>
      <w:szCs w:val="16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7A0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842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Sevilla, Hernando Jr.</cp:lastModifiedBy>
  <cp:revision>3</cp:revision>
  <dcterms:created xsi:type="dcterms:W3CDTF">2019-08-09T20:44:00Z</dcterms:created>
  <dcterms:modified xsi:type="dcterms:W3CDTF">2019-08-23T00:17:00Z</dcterms:modified>
</cp:coreProperties>
</file>