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A43DA0" w14:textId="2263E0AF" w:rsidR="00976AA2" w:rsidRPr="001A27F9" w:rsidRDefault="001A27F9" w:rsidP="00B16EF8">
      <w:pPr>
        <w:pStyle w:val="Sansinterligne"/>
        <w:rPr>
          <w:b/>
          <w:sz w:val="24"/>
          <w:szCs w:val="24"/>
          <w:lang w:val="en-US"/>
        </w:rPr>
      </w:pPr>
      <w:bookmarkStart w:id="0" w:name="_GoBack"/>
      <w:bookmarkEnd w:id="0"/>
      <w:r>
        <w:rPr>
          <w:b/>
          <w:sz w:val="24"/>
          <w:szCs w:val="24"/>
          <w:lang w:val="en-US"/>
        </w:rPr>
        <w:t>Detailed b</w:t>
      </w:r>
      <w:r w:rsidR="00683EE7" w:rsidRPr="001A27F9">
        <w:rPr>
          <w:b/>
          <w:sz w:val="24"/>
          <w:szCs w:val="24"/>
          <w:lang w:val="en-US"/>
        </w:rPr>
        <w:t>ioinformatics analyses</w:t>
      </w:r>
    </w:p>
    <w:p w14:paraId="117A294D" w14:textId="77777777" w:rsidR="00683EE7" w:rsidRDefault="00683EE7" w:rsidP="00F0558F">
      <w:pPr>
        <w:jc w:val="both"/>
        <w:rPr>
          <w:lang w:val="en-US"/>
        </w:rPr>
      </w:pPr>
    </w:p>
    <w:p w14:paraId="2FD1F083" w14:textId="2DAE70EB" w:rsidR="0063571F" w:rsidRDefault="0063571F" w:rsidP="00683EE7">
      <w:pPr>
        <w:spacing w:line="360" w:lineRule="auto"/>
        <w:jc w:val="both"/>
        <w:rPr>
          <w:lang w:val="en-US"/>
        </w:rPr>
      </w:pPr>
      <w:r>
        <w:rPr>
          <w:lang w:val="en-US"/>
        </w:rPr>
        <w:t>Extract</w:t>
      </w:r>
      <w:r w:rsidR="00205DB6">
        <w:rPr>
          <w:lang w:val="en-US"/>
        </w:rPr>
        <w:t>ed</w:t>
      </w:r>
      <w:r>
        <w:rPr>
          <w:lang w:val="en-US"/>
        </w:rPr>
        <w:t xml:space="preserve"> plasmid and </w:t>
      </w:r>
      <w:r w:rsidR="006B0FFA">
        <w:rPr>
          <w:lang w:val="en-US"/>
        </w:rPr>
        <w:t xml:space="preserve">total </w:t>
      </w:r>
      <w:r>
        <w:rPr>
          <w:lang w:val="en-US"/>
        </w:rPr>
        <w:t>genomic DNA were quantified using the Qubit™ dsDNA HS Assay kit,</w:t>
      </w:r>
      <w:r w:rsidR="000A599A">
        <w:rPr>
          <w:lang w:val="en-US"/>
        </w:rPr>
        <w:t xml:space="preserve"> and sequencing libraries were prepared from 400</w:t>
      </w:r>
      <w:r w:rsidR="008B08C3">
        <w:rPr>
          <w:lang w:val="en-US"/>
        </w:rPr>
        <w:t xml:space="preserve"> </w:t>
      </w:r>
      <w:r w:rsidR="000A599A">
        <w:rPr>
          <w:lang w:val="en-US"/>
        </w:rPr>
        <w:t>ng of genetic material using the Oxford Nanopore Technologies Rapid Barcoding Kit (SQK-RBK004). Barcodes RB01-RB03 were used for biological samples, barcode RB04 was used with a water control. Sequencing was performed on the MinION using an R9 (FLO-MIN106) flowcell</w:t>
      </w:r>
      <w:r w:rsidR="001626FC">
        <w:rPr>
          <w:lang w:val="en-US"/>
        </w:rPr>
        <w:t>,</w:t>
      </w:r>
      <w:r w:rsidR="000A599A">
        <w:rPr>
          <w:lang w:val="en-US"/>
        </w:rPr>
        <w:t xml:space="preserve"> overnight for a total of 10 hours. </w:t>
      </w:r>
      <w:r w:rsidR="002F1F30">
        <w:rPr>
          <w:lang w:val="en-US"/>
        </w:rPr>
        <w:t xml:space="preserve">Raw data were basecalled using the guppy basecaller (version 4.0.11) with quality filtering in high accuracy mode and then demultiplexed and barcodes trimmed using the guppy barcoder (version 4.0.11). </w:t>
      </w:r>
      <w:r w:rsidR="00992F83">
        <w:rPr>
          <w:lang w:val="en-US"/>
        </w:rPr>
        <w:t xml:space="preserve">Insignificant numbers of reads were obtained from </w:t>
      </w:r>
      <w:r w:rsidR="00992F83" w:rsidRPr="00683EE7">
        <w:rPr>
          <w:lang w:val="en-US"/>
        </w:rPr>
        <w:t xml:space="preserve">the negative control. </w:t>
      </w:r>
      <w:r w:rsidR="002F1F30" w:rsidRPr="00683EE7">
        <w:rPr>
          <w:lang w:val="en-US"/>
        </w:rPr>
        <w:t xml:space="preserve">Sequence data were assembled using the CANU </w:t>
      </w:r>
      <w:r w:rsidR="002F1F30" w:rsidRPr="00683EE7">
        <w:rPr>
          <w:i/>
          <w:lang w:val="en-US"/>
        </w:rPr>
        <w:t>de</w:t>
      </w:r>
      <w:r w:rsidR="00171BB2" w:rsidRPr="00683EE7">
        <w:rPr>
          <w:i/>
          <w:lang w:val="en-US"/>
        </w:rPr>
        <w:t xml:space="preserve"> </w:t>
      </w:r>
      <w:r w:rsidR="002F1F30" w:rsidRPr="00683EE7">
        <w:rPr>
          <w:i/>
          <w:lang w:val="en-US"/>
        </w:rPr>
        <w:t>novo</w:t>
      </w:r>
      <w:r w:rsidR="002F1F30" w:rsidRPr="00683EE7">
        <w:rPr>
          <w:lang w:val="en-US"/>
        </w:rPr>
        <w:t xml:space="preserve"> assembler (version 1.9)</w:t>
      </w:r>
      <w:r w:rsidR="0099233F" w:rsidRPr="00683EE7">
        <w:rPr>
          <w:lang w:val="en-US"/>
        </w:rPr>
        <w:t xml:space="preserve"> </w:t>
      </w:r>
      <w:r w:rsidR="003A4F03" w:rsidRPr="00683EE7">
        <w:rPr>
          <w:lang w:val="en-US"/>
        </w:rPr>
        <w:fldChar w:fldCharType="begin" w:fldLock="1"/>
      </w:r>
      <w:r w:rsidR="006F1681" w:rsidRPr="00683EE7">
        <w:rPr>
          <w:lang w:val="en-US"/>
        </w:rPr>
        <w:instrText>ADDIN CSL_CITATION {"citationItems":[{"id":"ITEM-1","itemData":{"DOI":"10.1101/gr.215087.116","ISSN":"15495469","PMID":"28298431","abstract":"Long-read single-molecule sequencing has revolutionized de novo genome assembly and enabled the automated reconstruction of reference-quality genomes. However, given the relatively high error rates of such technologies, efficient and accurate assembly of large repeats and closely related haplotypes remains challenging. We address these issues with Canu, a successor of Celera Assembler that is specifically designed for noisy single-molecule sequences. Canu introduces support for nanopore sequencing, halves depth-of-coverage requirements, and improves assembly continuity while simultaneously reducing runtime by an order of magnitude on large genomes versus Celera Assembler 8.2. These advances result from new overlapping and assembly algorithms, including an adaptive overlapping strategy based on tf-idf weighted MinHash and a sparse assembly graph construction that avoids collapsing diverged repeats and haplotypes. We demonstrate that Canu can reliably assemble complete microbial genomes and near-complete eukaryotic chromosomes using either Pacific Biosciences (PacBio) or Oxford Nanopore technologies and achieves a contig NG50 of &gt;21 Mbp on both human and Drosophila melanogaster PacBio data sets. For assembly structures that cannot be linearly represented, Canu provides graph-based assembly outputs in graphical fragment assembly (GFA) format for analysis or integration with complementary phasing and scaffolding techniques. The combination of such highly resolved assembly graphs with long-range scaffolding information promises the complete and automated assembly of complex genomes.","author":[{"dropping-particle":"","family":"Koren","given":"Sergey","non-dropping-particle":"","parse-names":false,"suffix":""},{"dropping-particle":"","family":"Walenz","given":"Brian P.","non-dropping-particle":"","parse-names":false,"suffix":""},{"dropping-particle":"","family":"Berlin","given":"Konstantin","non-dropping-particle":"","parse-names":false,"suffix":""},{"dropping-particle":"","family":"Miller","given":"Jason R.","non-dropping-particle":"","parse-names":false,"suffix":""},{"dropping-particle":"","family":"Bergman","given":"Nicholas H.","non-dropping-particle":"","parse-names":false,"suffix":""},{"dropping-particle":"","family":"Phillippy","given":"Adam M.","non-dropping-particle":"","parse-names":false,"suffix":""}],"container-title":"Genome Research","id":"ITEM-1","issue":"5","issued":{"date-parts":[["2017","5","1"]]},"page":"722-736","publisher":"Cold Spring Harbor Laboratory Press","title":"Canu: Scalable and accurate long-read assembly via adaptive κ-mer weighting and repeat separation","type":"article-journal","volume":"27"},"uris":["http://www.mendeley.com/documents/?uuid=cc02144a-f19a-36e0-9400-ba7538c3b053"]}],"mendeley":{"formattedCitation":"[1]","plainTextFormattedCitation":"[1]","previouslyFormattedCitation":"[1]"},"properties":{"noteIndex":0},"schema":"https://github.com/citation-style-language/schema/raw/master/csl-citation.json"}</w:instrText>
      </w:r>
      <w:r w:rsidR="003A4F03" w:rsidRPr="00683EE7">
        <w:rPr>
          <w:lang w:val="en-US"/>
        </w:rPr>
        <w:fldChar w:fldCharType="separate"/>
      </w:r>
      <w:r w:rsidR="003A4F03" w:rsidRPr="00683EE7">
        <w:rPr>
          <w:noProof/>
          <w:lang w:val="en-US"/>
        </w:rPr>
        <w:t>[1]</w:t>
      </w:r>
      <w:r w:rsidR="003A4F03" w:rsidRPr="00683EE7">
        <w:rPr>
          <w:lang w:val="en-US"/>
        </w:rPr>
        <w:fldChar w:fldCharType="end"/>
      </w:r>
      <w:r w:rsidR="002F1F30" w:rsidRPr="00683EE7">
        <w:rPr>
          <w:lang w:val="en-US"/>
        </w:rPr>
        <w:t>, which also predicted likely circularity of assembled contigs. Circular construct breakpoints were determined by self-mapping using NUCleotide MUMmer (version 3.1)</w:t>
      </w:r>
      <w:r w:rsidR="000D6097" w:rsidRPr="00683EE7">
        <w:rPr>
          <w:lang w:val="en-US"/>
        </w:rPr>
        <w:t xml:space="preserve"> </w:t>
      </w:r>
      <w:r w:rsidR="0099233F" w:rsidRPr="00683EE7">
        <w:rPr>
          <w:lang w:val="en-US"/>
        </w:rPr>
        <w:fldChar w:fldCharType="begin" w:fldLock="1"/>
      </w:r>
      <w:r w:rsidR="006F1681" w:rsidRPr="00683EE7">
        <w:rPr>
          <w:lang w:val="en-US"/>
        </w:rPr>
        <w:instrText>ADDIN CSL_CITATION {"citationItems":[{"id":"ITEM-1","itemData":{"DOI":"10.1186/gb-2004-5-2-r12","ISSN":"14656914","PMID":"14759262","abstract":"The newest version of MUMmer easily handles comparisons of large eukaryotic genomes at varying evolutionary distances, as demonstrated by applications to multiple genomes. Two new graphical viewing tools provide alternative ways to analyze genome alignments. The new system is the first version of MUMmer to be released as open-source software. This allows other developers to contribute to the code base and freely redistribute the code. The MUMmer sources are available at http://www.tigr.org/software/mummer.","author":[{"dropping-particle":"","family":"Kurtz","given":"Stefan","non-dropping-particle":"","parse-names":false,"suffix":""},{"dropping-particle":"","family":"Phillippy","given":"Adam","non-dropping-particle":"","parse-names":false,"suffix":""},{"dropping-particle":"","family":"Delcher","given":"Arthur L.","non-dropping-particle":"","parse-names":false,"suffix":""},{"dropping-particle":"","family":"Smoot","given":"Michael","non-dropping-particle":"","parse-names":false,"suffix":""},{"dropping-particle":"","family":"Shumway","given":"Martin","non-dropping-particle":"","parse-names":false,"suffix":""},{"dropping-particle":"","family":"Antonescu","given":"Corina","non-dropping-particle":"","parse-names":false,"suffix":""},{"dropping-particle":"","family":"Salzberg","given":"Steven L.","non-dropping-particle":"","parse-names":false,"suffix":""}],"container-title":"Genome biology","id":"ITEM-1","issue":"2","issued":{"date-parts":[["2004"]]},"page":"R12","publisher":"BioMed Central","title":"Versatile and open software for comparing large genomes.","type":"article-journal","volume":"5"},"uris":["http://www.mendeley.com/documents/?uuid=90808870-d8c5-3329-9b1a-22dbb97633a8"]}],"mendeley":{"formattedCitation":"[2]","plainTextFormattedCitation":"[2]","previouslyFormattedCitation":"[2]"},"properties":{"noteIndex":0},"schema":"https://github.com/citation-style-language/schema/raw/master/csl-citation.json"}</w:instrText>
      </w:r>
      <w:r w:rsidR="0099233F" w:rsidRPr="00683EE7">
        <w:rPr>
          <w:lang w:val="en-US"/>
        </w:rPr>
        <w:fldChar w:fldCharType="separate"/>
      </w:r>
      <w:r w:rsidR="003A4F03" w:rsidRPr="00683EE7">
        <w:rPr>
          <w:noProof/>
          <w:lang w:val="en-US"/>
        </w:rPr>
        <w:t>[2]</w:t>
      </w:r>
      <w:r w:rsidR="0099233F" w:rsidRPr="00683EE7">
        <w:rPr>
          <w:lang w:val="en-US"/>
        </w:rPr>
        <w:fldChar w:fldCharType="end"/>
      </w:r>
      <w:r w:rsidR="002F1F30" w:rsidRPr="00683EE7">
        <w:rPr>
          <w:lang w:val="en-US"/>
        </w:rPr>
        <w:t xml:space="preserve">. </w:t>
      </w:r>
      <w:r w:rsidR="00F445CC" w:rsidRPr="00683EE7">
        <w:rPr>
          <w:lang w:val="en-US"/>
        </w:rPr>
        <w:t xml:space="preserve">Antibiotic resistance genes were detected </w:t>
      </w:r>
      <w:r w:rsidR="00B16EF8" w:rsidRPr="00683EE7">
        <w:rPr>
          <w:lang w:val="en-US"/>
        </w:rPr>
        <w:t xml:space="preserve">by </w:t>
      </w:r>
      <w:r w:rsidR="00F445CC" w:rsidRPr="00683EE7">
        <w:rPr>
          <w:lang w:val="en-US"/>
        </w:rPr>
        <w:t>query</w:t>
      </w:r>
      <w:r w:rsidR="00B16EF8" w:rsidRPr="00683EE7">
        <w:rPr>
          <w:lang w:val="en-US"/>
        </w:rPr>
        <w:t>ing</w:t>
      </w:r>
      <w:r w:rsidR="00F445CC" w:rsidRPr="00683EE7">
        <w:rPr>
          <w:lang w:val="en-US"/>
        </w:rPr>
        <w:t xml:space="preserve"> the ResFinder database </w:t>
      </w:r>
      <w:r w:rsidR="001F55A7" w:rsidRPr="00683EE7">
        <w:rPr>
          <w:lang w:val="en-US"/>
        </w:rPr>
        <w:fldChar w:fldCharType="begin" w:fldLock="1"/>
      </w:r>
      <w:r w:rsidR="00B16EF8" w:rsidRPr="00683EE7">
        <w:rPr>
          <w:lang w:val="en-US"/>
        </w:rPr>
        <w:instrText>ADDIN CSL_CITATION {"citationItems":[{"id":"ITEM-1","itemData":{"DOI":"10.1093/jac/dkaa345","ISSN":"14602091","PMID":"32780112","abstract":"OBJECTIVES: WGS-based antimicrobial susceptibility testing (AST) is as reliable as phenotypic AST for several antimicrobial/bacterial species combinations. However, routine use of WGS-based AST is hindered by the need for bioinformatics skills and knowledge of antimicrobial resistance (AMR) determinants to operate the vast majority of tools developed to date. By leveraging on ResFinder and PointFinder, two freely accessible tools that can also assist users without bioinformatics skills, we aimed at increasing their speed and providing an easily interpretable antibiogram as output. METHODS: The ResFinder code was re-written to process raw reads and use Kmer-based alignment. The existing ResFinder and PointFinder databases were revised and expanded. Additional databases were developed including a genotype-to-phenotype key associating each AMR determinant with a phenotype at the antimicrobial compound level, and species-specific panels for in silico antibiograms. ResFinder 4.0 was validated using Escherichia coli (n = 584), Salmonella spp. (n = 1081), Campylobacter jejuni (n = 239), Enterococcus faecium (n = 106), Enterococcus faecalis (n = 50) and Staphylococcus aureus (n = 163) exhibiting different AST profiles, and from different human and animal sources and geographical origins. RESULTS: Genotype-phenotype concordance was ≥95% for 46/51 and 25/32 of the antimicrobial/species combinations evaluated for Gram-negative and Gram-positive bacteria, respectively. When genotype-phenotype concordance was &lt;95%, discrepancies were mainly linked to criteria for interpretation of phenotypic tests and suboptimal sequence quality, and not to ResFinder 4.0 performance. CONCLUSIONS: WGS-based AST using ResFinder 4.0 provides in silico antibiograms as reliable as those obtained by phenotypic AST at least for the bacterial species/antimicrobial agents of major public health relevance considered.","author":[{"dropping-particle":"","family":"Bortolaia","given":"Valeria","non-dropping-particle":"","parse-names":false,"suffix":""},{"dropping-particle":"","family":"Kaas","given":"Rolf S.","non-dropping-particle":"","parse-names":false,"suffix":""},{"dropping-particle":"","family":"Ruppe","given":"Etienne","non-dropping-particle":"","parse-names":false,"suffix":""},{"dropping-particle":"","family":"Roberts","given":"Marilyn C.","non-dropping-particle":"","parse-names":false,"suffix":""},{"dropping-particle":"","family":"Schwarz","given":"Stefan","non-dropping-particle":"","parse-names":false,"suffix":""},{"dropping-particle":"","family":"Cattoir","given":"Vincent","non-dropping-particle":"","parse-names":false,"suffix":""},{"dropping-particle":"","family":"Philippon","given":"Alain","non-dropping-particle":"","parse-names":false,"suffix":""},{"dropping-particle":"","family":"Allesoe","given":"Rosa L.","non-dropping-particle":"","parse-names":false,"suffix":""},{"dropping-particle":"","family":"Rebelo","given":"Ana Rita","non-dropping-particle":"","parse-names":false,"suffix":""},{"dropping-particle":"","family":"Florensa","given":"Alfred Ferrer","non-dropping-particle":"","parse-names":false,"suffix":""},{"dropping-particle":"","family":"Fagelhauer","given":"Linda","non-dropping-particle":"","parse-names":false,"suffix":""},{"dropping-particle":"","family":"Chakraborty","given":"Trinad","non-dropping-particle":"","parse-names":false,"suffix":""},{"dropping-particle":"","family":"Neumann","given":"Bernd","non-dropping-particle":"","parse-names":false,"suffix":""},{"dropping-particle":"","family":"Werner","given":"Guido","non-dropping-particle":"","parse-names":false,"suffix":""},{"dropping-particle":"","family":"Bender","given":"Jennifer K.","non-dropping-particle":"","parse-names":false,"suffix":""},{"dropping-particle":"","family":"Stingl","given":"Kerstin","non-dropping-particle":"","parse-names":false,"suffix":""},{"dropping-particle":"","family":"Nguyen","given":"Minh","non-dropping-particle":"","parse-names":false,"suffix":""},{"dropping-particle":"","family":"Coppens","given":"Jasmine","non-dropping-particle":"","parse-names":false,"suffix":""},{"dropping-particle":"","family":"Xavier","given":"Basil Britto","non-dropping-particle":"","parse-names":false,"suffix":""},{"dropping-particle":"","family":"Malhotra-Kumar","given":"Surbhi","non-dropping-particle":"","parse-names":false,"suffix":""},{"dropping-particle":"","family":"Westh","given":"Henrik","non-dropping-particle":"","parse-names":false,"suffix":""},{"dropping-particle":"","family":"Pinholt","given":"Mette","non-dropping-particle":"","parse-names":false,"suffix":""},{"dropping-particle":"","family":"Anjum","given":"Muna F.","non-dropping-particle":"","parse-names":false,"suffix":""},{"dropping-particle":"","family":"Duggett","given":"Nicholas A.","non-dropping-particle":"","parse-names":false,"suffix":""},{"dropping-particle":"","family":"Kempf","given":"Isabelle","non-dropping-particle":"","parse-names":false,"suffix":""},{"dropping-particle":"","family":"Nykäsenoja","given":"Suvi","non-dropping-particle":"","parse-names":false,"suffix":""},{"dropping-particle":"","family":"Olkkola","given":"Satu","non-dropping-particle":"","parse-names":false,"suffix":""},{"dropping-particle":"","family":"Wieczorek","given":"Kinga","non-dropping-particle":"","parse-names":false,"suffix":""},{"dropping-particle":"","family":"Amaro","given":"Ana","non-dropping-particle":"","parse-names":false,"suffix":""},{"dropping-particle":"","family":"Clemente","given":"Lurdes","non-dropping-particle":"","parse-names":false,"suffix":""},{"dropping-particle":"","family":"Mossong","given":"Joël","non-dropping-particle":"","parse-names":false,"suffix":""},{"dropping-particle":"","family":"Losch","given":"Serge","non-dropping-particle":"","parse-names":false,"suffix":""},{"dropping-particle":"","family":"Ragimbeau","given":"Catherine","non-dropping-particle":"","parse-names":false,"suffix":""},{"dropping-particle":"","family":"Lund","given":"Ole","non-dropping-particle":"","parse-names":false,"suffix":""},{"dropping-particle":"","family":"Aarestrup","given":"Frank M.","non-dropping-particle":"","parse-names":false,"suffix":""}],"container-title":"The Journal of antimicrobial chemotherapy","id":"ITEM-1","issued":{"date-parts":[["2020"]]},"title":"ResFinder 4.0 for predictions of phenotypes from genotypes","type":"article-journal"},"uris":["http://www.mendeley.com/documents/?uuid=f2320540-ce98-41af-ab2a-155a7fc058af"]}],"mendeley":{"formattedCitation":"[3]","plainTextFormattedCitation":"[3]","previouslyFormattedCitation":"[4]"},"properties":{"noteIndex":0},"schema":"https://github.com/citation-style-language/schema/raw/master/csl-citation.json"}</w:instrText>
      </w:r>
      <w:r w:rsidR="001F55A7" w:rsidRPr="00683EE7">
        <w:rPr>
          <w:lang w:val="en-US"/>
        </w:rPr>
        <w:fldChar w:fldCharType="separate"/>
      </w:r>
      <w:r w:rsidR="00B16EF8" w:rsidRPr="00683EE7">
        <w:rPr>
          <w:noProof/>
          <w:lang w:val="en-US"/>
        </w:rPr>
        <w:t>[3]</w:t>
      </w:r>
      <w:r w:rsidR="001F55A7" w:rsidRPr="00683EE7">
        <w:rPr>
          <w:lang w:val="en-US"/>
        </w:rPr>
        <w:fldChar w:fldCharType="end"/>
      </w:r>
      <w:r w:rsidR="00F445CC" w:rsidRPr="00683EE7">
        <w:rPr>
          <w:lang w:val="en-US"/>
        </w:rPr>
        <w:t xml:space="preserve">. </w:t>
      </w:r>
      <w:r w:rsidR="002F1F30" w:rsidRPr="00683EE7">
        <w:rPr>
          <w:lang w:val="en-US"/>
        </w:rPr>
        <w:t>Contigs were annotated using a combination of pairwise comparison to previously annotated NDM-containing plasmids in the NCBI database using Geneious (version 9.1.8)</w:t>
      </w:r>
      <w:r w:rsidR="00992F83" w:rsidRPr="00683EE7">
        <w:rPr>
          <w:lang w:val="en-US"/>
        </w:rPr>
        <w:t xml:space="preserve"> </w:t>
      </w:r>
      <w:r w:rsidR="002F1F30" w:rsidRPr="00683EE7">
        <w:rPr>
          <w:lang w:val="en-US"/>
        </w:rPr>
        <w:t>and prokka (version 1.14.6)</w:t>
      </w:r>
      <w:r w:rsidR="000D6097" w:rsidRPr="00683EE7">
        <w:rPr>
          <w:lang w:val="en-US"/>
        </w:rPr>
        <w:t xml:space="preserve"> </w:t>
      </w:r>
      <w:r w:rsidR="000D6097" w:rsidRPr="00683EE7">
        <w:rPr>
          <w:lang w:val="en-US"/>
        </w:rPr>
        <w:fldChar w:fldCharType="begin" w:fldLock="1"/>
      </w:r>
      <w:r w:rsidR="00B16EF8" w:rsidRPr="00683EE7">
        <w:rPr>
          <w:lang w:val="en-US"/>
        </w:rPr>
        <w:instrText>ADDIN CSL_CITATION {"citationItems":[{"id":"ITEM-1","itemData":{"DOI":"10.1093/bioinformatics/btu153","PMID":"24642063","abstract":"UNLABELLED The multiplex capability and high yield of current day DNA-sequencing instruments has made bacterial whole genome sequencing a routine affair. The subsequent de novo assembly of reads into contigs has been well addressed. The final step of annotating all relevant genomic features on those contigs can be achieved slowly using existing web- and email-based systems, but these are not applicable for sensitive data or integrating into computational pipelines. Here we introduce Prokka, a command line software tool to fully annotate a draft bacterial genome in about 10 min on a typical desktop computer. It produces standards-compliant output files for further analysis or viewing in genome browsers. AVAILABILITY AND IMPLEMENTATION Prokka is implemented in Perl and is freely available under an open source GPLv2 license from http://vicbioinformatics.com/.","author":[{"dropping-particle":"","family":"Seemann","given":"Torsten","non-dropping-particle":"","parse-names":false,"suffix":""}],"id":"ITEM-1","issue":"14","issued":{"date-parts":[["2014","7","15"]]},"publisher":"Oxford University Press","title":"Prokka: rapid prokaryotic genome annotation.","type":"article-journal","volume":"30"},"uris":["http://www.mendeley.com/documents/?uuid=acef7bfc-8dfe-4737-a07b-471ed25e33c3"]}],"mendeley":{"formattedCitation":"[4]","plainTextFormattedCitation":"[4]","previouslyFormattedCitation":"[5]"},"properties":{"noteIndex":0},"schema":"https://github.com/citation-style-language/schema/raw/master/csl-citation.json"}</w:instrText>
      </w:r>
      <w:r w:rsidR="000D6097" w:rsidRPr="00683EE7">
        <w:rPr>
          <w:lang w:val="en-US"/>
        </w:rPr>
        <w:fldChar w:fldCharType="separate"/>
      </w:r>
      <w:r w:rsidR="00B16EF8" w:rsidRPr="00683EE7">
        <w:rPr>
          <w:noProof/>
          <w:lang w:val="en-US"/>
        </w:rPr>
        <w:t>[4]</w:t>
      </w:r>
      <w:r w:rsidR="000D6097" w:rsidRPr="00683EE7">
        <w:rPr>
          <w:lang w:val="en-US"/>
        </w:rPr>
        <w:fldChar w:fldCharType="end"/>
      </w:r>
      <w:r w:rsidR="002F1F30" w:rsidRPr="00683EE7">
        <w:rPr>
          <w:lang w:val="en-US"/>
        </w:rPr>
        <w:t xml:space="preserve"> followed by annotation verification against the eggnog-mapper database</w:t>
      </w:r>
      <w:r w:rsidR="000D6097" w:rsidRPr="00683EE7">
        <w:rPr>
          <w:lang w:val="en-US"/>
        </w:rPr>
        <w:t xml:space="preserve"> </w:t>
      </w:r>
      <w:r w:rsidR="000D6097" w:rsidRPr="00683EE7">
        <w:rPr>
          <w:lang w:val="en-US"/>
        </w:rPr>
        <w:fldChar w:fldCharType="begin" w:fldLock="1"/>
      </w:r>
      <w:r w:rsidR="00B16EF8" w:rsidRPr="00683EE7">
        <w:rPr>
          <w:lang w:val="en-US"/>
        </w:rPr>
        <w:instrText>ADDIN CSL_CITATION {"citationItems":[{"id":"ITEM-1","itemData":{"DOI":"10.1093/molbev/msx148","ISSN":"15371719","PMID":"28460117","abstract":"Orthology assignment is ideally suited for functional inference. However, because predicting orthology is com-putationally intensive at large scale, and most pipelines are relatively inaccessible (e.g., new assignments only available through database updates), less precise homology-based functional transfer is still the default for (meta-)genome annotation. We, therefore, developed eggNOG-mapper, a tool for functional annotation of large sets of sequences based on fast orthology assignments using precomputed clusters and phylogenies from the eggNOG database. To validate our method, we benchmarked Gene Ontology (GO) predictions against two widely used homology-based approaches: BLAST and InterProScan. Orthology filters applied to BLAST results reduced the rate of false positive assignments by 11%, and increased the ratio of experimentally validated terms recovered over all terms assigned per protein by 15%. Compared with InterProScan, eggNOG-mapper achieved similar proteome coverage and precision while predicting, on average, 41 more terms per protein and increasing the rate of experimentally validated terms recovered over total term assignments per protein by 35%. EggNOG-mapper predictions scored within the top-5 methods in the three GO categories using the CAFA2 NK-partial benchmark. Finally, we evaluated eggNOG-mapper for functional annotation of metagenomics data, yielding better performance than interProScan. eggNOG-mapper runs $15Â faster than BLAST and at least 2.5Â faster than InterProScan. The tool is available standalone and as an online service at http://eggnog-mapper.embl.de.","author":[{"dropping-particle":"","family":"Huerta-Cepas","given":"Jaime","non-dropping-particle":"","parse-names":false,"suffix":""},{"dropping-particle":"","family":"Forslund","given":"Kristoffer","non-dropping-particle":"","parse-names":false,"suffix":""},{"dropping-particle":"","family":"Coelho","given":"Luis Pedro","non-dropping-particle":"","parse-names":false,"suffix":""},{"dropping-particle":"","family":"Szklarczyk","given":"Damian","non-dropping-particle":"","parse-names":false,"suffix":""},{"dropping-particle":"","family":"Jensen","given":"Lars Juhl","non-dropping-particle":"","parse-names":false,"suffix":""},{"dropping-particle":"","family":"Mering","given":"Christian","non-dropping-particle":"Von","parse-names":false,"suffix":""},{"dropping-particle":"","family":"Bork","given":"Peer","non-dropping-particle":"","parse-names":false,"suffix":""}],"container-title":"Molecular Biology and Evolution","id":"ITEM-1","issued":{"date-parts":[["2017"]]},"title":"Fast genome-wide functional annotation through orthology assignment by eggNOG-mapper","type":"article-journal"},"uris":["http://www.mendeley.com/documents/?uuid=db753c2b-bdc8-4ba3-ba4e-ed50e3fceec2"]}],"mendeley":{"formattedCitation":"[5]","plainTextFormattedCitation":"[5]","previouslyFormattedCitation":"[6,7]"},"properties":{"noteIndex":0},"schema":"https://github.com/citation-style-language/schema/raw/master/csl-citation.json"}</w:instrText>
      </w:r>
      <w:r w:rsidR="000D6097" w:rsidRPr="00683EE7">
        <w:rPr>
          <w:lang w:val="en-US"/>
        </w:rPr>
        <w:fldChar w:fldCharType="separate"/>
      </w:r>
      <w:r w:rsidR="00B16EF8" w:rsidRPr="00683EE7">
        <w:rPr>
          <w:noProof/>
          <w:lang w:val="en-US"/>
        </w:rPr>
        <w:t>[5]</w:t>
      </w:r>
      <w:r w:rsidR="000D6097" w:rsidRPr="00683EE7">
        <w:rPr>
          <w:lang w:val="en-US"/>
        </w:rPr>
        <w:fldChar w:fldCharType="end"/>
      </w:r>
      <w:r w:rsidR="002F1F30" w:rsidRPr="00683EE7">
        <w:rPr>
          <w:lang w:val="en-US"/>
        </w:rPr>
        <w:t xml:space="preserve">. </w:t>
      </w:r>
      <w:r w:rsidR="00992F83" w:rsidRPr="00683EE7">
        <w:rPr>
          <w:lang w:val="en-US"/>
        </w:rPr>
        <w:t>Transposon i</w:t>
      </w:r>
      <w:r w:rsidR="002F1F30" w:rsidRPr="00683EE7">
        <w:rPr>
          <w:lang w:val="en-US"/>
        </w:rPr>
        <w:t>nsertion sites</w:t>
      </w:r>
      <w:r w:rsidR="00992F83" w:rsidRPr="00683EE7">
        <w:rPr>
          <w:lang w:val="en-US"/>
        </w:rPr>
        <w:t xml:space="preserve"> were predicted using the ISE</w:t>
      </w:r>
      <w:r w:rsidR="000D6097" w:rsidRPr="00683EE7">
        <w:rPr>
          <w:lang w:val="en-US"/>
        </w:rPr>
        <w:t>S</w:t>
      </w:r>
      <w:r w:rsidR="00992F83" w:rsidRPr="00683EE7">
        <w:rPr>
          <w:lang w:val="en-US"/>
        </w:rPr>
        <w:t>can algorithm</w:t>
      </w:r>
      <w:r w:rsidR="000D6097" w:rsidRPr="00683EE7">
        <w:rPr>
          <w:lang w:val="en-US"/>
        </w:rPr>
        <w:t xml:space="preserve"> </w:t>
      </w:r>
      <w:r w:rsidR="000D6097" w:rsidRPr="00683EE7">
        <w:rPr>
          <w:lang w:val="en-US"/>
        </w:rPr>
        <w:fldChar w:fldCharType="begin" w:fldLock="1"/>
      </w:r>
      <w:r w:rsidR="00B16EF8" w:rsidRPr="00683EE7">
        <w:rPr>
          <w:lang w:val="en-US"/>
        </w:rPr>
        <w:instrText>ADDIN CSL_CITATION {"citationItems":[{"id":"ITEM-1","itemData":{"DOI":"10.1093/bioinformatics/btx433","ISSN":"13674811","PMID":"29077810","abstract":"Motivation: The insertion sequence (IS) elements are the smallest but most abundant autonomous transposable elements in prokaryotic genomes, which play a key role in prokaryotic genome organization and evolution. With the fast growing genomic data, it is becoming increasingly critical for biology researchers to be able to accurately and automatically annotate ISs in prokaryotic genome sequences. The available automatic IS annotation systems are either providing only incomplete IS annotation or relying on the availability of existing genome annotations. Here, we present a new IS elements annotation pipeline to address these issues.\nResults: ISEScan is a highly sensitive software pipeline based on profile hidden Markov models constructed from manually curated IS elements. ISEScan performs better than existing IS annotation systems when tested on prokaryotic genomes with curated annotations of IS elements. Applying it to 2784 prokaryotic genomes, we report the global distribution of IS families across taxonomic clades in Archaea and Bacteria.\nAvailability and implementation: ISEScan is implemented in Python and released as an open source software at https://github.com/xiezhq/ISEScan.\nContact: hatang@indiana.edu.\nSupplementary information: Supplementary data are available at Bioinformatics online.","author":[{"dropping-particle":"","family":"Xie","given":"Zhiqun","non-dropping-particle":"","parse-names":false,"suffix":""},{"dropping-particle":"","family":"Tang","given":"Haixu","non-dropping-particle":"","parse-names":false,"suffix":""}],"container-title":"Bioinformatics (Oxford, England)","id":"ITEM-1","issue":"21","issued":{"date-parts":[["2017","11","1"]]},"page":"3340-3347","publisher":"Bioinformatics","title":"ISEScan: automated identification of insertion sequence elements in prokaryotic genomes","type":"article-journal","volume":"33"},"uris":["http://www.mendeley.com/documents/?uuid=a4f16699-d68c-3697-a007-eadefc6c59b8"]}],"mendeley":{"formattedCitation":"[6]","plainTextFormattedCitation":"[6]","previouslyFormattedCitation":"[8]"},"properties":{"noteIndex":0},"schema":"https://github.com/citation-style-language/schema/raw/master/csl-citation.json"}</w:instrText>
      </w:r>
      <w:r w:rsidR="000D6097" w:rsidRPr="00683EE7">
        <w:rPr>
          <w:lang w:val="en-US"/>
        </w:rPr>
        <w:fldChar w:fldCharType="separate"/>
      </w:r>
      <w:r w:rsidR="00B16EF8" w:rsidRPr="00683EE7">
        <w:rPr>
          <w:noProof/>
          <w:lang w:val="en-US"/>
        </w:rPr>
        <w:t>[6]</w:t>
      </w:r>
      <w:r w:rsidR="000D6097" w:rsidRPr="00683EE7">
        <w:rPr>
          <w:lang w:val="en-US"/>
        </w:rPr>
        <w:fldChar w:fldCharType="end"/>
      </w:r>
      <w:r w:rsidR="00992F83" w:rsidRPr="00683EE7">
        <w:rPr>
          <w:lang w:val="en-US"/>
        </w:rPr>
        <w:t>, and GC ratios were examined in Geneious (version 9.1.8).</w:t>
      </w:r>
    </w:p>
    <w:p w14:paraId="603C691F" w14:textId="398D2740" w:rsidR="00177E26" w:rsidRPr="00B246D9" w:rsidRDefault="001A078C" w:rsidP="00683EE7">
      <w:pPr>
        <w:spacing w:line="360" w:lineRule="auto"/>
        <w:rPr>
          <w:lang w:val="en-GB"/>
        </w:rPr>
      </w:pPr>
      <w:r>
        <w:rPr>
          <w:lang w:val="en-US"/>
        </w:rPr>
        <w:t xml:space="preserve">The plasmid sequence generated as part of this study is available on the Genbank database under the accession number </w:t>
      </w:r>
      <w:r w:rsidRPr="001A078C">
        <w:rPr>
          <w:lang w:val="en-US"/>
        </w:rPr>
        <w:t>MW464182</w:t>
      </w:r>
      <w:r>
        <w:rPr>
          <w:lang w:val="en-US"/>
        </w:rPr>
        <w:t>.</w:t>
      </w:r>
    </w:p>
    <w:p w14:paraId="488977A2" w14:textId="03ADCE59" w:rsidR="00177E26" w:rsidRPr="00683EE7" w:rsidRDefault="00177E26" w:rsidP="00F0558F">
      <w:pPr>
        <w:jc w:val="both"/>
        <w:rPr>
          <w:lang w:val="en-US"/>
        </w:rPr>
      </w:pPr>
    </w:p>
    <w:p w14:paraId="280EA862" w14:textId="74465AC7" w:rsidR="00B16EF8" w:rsidRPr="00683EE7" w:rsidRDefault="006F1681" w:rsidP="00683EE7">
      <w:pPr>
        <w:widowControl w:val="0"/>
        <w:autoSpaceDE w:val="0"/>
        <w:autoSpaceDN w:val="0"/>
        <w:adjustRightInd w:val="0"/>
        <w:spacing w:line="240" w:lineRule="auto"/>
        <w:ind w:left="640" w:hanging="640"/>
        <w:jc w:val="both"/>
        <w:rPr>
          <w:rFonts w:ascii="Calibri" w:hAnsi="Calibri" w:cs="Calibri"/>
          <w:noProof/>
          <w:szCs w:val="24"/>
          <w:lang w:val="en-US"/>
        </w:rPr>
      </w:pPr>
      <w:r>
        <w:rPr>
          <w:lang w:val="en-US"/>
        </w:rPr>
        <w:fldChar w:fldCharType="begin" w:fldLock="1"/>
      </w:r>
      <w:r>
        <w:rPr>
          <w:lang w:val="en-US"/>
        </w:rPr>
        <w:instrText xml:space="preserve">ADDIN Mendeley Bibliography CSL_BIBLIOGRAPHY </w:instrText>
      </w:r>
      <w:r>
        <w:rPr>
          <w:lang w:val="en-US"/>
        </w:rPr>
        <w:fldChar w:fldCharType="separate"/>
      </w:r>
      <w:r w:rsidR="00B16EF8" w:rsidRPr="00683EE7">
        <w:rPr>
          <w:rFonts w:ascii="Calibri" w:hAnsi="Calibri" w:cs="Calibri"/>
          <w:noProof/>
          <w:szCs w:val="24"/>
          <w:lang w:val="en-US"/>
        </w:rPr>
        <w:t xml:space="preserve">1. </w:t>
      </w:r>
      <w:r w:rsidR="00B16EF8" w:rsidRPr="00683EE7">
        <w:rPr>
          <w:rFonts w:ascii="Calibri" w:hAnsi="Calibri" w:cs="Calibri"/>
          <w:noProof/>
          <w:szCs w:val="24"/>
          <w:lang w:val="en-US"/>
        </w:rPr>
        <w:tab/>
        <w:t xml:space="preserve">Koren S, Walenz BP, Berlin K, Miller JR, Bergman NH, Phillippy AM. Canu: Scalable and accurate long-read assembly via adaptive </w:t>
      </w:r>
      <w:r w:rsidR="00B16EF8" w:rsidRPr="00B16EF8">
        <w:rPr>
          <w:rFonts w:ascii="Calibri" w:hAnsi="Calibri" w:cs="Calibri"/>
          <w:noProof/>
          <w:szCs w:val="24"/>
        </w:rPr>
        <w:t>κ</w:t>
      </w:r>
      <w:r w:rsidR="00B16EF8" w:rsidRPr="00683EE7">
        <w:rPr>
          <w:rFonts w:ascii="Calibri" w:hAnsi="Calibri" w:cs="Calibri"/>
          <w:noProof/>
          <w:szCs w:val="24"/>
          <w:lang w:val="en-US"/>
        </w:rPr>
        <w:t xml:space="preserve">-mer weighting and repeat separation. Genome Res. 2017;27: 722–736. </w:t>
      </w:r>
    </w:p>
    <w:p w14:paraId="555E8AFF" w14:textId="4A15718A" w:rsidR="00B16EF8" w:rsidRPr="00683EE7" w:rsidRDefault="00B16EF8" w:rsidP="00683EE7">
      <w:pPr>
        <w:widowControl w:val="0"/>
        <w:autoSpaceDE w:val="0"/>
        <w:autoSpaceDN w:val="0"/>
        <w:adjustRightInd w:val="0"/>
        <w:spacing w:line="240" w:lineRule="auto"/>
        <w:ind w:left="640" w:hanging="640"/>
        <w:jc w:val="both"/>
        <w:rPr>
          <w:rFonts w:ascii="Calibri" w:hAnsi="Calibri" w:cs="Calibri"/>
          <w:noProof/>
          <w:szCs w:val="24"/>
          <w:lang w:val="en-US"/>
        </w:rPr>
      </w:pPr>
      <w:r w:rsidRPr="00683EE7">
        <w:rPr>
          <w:rFonts w:ascii="Calibri" w:hAnsi="Calibri" w:cs="Calibri"/>
          <w:noProof/>
          <w:szCs w:val="24"/>
          <w:lang w:val="en-US"/>
        </w:rPr>
        <w:t xml:space="preserve">2. </w:t>
      </w:r>
      <w:r w:rsidRPr="00683EE7">
        <w:rPr>
          <w:rFonts w:ascii="Calibri" w:hAnsi="Calibri" w:cs="Calibri"/>
          <w:noProof/>
          <w:szCs w:val="24"/>
          <w:lang w:val="en-US"/>
        </w:rPr>
        <w:tab/>
        <w:t xml:space="preserve">Kurtz S, Phillippy A, Delcher AL, Smoot M, Shumway M, Antonescu C, </w:t>
      </w:r>
      <w:r w:rsidRPr="00683EE7">
        <w:rPr>
          <w:rFonts w:ascii="Calibri" w:hAnsi="Calibri" w:cs="Calibri"/>
          <w:i/>
          <w:noProof/>
          <w:szCs w:val="24"/>
          <w:lang w:val="en-US"/>
        </w:rPr>
        <w:t>et al.</w:t>
      </w:r>
      <w:r w:rsidRPr="00683EE7">
        <w:rPr>
          <w:rFonts w:ascii="Calibri" w:hAnsi="Calibri" w:cs="Calibri"/>
          <w:noProof/>
          <w:szCs w:val="24"/>
          <w:lang w:val="en-US"/>
        </w:rPr>
        <w:t xml:space="preserve"> Versatile and open software for comparing large genomes. Genome Biol. 2004;5: R12. </w:t>
      </w:r>
    </w:p>
    <w:p w14:paraId="270738D9" w14:textId="33B18EAE" w:rsidR="00B16EF8" w:rsidRPr="00683EE7" w:rsidRDefault="00B16EF8" w:rsidP="00683EE7">
      <w:pPr>
        <w:widowControl w:val="0"/>
        <w:autoSpaceDE w:val="0"/>
        <w:autoSpaceDN w:val="0"/>
        <w:adjustRightInd w:val="0"/>
        <w:spacing w:line="240" w:lineRule="auto"/>
        <w:ind w:left="640" w:hanging="640"/>
        <w:jc w:val="both"/>
        <w:rPr>
          <w:rFonts w:ascii="Calibri" w:hAnsi="Calibri" w:cs="Calibri"/>
          <w:noProof/>
          <w:szCs w:val="24"/>
          <w:lang w:val="en-US"/>
        </w:rPr>
      </w:pPr>
      <w:r w:rsidRPr="00B16EF8">
        <w:rPr>
          <w:rFonts w:ascii="Calibri" w:hAnsi="Calibri" w:cs="Calibri"/>
          <w:noProof/>
          <w:szCs w:val="24"/>
        </w:rPr>
        <w:t xml:space="preserve">3. </w:t>
      </w:r>
      <w:r w:rsidRPr="00B16EF8">
        <w:rPr>
          <w:rFonts w:ascii="Calibri" w:hAnsi="Calibri" w:cs="Calibri"/>
          <w:noProof/>
          <w:szCs w:val="24"/>
        </w:rPr>
        <w:tab/>
        <w:t xml:space="preserve">Bortolaia V, Kaas RS, Ruppe E, Roberts MC, Schwarz S, Cattoir V, </w:t>
      </w:r>
      <w:r w:rsidRPr="00683EE7">
        <w:rPr>
          <w:rFonts w:ascii="Calibri" w:hAnsi="Calibri" w:cs="Calibri"/>
          <w:i/>
          <w:noProof/>
          <w:szCs w:val="24"/>
        </w:rPr>
        <w:t xml:space="preserve">et al. </w:t>
      </w:r>
      <w:r w:rsidRPr="00683EE7">
        <w:rPr>
          <w:rFonts w:ascii="Calibri" w:hAnsi="Calibri" w:cs="Calibri"/>
          <w:noProof/>
          <w:szCs w:val="24"/>
          <w:lang w:val="en-US"/>
        </w:rPr>
        <w:t xml:space="preserve">ResFinder 4.0 for predictions of phenotypes from genotypes. J Antimicrob Chemother. 2020. </w:t>
      </w:r>
    </w:p>
    <w:p w14:paraId="5B1C9900" w14:textId="5DB3A80B" w:rsidR="00B16EF8" w:rsidRPr="00683EE7" w:rsidRDefault="00B16EF8" w:rsidP="00683EE7">
      <w:pPr>
        <w:widowControl w:val="0"/>
        <w:autoSpaceDE w:val="0"/>
        <w:autoSpaceDN w:val="0"/>
        <w:adjustRightInd w:val="0"/>
        <w:spacing w:line="240" w:lineRule="auto"/>
        <w:ind w:left="640" w:hanging="640"/>
        <w:jc w:val="both"/>
        <w:rPr>
          <w:rFonts w:ascii="Calibri" w:hAnsi="Calibri" w:cs="Calibri"/>
          <w:noProof/>
          <w:szCs w:val="24"/>
          <w:lang w:val="en-US"/>
        </w:rPr>
      </w:pPr>
      <w:r w:rsidRPr="00683EE7">
        <w:rPr>
          <w:rFonts w:ascii="Calibri" w:hAnsi="Calibri" w:cs="Calibri"/>
          <w:noProof/>
          <w:szCs w:val="24"/>
          <w:lang w:val="en-US"/>
        </w:rPr>
        <w:t xml:space="preserve">4. </w:t>
      </w:r>
      <w:r w:rsidRPr="00683EE7">
        <w:rPr>
          <w:rFonts w:ascii="Calibri" w:hAnsi="Calibri" w:cs="Calibri"/>
          <w:noProof/>
          <w:szCs w:val="24"/>
          <w:lang w:val="en-US"/>
        </w:rPr>
        <w:tab/>
        <w:t>Seemann T. Prokka: rapid prokaryotic genome annotation.</w:t>
      </w:r>
      <w:r w:rsidR="00683EE7">
        <w:rPr>
          <w:rFonts w:ascii="Calibri" w:hAnsi="Calibri" w:cs="Calibri"/>
          <w:noProof/>
          <w:szCs w:val="24"/>
          <w:lang w:val="en-US"/>
        </w:rPr>
        <w:t xml:space="preserve"> </w:t>
      </w:r>
      <w:r w:rsidR="00683EE7" w:rsidRPr="00B246D9">
        <w:rPr>
          <w:rStyle w:val="docsum-journal-citation"/>
          <w:lang w:val="en-GB"/>
        </w:rPr>
        <w:t>Bioinformatics. 2014 Jul 15;30(14):2068-9.</w:t>
      </w:r>
      <w:r w:rsidRPr="00683EE7">
        <w:rPr>
          <w:rFonts w:ascii="Calibri" w:hAnsi="Calibri" w:cs="Calibri"/>
          <w:noProof/>
          <w:szCs w:val="24"/>
          <w:lang w:val="en-US"/>
        </w:rPr>
        <w:t xml:space="preserve"> </w:t>
      </w:r>
    </w:p>
    <w:p w14:paraId="7326695E" w14:textId="651978E6" w:rsidR="00B16EF8" w:rsidRPr="00B246D9" w:rsidRDefault="00B16EF8" w:rsidP="001A27F9">
      <w:pPr>
        <w:ind w:left="567" w:hanging="567"/>
        <w:rPr>
          <w:rFonts w:eastAsia="Times New Roman" w:cstheme="minorHAnsi"/>
          <w:lang w:val="en-GB" w:eastAsia="fr-FR"/>
        </w:rPr>
      </w:pPr>
      <w:r w:rsidRPr="00683EE7">
        <w:rPr>
          <w:rFonts w:ascii="Calibri" w:hAnsi="Calibri" w:cs="Calibri"/>
          <w:noProof/>
          <w:szCs w:val="24"/>
          <w:lang w:val="en-US"/>
        </w:rPr>
        <w:t xml:space="preserve">5. </w:t>
      </w:r>
      <w:r w:rsidRPr="00683EE7">
        <w:rPr>
          <w:rFonts w:ascii="Calibri" w:hAnsi="Calibri" w:cs="Calibri"/>
          <w:noProof/>
          <w:szCs w:val="24"/>
          <w:lang w:val="en-US"/>
        </w:rPr>
        <w:tab/>
        <w:t xml:space="preserve">Huerta-Cepas J, Forslund K, Coelho LP, Szklarczyk D, Jensen LJ, Von Mering C, </w:t>
      </w:r>
      <w:r w:rsidRPr="00683EE7">
        <w:rPr>
          <w:rFonts w:ascii="Calibri" w:hAnsi="Calibri" w:cs="Calibri"/>
          <w:i/>
          <w:noProof/>
          <w:szCs w:val="24"/>
          <w:lang w:val="en-US"/>
        </w:rPr>
        <w:t xml:space="preserve">et al. </w:t>
      </w:r>
      <w:r w:rsidRPr="00683EE7">
        <w:rPr>
          <w:rFonts w:ascii="Calibri" w:hAnsi="Calibri" w:cs="Calibri"/>
          <w:noProof/>
          <w:szCs w:val="24"/>
          <w:lang w:val="en-US"/>
        </w:rPr>
        <w:t>Fast genome-wide functional annotation through orthology assignment b</w:t>
      </w:r>
      <w:r w:rsidR="00683EE7">
        <w:rPr>
          <w:rFonts w:ascii="Calibri" w:hAnsi="Calibri" w:cs="Calibri"/>
          <w:noProof/>
          <w:szCs w:val="24"/>
          <w:lang w:val="en-US"/>
        </w:rPr>
        <w:t xml:space="preserve">y eggNOG-mapper. </w:t>
      </w:r>
      <w:r w:rsidR="00683EE7" w:rsidRPr="00B246D9">
        <w:rPr>
          <w:rFonts w:eastAsia="Times New Roman" w:cstheme="minorHAnsi"/>
          <w:lang w:val="en-GB" w:eastAsia="fr-FR"/>
        </w:rPr>
        <w:t xml:space="preserve">Mol Biol Evol. 2017 Aug 1;34(8):2115-2122. </w:t>
      </w:r>
    </w:p>
    <w:p w14:paraId="23A52938" w14:textId="1D4006EB" w:rsidR="00B16EF8" w:rsidRPr="00B16EF8" w:rsidRDefault="00B16EF8" w:rsidP="00683EE7">
      <w:pPr>
        <w:widowControl w:val="0"/>
        <w:autoSpaceDE w:val="0"/>
        <w:autoSpaceDN w:val="0"/>
        <w:adjustRightInd w:val="0"/>
        <w:spacing w:line="240" w:lineRule="auto"/>
        <w:ind w:left="640" w:hanging="640"/>
        <w:jc w:val="both"/>
        <w:rPr>
          <w:rFonts w:ascii="Calibri" w:hAnsi="Calibri" w:cs="Calibri"/>
          <w:noProof/>
        </w:rPr>
      </w:pPr>
      <w:r w:rsidRPr="00683EE7">
        <w:rPr>
          <w:rFonts w:ascii="Calibri" w:hAnsi="Calibri" w:cs="Calibri"/>
          <w:noProof/>
          <w:szCs w:val="24"/>
          <w:lang w:val="en-US"/>
        </w:rPr>
        <w:t xml:space="preserve">6. </w:t>
      </w:r>
      <w:r w:rsidRPr="00683EE7">
        <w:rPr>
          <w:rFonts w:ascii="Calibri" w:hAnsi="Calibri" w:cs="Calibri"/>
          <w:noProof/>
          <w:szCs w:val="24"/>
          <w:lang w:val="en-US"/>
        </w:rPr>
        <w:tab/>
        <w:t xml:space="preserve">Xie Z, Tang H. ISEScan: automated identification of insertion sequence elements in prokaryotic genomes. </w:t>
      </w:r>
      <w:r w:rsidRPr="00B16EF8">
        <w:rPr>
          <w:rFonts w:ascii="Calibri" w:hAnsi="Calibri" w:cs="Calibri"/>
          <w:noProof/>
          <w:szCs w:val="24"/>
        </w:rPr>
        <w:t xml:space="preserve">Bioinformatics. 2017;33: 3340–3347. </w:t>
      </w:r>
    </w:p>
    <w:p w14:paraId="3880CD95" w14:textId="27583499" w:rsidR="007D6384" w:rsidRDefault="006F1681" w:rsidP="00683EE7">
      <w:pPr>
        <w:jc w:val="both"/>
        <w:rPr>
          <w:lang w:val="en-US"/>
        </w:rPr>
      </w:pPr>
      <w:r>
        <w:rPr>
          <w:lang w:val="en-US"/>
        </w:rPr>
        <w:fldChar w:fldCharType="end"/>
      </w:r>
    </w:p>
    <w:p w14:paraId="2C2823A0" w14:textId="77777777" w:rsidR="007D6384" w:rsidRPr="00D81CA5" w:rsidRDefault="007D6384" w:rsidP="002F1F30">
      <w:pPr>
        <w:jc w:val="both"/>
        <w:rPr>
          <w:lang w:val="en-US"/>
        </w:rPr>
      </w:pPr>
    </w:p>
    <w:sectPr w:rsidR="007D6384" w:rsidRPr="00D81CA5" w:rsidSect="00177E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655DE3"/>
    <w:multiLevelType w:val="multilevel"/>
    <w:tmpl w:val="145A2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CA5"/>
    <w:rsid w:val="000047D3"/>
    <w:rsid w:val="00025E7E"/>
    <w:rsid w:val="000435D9"/>
    <w:rsid w:val="00047DC8"/>
    <w:rsid w:val="00060F5B"/>
    <w:rsid w:val="000638E0"/>
    <w:rsid w:val="000A599A"/>
    <w:rsid w:val="000C3DBB"/>
    <w:rsid w:val="000D6097"/>
    <w:rsid w:val="001318A7"/>
    <w:rsid w:val="001626FC"/>
    <w:rsid w:val="00171BB2"/>
    <w:rsid w:val="00176AB3"/>
    <w:rsid w:val="00177E26"/>
    <w:rsid w:val="001A078C"/>
    <w:rsid w:val="001A27F9"/>
    <w:rsid w:val="001F55A7"/>
    <w:rsid w:val="00201C8A"/>
    <w:rsid w:val="00205DB6"/>
    <w:rsid w:val="0026240C"/>
    <w:rsid w:val="002E6E43"/>
    <w:rsid w:val="002F1F30"/>
    <w:rsid w:val="00315FF6"/>
    <w:rsid w:val="00377410"/>
    <w:rsid w:val="00377A24"/>
    <w:rsid w:val="00386898"/>
    <w:rsid w:val="00393613"/>
    <w:rsid w:val="003A4F03"/>
    <w:rsid w:val="003F7FE9"/>
    <w:rsid w:val="004140BB"/>
    <w:rsid w:val="0042772A"/>
    <w:rsid w:val="00466F4A"/>
    <w:rsid w:val="004C20BA"/>
    <w:rsid w:val="004C7100"/>
    <w:rsid w:val="004F7D05"/>
    <w:rsid w:val="00507CAA"/>
    <w:rsid w:val="005544E4"/>
    <w:rsid w:val="005C54CA"/>
    <w:rsid w:val="005D26BF"/>
    <w:rsid w:val="005F535C"/>
    <w:rsid w:val="0063571F"/>
    <w:rsid w:val="00667761"/>
    <w:rsid w:val="00683EE7"/>
    <w:rsid w:val="00684F3C"/>
    <w:rsid w:val="00685F6D"/>
    <w:rsid w:val="006B0FFA"/>
    <w:rsid w:val="006B2111"/>
    <w:rsid w:val="006F1681"/>
    <w:rsid w:val="006F2708"/>
    <w:rsid w:val="00706797"/>
    <w:rsid w:val="007760A7"/>
    <w:rsid w:val="007D6384"/>
    <w:rsid w:val="008B08C3"/>
    <w:rsid w:val="008F4834"/>
    <w:rsid w:val="00905EB6"/>
    <w:rsid w:val="009165BB"/>
    <w:rsid w:val="00934FCD"/>
    <w:rsid w:val="00976AA2"/>
    <w:rsid w:val="0099233F"/>
    <w:rsid w:val="00992F83"/>
    <w:rsid w:val="009A2A58"/>
    <w:rsid w:val="009C7EB8"/>
    <w:rsid w:val="009F7354"/>
    <w:rsid w:val="00A07C17"/>
    <w:rsid w:val="00A466D2"/>
    <w:rsid w:val="00A96F7C"/>
    <w:rsid w:val="00AA1FB4"/>
    <w:rsid w:val="00AA6D8F"/>
    <w:rsid w:val="00AB2DC2"/>
    <w:rsid w:val="00AD0FE5"/>
    <w:rsid w:val="00AD4C15"/>
    <w:rsid w:val="00AF5A62"/>
    <w:rsid w:val="00B16EF8"/>
    <w:rsid w:val="00B246D9"/>
    <w:rsid w:val="00B27A34"/>
    <w:rsid w:val="00B87D09"/>
    <w:rsid w:val="00BA03EF"/>
    <w:rsid w:val="00BB5055"/>
    <w:rsid w:val="00BC5B5C"/>
    <w:rsid w:val="00BD253E"/>
    <w:rsid w:val="00C31BA3"/>
    <w:rsid w:val="00C40CE7"/>
    <w:rsid w:val="00CA6443"/>
    <w:rsid w:val="00CB23CD"/>
    <w:rsid w:val="00CC564F"/>
    <w:rsid w:val="00CF4EBD"/>
    <w:rsid w:val="00D314C2"/>
    <w:rsid w:val="00D67004"/>
    <w:rsid w:val="00D81CA5"/>
    <w:rsid w:val="00DB5A3A"/>
    <w:rsid w:val="00DD00E6"/>
    <w:rsid w:val="00E324C8"/>
    <w:rsid w:val="00E44CEE"/>
    <w:rsid w:val="00E6187C"/>
    <w:rsid w:val="00EA6D91"/>
    <w:rsid w:val="00EA7FCD"/>
    <w:rsid w:val="00EB0179"/>
    <w:rsid w:val="00EC1D6B"/>
    <w:rsid w:val="00F0558F"/>
    <w:rsid w:val="00F07510"/>
    <w:rsid w:val="00F24F4B"/>
    <w:rsid w:val="00F445CC"/>
    <w:rsid w:val="00F54007"/>
    <w:rsid w:val="00F8217A"/>
    <w:rsid w:val="00FC6917"/>
    <w:rsid w:val="00FE4C0F"/>
  </w:rsids>
  <m:mathPr>
    <m:mathFont m:val="Cambria Math"/>
    <m:brkBin m:val="before"/>
    <m:brkBinSub m:val="--"/>
    <m:smallFrac m:val="0"/>
    <m:dispDef/>
    <m:lMargin m:val="0"/>
    <m:rMargin m:val="0"/>
    <m:defJc m:val="centerGroup"/>
    <m:wrapIndent m:val="1440"/>
    <m:intLim m:val="subSup"/>
    <m:naryLim m:val="undOvr"/>
  </m:mathPr>
  <w:themeFontLang w:val="fr-R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A1BF9"/>
  <w15:chartTrackingRefBased/>
  <w15:docId w15:val="{E6264CB4-8410-437B-8347-C66AE7429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R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CF4EBD"/>
    <w:rPr>
      <w:sz w:val="16"/>
      <w:szCs w:val="16"/>
    </w:rPr>
  </w:style>
  <w:style w:type="paragraph" w:styleId="Commentaire">
    <w:name w:val="annotation text"/>
    <w:basedOn w:val="Normal"/>
    <w:link w:val="CommentaireCar"/>
    <w:uiPriority w:val="99"/>
    <w:semiHidden/>
    <w:unhideWhenUsed/>
    <w:rsid w:val="00CF4EBD"/>
    <w:pPr>
      <w:spacing w:line="240" w:lineRule="auto"/>
    </w:pPr>
    <w:rPr>
      <w:sz w:val="20"/>
      <w:szCs w:val="20"/>
    </w:rPr>
  </w:style>
  <w:style w:type="character" w:customStyle="1" w:styleId="CommentaireCar">
    <w:name w:val="Commentaire Car"/>
    <w:basedOn w:val="Policepardfaut"/>
    <w:link w:val="Commentaire"/>
    <w:uiPriority w:val="99"/>
    <w:semiHidden/>
    <w:rsid w:val="00CF4EBD"/>
    <w:rPr>
      <w:sz w:val="20"/>
      <w:szCs w:val="20"/>
    </w:rPr>
  </w:style>
  <w:style w:type="paragraph" w:styleId="Objetducommentaire">
    <w:name w:val="annotation subject"/>
    <w:basedOn w:val="Commentaire"/>
    <w:next w:val="Commentaire"/>
    <w:link w:val="ObjetducommentaireCar"/>
    <w:uiPriority w:val="99"/>
    <w:semiHidden/>
    <w:unhideWhenUsed/>
    <w:rsid w:val="00CF4EBD"/>
    <w:rPr>
      <w:b/>
      <w:bCs/>
    </w:rPr>
  </w:style>
  <w:style w:type="character" w:customStyle="1" w:styleId="ObjetducommentaireCar">
    <w:name w:val="Objet du commentaire Car"/>
    <w:basedOn w:val="CommentaireCar"/>
    <w:link w:val="Objetducommentaire"/>
    <w:uiPriority w:val="99"/>
    <w:semiHidden/>
    <w:rsid w:val="00CF4EBD"/>
    <w:rPr>
      <w:b/>
      <w:bCs/>
      <w:sz w:val="20"/>
      <w:szCs w:val="20"/>
    </w:rPr>
  </w:style>
  <w:style w:type="paragraph" w:styleId="Textedebulles">
    <w:name w:val="Balloon Text"/>
    <w:basedOn w:val="Normal"/>
    <w:link w:val="TextedebullesCar"/>
    <w:uiPriority w:val="99"/>
    <w:semiHidden/>
    <w:unhideWhenUsed/>
    <w:rsid w:val="00CF4EBD"/>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CF4EBD"/>
    <w:rPr>
      <w:rFonts w:ascii="Times New Roman" w:hAnsi="Times New Roman" w:cs="Times New Roman"/>
      <w:sz w:val="18"/>
      <w:szCs w:val="18"/>
    </w:rPr>
  </w:style>
  <w:style w:type="paragraph" w:styleId="Sansinterligne">
    <w:name w:val="No Spacing"/>
    <w:uiPriority w:val="1"/>
    <w:qFormat/>
    <w:rsid w:val="00B16EF8"/>
    <w:pPr>
      <w:spacing w:after="0" w:line="240" w:lineRule="auto"/>
    </w:pPr>
  </w:style>
  <w:style w:type="character" w:customStyle="1" w:styleId="docsum-journal-citation">
    <w:name w:val="docsum-journal-citation"/>
    <w:basedOn w:val="Policepardfaut"/>
    <w:rsid w:val="00683EE7"/>
  </w:style>
  <w:style w:type="character" w:customStyle="1" w:styleId="period">
    <w:name w:val="period"/>
    <w:basedOn w:val="Policepardfaut"/>
    <w:rsid w:val="00683EE7"/>
  </w:style>
  <w:style w:type="character" w:customStyle="1" w:styleId="cit">
    <w:name w:val="cit"/>
    <w:basedOn w:val="Policepardfaut"/>
    <w:rsid w:val="00683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95325">
      <w:bodyDiv w:val="1"/>
      <w:marLeft w:val="0"/>
      <w:marRight w:val="0"/>
      <w:marTop w:val="0"/>
      <w:marBottom w:val="0"/>
      <w:divBdr>
        <w:top w:val="none" w:sz="0" w:space="0" w:color="auto"/>
        <w:left w:val="none" w:sz="0" w:space="0" w:color="auto"/>
        <w:bottom w:val="none" w:sz="0" w:space="0" w:color="auto"/>
        <w:right w:val="none" w:sz="0" w:space="0" w:color="auto"/>
      </w:divBdr>
      <w:divsChild>
        <w:div w:id="423964115">
          <w:marLeft w:val="0"/>
          <w:marRight w:val="0"/>
          <w:marTop w:val="0"/>
          <w:marBottom w:val="0"/>
          <w:divBdr>
            <w:top w:val="none" w:sz="0" w:space="0" w:color="auto"/>
            <w:left w:val="none" w:sz="0" w:space="0" w:color="auto"/>
            <w:bottom w:val="none" w:sz="0" w:space="0" w:color="auto"/>
            <w:right w:val="none" w:sz="0" w:space="0" w:color="auto"/>
          </w:divBdr>
          <w:divsChild>
            <w:div w:id="2010936646">
              <w:marLeft w:val="0"/>
              <w:marRight w:val="0"/>
              <w:marTop w:val="0"/>
              <w:marBottom w:val="0"/>
              <w:divBdr>
                <w:top w:val="none" w:sz="0" w:space="0" w:color="auto"/>
                <w:left w:val="none" w:sz="0" w:space="0" w:color="auto"/>
                <w:bottom w:val="none" w:sz="0" w:space="0" w:color="auto"/>
                <w:right w:val="none" w:sz="0" w:space="0" w:color="auto"/>
              </w:divBdr>
              <w:divsChild>
                <w:div w:id="364722073">
                  <w:marLeft w:val="0"/>
                  <w:marRight w:val="0"/>
                  <w:marTop w:val="0"/>
                  <w:marBottom w:val="0"/>
                  <w:divBdr>
                    <w:top w:val="none" w:sz="0" w:space="0" w:color="auto"/>
                    <w:left w:val="none" w:sz="0" w:space="0" w:color="auto"/>
                    <w:bottom w:val="none" w:sz="0" w:space="0" w:color="auto"/>
                    <w:right w:val="none" w:sz="0" w:space="0" w:color="auto"/>
                  </w:divBdr>
                  <w:divsChild>
                    <w:div w:id="6352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5A600-CAD9-4705-A244-662CD782D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3364</Words>
  <Characters>18506</Characters>
  <Application>Microsoft Office Word</Application>
  <DocSecurity>0</DocSecurity>
  <Lines>154</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Wilkinson</dc:creator>
  <cp:keywords/>
  <dc:description/>
  <cp:lastModifiedBy>guillaume miltgen</cp:lastModifiedBy>
  <cp:revision>4</cp:revision>
  <dcterms:created xsi:type="dcterms:W3CDTF">2021-01-19T10:44:00Z</dcterms:created>
  <dcterms:modified xsi:type="dcterms:W3CDTF">2021-01-21T07:45:00Z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http://www.zotero.org/styles/emerging-infectious-diseases</vt:lpwstr>
  </property>
  <property fmtid="{D5CDD505-2E9C-101B-9397-08002B2CF9AE}" pid="15" name="Mendeley Recent Style Name 6_1">
    <vt:lpwstr>Emerging Infectious Diseases</vt:lpwstr>
  </property>
  <property fmtid="{D5CDD505-2E9C-101B-9397-08002B2CF9AE}" pid="16" name="Mendeley Recent Style Id 7_1">
    <vt:lpwstr>http://www.zotero.org/styles/journal-of-virology</vt:lpwstr>
  </property>
  <property fmtid="{D5CDD505-2E9C-101B-9397-08002B2CF9AE}" pid="17" name="Mendeley Recent Style Name 7_1">
    <vt:lpwstr>Journal of Virology</vt:lpwstr>
  </property>
  <property fmtid="{D5CDD505-2E9C-101B-9397-08002B2CF9AE}" pid="18" name="Mendeley Recent Style Id 8_1">
    <vt:lpwstr>http://csl.mendeley.com/styles/27328851/new-zealand-veterinary-journal</vt:lpwstr>
  </property>
  <property fmtid="{D5CDD505-2E9C-101B-9397-08002B2CF9AE}" pid="19" name="Mendeley Recent Style Name 8_1">
    <vt:lpwstr>New Zealand Veterinary Journal - Anne Midwinter, BSc, MSc (Hons), PhD</vt:lpwstr>
  </property>
  <property fmtid="{D5CDD505-2E9C-101B-9397-08002B2CF9AE}" pid="20" name="Mendeley Recent Style Id 9_1">
    <vt:lpwstr>http://www.zotero.org/styles/plos-one</vt:lpwstr>
  </property>
  <property fmtid="{D5CDD505-2E9C-101B-9397-08002B2CF9AE}" pid="21" name="Mendeley Recent Style Name 9_1">
    <vt:lpwstr>PLOS ONE</vt:lpwstr>
  </property>
  <property fmtid="{D5CDD505-2E9C-101B-9397-08002B2CF9AE}" pid="22" name="Mendeley Document_1">
    <vt:lpwstr>True</vt:lpwstr>
  </property>
  <property fmtid="{D5CDD505-2E9C-101B-9397-08002B2CF9AE}" pid="23" name="Mendeley Unique User Id_1">
    <vt:lpwstr>25bc853a-6c66-3f7c-a154-075283fa342e</vt:lpwstr>
  </property>
  <property fmtid="{D5CDD505-2E9C-101B-9397-08002B2CF9AE}" pid="24" name="Mendeley Citation Style_1">
    <vt:lpwstr>http://www.zotero.org/styles/plos-one</vt:lpwstr>
  </property>
</Properties>
</file>