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DBDD2" w14:textId="658CF58E" w:rsidR="00CF5F09" w:rsidRDefault="005075BD">
      <w:pPr>
        <w:rPr>
          <w:rFonts w:ascii="Times New Roman" w:eastAsia="Times New Roman" w:hAnsi="Times New Roman" w:cs="Times New Roman"/>
          <w:b/>
        </w:rPr>
      </w:pPr>
      <w:r>
        <w:rPr>
          <w:rFonts w:ascii="Times New Roman" w:eastAsia="Times New Roman" w:hAnsi="Times New Roman" w:cs="Times New Roman"/>
          <w:b/>
        </w:rPr>
        <w:t>Additional file</w:t>
      </w:r>
      <w:r w:rsidR="00377EB0">
        <w:rPr>
          <w:rFonts w:ascii="Times New Roman" w:eastAsia="Times New Roman" w:hAnsi="Times New Roman" w:cs="Times New Roman"/>
          <w:b/>
        </w:rPr>
        <w:t xml:space="preserve"> 2. </w:t>
      </w:r>
      <w:r w:rsidR="00976613">
        <w:rPr>
          <w:rFonts w:ascii="Times New Roman" w:eastAsia="Times New Roman" w:hAnsi="Times New Roman" w:cs="Times New Roman"/>
          <w:b/>
        </w:rPr>
        <w:t>Description</w:t>
      </w:r>
      <w:r w:rsidR="00377EB0">
        <w:rPr>
          <w:rFonts w:ascii="Times New Roman" w:eastAsia="Times New Roman" w:hAnsi="Times New Roman" w:cs="Times New Roman"/>
          <w:b/>
        </w:rPr>
        <w:t xml:space="preserve"> of infection prevention and control strategies</w:t>
      </w:r>
      <w:r w:rsidR="003E54AA">
        <w:rPr>
          <w:rFonts w:ascii="Times New Roman" w:eastAsia="Times New Roman" w:hAnsi="Times New Roman" w:cs="Times New Roman"/>
          <w:b/>
        </w:rPr>
        <w:t>.</w:t>
      </w:r>
    </w:p>
    <w:p w14:paraId="1D27E241" w14:textId="77777777" w:rsidR="00CF5F09" w:rsidRDefault="00CF5F09">
      <w:pPr>
        <w:rPr>
          <w:rFonts w:ascii="Times New Roman" w:eastAsia="Times New Roman" w:hAnsi="Times New Roman" w:cs="Times New Roman"/>
          <w:b/>
        </w:rPr>
      </w:pPr>
    </w:p>
    <w:tbl>
      <w:tblPr>
        <w:tblStyle w:val="a2"/>
        <w:tblW w:w="14010" w:type="dxa"/>
        <w:tblBorders>
          <w:top w:val="single" w:sz="4" w:space="0" w:color="BFBFBF"/>
          <w:left w:val="nil"/>
          <w:bottom w:val="single" w:sz="4" w:space="0" w:color="BFBFBF"/>
          <w:right w:val="nil"/>
          <w:insideH w:val="nil"/>
          <w:insideV w:val="nil"/>
        </w:tblBorders>
        <w:tblLayout w:type="fixed"/>
        <w:tblLook w:val="0400" w:firstRow="0" w:lastRow="0" w:firstColumn="0" w:lastColumn="0" w:noHBand="0" w:noVBand="1"/>
      </w:tblPr>
      <w:tblGrid>
        <w:gridCol w:w="3450"/>
        <w:gridCol w:w="10560"/>
      </w:tblGrid>
      <w:tr w:rsidR="00CF5F09" w14:paraId="6561E7ED" w14:textId="77777777">
        <w:trPr>
          <w:trHeight w:val="55"/>
        </w:trPr>
        <w:tc>
          <w:tcPr>
            <w:tcW w:w="3450" w:type="dxa"/>
            <w:tcBorders>
              <w:top w:val="single" w:sz="4" w:space="0" w:color="000000"/>
              <w:bottom w:val="single" w:sz="4" w:space="0" w:color="000000"/>
            </w:tcBorders>
          </w:tcPr>
          <w:p w14:paraId="1E1F9D99" w14:textId="77777777" w:rsidR="00CF5F09" w:rsidRDefault="00377EB0">
            <w:pPr>
              <w:rPr>
                <w:rFonts w:ascii="Times New Roman" w:eastAsia="Times New Roman" w:hAnsi="Times New Roman" w:cs="Times New Roman"/>
                <w:b/>
              </w:rPr>
            </w:pPr>
            <w:r>
              <w:rPr>
                <w:rFonts w:ascii="Times New Roman" w:eastAsia="Times New Roman" w:hAnsi="Times New Roman" w:cs="Times New Roman"/>
                <w:b/>
              </w:rPr>
              <w:t>Intervention</w:t>
            </w:r>
          </w:p>
        </w:tc>
        <w:tc>
          <w:tcPr>
            <w:tcW w:w="10560" w:type="dxa"/>
            <w:tcBorders>
              <w:top w:val="single" w:sz="4" w:space="0" w:color="000000"/>
              <w:bottom w:val="single" w:sz="4" w:space="0" w:color="000000"/>
            </w:tcBorders>
          </w:tcPr>
          <w:p w14:paraId="3DEDC316" w14:textId="77777777" w:rsidR="00CF5F09" w:rsidRDefault="00377EB0">
            <w:pPr>
              <w:rPr>
                <w:rFonts w:ascii="Times New Roman" w:eastAsia="Times New Roman" w:hAnsi="Times New Roman" w:cs="Times New Roman"/>
                <w:b/>
              </w:rPr>
            </w:pPr>
            <w:r>
              <w:rPr>
                <w:rFonts w:ascii="Times New Roman" w:eastAsia="Times New Roman" w:hAnsi="Times New Roman" w:cs="Times New Roman"/>
                <w:b/>
              </w:rPr>
              <w:t>Details</w:t>
            </w:r>
          </w:p>
        </w:tc>
      </w:tr>
      <w:tr w:rsidR="00CF5F09" w14:paraId="26012B57" w14:textId="77777777">
        <w:trPr>
          <w:trHeight w:val="600"/>
        </w:trPr>
        <w:tc>
          <w:tcPr>
            <w:tcW w:w="3450" w:type="dxa"/>
            <w:tcBorders>
              <w:top w:val="single" w:sz="4" w:space="0" w:color="000000"/>
            </w:tcBorders>
          </w:tcPr>
          <w:p w14:paraId="780B4D21" w14:textId="60D37471" w:rsidR="00CF5F09" w:rsidRDefault="00CA6DEB">
            <w:pPr>
              <w:rPr>
                <w:rFonts w:ascii="Times New Roman" w:eastAsia="Times New Roman" w:hAnsi="Times New Roman" w:cs="Times New Roman"/>
              </w:rPr>
            </w:pPr>
            <w:r>
              <w:rPr>
                <w:rFonts w:ascii="Times New Roman" w:eastAsia="Times New Roman" w:hAnsi="Times New Roman" w:cs="Times New Roman"/>
              </w:rPr>
              <w:t>Administrative</w:t>
            </w:r>
            <w:r w:rsidR="00377EB0">
              <w:rPr>
                <w:rFonts w:ascii="Times New Roman" w:eastAsia="Times New Roman" w:hAnsi="Times New Roman" w:cs="Times New Roman"/>
              </w:rPr>
              <w:t xml:space="preserve"> engagement (AE)</w:t>
            </w:r>
          </w:p>
        </w:tc>
        <w:tc>
          <w:tcPr>
            <w:tcW w:w="10560" w:type="dxa"/>
            <w:tcBorders>
              <w:top w:val="single" w:sz="4" w:space="0" w:color="000000"/>
            </w:tcBorders>
          </w:tcPr>
          <w:p w14:paraId="649AE99D" w14:textId="41C22515" w:rsidR="00CF5F09" w:rsidRDefault="00CA6DEB">
            <w:pPr>
              <w:rPr>
                <w:rFonts w:ascii="Times New Roman" w:eastAsia="Times New Roman" w:hAnsi="Times New Roman" w:cs="Times New Roman"/>
                <w:color w:val="000000"/>
              </w:rPr>
            </w:pPr>
            <w:r>
              <w:rPr>
                <w:rFonts w:ascii="Times New Roman" w:eastAsia="Times New Roman" w:hAnsi="Times New Roman" w:cs="Times New Roman"/>
                <w:color w:val="000000"/>
              </w:rPr>
              <w:t>Administrative</w:t>
            </w:r>
            <w:r w:rsidR="00377EB0">
              <w:rPr>
                <w:rFonts w:ascii="Times New Roman" w:eastAsia="Times New Roman" w:hAnsi="Times New Roman" w:cs="Times New Roman"/>
                <w:color w:val="000000"/>
              </w:rPr>
              <w:t xml:space="preserve"> engagement refers to the active involvement </w:t>
            </w:r>
            <w:r w:rsidR="00377EB0">
              <w:rPr>
                <w:rFonts w:ascii="Times New Roman" w:eastAsia="Times New Roman" w:hAnsi="Times New Roman" w:cs="Times New Roman"/>
              </w:rPr>
              <w:t xml:space="preserve">of </w:t>
            </w:r>
            <w:r w:rsidR="00377EB0">
              <w:rPr>
                <w:rFonts w:ascii="Times New Roman" w:eastAsia="Times New Roman" w:hAnsi="Times New Roman" w:cs="Times New Roman"/>
                <w:color w:val="000000"/>
              </w:rPr>
              <w:t xml:space="preserve">the </w:t>
            </w:r>
            <w:bookmarkStart w:id="0" w:name="_GoBack"/>
            <w:r w:rsidR="00377EB0">
              <w:rPr>
                <w:rFonts w:ascii="Times New Roman" w:eastAsia="Times New Roman" w:hAnsi="Times New Roman" w:cs="Times New Roman"/>
                <w:color w:val="000000"/>
              </w:rPr>
              <w:t>administration</w:t>
            </w:r>
            <w:bookmarkEnd w:id="0"/>
            <w:r w:rsidR="00377EB0">
              <w:rPr>
                <w:rFonts w:ascii="Times New Roman" w:eastAsia="Times New Roman" w:hAnsi="Times New Roman" w:cs="Times New Roman"/>
                <w:color w:val="000000"/>
              </w:rPr>
              <w:t xml:space="preserve"> in planning, implementing, and providing feedback on infection prevention control strategies.</w:t>
            </w:r>
          </w:p>
        </w:tc>
      </w:tr>
      <w:tr w:rsidR="00CF5F09" w14:paraId="2975FE5C" w14:textId="77777777">
        <w:trPr>
          <w:trHeight w:val="1425"/>
        </w:trPr>
        <w:tc>
          <w:tcPr>
            <w:tcW w:w="3450" w:type="dxa"/>
          </w:tcPr>
          <w:p w14:paraId="15E87363" w14:textId="77777777" w:rsidR="00CF5F09" w:rsidRDefault="00377EB0">
            <w:pPr>
              <w:rPr>
                <w:rFonts w:ascii="Times New Roman" w:eastAsia="Times New Roman" w:hAnsi="Times New Roman" w:cs="Times New Roman"/>
              </w:rPr>
            </w:pPr>
            <w:r>
              <w:rPr>
                <w:rFonts w:ascii="Times New Roman" w:eastAsia="Times New Roman" w:hAnsi="Times New Roman" w:cs="Times New Roman"/>
              </w:rPr>
              <w:t>Barrier precautions (BP)</w:t>
            </w:r>
          </w:p>
        </w:tc>
        <w:tc>
          <w:tcPr>
            <w:tcW w:w="10560" w:type="dxa"/>
          </w:tcPr>
          <w:p w14:paraId="119F5B15" w14:textId="77777777" w:rsidR="00CF5F09" w:rsidRDefault="00377EB0">
            <w:pPr>
              <w:rPr>
                <w:rFonts w:ascii="Times New Roman" w:eastAsia="Times New Roman" w:hAnsi="Times New Roman" w:cs="Times New Roman"/>
              </w:rPr>
            </w:pPr>
            <w:r>
              <w:rPr>
                <w:rFonts w:ascii="Times New Roman" w:eastAsia="Times New Roman" w:hAnsi="Times New Roman" w:cs="Times New Roman"/>
              </w:rPr>
              <w:t xml:space="preserve">Barrier precautions are a collection of horizontal infection control interventions to prevent transmission of infectious agents spread by direct or indirect contact with the patient or potentially contaminated environment. Examples include wearing personal protective gears (i.e., don gowns, caps, and gloves); patient isolation or </w:t>
            </w:r>
            <w:proofErr w:type="spellStart"/>
            <w:r>
              <w:rPr>
                <w:rFonts w:ascii="Times New Roman" w:eastAsia="Times New Roman" w:hAnsi="Times New Roman" w:cs="Times New Roman"/>
              </w:rPr>
              <w:t>cohorting</w:t>
            </w:r>
            <w:proofErr w:type="spellEnd"/>
            <w:r>
              <w:rPr>
                <w:rFonts w:ascii="Times New Roman" w:eastAsia="Times New Roman" w:hAnsi="Times New Roman" w:cs="Times New Roman"/>
              </w:rPr>
              <w:t xml:space="preserve"> (i.e., confine patients colonized or infected with the same infectious agent in the same area); and staff </w:t>
            </w:r>
            <w:proofErr w:type="spellStart"/>
            <w:r>
              <w:rPr>
                <w:rFonts w:ascii="Times New Roman" w:eastAsia="Times New Roman" w:hAnsi="Times New Roman" w:cs="Times New Roman"/>
              </w:rPr>
              <w:t>cohorting</w:t>
            </w:r>
            <w:proofErr w:type="spellEnd"/>
            <w:r>
              <w:rPr>
                <w:rFonts w:ascii="Times New Roman" w:eastAsia="Times New Roman" w:hAnsi="Times New Roman" w:cs="Times New Roman"/>
              </w:rPr>
              <w:t xml:space="preserve"> (i.e., assign dedicated staff to colonized or infected patients). </w:t>
            </w:r>
            <w:r>
              <w:rPr>
                <w:rFonts w:ascii="Times New Roman" w:eastAsia="Times New Roman" w:hAnsi="Times New Roman" w:cs="Times New Roman"/>
                <w:color w:val="000000"/>
              </w:rPr>
              <w:t>.</w:t>
            </w:r>
          </w:p>
        </w:tc>
      </w:tr>
      <w:tr w:rsidR="00CF5F09" w14:paraId="2899E85A" w14:textId="77777777">
        <w:trPr>
          <w:trHeight w:val="885"/>
        </w:trPr>
        <w:tc>
          <w:tcPr>
            <w:tcW w:w="3450" w:type="dxa"/>
          </w:tcPr>
          <w:p w14:paraId="2EABDF12" w14:textId="77777777" w:rsidR="00CF5F09" w:rsidRDefault="00377EB0">
            <w:pPr>
              <w:rPr>
                <w:rFonts w:ascii="Times New Roman" w:eastAsia="Times New Roman" w:hAnsi="Times New Roman" w:cs="Times New Roman"/>
              </w:rPr>
            </w:pPr>
            <w:r>
              <w:rPr>
                <w:rFonts w:ascii="Times New Roman" w:eastAsia="Times New Roman" w:hAnsi="Times New Roman" w:cs="Times New Roman"/>
                <w:color w:val="000000"/>
              </w:rPr>
              <w:t>Decolonization (DC)</w:t>
            </w:r>
          </w:p>
        </w:tc>
        <w:tc>
          <w:tcPr>
            <w:tcW w:w="10560" w:type="dxa"/>
          </w:tcPr>
          <w:p w14:paraId="1299929A" w14:textId="77777777" w:rsidR="00CF5F09" w:rsidRDefault="00377EB0">
            <w:pPr>
              <w:rPr>
                <w:rFonts w:ascii="Times New Roman" w:eastAsia="Times New Roman" w:hAnsi="Times New Roman" w:cs="Times New Roman"/>
              </w:rPr>
            </w:pPr>
            <w:r>
              <w:rPr>
                <w:rFonts w:ascii="Times New Roman" w:eastAsia="Times New Roman" w:hAnsi="Times New Roman" w:cs="Times New Roman"/>
              </w:rPr>
              <w:t xml:space="preserve">Decolonization is a vertical infection control intervention to eliminate a specific type of infectious agent. It applies to the colonized residents with a specific regimen consisting of antimicrobial agents, which can be administered in various forms: ointment, oral paste, and digestive solution. </w:t>
            </w:r>
          </w:p>
        </w:tc>
      </w:tr>
      <w:tr w:rsidR="00CF5F09" w14:paraId="6A0690C1" w14:textId="77777777">
        <w:trPr>
          <w:trHeight w:val="855"/>
        </w:trPr>
        <w:tc>
          <w:tcPr>
            <w:tcW w:w="3450" w:type="dxa"/>
          </w:tcPr>
          <w:p w14:paraId="33738655" w14:textId="77777777" w:rsidR="00CF5F09" w:rsidRDefault="00377EB0">
            <w:pPr>
              <w:rPr>
                <w:rFonts w:ascii="Times New Roman" w:eastAsia="Times New Roman" w:hAnsi="Times New Roman" w:cs="Times New Roman"/>
                <w:color w:val="000000"/>
              </w:rPr>
            </w:pPr>
            <w:r>
              <w:rPr>
                <w:rFonts w:ascii="Times New Roman" w:eastAsia="Times New Roman" w:hAnsi="Times New Roman" w:cs="Times New Roman"/>
                <w:color w:val="000000"/>
              </w:rPr>
              <w:t>Education (ED)</w:t>
            </w:r>
          </w:p>
        </w:tc>
        <w:tc>
          <w:tcPr>
            <w:tcW w:w="10560" w:type="dxa"/>
          </w:tcPr>
          <w:p w14:paraId="71F54936" w14:textId="77777777" w:rsidR="00CF5F09" w:rsidRDefault="00377EB0">
            <w:pPr>
              <w:rPr>
                <w:rFonts w:ascii="Times New Roman" w:eastAsia="Times New Roman" w:hAnsi="Times New Roman" w:cs="Times New Roman"/>
              </w:rPr>
            </w:pPr>
            <w:r>
              <w:rPr>
                <w:rFonts w:ascii="Times New Roman" w:eastAsia="Times New Roman" w:hAnsi="Times New Roman" w:cs="Times New Roman"/>
              </w:rPr>
              <w:t>Education refers to health training targets to healthcare staff on improving infection control practices (e.g., posters, leaflets, training sessions, practical demonstrations on hand hygiene and decontamination of equipment and the environment).</w:t>
            </w:r>
          </w:p>
        </w:tc>
      </w:tr>
      <w:tr w:rsidR="00CF5F09" w14:paraId="7576BED6" w14:textId="77777777">
        <w:trPr>
          <w:trHeight w:val="585"/>
        </w:trPr>
        <w:tc>
          <w:tcPr>
            <w:tcW w:w="3450" w:type="dxa"/>
          </w:tcPr>
          <w:p w14:paraId="18EC2AEF" w14:textId="77777777" w:rsidR="00CF5F09" w:rsidRDefault="00377EB0">
            <w:pPr>
              <w:rPr>
                <w:rFonts w:ascii="Times New Roman" w:eastAsia="Times New Roman" w:hAnsi="Times New Roman" w:cs="Times New Roman"/>
              </w:rPr>
            </w:pPr>
            <w:r>
              <w:rPr>
                <w:rFonts w:ascii="Times New Roman" w:eastAsia="Times New Roman" w:hAnsi="Times New Roman" w:cs="Times New Roman"/>
              </w:rPr>
              <w:t>Environmental cleaning (EC)</w:t>
            </w:r>
          </w:p>
        </w:tc>
        <w:tc>
          <w:tcPr>
            <w:tcW w:w="10560" w:type="dxa"/>
          </w:tcPr>
          <w:p w14:paraId="3737DF1A" w14:textId="77777777" w:rsidR="00CF5F09" w:rsidRDefault="00377EB0">
            <w:pPr>
              <w:rPr>
                <w:rFonts w:ascii="Times New Roman" w:eastAsia="Times New Roman" w:hAnsi="Times New Roman" w:cs="Times New Roman"/>
                <w:color w:val="000000"/>
              </w:rPr>
            </w:pPr>
            <w:r>
              <w:rPr>
                <w:rFonts w:ascii="Times New Roman" w:eastAsia="Times New Roman" w:hAnsi="Times New Roman" w:cs="Times New Roman"/>
              </w:rPr>
              <w:t>Environmental cleaning applies to cleaning and disinfection of all medical devices and patient-care areas (e.g., bed rails, bedside tables, commodes, doorknobs, sinks, surfaces, and equipment close to the patient).</w:t>
            </w:r>
          </w:p>
        </w:tc>
      </w:tr>
      <w:tr w:rsidR="00CF5F09" w14:paraId="5FBCA5B2" w14:textId="77777777">
        <w:trPr>
          <w:trHeight w:val="1740"/>
        </w:trPr>
        <w:tc>
          <w:tcPr>
            <w:tcW w:w="3450" w:type="dxa"/>
          </w:tcPr>
          <w:p w14:paraId="67840223" w14:textId="77777777" w:rsidR="00CF5F09" w:rsidRDefault="00377EB0">
            <w:pPr>
              <w:rPr>
                <w:rFonts w:ascii="Times New Roman" w:eastAsia="Times New Roman" w:hAnsi="Times New Roman" w:cs="Times New Roman"/>
              </w:rPr>
            </w:pPr>
            <w:r>
              <w:rPr>
                <w:rFonts w:ascii="Times New Roman" w:eastAsia="Times New Roman" w:hAnsi="Times New Roman" w:cs="Times New Roman"/>
              </w:rPr>
              <w:t>Hand hygiene (HH)</w:t>
            </w:r>
          </w:p>
        </w:tc>
        <w:tc>
          <w:tcPr>
            <w:tcW w:w="10560" w:type="dxa"/>
          </w:tcPr>
          <w:p w14:paraId="4E52F638" w14:textId="77777777" w:rsidR="00CF5F09" w:rsidRDefault="00377EB0">
            <w:pPr>
              <w:rPr>
                <w:rFonts w:ascii="Times New Roman" w:eastAsia="Times New Roman" w:hAnsi="Times New Roman" w:cs="Times New Roman"/>
              </w:rPr>
            </w:pPr>
            <w:r>
              <w:rPr>
                <w:rFonts w:ascii="Times New Roman" w:eastAsia="Times New Roman" w:hAnsi="Times New Roman" w:cs="Times New Roman"/>
              </w:rPr>
              <w:t>Hand hygiene applies to any one of the following practices: 1) handwashing with plain (non-antimicrobial) soap and water; 2) antiseptic hand wash (soap containing antiseptic agents and water); 3) antiseptic hand rub; 4) revision of hand hygiene technique with demonstration; 5) reminders of hand hygiene at opportunities, 6) reinforcing hand hygiene, or 7) the authors stated hand hygiene was one of the components in the interventions. Our review did not classify hand hygiene education alone as a hand hygiene intervention.</w:t>
            </w:r>
          </w:p>
        </w:tc>
      </w:tr>
      <w:tr w:rsidR="00CF5F09" w14:paraId="2079CA46" w14:textId="77777777">
        <w:trPr>
          <w:trHeight w:val="855"/>
        </w:trPr>
        <w:tc>
          <w:tcPr>
            <w:tcW w:w="3450" w:type="dxa"/>
          </w:tcPr>
          <w:p w14:paraId="632D9852" w14:textId="77777777" w:rsidR="00CF5F09" w:rsidRDefault="00377EB0">
            <w:pPr>
              <w:rPr>
                <w:rFonts w:ascii="Times New Roman" w:eastAsia="Times New Roman" w:hAnsi="Times New Roman" w:cs="Times New Roman"/>
              </w:rPr>
            </w:pPr>
            <w:r>
              <w:rPr>
                <w:rFonts w:ascii="Times New Roman" w:eastAsia="Times New Roman" w:hAnsi="Times New Roman" w:cs="Times New Roman"/>
              </w:rPr>
              <w:t>Performance improvement (PI)</w:t>
            </w:r>
          </w:p>
        </w:tc>
        <w:tc>
          <w:tcPr>
            <w:tcW w:w="10560" w:type="dxa"/>
          </w:tcPr>
          <w:p w14:paraId="673968E3" w14:textId="77777777" w:rsidR="00CF5F09" w:rsidRDefault="00377EB0">
            <w:pPr>
              <w:rPr>
                <w:rFonts w:ascii="Times New Roman" w:eastAsia="Times New Roman" w:hAnsi="Times New Roman" w:cs="Times New Roman"/>
                <w:color w:val="000000"/>
              </w:rPr>
            </w:pPr>
            <w:r>
              <w:rPr>
                <w:rFonts w:ascii="Times New Roman" w:eastAsia="Times New Roman" w:hAnsi="Times New Roman" w:cs="Times New Roman"/>
              </w:rPr>
              <w:t>Performance improvement applies to any form of audits on the performance of current infection control strategies with written and verbal feedback from an infection control expert (e.g., infection control nurse), which detailed infection control practice and how the current practice can be improved.</w:t>
            </w:r>
          </w:p>
        </w:tc>
      </w:tr>
      <w:tr w:rsidR="00CF5F09" w14:paraId="6BDACC86" w14:textId="77777777">
        <w:trPr>
          <w:trHeight w:val="335"/>
        </w:trPr>
        <w:tc>
          <w:tcPr>
            <w:tcW w:w="3450" w:type="dxa"/>
          </w:tcPr>
          <w:p w14:paraId="7B5191EE" w14:textId="77777777" w:rsidR="00CF5F09" w:rsidRDefault="00377EB0">
            <w:pPr>
              <w:rPr>
                <w:rFonts w:ascii="Times New Roman" w:eastAsia="Times New Roman" w:hAnsi="Times New Roman" w:cs="Times New Roman"/>
                <w:color w:val="000000"/>
              </w:rPr>
            </w:pPr>
            <w:r>
              <w:rPr>
                <w:rFonts w:ascii="Times New Roman" w:eastAsia="Times New Roman" w:hAnsi="Times New Roman" w:cs="Times New Roman"/>
                <w:color w:val="000000"/>
              </w:rPr>
              <w:t>Source control (SC)</w:t>
            </w:r>
          </w:p>
        </w:tc>
        <w:tc>
          <w:tcPr>
            <w:tcW w:w="10560" w:type="dxa"/>
          </w:tcPr>
          <w:p w14:paraId="035841A3" w14:textId="77777777" w:rsidR="00CF5F09" w:rsidRDefault="00377EB0">
            <w:pPr>
              <w:rPr>
                <w:rFonts w:ascii="Times New Roman" w:eastAsia="Times New Roman" w:hAnsi="Times New Roman" w:cs="Times New Roman"/>
              </w:rPr>
            </w:pPr>
            <w:r>
              <w:rPr>
                <w:rFonts w:ascii="Times New Roman" w:eastAsia="Times New Roman" w:hAnsi="Times New Roman" w:cs="Times New Roman"/>
              </w:rPr>
              <w:t>Source control applies to daily bathing, showering, or whole-body washing with chlorhexidine gluconate.</w:t>
            </w:r>
          </w:p>
        </w:tc>
      </w:tr>
      <w:tr w:rsidR="00CF5F09" w14:paraId="078E4035" w14:textId="77777777">
        <w:tc>
          <w:tcPr>
            <w:tcW w:w="3450" w:type="dxa"/>
          </w:tcPr>
          <w:p w14:paraId="43E5275E" w14:textId="77777777" w:rsidR="00CF5F09" w:rsidRDefault="00377EB0">
            <w:pPr>
              <w:rPr>
                <w:rFonts w:ascii="Times New Roman" w:eastAsia="Times New Roman" w:hAnsi="Times New Roman" w:cs="Times New Roman"/>
                <w:color w:val="000000"/>
              </w:rPr>
            </w:pPr>
            <w:r>
              <w:rPr>
                <w:rFonts w:ascii="Times New Roman" w:eastAsia="Times New Roman" w:hAnsi="Times New Roman" w:cs="Times New Roman"/>
                <w:color w:val="000000"/>
              </w:rPr>
              <w:t>Usual care (UC)</w:t>
            </w:r>
          </w:p>
        </w:tc>
        <w:tc>
          <w:tcPr>
            <w:tcW w:w="10560" w:type="dxa"/>
          </w:tcPr>
          <w:p w14:paraId="49241033" w14:textId="77777777" w:rsidR="00CF5F09" w:rsidRDefault="00377EB0">
            <w:pPr>
              <w:rPr>
                <w:rFonts w:ascii="Times New Roman" w:eastAsia="Times New Roman" w:hAnsi="Times New Roman" w:cs="Times New Roman"/>
                <w:color w:val="000000"/>
              </w:rPr>
            </w:pPr>
            <w:r>
              <w:rPr>
                <w:rFonts w:ascii="Times New Roman" w:eastAsia="Times New Roman" w:hAnsi="Times New Roman" w:cs="Times New Roman"/>
                <w:color w:val="000000"/>
              </w:rPr>
              <w:t>Usual care refers to the standard practices from the facility.</w:t>
            </w:r>
          </w:p>
        </w:tc>
      </w:tr>
    </w:tbl>
    <w:p w14:paraId="7741F643" w14:textId="77777777" w:rsidR="00CF5F09" w:rsidRDefault="00CF5F09">
      <w:pPr>
        <w:rPr>
          <w:rFonts w:ascii="Times New Roman" w:eastAsia="Times New Roman" w:hAnsi="Times New Roman" w:cs="Times New Roman"/>
          <w:b/>
        </w:rPr>
      </w:pPr>
    </w:p>
    <w:p w14:paraId="38914D58" w14:textId="77777777" w:rsidR="00CF5F09" w:rsidRDefault="00CF5F09">
      <w:pPr>
        <w:rPr>
          <w:rFonts w:ascii="Times New Roman" w:eastAsia="Times New Roman" w:hAnsi="Times New Roman" w:cs="Times New Roman"/>
          <w:b/>
        </w:rPr>
      </w:pPr>
    </w:p>
    <w:sectPr w:rsidR="00CF5F09" w:rsidSect="005075BD">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63D36" w14:textId="77777777" w:rsidR="00F74E2C" w:rsidRDefault="00F74E2C">
      <w:r>
        <w:separator/>
      </w:r>
    </w:p>
  </w:endnote>
  <w:endnote w:type="continuationSeparator" w:id="0">
    <w:p w14:paraId="1451A5E6" w14:textId="77777777" w:rsidR="00F74E2C" w:rsidRDefault="00F7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57CC8" w14:textId="77777777" w:rsidR="003E54AA" w:rsidRDefault="003E54A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984456"/>
      <w:docPartObj>
        <w:docPartGallery w:val="Page Numbers (Bottom of Page)"/>
        <w:docPartUnique/>
      </w:docPartObj>
    </w:sdtPr>
    <w:sdtEndPr>
      <w:rPr>
        <w:rFonts w:ascii="Times New Roman" w:hAnsi="Times New Roman" w:cs="Times New Roman"/>
        <w:noProof/>
      </w:rPr>
    </w:sdtEndPr>
    <w:sdtContent>
      <w:p w14:paraId="2D100D51" w14:textId="67CB65C7" w:rsidR="003E54AA" w:rsidRPr="003E54AA" w:rsidRDefault="003E54AA">
        <w:pPr>
          <w:pStyle w:val="Footer"/>
          <w:jc w:val="right"/>
          <w:rPr>
            <w:rFonts w:ascii="Times New Roman" w:hAnsi="Times New Roman" w:cs="Times New Roman"/>
          </w:rPr>
        </w:pPr>
        <w:r w:rsidRPr="003E54AA">
          <w:rPr>
            <w:rFonts w:ascii="Times New Roman" w:hAnsi="Times New Roman" w:cs="Times New Roman"/>
          </w:rPr>
          <w:fldChar w:fldCharType="begin"/>
        </w:r>
        <w:r w:rsidRPr="003E54AA">
          <w:rPr>
            <w:rFonts w:ascii="Times New Roman" w:hAnsi="Times New Roman" w:cs="Times New Roman"/>
          </w:rPr>
          <w:instrText xml:space="preserve"> PAGE   \* MERGEFORMAT </w:instrText>
        </w:r>
        <w:r w:rsidRPr="003E54AA">
          <w:rPr>
            <w:rFonts w:ascii="Times New Roman" w:hAnsi="Times New Roman" w:cs="Times New Roman"/>
          </w:rPr>
          <w:fldChar w:fldCharType="separate"/>
        </w:r>
        <w:r w:rsidR="00CA6DEB">
          <w:rPr>
            <w:rFonts w:ascii="Times New Roman" w:hAnsi="Times New Roman" w:cs="Times New Roman"/>
            <w:noProof/>
          </w:rPr>
          <w:t>1</w:t>
        </w:r>
        <w:r w:rsidRPr="003E54AA">
          <w:rPr>
            <w:rFonts w:ascii="Times New Roman" w:hAnsi="Times New Roman" w:cs="Times New Roman"/>
            <w:noProof/>
          </w:rPr>
          <w:fldChar w:fldCharType="end"/>
        </w:r>
      </w:p>
    </w:sdtContent>
  </w:sdt>
  <w:p w14:paraId="3709DF3A" w14:textId="77777777" w:rsidR="003E54AA" w:rsidRDefault="003E54A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7F007" w14:textId="77777777" w:rsidR="003E54AA" w:rsidRDefault="003E54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1B489" w14:textId="77777777" w:rsidR="00F74E2C" w:rsidRDefault="00F74E2C">
      <w:r>
        <w:separator/>
      </w:r>
    </w:p>
  </w:footnote>
  <w:footnote w:type="continuationSeparator" w:id="0">
    <w:p w14:paraId="54F2BD06" w14:textId="77777777" w:rsidR="00F74E2C" w:rsidRDefault="00F74E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D2A70" w14:textId="77777777" w:rsidR="003E54AA" w:rsidRDefault="003E54A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ED21F" w14:textId="77777777" w:rsidR="003E54AA" w:rsidRDefault="003E54A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09B24" w14:textId="77777777" w:rsidR="003E54AA" w:rsidRDefault="003E54A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6580A"/>
    <w:multiLevelType w:val="multilevel"/>
    <w:tmpl w:val="766C7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6B327D"/>
    <w:multiLevelType w:val="multilevel"/>
    <w:tmpl w:val="3F365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S0NDeytLAwsjQzNzdW0lEKTi0uzszPAymwqAUApZP+CCwAAAA="/>
  </w:docVars>
  <w:rsids>
    <w:rsidRoot w:val="00CF5F09"/>
    <w:rsid w:val="00026F56"/>
    <w:rsid w:val="0022360E"/>
    <w:rsid w:val="00252AAA"/>
    <w:rsid w:val="00261BE9"/>
    <w:rsid w:val="00377EB0"/>
    <w:rsid w:val="003E54AA"/>
    <w:rsid w:val="004F0889"/>
    <w:rsid w:val="005075BD"/>
    <w:rsid w:val="00591BA0"/>
    <w:rsid w:val="0059317E"/>
    <w:rsid w:val="005C4EB1"/>
    <w:rsid w:val="005F1621"/>
    <w:rsid w:val="00644B02"/>
    <w:rsid w:val="00686C89"/>
    <w:rsid w:val="006B0411"/>
    <w:rsid w:val="006F5268"/>
    <w:rsid w:val="007C71BE"/>
    <w:rsid w:val="00916811"/>
    <w:rsid w:val="00976613"/>
    <w:rsid w:val="00987087"/>
    <w:rsid w:val="009B4618"/>
    <w:rsid w:val="00A35A60"/>
    <w:rsid w:val="00BB3A1D"/>
    <w:rsid w:val="00C929E4"/>
    <w:rsid w:val="00CA6DEB"/>
    <w:rsid w:val="00CF5F09"/>
    <w:rsid w:val="00F74E2C"/>
    <w:rsid w:val="00FC08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0EB4D"/>
  <w15:docId w15:val="{3EBBB655-3CDF-4882-A231-7B3D599B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H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outlineLvl w:val="0"/>
    </w:pPr>
    <w:rPr>
      <w:color w:val="2F5496"/>
      <w:sz w:val="32"/>
      <w:szCs w:val="32"/>
    </w:rPr>
  </w:style>
  <w:style w:type="paragraph" w:styleId="Heading2">
    <w:name w:val="heading 2"/>
    <w:basedOn w:val="Normal"/>
    <w:next w:val="Normal"/>
    <w:pPr>
      <w:keepNext/>
      <w:keepLines/>
      <w:spacing w:before="40"/>
      <w:outlineLvl w:val="1"/>
    </w:pPr>
    <w:rPr>
      <w:color w:val="2F5496"/>
      <w:sz w:val="26"/>
      <w:szCs w:val="26"/>
    </w:rPr>
  </w:style>
  <w:style w:type="paragraph" w:styleId="Heading3">
    <w:name w:val="heading 3"/>
    <w:basedOn w:val="Normal"/>
    <w:next w:val="Normal"/>
    <w:pPr>
      <w:keepNext/>
      <w:keepLines/>
      <w:spacing w:before="40"/>
      <w:outlineLvl w:val="2"/>
    </w:pPr>
    <w:rPr>
      <w:color w:val="1F3863"/>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40"/>
      <w:outlineLvl w:val="4"/>
    </w:pPr>
    <w:rPr>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Header">
    <w:name w:val="header"/>
    <w:basedOn w:val="Normal"/>
    <w:link w:val="HeaderChar"/>
    <w:uiPriority w:val="99"/>
    <w:unhideWhenUsed/>
    <w:rsid w:val="006B0411"/>
    <w:pPr>
      <w:tabs>
        <w:tab w:val="center" w:pos="4680"/>
        <w:tab w:val="right" w:pos="9360"/>
      </w:tabs>
    </w:pPr>
  </w:style>
  <w:style w:type="character" w:customStyle="1" w:styleId="HeaderChar">
    <w:name w:val="Header Char"/>
    <w:basedOn w:val="DefaultParagraphFont"/>
    <w:link w:val="Header"/>
    <w:uiPriority w:val="99"/>
    <w:rsid w:val="006B0411"/>
  </w:style>
  <w:style w:type="paragraph" w:styleId="Footer">
    <w:name w:val="footer"/>
    <w:basedOn w:val="Normal"/>
    <w:link w:val="FooterChar"/>
    <w:uiPriority w:val="99"/>
    <w:unhideWhenUsed/>
    <w:rsid w:val="006B0411"/>
    <w:pPr>
      <w:tabs>
        <w:tab w:val="center" w:pos="4680"/>
        <w:tab w:val="right" w:pos="9360"/>
      </w:tabs>
    </w:pPr>
  </w:style>
  <w:style w:type="character" w:customStyle="1" w:styleId="FooterChar">
    <w:name w:val="Footer Char"/>
    <w:basedOn w:val="DefaultParagraphFont"/>
    <w:link w:val="Footer"/>
    <w:uiPriority w:val="99"/>
    <w:rsid w:val="006B0411"/>
  </w:style>
  <w:style w:type="table" w:styleId="TableGrid">
    <w:name w:val="Table Grid"/>
    <w:basedOn w:val="TableNormal"/>
    <w:uiPriority w:val="39"/>
    <w:rsid w:val="009B4618"/>
    <w:rPr>
      <w:rFonts w:asciiTheme="minorHAnsi" w:eastAsiaTheme="minorEastAsia" w:hAnsiTheme="minorHAnsi" w:cstheme="minorBid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6F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F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1155136506</dc:creator>
  <cp:lastModifiedBy>Valerie</cp:lastModifiedBy>
  <cp:revision>4</cp:revision>
  <cp:lastPrinted>2020-12-03T03:52:00Z</cp:lastPrinted>
  <dcterms:created xsi:type="dcterms:W3CDTF">2020-12-09T08:47:00Z</dcterms:created>
  <dcterms:modified xsi:type="dcterms:W3CDTF">2020-12-17T09:15:00Z</dcterms:modified>
</cp:coreProperties>
</file>