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4034" w:type="dxa"/>
        <w:tblBorders>
          <w:top w:val="nil"/>
          <w:left w:val="nil"/>
          <w:bottom w:val="nil"/>
          <w:right w:val="nil"/>
          <w:insideH w:val="nil"/>
          <w:insideV w:val="nil"/>
        </w:tblBorders>
        <w:tblLayout w:type="fixed"/>
        <w:tblLook w:val="00A0" w:firstRow="1" w:lastRow="0" w:firstColumn="1" w:lastColumn="0" w:noHBand="0" w:noVBand="0"/>
      </w:tblPr>
      <w:tblGrid>
        <w:gridCol w:w="988"/>
        <w:gridCol w:w="850"/>
        <w:gridCol w:w="1139"/>
        <w:gridCol w:w="992"/>
        <w:gridCol w:w="2552"/>
        <w:gridCol w:w="1276"/>
        <w:gridCol w:w="1134"/>
        <w:gridCol w:w="2693"/>
        <w:gridCol w:w="2410"/>
      </w:tblGrid>
      <w:tr w:rsidR="00CF5F09" w14:paraId="7F8B6D42" w14:textId="77777777" w:rsidTr="00CF5F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4" w:type="dxa"/>
            <w:gridSpan w:val="9"/>
            <w:tcBorders>
              <w:bottom w:val="single" w:sz="4" w:space="0" w:color="000000"/>
            </w:tcBorders>
          </w:tcPr>
          <w:p w14:paraId="4C3C277C" w14:textId="1D68CE32" w:rsidR="00CF5F09" w:rsidRDefault="009E4CDF">
            <w:pPr>
              <w:rPr>
                <w:rFonts w:ascii="Times New Roman" w:eastAsia="Times New Roman" w:hAnsi="Times New Roman" w:cs="Times New Roman"/>
              </w:rPr>
            </w:pPr>
            <w:r>
              <w:rPr>
                <w:rFonts w:ascii="Times New Roman" w:eastAsia="Times New Roman" w:hAnsi="Times New Roman" w:cs="Times New Roman"/>
              </w:rPr>
              <w:t>Additional file</w:t>
            </w:r>
            <w:r w:rsidR="00377EB0">
              <w:rPr>
                <w:rFonts w:ascii="Times New Roman" w:eastAsia="Times New Roman" w:hAnsi="Times New Roman" w:cs="Times New Roman"/>
              </w:rPr>
              <w:t xml:space="preserve"> 4. Characteristics of included studies</w:t>
            </w:r>
            <w:r w:rsidR="00E84B74">
              <w:rPr>
                <w:rFonts w:ascii="Times New Roman" w:eastAsia="Times New Roman" w:hAnsi="Times New Roman" w:cs="Times New Roman"/>
              </w:rPr>
              <w:t>.</w:t>
            </w:r>
          </w:p>
          <w:p w14:paraId="3AC3AB32" w14:textId="77777777" w:rsidR="00CF5F09" w:rsidRDefault="00CF5F09">
            <w:pPr>
              <w:rPr>
                <w:rFonts w:ascii="Times New Roman" w:eastAsia="Times New Roman" w:hAnsi="Times New Roman" w:cs="Times New Roman"/>
                <w:sz w:val="16"/>
                <w:szCs w:val="16"/>
              </w:rPr>
            </w:pPr>
          </w:p>
        </w:tc>
      </w:tr>
      <w:tr w:rsidR="00CF5F09" w14:paraId="74FEFA3C" w14:textId="77777777" w:rsidTr="00CF5F09">
        <w:tc>
          <w:tcPr>
            <w:cnfStyle w:val="001000000000" w:firstRow="0" w:lastRow="0" w:firstColumn="1" w:lastColumn="0" w:oddVBand="0" w:evenVBand="0" w:oddHBand="0" w:evenHBand="0" w:firstRowFirstColumn="0" w:firstRowLastColumn="0" w:lastRowFirstColumn="0" w:lastRowLastColumn="0"/>
            <w:tcW w:w="988" w:type="dxa"/>
            <w:tcBorders>
              <w:bottom w:val="single" w:sz="4" w:space="0" w:color="000000"/>
            </w:tcBorders>
          </w:tcPr>
          <w:p w14:paraId="22EB83D9" w14:textId="77777777" w:rsidR="00CF5F09" w:rsidRDefault="00377EB0">
            <w:pP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Reference, country</w:t>
            </w:r>
          </w:p>
        </w:tc>
        <w:tc>
          <w:tcPr>
            <w:tcW w:w="850" w:type="dxa"/>
            <w:tcBorders>
              <w:bottom w:val="single" w:sz="4" w:space="0" w:color="000000"/>
            </w:tcBorders>
          </w:tcPr>
          <w:p w14:paraId="402DF3E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Study year, duration</w:t>
            </w:r>
          </w:p>
        </w:tc>
        <w:tc>
          <w:tcPr>
            <w:tcW w:w="1139" w:type="dxa"/>
            <w:tcBorders>
              <w:bottom w:val="single" w:sz="4" w:space="0" w:color="000000"/>
            </w:tcBorders>
          </w:tcPr>
          <w:p w14:paraId="3DF19C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Study design</w:t>
            </w:r>
          </w:p>
        </w:tc>
        <w:tc>
          <w:tcPr>
            <w:tcW w:w="992" w:type="dxa"/>
            <w:tcBorders>
              <w:bottom w:val="single" w:sz="4" w:space="0" w:color="000000"/>
            </w:tcBorders>
          </w:tcPr>
          <w:p w14:paraId="79047F8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Setting, no. of facilities </w:t>
            </w:r>
            <w:proofErr w:type="spellStart"/>
            <w:r>
              <w:rPr>
                <w:rFonts w:ascii="Times New Roman" w:eastAsia="Times New Roman" w:hAnsi="Times New Roman" w:cs="Times New Roman"/>
                <w:b/>
                <w:sz w:val="16"/>
                <w:szCs w:val="16"/>
              </w:rPr>
              <w:t>analyzed</w:t>
            </w:r>
            <w:proofErr w:type="spellEnd"/>
            <w:r>
              <w:rPr>
                <w:rFonts w:ascii="Times New Roman" w:eastAsia="Times New Roman" w:hAnsi="Times New Roman" w:cs="Times New Roman"/>
                <w:b/>
                <w:sz w:val="16"/>
                <w:szCs w:val="16"/>
                <w:vertAlign w:val="superscript"/>
              </w:rPr>
              <w:footnoteReference w:id="1"/>
            </w:r>
          </w:p>
        </w:tc>
        <w:tc>
          <w:tcPr>
            <w:tcW w:w="2552" w:type="dxa"/>
            <w:tcBorders>
              <w:bottom w:val="single" w:sz="4" w:space="0" w:color="000000"/>
            </w:tcBorders>
          </w:tcPr>
          <w:p w14:paraId="65A46F7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Interventions evaluated</w:t>
            </w:r>
          </w:p>
        </w:tc>
        <w:tc>
          <w:tcPr>
            <w:tcW w:w="1276" w:type="dxa"/>
            <w:tcBorders>
              <w:bottom w:val="single" w:sz="4" w:space="0" w:color="000000"/>
            </w:tcBorders>
          </w:tcPr>
          <w:p w14:paraId="7055C25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Compliance</w:t>
            </w:r>
          </w:p>
        </w:tc>
        <w:tc>
          <w:tcPr>
            <w:tcW w:w="1134" w:type="dxa"/>
            <w:tcBorders>
              <w:bottom w:val="single" w:sz="4" w:space="0" w:color="000000"/>
            </w:tcBorders>
          </w:tcPr>
          <w:p w14:paraId="250D325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No. of residents </w:t>
            </w:r>
            <w:proofErr w:type="spellStart"/>
            <w:r>
              <w:rPr>
                <w:rFonts w:ascii="Times New Roman" w:eastAsia="Times New Roman" w:hAnsi="Times New Roman" w:cs="Times New Roman"/>
                <w:b/>
                <w:sz w:val="16"/>
                <w:szCs w:val="16"/>
              </w:rPr>
              <w:t>analyzed</w:t>
            </w:r>
            <w:proofErr w:type="spellEnd"/>
          </w:p>
        </w:tc>
        <w:tc>
          <w:tcPr>
            <w:tcW w:w="2693" w:type="dxa"/>
            <w:tcBorders>
              <w:bottom w:val="single" w:sz="4" w:space="0" w:color="000000"/>
            </w:tcBorders>
          </w:tcPr>
          <w:p w14:paraId="0651DA7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Measured outcomes reported</w:t>
            </w:r>
          </w:p>
        </w:tc>
        <w:tc>
          <w:tcPr>
            <w:tcW w:w="2410" w:type="dxa"/>
            <w:tcBorders>
              <w:bottom w:val="single" w:sz="4" w:space="0" w:color="000000"/>
            </w:tcBorders>
          </w:tcPr>
          <w:p w14:paraId="0D363E4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Conclusions</w:t>
            </w:r>
          </w:p>
        </w:tc>
      </w:tr>
      <w:tr w:rsidR="00CF5F09" w14:paraId="07A99D1E" w14:textId="77777777" w:rsidTr="00CF5F09">
        <w:trPr>
          <w:trHeight w:val="4422"/>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000000"/>
            </w:tcBorders>
          </w:tcPr>
          <w:p w14:paraId="74D2B998" w14:textId="373899F1"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t>Baldwin et al. (2010</w:t>
            </w:r>
            <w:r w:rsidRPr="009E4CDF">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Northern Ireland</w:t>
            </w:r>
          </w:p>
        </w:tc>
        <w:tc>
          <w:tcPr>
            <w:tcW w:w="850" w:type="dxa"/>
            <w:tcBorders>
              <w:top w:val="single" w:sz="4" w:space="0" w:color="000000"/>
            </w:tcBorders>
          </w:tcPr>
          <w:p w14:paraId="5326E85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2007, 20mths</w:t>
            </w:r>
          </w:p>
        </w:tc>
        <w:tc>
          <w:tcPr>
            <w:tcW w:w="1139" w:type="dxa"/>
            <w:tcBorders>
              <w:top w:val="single" w:sz="4" w:space="0" w:color="000000"/>
            </w:tcBorders>
          </w:tcPr>
          <w:p w14:paraId="16AC2FA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 matched</w:t>
            </w:r>
          </w:p>
          <w:p w14:paraId="66AC7ED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28AFD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Borders>
              <w:top w:val="single" w:sz="4" w:space="0" w:color="000000"/>
            </w:tcBorders>
          </w:tcPr>
          <w:p w14:paraId="2922B02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32 NHs </w:t>
            </w:r>
          </w:p>
          <w:p w14:paraId="32CDC16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A829F4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=16;</w:t>
            </w:r>
          </w:p>
          <w:p w14:paraId="2026675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=16</w:t>
            </w:r>
          </w:p>
        </w:tc>
        <w:tc>
          <w:tcPr>
            <w:tcW w:w="2552" w:type="dxa"/>
            <w:tcBorders>
              <w:top w:val="single" w:sz="4" w:space="0" w:color="000000"/>
            </w:tcBorders>
          </w:tcPr>
          <w:p w14:paraId="7C56BBE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Education (2) Performance Improvement</w:t>
            </w:r>
          </w:p>
          <w:p w14:paraId="2672BA0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A583C6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4611C6F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330A7DC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an IPC training</w:t>
            </w:r>
          </w:p>
          <w:p w14:paraId="3488B7F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Demonstrate HH and decontamination of equipment and environment to staff </w:t>
            </w:r>
          </w:p>
          <w:p w14:paraId="7C05D1F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an audit score assessing the compliance </w:t>
            </w:r>
          </w:p>
          <w:p w14:paraId="065612F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feedback to the manager</w:t>
            </w:r>
          </w:p>
          <w:p w14:paraId="2F22FE0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Appoint selected HCWs </w:t>
            </w:r>
          </w:p>
          <w:p w14:paraId="6C781A0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with additional training to reinforce all aspects of good IPC</w:t>
            </w:r>
          </w:p>
          <w:p w14:paraId="568B3CF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Repeat IPC training and demonstration at three and six months after each audit</w:t>
            </w:r>
          </w:p>
          <w:p w14:paraId="36AE68A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BF2C7B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0BE4453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4F3F4BD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Continue the usual care</w:t>
            </w:r>
          </w:p>
          <w:p w14:paraId="4A4DEF5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1276" w:type="dxa"/>
            <w:tcBorders>
              <w:top w:val="single" w:sz="4" w:space="0" w:color="000000"/>
            </w:tcBorders>
          </w:tcPr>
          <w:p w14:paraId="2AE3D43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HH</w:t>
            </w:r>
          </w:p>
          <w:p w14:paraId="015031B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
          <w:p w14:paraId="7C912C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Baseline</w:t>
            </w:r>
          </w:p>
          <w:p w14:paraId="68773C5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=30.5%</w:t>
            </w:r>
          </w:p>
          <w:p w14:paraId="415228E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
          <w:p w14:paraId="07F6E2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(3mths)</w:t>
            </w:r>
          </w:p>
          <w:p w14:paraId="255693C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Int.=74%</w:t>
            </w:r>
          </w:p>
          <w:p w14:paraId="056F0CA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.=57%</w:t>
            </w:r>
          </w:p>
          <w:p w14:paraId="1045760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3CEB59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(6mths)</w:t>
            </w:r>
          </w:p>
          <w:p w14:paraId="3C18B4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Int.=81%</w:t>
            </w:r>
          </w:p>
          <w:p w14:paraId="1AE395D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.=63%</w:t>
            </w:r>
          </w:p>
          <w:p w14:paraId="27F91E3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B09298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(12mths)</w:t>
            </w:r>
          </w:p>
          <w:p w14:paraId="498A079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Int.=82%</w:t>
            </w:r>
          </w:p>
          <w:p w14:paraId="4F51070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.=64%</w:t>
            </w:r>
          </w:p>
          <w:p w14:paraId="7286E6E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C557D4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6B3870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Borders>
              <w:top w:val="single" w:sz="4" w:space="0" w:color="000000"/>
            </w:tcBorders>
          </w:tcPr>
          <w:p w14:paraId="204FCB8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N=793 </w:t>
            </w:r>
          </w:p>
          <w:p w14:paraId="30406F9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3058A0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=392;</w:t>
            </w:r>
          </w:p>
          <w:p w14:paraId="768D4C1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=401</w:t>
            </w:r>
          </w:p>
          <w:p w14:paraId="25ADF45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Borders>
              <w:top w:val="single" w:sz="4" w:space="0" w:color="000000"/>
            </w:tcBorders>
          </w:tcPr>
          <w:p w14:paraId="1D84692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(N,U,W) colonization</w:t>
            </w:r>
          </w:p>
          <w:p w14:paraId="7BC1EC8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599CEE0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 xml:space="preserve">Prevalence </w:t>
            </w:r>
          </w:p>
          <w:p w14:paraId="746593A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77DD940D"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Int.=67/392 (17.1%)</w:t>
            </w:r>
          </w:p>
          <w:p w14:paraId="0A85ADA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.=68/401 (16.7%)</w:t>
            </w:r>
          </w:p>
          <w:p w14:paraId="456303E1"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298BB6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(3mths) </w:t>
            </w:r>
          </w:p>
          <w:p w14:paraId="385986FA"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Int.=77/312 (24.7%)</w:t>
            </w:r>
          </w:p>
          <w:p w14:paraId="5D9BFFA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.=81/315 (25.7%)</w:t>
            </w:r>
          </w:p>
          <w:p w14:paraId="44AAE06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RR=0.98 (0.74,1.29) ;p=0.87</w:t>
            </w:r>
          </w:p>
          <w:p w14:paraId="6A6F1D70"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p>
          <w:p w14:paraId="43C94BF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(6mths) </w:t>
            </w:r>
          </w:p>
          <w:p w14:paraId="1C7453B8"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Int.=55/272 (20.2%)</w:t>
            </w:r>
          </w:p>
          <w:p w14:paraId="35BC7F87"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.=67/271 (24.7%)</w:t>
            </w:r>
          </w:p>
          <w:p w14:paraId="1B75350A"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RR: 0.83 (0.60,1.16); p=0.28</w:t>
            </w:r>
          </w:p>
          <w:p w14:paraId="7A806FAF"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p>
          <w:p w14:paraId="2C498F7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(12mths)  </w:t>
            </w:r>
          </w:p>
          <w:p w14:paraId="1D11FB6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Int.=44/234 (18.8%)</w:t>
            </w:r>
          </w:p>
          <w:p w14:paraId="55E5C40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.=47/244 (19.3%)</w:t>
            </w:r>
          </w:p>
          <w:p w14:paraId="6A9F24A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RR: 0.99 (0.69,1.42); p=0.95</w:t>
            </w:r>
          </w:p>
          <w:p w14:paraId="764EE7A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Borders>
              <w:top w:val="single" w:sz="4" w:space="0" w:color="000000"/>
            </w:tcBorders>
          </w:tcPr>
          <w:p w14:paraId="4C19AD3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IPC program did not affect MRSA prevalence among residents over the 12-month study period despite significantly higher infection control audit scores from the intervention group.</w:t>
            </w:r>
          </w:p>
          <w:p w14:paraId="1017C03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A3613FC" w14:textId="6C582ED6" w:rsidR="00CF5F09" w:rsidRDefault="00B865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t>Poor administrative</w:t>
            </w:r>
            <w:r w:rsidR="00377EB0">
              <w:rPr>
                <w:rFonts w:ascii="Times New Roman" w:eastAsia="Times New Roman" w:hAnsi="Times New Roman" w:cs="Times New Roman"/>
                <w:sz w:val="16"/>
                <w:szCs w:val="16"/>
              </w:rPr>
              <w:t xml:space="preserve"> engagement is reported. Despite regular feedback from the infection control nurse to the managers on the poor audit results, there were limited attempts by management to address non-compliance.</w:t>
            </w:r>
          </w:p>
        </w:tc>
      </w:tr>
      <w:tr w:rsidR="00CF5F09" w14:paraId="31060727" w14:textId="77777777">
        <w:tc>
          <w:tcPr>
            <w:cnfStyle w:val="001000000000" w:firstRow="0" w:lastRow="0" w:firstColumn="1" w:lastColumn="0" w:oddVBand="0" w:evenVBand="0" w:oddHBand="0" w:evenHBand="0" w:firstRowFirstColumn="0" w:firstRowLastColumn="0" w:lastRowFirstColumn="0" w:lastRowLastColumn="0"/>
            <w:tcW w:w="988" w:type="dxa"/>
          </w:tcPr>
          <w:p w14:paraId="10FD310A" w14:textId="3D8182E5" w:rsidR="00CF5F09" w:rsidRDefault="00377EB0">
            <w:pPr>
              <w:rPr>
                <w:rFonts w:ascii="Times New Roman" w:eastAsia="Times New Roman" w:hAnsi="Times New Roman" w:cs="Times New Roman"/>
                <w:sz w:val="16"/>
                <w:szCs w:val="16"/>
              </w:rPr>
            </w:pPr>
            <w:r>
              <w:rPr>
                <w:rFonts w:ascii="Times New Roman" w:eastAsia="Times New Roman" w:hAnsi="Times New Roman" w:cs="Times New Roman"/>
                <w:sz w:val="16"/>
                <w:szCs w:val="16"/>
              </w:rPr>
              <w:t>Bellini et al. (</w:t>
            </w:r>
            <w:r w:rsidRPr="009E4CDF">
              <w:rPr>
                <w:rFonts w:ascii="Times New Roman" w:eastAsia="Times New Roman" w:hAnsi="Times New Roman" w:cs="Times New Roman"/>
                <w:sz w:val="16"/>
                <w:szCs w:val="16"/>
              </w:rPr>
              <w:t>2015)</w:t>
            </w:r>
            <w:hyperlink r:id="rId7">
              <w:r w:rsidRPr="009E4CDF">
                <w:rPr>
                  <w:rFonts w:ascii="Times New Roman" w:eastAsia="Times New Roman" w:hAnsi="Times New Roman" w:cs="Times New Roman"/>
                  <w:color w:val="000000"/>
                  <w:sz w:val="16"/>
                  <w:szCs w:val="16"/>
                </w:rPr>
                <w:t>]</w:t>
              </w:r>
            </w:hyperlink>
            <w:r>
              <w:rPr>
                <w:rFonts w:ascii="Times New Roman" w:eastAsia="Times New Roman" w:hAnsi="Times New Roman" w:cs="Times New Roman"/>
                <w:sz w:val="16"/>
                <w:szCs w:val="16"/>
              </w:rPr>
              <w:t>, Switzerland</w:t>
            </w:r>
          </w:p>
          <w:p w14:paraId="5C4EF564" w14:textId="77777777" w:rsidR="00CF5F09" w:rsidRDefault="00CF5F09">
            <w:pPr>
              <w:rPr>
                <w:rFonts w:ascii="Times New Roman" w:eastAsia="Times New Roman" w:hAnsi="Times New Roman" w:cs="Times New Roman"/>
                <w:sz w:val="16"/>
                <w:szCs w:val="16"/>
              </w:rPr>
            </w:pPr>
          </w:p>
          <w:p w14:paraId="5C28F656" w14:textId="77777777" w:rsidR="00CF5F09" w:rsidRDefault="00CF5F09">
            <w:pPr>
              <w:rPr>
                <w:rFonts w:ascii="Times New Roman" w:eastAsia="Times New Roman" w:hAnsi="Times New Roman" w:cs="Times New Roman"/>
                <w:sz w:val="16"/>
                <w:szCs w:val="16"/>
              </w:rPr>
            </w:pPr>
          </w:p>
          <w:p w14:paraId="2A7F287F" w14:textId="77777777" w:rsidR="00CF5F09" w:rsidRDefault="00CF5F09">
            <w:pPr>
              <w:rPr>
                <w:rFonts w:ascii="Times New Roman" w:eastAsia="Times New Roman" w:hAnsi="Times New Roman" w:cs="Times New Roman"/>
                <w:sz w:val="16"/>
                <w:szCs w:val="16"/>
              </w:rPr>
            </w:pPr>
          </w:p>
          <w:p w14:paraId="6B414F26" w14:textId="77777777" w:rsidR="00CF5F09" w:rsidRDefault="00CF5F09">
            <w:pPr>
              <w:rPr>
                <w:rFonts w:ascii="Times New Roman" w:eastAsia="Times New Roman" w:hAnsi="Times New Roman" w:cs="Times New Roman"/>
                <w:sz w:val="16"/>
                <w:szCs w:val="16"/>
              </w:rPr>
            </w:pPr>
          </w:p>
          <w:p w14:paraId="43865BCA" w14:textId="77777777" w:rsidR="00CF5F09" w:rsidRDefault="00CF5F09">
            <w:pPr>
              <w:rPr>
                <w:rFonts w:ascii="Times New Roman" w:eastAsia="Times New Roman" w:hAnsi="Times New Roman" w:cs="Times New Roman"/>
                <w:sz w:val="16"/>
                <w:szCs w:val="16"/>
              </w:rPr>
            </w:pPr>
          </w:p>
          <w:p w14:paraId="147C3F4F" w14:textId="77777777" w:rsidR="00CF5F09" w:rsidRDefault="00CF5F09">
            <w:pPr>
              <w:rPr>
                <w:rFonts w:ascii="Times New Roman" w:eastAsia="Times New Roman" w:hAnsi="Times New Roman" w:cs="Times New Roman"/>
                <w:sz w:val="16"/>
                <w:szCs w:val="16"/>
              </w:rPr>
            </w:pPr>
          </w:p>
          <w:p w14:paraId="7D9574E4" w14:textId="77777777" w:rsidR="00CF5F09" w:rsidRDefault="00CF5F09">
            <w:pPr>
              <w:rPr>
                <w:rFonts w:ascii="Times New Roman" w:eastAsia="Times New Roman" w:hAnsi="Times New Roman" w:cs="Times New Roman"/>
                <w:sz w:val="16"/>
                <w:szCs w:val="16"/>
              </w:rPr>
            </w:pPr>
          </w:p>
          <w:p w14:paraId="69B23BB2" w14:textId="77777777" w:rsidR="00CF5F09" w:rsidRDefault="00CF5F09">
            <w:pPr>
              <w:rPr>
                <w:rFonts w:ascii="Times New Roman" w:eastAsia="Times New Roman" w:hAnsi="Times New Roman" w:cs="Times New Roman"/>
                <w:sz w:val="16"/>
                <w:szCs w:val="16"/>
              </w:rPr>
            </w:pPr>
          </w:p>
          <w:p w14:paraId="75A91904" w14:textId="77777777" w:rsidR="00CF5F09" w:rsidRDefault="00CF5F09">
            <w:pPr>
              <w:rPr>
                <w:rFonts w:ascii="Times New Roman" w:eastAsia="Times New Roman" w:hAnsi="Times New Roman" w:cs="Times New Roman"/>
                <w:sz w:val="16"/>
                <w:szCs w:val="16"/>
              </w:rPr>
            </w:pPr>
          </w:p>
          <w:p w14:paraId="7331AA3B" w14:textId="77777777" w:rsidR="00CF5F09" w:rsidRDefault="00CF5F09">
            <w:pPr>
              <w:rPr>
                <w:rFonts w:ascii="Times New Roman" w:eastAsia="Times New Roman" w:hAnsi="Times New Roman" w:cs="Times New Roman"/>
                <w:sz w:val="16"/>
                <w:szCs w:val="16"/>
              </w:rPr>
            </w:pPr>
          </w:p>
          <w:p w14:paraId="535C9C55" w14:textId="77777777" w:rsidR="00CF5F09" w:rsidRDefault="00CF5F09">
            <w:pPr>
              <w:rPr>
                <w:rFonts w:ascii="Times New Roman" w:eastAsia="Times New Roman" w:hAnsi="Times New Roman" w:cs="Times New Roman"/>
                <w:sz w:val="16"/>
                <w:szCs w:val="16"/>
              </w:rPr>
            </w:pPr>
          </w:p>
          <w:p w14:paraId="22E64F4F" w14:textId="77777777" w:rsidR="00CF5F09" w:rsidRDefault="00CF5F09">
            <w:pPr>
              <w:rPr>
                <w:rFonts w:ascii="Times New Roman" w:eastAsia="Times New Roman" w:hAnsi="Times New Roman" w:cs="Times New Roman"/>
                <w:sz w:val="16"/>
                <w:szCs w:val="16"/>
              </w:rPr>
            </w:pPr>
          </w:p>
          <w:p w14:paraId="787D48C9" w14:textId="77777777" w:rsidR="00CF5F09" w:rsidRDefault="00CF5F09">
            <w:pPr>
              <w:rPr>
                <w:rFonts w:ascii="Times New Roman" w:eastAsia="Times New Roman" w:hAnsi="Times New Roman" w:cs="Times New Roman"/>
                <w:sz w:val="16"/>
                <w:szCs w:val="16"/>
              </w:rPr>
            </w:pPr>
          </w:p>
          <w:p w14:paraId="795E44F9" w14:textId="77777777" w:rsidR="00CF5F09" w:rsidRDefault="00CF5F09">
            <w:pPr>
              <w:rPr>
                <w:rFonts w:ascii="Times New Roman" w:eastAsia="Times New Roman" w:hAnsi="Times New Roman" w:cs="Times New Roman"/>
                <w:sz w:val="16"/>
                <w:szCs w:val="16"/>
              </w:rPr>
            </w:pPr>
          </w:p>
          <w:p w14:paraId="3088EB56" w14:textId="77777777" w:rsidR="00CF5F09" w:rsidRDefault="00CF5F09">
            <w:pPr>
              <w:rPr>
                <w:rFonts w:ascii="Times New Roman" w:eastAsia="Times New Roman" w:hAnsi="Times New Roman" w:cs="Times New Roman"/>
                <w:sz w:val="16"/>
                <w:szCs w:val="16"/>
              </w:rPr>
            </w:pPr>
          </w:p>
        </w:tc>
        <w:tc>
          <w:tcPr>
            <w:tcW w:w="850" w:type="dxa"/>
          </w:tcPr>
          <w:p w14:paraId="0FB904D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2010, 19mths</w:t>
            </w:r>
          </w:p>
        </w:tc>
        <w:tc>
          <w:tcPr>
            <w:tcW w:w="1139" w:type="dxa"/>
          </w:tcPr>
          <w:p w14:paraId="47FC0B6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w:t>
            </w:r>
          </w:p>
          <w:p w14:paraId="2B4DE04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5A1112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6F1BE27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104 NHs </w:t>
            </w:r>
          </w:p>
          <w:p w14:paraId="1BCB5B7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380266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=53;</w:t>
            </w:r>
          </w:p>
          <w:p w14:paraId="464E8FF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=51</w:t>
            </w:r>
          </w:p>
          <w:p w14:paraId="4EF5E04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49AAE78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Decolonization (2) Education (3) Environmental cleaning</w:t>
            </w:r>
          </w:p>
          <w:p w14:paraId="3C81F68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0DC290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791EFF6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3538268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training on standard precaution to all HCWs </w:t>
            </w:r>
          </w:p>
          <w:p w14:paraId="462AA6F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Decolonize MRSA positive residents for over five consecutive days (nostrils, pharynx, hair, skin)</w:t>
            </w:r>
          </w:p>
          <w:p w14:paraId="6D53313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Disinfect the environment</w:t>
            </w:r>
          </w:p>
          <w:p w14:paraId="2B94A1C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specific training and teaching material about the decolonization protocol and environmental disinfection to HCWs</w:t>
            </w:r>
          </w:p>
          <w:p w14:paraId="000F97E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1424FE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17FF4C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3838B2A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training on standard precaution to all healthcare workers </w:t>
            </w:r>
          </w:p>
          <w:p w14:paraId="722B052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7771FB3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6ABE660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N=4750</w:t>
            </w:r>
          </w:p>
          <w:p w14:paraId="255D3C0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4D429A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=2338;</w:t>
            </w:r>
          </w:p>
          <w:p w14:paraId="5A4E374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=2412</w:t>
            </w:r>
          </w:p>
          <w:p w14:paraId="05AC135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356F857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 xml:space="preserve">MRSA (N,I,W,U) colonization </w:t>
            </w:r>
          </w:p>
          <w:p w14:paraId="1260064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08DE197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C00000"/>
                <w:sz w:val="16"/>
                <w:szCs w:val="16"/>
              </w:rPr>
            </w:pPr>
            <w:r>
              <w:rPr>
                <w:rFonts w:ascii="Times New Roman" w:eastAsia="Times New Roman" w:hAnsi="Times New Roman" w:cs="Times New Roman"/>
                <w:b/>
                <w:color w:val="830000"/>
                <w:sz w:val="16"/>
                <w:szCs w:val="16"/>
              </w:rPr>
              <w:t>Prevalence</w:t>
            </w:r>
          </w:p>
          <w:p w14:paraId="4B8439E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2AAF4CC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Int.=8.9%</w:t>
            </w:r>
          </w:p>
          <w:p w14:paraId="22216F0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.=8.9%</w:t>
            </w:r>
          </w:p>
          <w:p w14:paraId="77ACEEE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055F6D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Post-int.(12mths)</w:t>
            </w:r>
          </w:p>
          <w:p w14:paraId="3CEACD8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Int.=5.8%</w:t>
            </w:r>
          </w:p>
          <w:p w14:paraId="16DA80F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.=6.6%</w:t>
            </w:r>
          </w:p>
          <w:p w14:paraId="579258E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46A43B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Infection</w:t>
            </w:r>
          </w:p>
          <w:p w14:paraId="1BB5294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No invasive MRSA infections were observed during the entire study period.</w:t>
            </w:r>
          </w:p>
          <w:p w14:paraId="0FFDB2E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2C4480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F0B98F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4AF841E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lastRenderedPageBreak/>
              <w:t>IPC program had no effect on MRSA prevalence among residents. MRSA prevalence declined significantly over the study period in both the intervention and control groups.</w:t>
            </w:r>
          </w:p>
        </w:tc>
      </w:tr>
      <w:tr w:rsidR="00CF5F09" w14:paraId="7F6BABFD" w14:textId="77777777">
        <w:tc>
          <w:tcPr>
            <w:cnfStyle w:val="001000000000" w:firstRow="0" w:lastRow="0" w:firstColumn="1" w:lastColumn="0" w:oddVBand="0" w:evenVBand="0" w:oddHBand="0" w:evenHBand="0" w:firstRowFirstColumn="0" w:firstRowLastColumn="0" w:lastRowFirstColumn="0" w:lastRowLastColumn="0"/>
            <w:tcW w:w="988" w:type="dxa"/>
          </w:tcPr>
          <w:p w14:paraId="4F4D25C7" w14:textId="423790B8"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Ben-David et al. (2019</w:t>
            </w:r>
            <w:r w:rsidRPr="009E4CDF">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Israel</w:t>
            </w:r>
          </w:p>
        </w:tc>
        <w:tc>
          <w:tcPr>
            <w:tcW w:w="850" w:type="dxa"/>
          </w:tcPr>
          <w:p w14:paraId="5DAF2F7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2009, 84mths</w:t>
            </w:r>
          </w:p>
        </w:tc>
        <w:tc>
          <w:tcPr>
            <w:tcW w:w="1139" w:type="dxa"/>
          </w:tcPr>
          <w:p w14:paraId="24BDB35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Longitudinal, uncontrolled before-after study</w:t>
            </w:r>
          </w:p>
          <w:p w14:paraId="1C95DDC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C6A1EF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p w14:paraId="4E31E2D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6AD8ED8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300 NHs</w:t>
            </w:r>
          </w:p>
          <w:p w14:paraId="1F1E666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6C4B8D81" w14:textId="28CE2D67" w:rsidR="00CF5F09" w:rsidRDefault="00B865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Administrative</w:t>
            </w:r>
            <w:r w:rsidR="00377EB0">
              <w:rPr>
                <w:rFonts w:ascii="Times New Roman" w:eastAsia="Times New Roman" w:hAnsi="Times New Roman" w:cs="Times New Roman"/>
                <w:b/>
                <w:color w:val="800000"/>
                <w:sz w:val="16"/>
                <w:szCs w:val="16"/>
              </w:rPr>
              <w:t xml:space="preserve"> engagement (2) Barrier precaution (3) Education (4) Performance improvement </w:t>
            </w:r>
          </w:p>
          <w:p w14:paraId="2980730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FC942A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2710126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Initiate and coordinate by the Ministry of Health </w:t>
            </w:r>
          </w:p>
          <w:p w14:paraId="2EA0048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Administrative involvement in continuous supervision </w:t>
            </w:r>
          </w:p>
          <w:p w14:paraId="4BDA0DC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IPC training</w:t>
            </w:r>
            <w:r>
              <w:rPr>
                <w:rFonts w:ascii="Times New Roman" w:eastAsia="Times New Roman" w:hAnsi="Times New Roman" w:cs="Times New Roman"/>
                <w:sz w:val="16"/>
                <w:szCs w:val="16"/>
                <w:vertAlign w:val="superscript"/>
              </w:rPr>
              <w:footnoteReference w:id="2"/>
            </w:r>
            <w:r>
              <w:rPr>
                <w:rFonts w:ascii="Times New Roman" w:eastAsia="Times New Roman" w:hAnsi="Times New Roman" w:cs="Times New Roman"/>
                <w:sz w:val="16"/>
                <w:szCs w:val="16"/>
              </w:rPr>
              <w:t xml:space="preserve"> </w:t>
            </w:r>
          </w:p>
          <w:p w14:paraId="082D45F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Implement contact precaution</w:t>
            </w:r>
          </w:p>
          <w:p w14:paraId="4BE1BAD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Send periodic reports to the CDC</w:t>
            </w:r>
          </w:p>
          <w:p w14:paraId="2DCAC1F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Reinforce early case detection of cases and prompt case reporting</w:t>
            </w:r>
          </w:p>
          <w:p w14:paraId="567F3EF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Supervise information exchange between healthcare facilities </w:t>
            </w:r>
          </w:p>
          <w:p w14:paraId="6A9EC88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6880554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1134" w:type="dxa"/>
          </w:tcPr>
          <w:p w14:paraId="1E54B4B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N=20000</w:t>
            </w:r>
            <w:r>
              <w:rPr>
                <w:rFonts w:ascii="Times New Roman" w:eastAsia="Times New Roman" w:hAnsi="Times New Roman" w:cs="Times New Roman"/>
                <w:sz w:val="16"/>
                <w:szCs w:val="16"/>
                <w:vertAlign w:val="superscript"/>
              </w:rPr>
              <w:footnoteReference w:id="3"/>
            </w:r>
          </w:p>
        </w:tc>
        <w:tc>
          <w:tcPr>
            <w:tcW w:w="2693" w:type="dxa"/>
          </w:tcPr>
          <w:p w14:paraId="26D7B8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CRE (R) acquisition</w:t>
            </w:r>
          </w:p>
          <w:p w14:paraId="3CCB9DB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6A6F61E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No. of acquisition = 2182</w:t>
            </w:r>
          </w:p>
          <w:p w14:paraId="4E0CD47B" w14:textId="77777777" w:rsidR="00CF5F09" w:rsidRDefault="00CF5F09">
            <w:pPr>
              <w:ind w:firstLine="7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D40578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Incidence of acquisition (/10 000 patient-days):</w:t>
            </w:r>
          </w:p>
          <w:p w14:paraId="086B0F5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Pre-int.=0.5</w:t>
            </w:r>
          </w:p>
          <w:p w14:paraId="0E385E0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Post-int.(84mths)=0.3</w:t>
            </w:r>
          </w:p>
          <w:p w14:paraId="237B780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2B85D5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IRR (95% CI)</w:t>
            </w:r>
          </w:p>
          <w:p w14:paraId="05E1A04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0.93 (0.91-0.95), p&lt;0.001</w:t>
            </w:r>
          </w:p>
          <w:p w14:paraId="3BCFB80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2AD41A1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t xml:space="preserve">The national, coordinated intervention resulted in a sustained decrease in CRE incidence and prevalence in LTCFs. </w:t>
            </w:r>
          </w:p>
          <w:p w14:paraId="25F9E8F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r>
      <w:tr w:rsidR="00CF5F09" w14:paraId="389E52B0" w14:textId="77777777" w:rsidTr="00CF5F09">
        <w:trPr>
          <w:trHeight w:val="699"/>
        </w:trPr>
        <w:tc>
          <w:tcPr>
            <w:cnfStyle w:val="001000000000" w:firstRow="0" w:lastRow="0" w:firstColumn="1" w:lastColumn="0" w:oddVBand="0" w:evenVBand="0" w:oddHBand="0" w:evenHBand="0" w:firstRowFirstColumn="0" w:firstRowLastColumn="0" w:lastRowFirstColumn="0" w:lastRowLastColumn="0"/>
            <w:tcW w:w="988" w:type="dxa"/>
          </w:tcPr>
          <w:p w14:paraId="60B1FBB3" w14:textId="07F41F2B"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t>Bowler et al. (2010</w:t>
            </w:r>
            <w:r w:rsidRPr="00DF166B">
              <w:rPr>
                <w:rFonts w:ascii="Times New Roman" w:eastAsia="Times New Roman" w:hAnsi="Times New Roman" w:cs="Times New Roman"/>
                <w:sz w:val="16"/>
                <w:szCs w:val="16"/>
              </w:rPr>
              <w:t>)</w:t>
            </w:r>
            <w:r w:rsidRPr="009E4CDF">
              <w:rPr>
                <w:rFonts w:ascii="Times New Roman" w:eastAsia="Times New Roman" w:hAnsi="Times New Roman" w:cs="Times New Roman"/>
                <w:b w:val="0"/>
                <w:sz w:val="16"/>
                <w:szCs w:val="16"/>
              </w:rPr>
              <w:t>,</w:t>
            </w:r>
            <w:r>
              <w:rPr>
                <w:rFonts w:ascii="Times New Roman" w:eastAsia="Times New Roman" w:hAnsi="Times New Roman" w:cs="Times New Roman"/>
                <w:sz w:val="16"/>
                <w:szCs w:val="16"/>
              </w:rPr>
              <w:t xml:space="preserve"> US</w:t>
            </w:r>
          </w:p>
        </w:tc>
        <w:tc>
          <w:tcPr>
            <w:tcW w:w="850" w:type="dxa"/>
          </w:tcPr>
          <w:p w14:paraId="2711E6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2006, 13mths </w:t>
            </w:r>
          </w:p>
          <w:p w14:paraId="74BF133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150FCD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9" w:type="dxa"/>
          </w:tcPr>
          <w:p w14:paraId="7B01D36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1017C87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B728A5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tc>
        <w:tc>
          <w:tcPr>
            <w:tcW w:w="992" w:type="dxa"/>
          </w:tcPr>
          <w:p w14:paraId="743146C0" w14:textId="77777777" w:rsidR="00CF5F09" w:rsidRDefault="00377EB0">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5 NHs</w:t>
            </w:r>
          </w:p>
        </w:tc>
        <w:tc>
          <w:tcPr>
            <w:tcW w:w="2552" w:type="dxa"/>
          </w:tcPr>
          <w:p w14:paraId="2174215F" w14:textId="77777777" w:rsidR="00CF5F09" w:rsidRDefault="00377EB0">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Decolonization (2) Education (3) Environmental cleaning</w:t>
            </w:r>
          </w:p>
          <w:p w14:paraId="7F310975"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744C6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Perform active surveillance </w:t>
            </w:r>
          </w:p>
          <w:p w14:paraId="447D971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Decolonize MRSA positive residents</w:t>
            </w:r>
          </w:p>
          <w:p w14:paraId="211B515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Decontaminate the rooms of MRSA positive residents</w:t>
            </w:r>
          </w:p>
          <w:p w14:paraId="300C184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Educate patients</w:t>
            </w:r>
          </w:p>
          <w:p w14:paraId="5B0B181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3A7A662"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61A6E5C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1134" w:type="dxa"/>
          </w:tcPr>
          <w:p w14:paraId="5AC8E30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N=687</w:t>
            </w:r>
          </w:p>
          <w:p w14:paraId="67BA22B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AD28F8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pre</w:t>
            </w:r>
            <w:proofErr w:type="spellEnd"/>
            <w:r>
              <w:rPr>
                <w:rFonts w:ascii="Times New Roman" w:eastAsia="Times New Roman" w:hAnsi="Times New Roman" w:cs="Times New Roman"/>
                <w:sz w:val="16"/>
                <w:szCs w:val="16"/>
                <w:vertAlign w:val="subscript"/>
              </w:rPr>
              <w:t>-int..</w:t>
            </w:r>
            <w:r>
              <w:rPr>
                <w:rFonts w:ascii="Times New Roman" w:eastAsia="Times New Roman" w:hAnsi="Times New Roman" w:cs="Times New Roman"/>
                <w:sz w:val="16"/>
                <w:szCs w:val="16"/>
              </w:rPr>
              <w:t>=687;</w:t>
            </w:r>
          </w:p>
          <w:p w14:paraId="2AD9586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post</w:t>
            </w:r>
            <w:proofErr w:type="spellEnd"/>
            <w:r>
              <w:rPr>
                <w:rFonts w:ascii="Times New Roman" w:eastAsia="Times New Roman" w:hAnsi="Times New Roman" w:cs="Times New Roman"/>
                <w:sz w:val="16"/>
                <w:szCs w:val="16"/>
                <w:vertAlign w:val="subscript"/>
              </w:rPr>
              <w:t>-int.</w:t>
            </w:r>
            <w:r>
              <w:rPr>
                <w:rFonts w:ascii="Times New Roman" w:eastAsia="Times New Roman" w:hAnsi="Times New Roman" w:cs="Times New Roman"/>
                <w:sz w:val="16"/>
                <w:szCs w:val="16"/>
              </w:rPr>
              <w:t>=653</w:t>
            </w:r>
          </w:p>
          <w:p w14:paraId="6F224FE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125FFF8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(N,W,U) colonization</w:t>
            </w:r>
          </w:p>
          <w:p w14:paraId="07DA90E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6F66E0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w:t>
            </w:r>
          </w:p>
          <w:p w14:paraId="16E7B02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Pre-int.=80/687 (11.6%)</w:t>
            </w:r>
          </w:p>
          <w:p w14:paraId="515E7993" w14:textId="77777777" w:rsidR="00CF5F09" w:rsidRDefault="00377EB0">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Post-int.(13mths)=26/653 (4.0%) </w:t>
            </w:r>
          </w:p>
          <w:p w14:paraId="306AE454"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RR=0.48 (0.34,0.68);p&lt;0.001</w:t>
            </w:r>
          </w:p>
          <w:p w14:paraId="0FC641E3"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43DA4D00" w14:textId="77777777" w:rsidR="00CF5F09" w:rsidRDefault="00377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The use of active surveillance cultures and decolonization therapy effectively decreased the prevalence of MRSA in nursing homes.</w:t>
            </w:r>
          </w:p>
          <w:p w14:paraId="28C8C0EF" w14:textId="77777777" w:rsidR="00CF5F09" w:rsidRDefault="00CF5F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32B63E9F" w14:textId="77777777" w:rsidTr="00CF5F09">
        <w:trPr>
          <w:trHeight w:val="6060"/>
        </w:trPr>
        <w:tc>
          <w:tcPr>
            <w:cnfStyle w:val="001000000000" w:firstRow="0" w:lastRow="0" w:firstColumn="1" w:lastColumn="0" w:oddVBand="0" w:evenVBand="0" w:oddHBand="0" w:evenHBand="0" w:firstRowFirstColumn="0" w:firstRowLastColumn="0" w:lastRowFirstColumn="0" w:lastRowLastColumn="0"/>
            <w:tcW w:w="988" w:type="dxa"/>
          </w:tcPr>
          <w:p w14:paraId="2CD6F6D1" w14:textId="159B6239"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Chuang et al. (2015</w:t>
            </w:r>
            <w:r w:rsidRPr="009E4CDF">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Hong Kong SAR</w:t>
            </w:r>
            <w:r w:rsidR="00DF166B">
              <w:rPr>
                <w:rFonts w:ascii="Times New Roman" w:eastAsia="Times New Roman" w:hAnsi="Times New Roman" w:cs="Times New Roman"/>
                <w:sz w:val="16"/>
                <w:szCs w:val="16"/>
              </w:rPr>
              <w:t xml:space="preserve"> </w:t>
            </w:r>
          </w:p>
        </w:tc>
        <w:tc>
          <w:tcPr>
            <w:tcW w:w="850" w:type="dxa"/>
          </w:tcPr>
          <w:p w14:paraId="4DC7715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2010, 16mths</w:t>
            </w:r>
          </w:p>
        </w:tc>
        <w:tc>
          <w:tcPr>
            <w:tcW w:w="1139" w:type="dxa"/>
          </w:tcPr>
          <w:p w14:paraId="7753E00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w:t>
            </w:r>
          </w:p>
          <w:p w14:paraId="67C6936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811EA6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725A414A" w14:textId="77777777" w:rsidR="00CF5F09" w:rsidRDefault="00377EB0">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36 NHs </w:t>
            </w:r>
          </w:p>
          <w:p w14:paraId="0B87A5D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6DF25A4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=18;</w:t>
            </w:r>
          </w:p>
          <w:p w14:paraId="057F78C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=18</w:t>
            </w:r>
          </w:p>
          <w:p w14:paraId="0649D36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593FA6C0" w14:textId="77777777" w:rsidR="00CF5F09" w:rsidRDefault="00377EB0">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Barrier precaution (2) Education (3) Environmental cleaning (4) Hand Hygiene (5) Performance improvement</w:t>
            </w:r>
          </w:p>
          <w:p w14:paraId="79ED0484"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4D323F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031725F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Introduce and install alcohol-based hand rubs at designated areas</w:t>
            </w:r>
            <w:r>
              <w:rPr>
                <w:rFonts w:ascii="Times New Roman" w:eastAsia="Times New Roman" w:hAnsi="Times New Roman" w:cs="Times New Roman"/>
                <w:sz w:val="16"/>
                <w:szCs w:val="16"/>
                <w:vertAlign w:val="superscript"/>
              </w:rPr>
              <w:footnoteReference w:id="4"/>
            </w:r>
          </w:p>
          <w:p w14:paraId="10FB76E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Display poster demonstrating the Five Moments of correct hand hygiene indications and the Seven Steps of effective hand hygiene techniques from the World Health Organization</w:t>
            </w:r>
          </w:p>
          <w:p w14:paraId="1A0CDE2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color-coded cleaning kits along with protocol to the NHs</w:t>
            </w:r>
          </w:p>
          <w:p w14:paraId="7AB4138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Isolate MRSA carriers from vulnerable residents who had indwelling catheters or skin lesion </w:t>
            </w:r>
          </w:p>
          <w:p w14:paraId="695EF2B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Reinforce contact precaution when handling the device and wounds of MRSA carrier </w:t>
            </w:r>
          </w:p>
          <w:p w14:paraId="7A9174D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Allow MRSA carriers without any wounds or indwelling catheters to participate in social activities </w:t>
            </w:r>
          </w:p>
          <w:p w14:paraId="393C8F0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Assess staff compliance with the interventions quarterly together with timely feedback to the stakeholders</w:t>
            </w:r>
          </w:p>
          <w:p w14:paraId="63481CD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08661E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1E65DA6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Continue the usual practice</w:t>
            </w:r>
          </w:p>
        </w:tc>
        <w:tc>
          <w:tcPr>
            <w:tcW w:w="1276" w:type="dxa"/>
          </w:tcPr>
          <w:p w14:paraId="4479010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b/>
                <w:color w:val="800000"/>
                <w:sz w:val="16"/>
                <w:szCs w:val="16"/>
              </w:rPr>
              <w:t>HH</w:t>
            </w:r>
          </w:p>
          <w:p w14:paraId="71285DC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4A3648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Pre-int. </w:t>
            </w:r>
          </w:p>
          <w:p w14:paraId="7B546D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Int.=5.9%</w:t>
            </w:r>
          </w:p>
          <w:p w14:paraId="710BEEF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.=5.9%</w:t>
            </w:r>
          </w:p>
          <w:p w14:paraId="71DBE10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B54E59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(15mths)</w:t>
            </w:r>
          </w:p>
          <w:p w14:paraId="22F9C60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Int.=45.6%</w:t>
            </w:r>
          </w:p>
          <w:p w14:paraId="632EB60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.=7.2%</w:t>
            </w:r>
          </w:p>
          <w:p w14:paraId="120A59A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21E221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490F0F6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N=2776</w:t>
            </w:r>
          </w:p>
          <w:p w14:paraId="61CE684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682B29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=1505;</w:t>
            </w:r>
          </w:p>
          <w:p w14:paraId="1F0B67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=1271</w:t>
            </w:r>
          </w:p>
        </w:tc>
        <w:tc>
          <w:tcPr>
            <w:tcW w:w="2693" w:type="dxa"/>
          </w:tcPr>
          <w:p w14:paraId="1385459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w:t>
            </w:r>
            <w:proofErr w:type="spellStart"/>
            <w:r>
              <w:rPr>
                <w:rFonts w:ascii="Times New Roman" w:eastAsia="Times New Roman" w:hAnsi="Times New Roman" w:cs="Times New Roman"/>
                <w:b/>
                <w:color w:val="800000"/>
                <w:sz w:val="16"/>
                <w:szCs w:val="16"/>
              </w:rPr>
              <w:t>Unk</w:t>
            </w:r>
            <w:proofErr w:type="spellEnd"/>
            <w:r>
              <w:rPr>
                <w:rFonts w:ascii="Times New Roman" w:eastAsia="Times New Roman" w:hAnsi="Times New Roman" w:cs="Times New Roman"/>
                <w:b/>
                <w:color w:val="800000"/>
                <w:sz w:val="16"/>
                <w:szCs w:val="16"/>
              </w:rPr>
              <w:t>) colonization</w:t>
            </w:r>
          </w:p>
          <w:p w14:paraId="7ACB79E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6B11BBF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w:t>
            </w:r>
          </w:p>
          <w:p w14:paraId="22659D9F"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2F5CA5F8"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Int.=316/1505 (21.0%)</w:t>
            </w:r>
          </w:p>
          <w:p w14:paraId="1057E05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.=249/1271 (19.6%)</w:t>
            </w:r>
          </w:p>
          <w:p w14:paraId="1645CA10"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OR: 1.11 (0.86,1.44); p=0.42</w:t>
            </w:r>
          </w:p>
          <w:p w14:paraId="0E658F99"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p>
          <w:p w14:paraId="6942948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(6mths) </w:t>
            </w:r>
          </w:p>
          <w:p w14:paraId="3A481459"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Int.=341/1480 (23.0%)</w:t>
            </w:r>
          </w:p>
          <w:p w14:paraId="7A415AF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.=239/1226 (19.5%)</w:t>
            </w:r>
          </w:p>
          <w:p w14:paraId="384CB91C"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OR: 1.18 (0.87,1.60); p=0.30</w:t>
            </w:r>
          </w:p>
          <w:p w14:paraId="7266444E"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p>
          <w:p w14:paraId="58575C1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Post-int.(9mths) </w:t>
            </w:r>
          </w:p>
          <w:p w14:paraId="2A74029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Int.=304/1469 (20.7%)</w:t>
            </w:r>
          </w:p>
          <w:p w14:paraId="3F93615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.=231/1184 (19.5%)</w:t>
            </w:r>
          </w:p>
          <w:p w14:paraId="14096F2B"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OR: 1.06 (0.81,1.38); p=0.69</w:t>
            </w:r>
          </w:p>
          <w:p w14:paraId="48FA7912"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C03871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(12mths) </w:t>
            </w:r>
          </w:p>
          <w:p w14:paraId="3E61AE1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Int.=303/1446 (21.0%)</w:t>
            </w:r>
          </w:p>
          <w:p w14:paraId="44602EB9"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.=243/1159 (21.0%)</w:t>
            </w:r>
          </w:p>
          <w:p w14:paraId="38ED59E8"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OR: 0.99 (0.74, 1.34); p=0.95</w:t>
            </w:r>
          </w:p>
          <w:p w14:paraId="049EE5F0"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EE7D4B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(15mths) </w:t>
            </w:r>
          </w:p>
          <w:p w14:paraId="7ED78674"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Int.=290/1367 (21.2%)</w:t>
            </w:r>
          </w:p>
          <w:p w14:paraId="2D4E0F8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.=229/1116 (20.5%)</w:t>
            </w:r>
          </w:p>
          <w:p w14:paraId="26B63311"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OR: 1.04 (0.72, 1.49); p=0.85</w:t>
            </w:r>
          </w:p>
          <w:p w14:paraId="36D1CD2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
          <w:p w14:paraId="29B8DB1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33B9CD7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The study showed that relying on the infection control bundle alone could not bring sustainable MRSA reduction. </w:t>
            </w:r>
          </w:p>
          <w:p w14:paraId="7A0CD68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98DDF2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Administrative control for strengthening infection control infrastructure is important for continuous compliance and improvement. </w:t>
            </w:r>
          </w:p>
        </w:tc>
      </w:tr>
      <w:tr w:rsidR="00CF5F09" w14:paraId="55A7E3E8" w14:textId="77777777">
        <w:tc>
          <w:tcPr>
            <w:cnfStyle w:val="001000000000" w:firstRow="0" w:lastRow="0" w:firstColumn="1" w:lastColumn="0" w:oddVBand="0" w:evenVBand="0" w:oddHBand="0" w:evenHBand="0" w:firstRowFirstColumn="0" w:firstRowLastColumn="0" w:lastRowFirstColumn="0" w:lastRowLastColumn="0"/>
            <w:tcW w:w="988" w:type="dxa"/>
          </w:tcPr>
          <w:p w14:paraId="148D2BBC" w14:textId="35F5BFB8" w:rsidR="00CF5F09" w:rsidRDefault="00377EB0">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Hequet</w:t>
            </w:r>
            <w:proofErr w:type="spellEnd"/>
            <w:r>
              <w:rPr>
                <w:rFonts w:ascii="Times New Roman" w:eastAsia="Times New Roman" w:hAnsi="Times New Roman" w:cs="Times New Roman"/>
                <w:sz w:val="16"/>
                <w:szCs w:val="16"/>
              </w:rPr>
              <w:t xml:space="preserve"> et al. (2017</w:t>
            </w:r>
            <w:r w:rsidRPr="009E4CDF">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Switzerland</w:t>
            </w:r>
            <w:r w:rsidR="00DF166B">
              <w:rPr>
                <w:rFonts w:ascii="Times New Roman" w:eastAsia="Times New Roman" w:hAnsi="Times New Roman" w:cs="Times New Roman"/>
                <w:sz w:val="16"/>
                <w:szCs w:val="16"/>
              </w:rPr>
              <w:t xml:space="preserve"> </w:t>
            </w:r>
          </w:p>
          <w:p w14:paraId="06D39A33" w14:textId="77777777" w:rsidR="00CF5F09" w:rsidRDefault="00CF5F09">
            <w:pPr>
              <w:rPr>
                <w:rFonts w:ascii="Times New Roman" w:eastAsia="Times New Roman" w:hAnsi="Times New Roman" w:cs="Times New Roman"/>
                <w:sz w:val="16"/>
                <w:szCs w:val="16"/>
              </w:rPr>
            </w:pPr>
          </w:p>
          <w:p w14:paraId="7ECF5444" w14:textId="67982177" w:rsidR="00CF5F09" w:rsidRDefault="00377EB0">
            <w:pPr>
              <w:rPr>
                <w:rFonts w:ascii="Times New Roman" w:eastAsia="Times New Roman" w:hAnsi="Times New Roman" w:cs="Times New Roman"/>
                <w:i/>
                <w:sz w:val="16"/>
                <w:szCs w:val="16"/>
              </w:rPr>
            </w:pPr>
            <w:r>
              <w:rPr>
                <w:rFonts w:ascii="Times New Roman" w:eastAsia="Times New Roman" w:hAnsi="Times New Roman" w:cs="Times New Roman"/>
                <w:b w:val="0"/>
                <w:i/>
                <w:sz w:val="16"/>
                <w:szCs w:val="16"/>
              </w:rPr>
              <w:t>*Extended study from Bellini et al. (2015</w:t>
            </w:r>
            <w:r w:rsidRPr="009E4CDF">
              <w:rPr>
                <w:rFonts w:ascii="Times New Roman" w:eastAsia="Times New Roman" w:hAnsi="Times New Roman" w:cs="Times New Roman"/>
                <w:i/>
                <w:sz w:val="16"/>
                <w:szCs w:val="16"/>
              </w:rPr>
              <w:t>)</w:t>
            </w:r>
            <w:r w:rsidR="00DF166B">
              <w:rPr>
                <w:rFonts w:ascii="Times New Roman" w:eastAsia="Times New Roman" w:hAnsi="Times New Roman" w:cs="Times New Roman"/>
                <w:i/>
                <w:sz w:val="16"/>
                <w:szCs w:val="16"/>
              </w:rPr>
              <w:t xml:space="preserve"> </w:t>
            </w:r>
            <w:hyperlink r:id="rId8">
              <w:r w:rsidRPr="009E4CDF">
                <w:rPr>
                  <w:rFonts w:ascii="Times New Roman" w:eastAsia="Times New Roman" w:hAnsi="Times New Roman" w:cs="Times New Roman"/>
                  <w:i/>
                  <w:color w:val="000000"/>
                  <w:sz w:val="16"/>
                  <w:szCs w:val="16"/>
                </w:rPr>
                <w:t>[2]</w:t>
              </w:r>
            </w:hyperlink>
          </w:p>
        </w:tc>
        <w:tc>
          <w:tcPr>
            <w:tcW w:w="850" w:type="dxa"/>
          </w:tcPr>
          <w:p w14:paraId="72E0A85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2010, 72mths</w:t>
            </w:r>
          </w:p>
        </w:tc>
        <w:tc>
          <w:tcPr>
            <w:tcW w:w="1139" w:type="dxa"/>
          </w:tcPr>
          <w:p w14:paraId="2FA60FC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w:t>
            </w:r>
          </w:p>
          <w:p w14:paraId="10B7415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152ABD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3B96BC3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92 NHs </w:t>
            </w:r>
          </w:p>
          <w:p w14:paraId="20BF0F1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CB2333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=47;</w:t>
            </w:r>
          </w:p>
          <w:p w14:paraId="3B64246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=45</w:t>
            </w:r>
          </w:p>
          <w:p w14:paraId="0BD5E960"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866CCD0"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ACBFF3D"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4F0B791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Decolonization (2) Education (3) Environmental cleaning</w:t>
            </w:r>
          </w:p>
          <w:p w14:paraId="0630339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2387E2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4C4C648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29B9580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training on standard precaution to all HCWs </w:t>
            </w:r>
          </w:p>
          <w:p w14:paraId="4672CBE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Decolonize MRSA positive residents for over five consecutive days</w:t>
            </w:r>
          </w:p>
          <w:p w14:paraId="3D04273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Disinfect the environment</w:t>
            </w:r>
          </w:p>
          <w:p w14:paraId="636156D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p>
          <w:p w14:paraId="284CC16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lastRenderedPageBreak/>
              <w:t>Cnt</w:t>
            </w:r>
            <w:proofErr w:type="spellEnd"/>
            <w:r>
              <w:rPr>
                <w:rFonts w:ascii="Times New Roman" w:eastAsia="Times New Roman" w:hAnsi="Times New Roman" w:cs="Times New Roman"/>
                <w:sz w:val="16"/>
                <w:szCs w:val="16"/>
                <w:u w:val="single"/>
              </w:rPr>
              <w:t>.:</w:t>
            </w:r>
          </w:p>
          <w:p w14:paraId="23A57E9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Active surveillance</w:t>
            </w:r>
          </w:p>
          <w:p w14:paraId="1EF53FD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training on standard precaution to all HCWs </w:t>
            </w:r>
          </w:p>
        </w:tc>
        <w:tc>
          <w:tcPr>
            <w:tcW w:w="1276" w:type="dxa"/>
          </w:tcPr>
          <w:p w14:paraId="419EF9A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0ADCD1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2693" w:type="dxa"/>
          </w:tcPr>
          <w:p w14:paraId="545B97F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(N,P,I) colonization</w:t>
            </w:r>
          </w:p>
          <w:p w14:paraId="58E2D11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07CA68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w:t>
            </w:r>
            <w:r>
              <w:rPr>
                <w:rFonts w:ascii="Times New Roman" w:eastAsia="Times New Roman" w:hAnsi="Times New Roman" w:cs="Times New Roman"/>
                <w:b/>
                <w:color w:val="800000"/>
                <w:sz w:val="16"/>
                <w:szCs w:val="16"/>
                <w:vertAlign w:val="superscript"/>
              </w:rPr>
              <w:footnoteReference w:id="5"/>
            </w:r>
          </w:p>
          <w:p w14:paraId="1F32DD9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D6C8169"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46AD8DE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Int.=8.3%</w:t>
            </w:r>
          </w:p>
          <w:p w14:paraId="0B28F0F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.=9.0%</w:t>
            </w:r>
          </w:p>
          <w:p w14:paraId="3CB01F39"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(p=0.60)</w:t>
            </w:r>
          </w:p>
          <w:p w14:paraId="4BAAA719"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CD9384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(12mths) </w:t>
            </w:r>
          </w:p>
          <w:p w14:paraId="6451FA7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Int.=5.4%</w:t>
            </w:r>
          </w:p>
          <w:p w14:paraId="3802003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.=6.3%</w:t>
            </w:r>
          </w:p>
          <w:p w14:paraId="3FCE3FA7"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lastRenderedPageBreak/>
              <w:t>(p=0.18)</w:t>
            </w:r>
          </w:p>
          <w:p w14:paraId="666CBA10"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p>
          <w:p w14:paraId="742AF43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Post-int.(60mths) </w:t>
            </w:r>
          </w:p>
          <w:p w14:paraId="2EE6E9B9"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Int.=4.0%</w:t>
            </w:r>
          </w:p>
          <w:p w14:paraId="6BA123AA"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.=8.1%</w:t>
            </w:r>
          </w:p>
          <w:p w14:paraId="1FE2193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(p=0.01)</w:t>
            </w:r>
          </w:p>
          <w:p w14:paraId="3FEDE82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24F13C6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A five-year follow-up shows no evidence supporting IPC interventions.</w:t>
            </w:r>
          </w:p>
        </w:tc>
      </w:tr>
      <w:tr w:rsidR="00CF5F09" w14:paraId="3B1F6EE1" w14:textId="77777777">
        <w:tc>
          <w:tcPr>
            <w:cnfStyle w:val="001000000000" w:firstRow="0" w:lastRow="0" w:firstColumn="1" w:lastColumn="0" w:oddVBand="0" w:evenVBand="0" w:oddHBand="0" w:evenHBand="0" w:firstRowFirstColumn="0" w:firstRowLastColumn="0" w:lastRowFirstColumn="0" w:lastRowLastColumn="0"/>
            <w:tcW w:w="988" w:type="dxa"/>
          </w:tcPr>
          <w:p w14:paraId="24DF31F8" w14:textId="76F52808"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Ho et al. (2012</w:t>
            </w:r>
            <w:r w:rsidRPr="00DF166B">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Hong Kong SAR</w:t>
            </w:r>
            <w:r w:rsidR="00DF166B">
              <w:rPr>
                <w:rFonts w:ascii="Times New Roman" w:eastAsia="Times New Roman" w:hAnsi="Times New Roman" w:cs="Times New Roman"/>
                <w:sz w:val="16"/>
                <w:szCs w:val="16"/>
              </w:rPr>
              <w:t xml:space="preserve"> </w:t>
            </w:r>
          </w:p>
        </w:tc>
        <w:tc>
          <w:tcPr>
            <w:tcW w:w="850" w:type="dxa"/>
          </w:tcPr>
          <w:p w14:paraId="218CC62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2007, 43mths</w:t>
            </w:r>
          </w:p>
        </w:tc>
        <w:tc>
          <w:tcPr>
            <w:tcW w:w="1139" w:type="dxa"/>
          </w:tcPr>
          <w:p w14:paraId="309A451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w:t>
            </w:r>
          </w:p>
          <w:p w14:paraId="295A7B4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F37EB1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6F41E5A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18 EHs</w:t>
            </w:r>
          </w:p>
          <w:p w14:paraId="4E1543B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0D4897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Int1.</w:t>
            </w:r>
            <w:r>
              <w:rPr>
                <w:rFonts w:ascii="Times New Roman" w:eastAsia="Times New Roman" w:hAnsi="Times New Roman" w:cs="Times New Roman"/>
                <w:sz w:val="16"/>
                <w:szCs w:val="16"/>
              </w:rPr>
              <w:t xml:space="preserve">=6; </w:t>
            </w:r>
          </w:p>
          <w:p w14:paraId="14AB8CD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Int2.</w:t>
            </w:r>
            <w:r>
              <w:rPr>
                <w:rFonts w:ascii="Times New Roman" w:eastAsia="Times New Roman" w:hAnsi="Times New Roman" w:cs="Times New Roman"/>
                <w:sz w:val="16"/>
                <w:szCs w:val="16"/>
              </w:rPr>
              <w:t xml:space="preserve">=6; </w:t>
            </w:r>
          </w:p>
          <w:p w14:paraId="144663A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=6</w:t>
            </w:r>
          </w:p>
          <w:p w14:paraId="6B68DD52" w14:textId="77777777" w:rsidR="00CF5F09" w:rsidRDefault="00CF5F09">
            <w:pPr>
              <w:spacing w:before="2" w:after="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0FF77B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3A09B1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536ACBF9" w14:textId="54E82006" w:rsidR="00CF5F09" w:rsidRDefault="00B865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Administrative</w:t>
            </w:r>
            <w:r w:rsidR="00377EB0">
              <w:rPr>
                <w:rFonts w:ascii="Times New Roman" w:eastAsia="Times New Roman" w:hAnsi="Times New Roman" w:cs="Times New Roman"/>
                <w:b/>
                <w:color w:val="800000"/>
                <w:sz w:val="16"/>
                <w:szCs w:val="16"/>
              </w:rPr>
              <w:t xml:space="preserve"> engagement (2) Education (3) Hand hygiene (4) Performance improvement</w:t>
            </w:r>
          </w:p>
          <w:p w14:paraId="431FEAA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A7997F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Int.1:</w:t>
            </w:r>
          </w:p>
          <w:p w14:paraId="65C7479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Supply slightly powered gloves</w:t>
            </w:r>
          </w:p>
          <w:p w14:paraId="2911CDB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WHO multimodal strategy</w:t>
            </w:r>
            <w:r>
              <w:rPr>
                <w:rFonts w:ascii="Times New Roman" w:eastAsia="Times New Roman" w:hAnsi="Times New Roman" w:cs="Times New Roman"/>
                <w:sz w:val="16"/>
                <w:szCs w:val="16"/>
                <w:vertAlign w:val="superscript"/>
              </w:rPr>
              <w:footnoteReference w:id="6"/>
            </w:r>
          </w:p>
          <w:p w14:paraId="661374A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370137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Int.2:</w:t>
            </w:r>
          </w:p>
          <w:p w14:paraId="4DA6ED4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Supply powderless gloves </w:t>
            </w:r>
          </w:p>
          <w:p w14:paraId="17E8C59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WHO multimodal strategy*</w:t>
            </w:r>
          </w:p>
          <w:p w14:paraId="57F0BF5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9E9611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193FA7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Deliver a two-hour health talk on personal, food, and environmental hygiene, healthy eating, and regular exercise. HH was mentioned as a component of personal hygiene, but nothing was said about HH indications</w:t>
            </w:r>
          </w:p>
          <w:p w14:paraId="39F8477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4DA340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20A2F2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1BBEEF3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b/>
                <w:color w:val="800000"/>
                <w:sz w:val="16"/>
                <w:szCs w:val="16"/>
              </w:rPr>
              <w:t>HH</w:t>
            </w:r>
            <w:r>
              <w:rPr>
                <w:rFonts w:ascii="Times New Roman" w:eastAsia="Times New Roman" w:hAnsi="Times New Roman" w:cs="Times New Roman"/>
                <w:b/>
                <w:color w:val="800000"/>
                <w:sz w:val="16"/>
                <w:szCs w:val="16"/>
                <w:vertAlign w:val="superscript"/>
              </w:rPr>
              <w:footnoteReference w:id="7"/>
            </w:r>
            <w:r>
              <w:rPr>
                <w:rFonts w:ascii="Times New Roman" w:eastAsia="Times New Roman" w:hAnsi="Times New Roman" w:cs="Times New Roman"/>
                <w:sz w:val="16"/>
                <w:szCs w:val="16"/>
              </w:rPr>
              <w:t xml:space="preserve"> </w:t>
            </w:r>
          </w:p>
          <w:p w14:paraId="439C9B6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A01D22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Pre-int. </w:t>
            </w:r>
          </w:p>
          <w:p w14:paraId="62E7C39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Int.1=325/1204 (27.0%)</w:t>
            </w:r>
          </w:p>
          <w:p w14:paraId="70472BC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Int.2=313/1410 (22.2%)</w:t>
            </w:r>
          </w:p>
          <w:p w14:paraId="75676CC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.=326/1671 (19.5%)</w:t>
            </w:r>
          </w:p>
          <w:p w14:paraId="1BC4CEF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8445D8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(1mths)</w:t>
            </w:r>
          </w:p>
          <w:p w14:paraId="21C5CE2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Int.1=699/1181 (59.2%)</w:t>
            </w:r>
          </w:p>
          <w:p w14:paraId="3C837A0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Int.2=763/1274 (59.9%)</w:t>
            </w:r>
          </w:p>
          <w:p w14:paraId="1AED24A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.=299/1508 (19.8%)</w:t>
            </w:r>
          </w:p>
          <w:p w14:paraId="16A4DB4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D7D629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(4mths)</w:t>
            </w:r>
          </w:p>
          <w:p w14:paraId="5E3B802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Int.1=662/1093 (60.6%)</w:t>
            </w:r>
          </w:p>
          <w:p w14:paraId="2BB182A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Int.2=454/935 (48.6%)</w:t>
            </w:r>
          </w:p>
          <w:p w14:paraId="53EE635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.=301/1393 (21.6%)</w:t>
            </w:r>
          </w:p>
          <w:p w14:paraId="7B65C13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09B164A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N=2407</w:t>
            </w:r>
          </w:p>
          <w:p w14:paraId="756FD54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E56DB5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Int1.</w:t>
            </w:r>
            <w:r>
              <w:rPr>
                <w:rFonts w:ascii="Times New Roman" w:eastAsia="Times New Roman" w:hAnsi="Times New Roman" w:cs="Times New Roman"/>
                <w:sz w:val="16"/>
                <w:szCs w:val="16"/>
              </w:rPr>
              <w:t>=767; n</w:t>
            </w:r>
            <w:r>
              <w:rPr>
                <w:rFonts w:ascii="Times New Roman" w:eastAsia="Times New Roman" w:hAnsi="Times New Roman" w:cs="Times New Roman"/>
                <w:sz w:val="16"/>
                <w:szCs w:val="16"/>
                <w:vertAlign w:val="subscript"/>
              </w:rPr>
              <w:t>Int2.</w:t>
            </w:r>
            <w:r>
              <w:rPr>
                <w:rFonts w:ascii="Times New Roman" w:eastAsia="Times New Roman" w:hAnsi="Times New Roman" w:cs="Times New Roman"/>
                <w:sz w:val="16"/>
                <w:szCs w:val="16"/>
              </w:rPr>
              <w:t>=929;</w:t>
            </w:r>
          </w:p>
          <w:p w14:paraId="452A6A4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=711</w:t>
            </w:r>
          </w:p>
          <w:p w14:paraId="073D254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FCBE0B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B77E69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21D5946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infections requiring hospitalization</w:t>
            </w:r>
          </w:p>
          <w:p w14:paraId="19AB2F0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5738D45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3A363C6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Int.1=21/767 (2.7%)</w:t>
            </w:r>
          </w:p>
          <w:p w14:paraId="4DB7595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Int.2=32/929 (3.4%)</w:t>
            </w:r>
          </w:p>
          <w:p w14:paraId="0DEB1B00"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.=24/711 (3.4%)</w:t>
            </w:r>
          </w:p>
          <w:p w14:paraId="0F7791EA"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925795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(4mths) </w:t>
            </w:r>
          </w:p>
          <w:p w14:paraId="2DAD4624"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Int.1=15/767 (2.0%)</w:t>
            </w:r>
          </w:p>
          <w:p w14:paraId="6B68A1D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Int.2=47/929 (5.1%)</w:t>
            </w:r>
          </w:p>
          <w:p w14:paraId="2815182F"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.=31/711 (4.4%)</w:t>
            </w:r>
          </w:p>
          <w:p w14:paraId="4C4D98B8"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7E895E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IRR of MRSA infections requiring hospital admission</w:t>
            </w:r>
          </w:p>
          <w:p w14:paraId="10CC58B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16"/>
                <w:szCs w:val="16"/>
              </w:rPr>
            </w:pPr>
            <w:r>
              <w:rPr>
                <w:rFonts w:ascii="Times New Roman" w:eastAsia="Times New Roman" w:hAnsi="Times New Roman" w:cs="Times New Roman"/>
                <w:i/>
                <w:sz w:val="16"/>
                <w:szCs w:val="16"/>
              </w:rPr>
              <w:t>IRR</w:t>
            </w:r>
            <w:r>
              <w:rPr>
                <w:rFonts w:ascii="Times New Roman" w:eastAsia="Times New Roman" w:hAnsi="Times New Roman" w:cs="Times New Roman"/>
                <w:i/>
                <w:sz w:val="16"/>
                <w:szCs w:val="16"/>
                <w:vertAlign w:val="subscript"/>
              </w:rPr>
              <w:t xml:space="preserve">MRSA hospital admission </w:t>
            </w:r>
            <w:r>
              <w:rPr>
                <w:rFonts w:ascii="Times New Roman" w:eastAsia="Times New Roman" w:hAnsi="Times New Roman" w:cs="Times New Roman"/>
                <w:i/>
                <w:sz w:val="16"/>
                <w:szCs w:val="16"/>
              </w:rPr>
              <w:t>= 0.61 (0.38, 0.97); p=0.04</w:t>
            </w:r>
          </w:p>
          <w:p w14:paraId="0A7490D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800000"/>
                <w:sz w:val="16"/>
                <w:szCs w:val="16"/>
              </w:rPr>
            </w:pPr>
          </w:p>
        </w:tc>
        <w:tc>
          <w:tcPr>
            <w:tcW w:w="2410" w:type="dxa"/>
          </w:tcPr>
          <w:p w14:paraId="34E4731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The WHO multimodal strategy effectively reduces MRSA infections requiring hospitalization in the homes for the elderly.</w:t>
            </w:r>
          </w:p>
        </w:tc>
      </w:tr>
      <w:tr w:rsidR="00CF5F09" w14:paraId="42496480" w14:textId="77777777">
        <w:tc>
          <w:tcPr>
            <w:cnfStyle w:val="001000000000" w:firstRow="0" w:lastRow="0" w:firstColumn="1" w:lastColumn="0" w:oddVBand="0" w:evenVBand="0" w:oddHBand="0" w:evenHBand="0" w:firstRowFirstColumn="0" w:firstRowLastColumn="0" w:lastRowFirstColumn="0" w:lastRowLastColumn="0"/>
            <w:tcW w:w="988" w:type="dxa"/>
          </w:tcPr>
          <w:p w14:paraId="3FED7273" w14:textId="4A762429"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t>Horner et al. (2012)</w:t>
            </w:r>
            <w:r w:rsidRPr="00DF166B">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UK</w:t>
            </w:r>
          </w:p>
        </w:tc>
        <w:tc>
          <w:tcPr>
            <w:tcW w:w="850" w:type="dxa"/>
          </w:tcPr>
          <w:p w14:paraId="134C6EE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2006, 28 months</w:t>
            </w:r>
          </w:p>
        </w:tc>
        <w:tc>
          <w:tcPr>
            <w:tcW w:w="1139" w:type="dxa"/>
          </w:tcPr>
          <w:p w14:paraId="76479EE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rPr>
            </w:pPr>
            <w:r>
              <w:rPr>
                <w:rFonts w:ascii="Times New Roman" w:eastAsia="Times New Roman" w:hAnsi="Times New Roman" w:cs="Times New Roman"/>
                <w:sz w:val="16"/>
                <w:szCs w:val="16"/>
              </w:rPr>
              <w:t xml:space="preserve">Controlled before-after study </w:t>
            </w:r>
            <w:r>
              <w:rPr>
                <w:rFonts w:ascii="Times New Roman" w:eastAsia="Times New Roman" w:hAnsi="Times New Roman" w:cs="Times New Roman"/>
                <w:sz w:val="16"/>
                <w:szCs w:val="16"/>
              </w:rPr>
              <w:lastRenderedPageBreak/>
              <w:t>(stepped wedge design)</w:t>
            </w:r>
          </w:p>
          <w:p w14:paraId="34A8285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rPr>
            </w:pPr>
          </w:p>
          <w:p w14:paraId="321F4C9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Historical control</w:t>
            </w:r>
          </w:p>
        </w:tc>
        <w:tc>
          <w:tcPr>
            <w:tcW w:w="992" w:type="dxa"/>
          </w:tcPr>
          <w:p w14:paraId="75CB352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68 EHs</w:t>
            </w:r>
          </w:p>
          <w:p w14:paraId="0FC2ADE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A971CB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Int.1</w:t>
            </w:r>
            <w:r>
              <w:rPr>
                <w:rFonts w:ascii="Times New Roman" w:eastAsia="Times New Roman" w:hAnsi="Times New Roman" w:cs="Times New Roman"/>
                <w:sz w:val="16"/>
                <w:szCs w:val="16"/>
              </w:rPr>
              <w:t>=28;</w:t>
            </w:r>
          </w:p>
          <w:p w14:paraId="5235541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w:t>
            </w:r>
            <w:r>
              <w:rPr>
                <w:rFonts w:ascii="Times New Roman" w:eastAsia="Times New Roman" w:hAnsi="Times New Roman" w:cs="Times New Roman"/>
                <w:sz w:val="16"/>
                <w:szCs w:val="16"/>
                <w:vertAlign w:val="subscript"/>
              </w:rPr>
              <w:t>Int.2</w:t>
            </w:r>
            <w:r>
              <w:rPr>
                <w:rFonts w:ascii="Times New Roman" w:eastAsia="Times New Roman" w:hAnsi="Times New Roman" w:cs="Times New Roman"/>
                <w:sz w:val="16"/>
                <w:szCs w:val="16"/>
              </w:rPr>
              <w:t>=18;</w:t>
            </w:r>
          </w:p>
          <w:p w14:paraId="62E9199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=22</w:t>
            </w:r>
          </w:p>
          <w:p w14:paraId="2387275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2FC457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30297E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58BAFA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1ADD541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lastRenderedPageBreak/>
              <w:t>(1) Education (2) Performance improvement</w:t>
            </w:r>
          </w:p>
          <w:p w14:paraId="37EF83FE"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AA7835B"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Perform active surveillance</w:t>
            </w:r>
          </w:p>
          <w:p w14:paraId="0767435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structured session of education on infection prevention and effective hand hygiene</w:t>
            </w:r>
          </w:p>
          <w:p w14:paraId="1F8EBE5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Audit hand hygiene practice, staff education, compliance with requirements, and facilities in EHs</w:t>
            </w:r>
          </w:p>
          <w:p w14:paraId="4229CF40"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Give written feedback to each EH</w:t>
            </w:r>
          </w:p>
          <w:p w14:paraId="59009F71"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1276" w:type="dxa"/>
          </w:tcPr>
          <w:p w14:paraId="07F1A00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color w:val="830000"/>
                <w:sz w:val="16"/>
                <w:szCs w:val="16"/>
              </w:rPr>
              <w:lastRenderedPageBreak/>
              <w:t>HH</w:t>
            </w:r>
            <w:r>
              <w:rPr>
                <w:rFonts w:ascii="Times New Roman" w:eastAsia="Times New Roman" w:hAnsi="Times New Roman" w:cs="Times New Roman"/>
                <w:b/>
                <w:color w:val="830000"/>
                <w:sz w:val="16"/>
                <w:szCs w:val="16"/>
                <w:vertAlign w:val="superscript"/>
              </w:rPr>
              <w:footnoteReference w:id="8"/>
            </w:r>
          </w:p>
          <w:p w14:paraId="19DBFB7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74B5D9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Pre-int. </w:t>
            </w:r>
          </w:p>
          <w:p w14:paraId="11528E1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58% of 568 opportunities</w:t>
            </w:r>
          </w:p>
          <w:p w14:paraId="272234E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654DB0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w:t>
            </w:r>
          </w:p>
          <w:p w14:paraId="6064B76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82% of 455 opportunities </w:t>
            </w:r>
          </w:p>
          <w:p w14:paraId="12DD966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59E0DEE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N=2227</w:t>
            </w:r>
            <w:r>
              <w:rPr>
                <w:rFonts w:ascii="Times New Roman" w:eastAsia="Times New Roman" w:hAnsi="Times New Roman" w:cs="Times New Roman"/>
                <w:sz w:val="16"/>
                <w:szCs w:val="16"/>
                <w:vertAlign w:val="superscript"/>
              </w:rPr>
              <w:footnoteReference w:id="9"/>
            </w:r>
          </w:p>
        </w:tc>
        <w:tc>
          <w:tcPr>
            <w:tcW w:w="2693" w:type="dxa"/>
          </w:tcPr>
          <w:p w14:paraId="2B6169A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 colonization</w:t>
            </w:r>
          </w:p>
          <w:p w14:paraId="531EE49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33536A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lastRenderedPageBreak/>
              <w:t>Prevalence</w:t>
            </w:r>
            <w:r>
              <w:rPr>
                <w:rFonts w:ascii="Times New Roman" w:eastAsia="Times New Roman" w:hAnsi="Times New Roman" w:cs="Times New Roman"/>
                <w:b/>
                <w:color w:val="830000"/>
                <w:sz w:val="16"/>
                <w:szCs w:val="16"/>
                <w:vertAlign w:val="superscript"/>
              </w:rPr>
              <w:footnoteReference w:id="10"/>
            </w:r>
          </w:p>
          <w:p w14:paraId="2C5E5E2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p>
          <w:p w14:paraId="3B4DC8D8"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Pre-int.</w:t>
            </w:r>
          </w:p>
          <w:p w14:paraId="321ECA6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1=0.20 (20%)</w:t>
            </w:r>
          </w:p>
          <w:p w14:paraId="6248AE2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2=0.19 (19%)</w:t>
            </w:r>
          </w:p>
          <w:p w14:paraId="194D35D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3=0.19 (19%)</w:t>
            </w:r>
          </w:p>
          <w:p w14:paraId="4216D9EF"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1B3907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(6mths)</w:t>
            </w:r>
          </w:p>
          <w:p w14:paraId="60B9517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2=0.28 (28%)</w:t>
            </w:r>
          </w:p>
          <w:p w14:paraId="4076F2DD"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3= 0.24 (24%)</w:t>
            </w:r>
          </w:p>
          <w:p w14:paraId="2E4FCE58"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6ABD97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(9mths) </w:t>
            </w:r>
          </w:p>
          <w:p w14:paraId="49C184DD"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1=0.24 (24%)</w:t>
            </w:r>
          </w:p>
          <w:p w14:paraId="2012F0B2"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1A8B16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Post-int. (12mths) </w:t>
            </w:r>
          </w:p>
          <w:p w14:paraId="0FAACD55"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2=0.19 (19%)</w:t>
            </w:r>
          </w:p>
          <w:p w14:paraId="2693F499"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51B465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(18mths)</w:t>
            </w:r>
          </w:p>
          <w:p w14:paraId="5265FFEC"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1=0.22 (22%)</w:t>
            </w:r>
          </w:p>
          <w:p w14:paraId="2E17E0CB"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2=0.18 (18%)</w:t>
            </w:r>
          </w:p>
          <w:p w14:paraId="6517A057"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66F0637"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Post-int. (24mths)</w:t>
            </w:r>
          </w:p>
          <w:p w14:paraId="7C4E594C"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Group 1=0.22 (22%)</w:t>
            </w:r>
          </w:p>
          <w:p w14:paraId="64C4B956"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A06F47A" w14:textId="77777777" w:rsidR="00CF5F09" w:rsidRDefault="00CF5F0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27DDDD2A" w14:textId="77777777" w:rsidR="00CF5F09" w:rsidRDefault="00377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The intervention was associated with a small but significant increase in MRSA prevalence.</w:t>
            </w:r>
          </w:p>
          <w:p w14:paraId="057A5CDE" w14:textId="77777777" w:rsidR="00CF5F09" w:rsidRDefault="00CF5F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1CAD8038" w14:textId="77777777">
        <w:tc>
          <w:tcPr>
            <w:cnfStyle w:val="001000000000" w:firstRow="0" w:lastRow="0" w:firstColumn="1" w:lastColumn="0" w:oddVBand="0" w:evenVBand="0" w:oddHBand="0" w:evenHBand="0" w:firstRowFirstColumn="0" w:firstRowLastColumn="0" w:lastRowFirstColumn="0" w:lastRowLastColumn="0"/>
            <w:tcW w:w="988" w:type="dxa"/>
          </w:tcPr>
          <w:p w14:paraId="14A150A7" w14:textId="371F6659" w:rsidR="00CF5F09" w:rsidRDefault="00377EB0" w:rsidP="00E84B74">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Jaqua</w:t>
            </w:r>
            <w:proofErr w:type="spellEnd"/>
            <w:r>
              <w:rPr>
                <w:rFonts w:ascii="Times New Roman" w:eastAsia="Times New Roman" w:hAnsi="Times New Roman" w:cs="Times New Roman"/>
                <w:sz w:val="16"/>
                <w:szCs w:val="16"/>
              </w:rPr>
              <w:t>-Stewart et al. (1999</w:t>
            </w:r>
            <w:r w:rsidRPr="00DF166B">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US</w:t>
            </w:r>
          </w:p>
        </w:tc>
        <w:tc>
          <w:tcPr>
            <w:tcW w:w="850" w:type="dxa"/>
          </w:tcPr>
          <w:p w14:paraId="0B9FDB7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1993, 39mths</w:t>
            </w:r>
          </w:p>
        </w:tc>
        <w:tc>
          <w:tcPr>
            <w:tcW w:w="1139" w:type="dxa"/>
          </w:tcPr>
          <w:p w14:paraId="0EB2C13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7AAC21A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894752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p w14:paraId="325F903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color w:val="FF0000"/>
                <w:sz w:val="16"/>
                <w:szCs w:val="16"/>
              </w:rPr>
              <w:t xml:space="preserve"> </w:t>
            </w:r>
          </w:p>
        </w:tc>
        <w:tc>
          <w:tcPr>
            <w:tcW w:w="992" w:type="dxa"/>
          </w:tcPr>
          <w:p w14:paraId="172C848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A NH</w:t>
            </w:r>
          </w:p>
        </w:tc>
        <w:tc>
          <w:tcPr>
            <w:tcW w:w="2552" w:type="dxa"/>
          </w:tcPr>
          <w:p w14:paraId="21E4A36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t>(</w:t>
            </w:r>
            <w:r>
              <w:rPr>
                <w:rFonts w:ascii="Times New Roman" w:eastAsia="Times New Roman" w:hAnsi="Times New Roman" w:cs="Times New Roman"/>
                <w:b/>
                <w:color w:val="800000"/>
                <w:sz w:val="16"/>
                <w:szCs w:val="16"/>
              </w:rPr>
              <w:t>1) Barrier precaution (2) Decolonization (3) Education (4) Source control</w:t>
            </w:r>
          </w:p>
          <w:p w14:paraId="5B5E86E1"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469505C"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Performed active surveillance</w:t>
            </w:r>
          </w:p>
          <w:p w14:paraId="673CC577"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Apply contact isolation for MRSA positive residents</w:t>
            </w:r>
          </w:p>
          <w:p w14:paraId="21706396"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Bath with Chlorhexagluconate for MRSA positive residents</w:t>
            </w:r>
          </w:p>
          <w:p w14:paraId="6FA946E8"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Decolonize nasal carriers with mupirocin </w:t>
            </w:r>
          </w:p>
          <w:p w14:paraId="4C12352E"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Treat with two oral antibiotics for MRSA colonized residents (other than nasal)</w:t>
            </w:r>
          </w:p>
          <w:p w14:paraId="718F0C23"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Educate all interdisciplinary staff regarding MRSA, hand washing, program, objectives, etc.</w:t>
            </w:r>
          </w:p>
        </w:tc>
        <w:tc>
          <w:tcPr>
            <w:tcW w:w="1276" w:type="dxa"/>
          </w:tcPr>
          <w:p w14:paraId="17D1802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1134" w:type="dxa"/>
          </w:tcPr>
          <w:p w14:paraId="5B2EC9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N=42</w:t>
            </w:r>
          </w:p>
        </w:tc>
        <w:tc>
          <w:tcPr>
            <w:tcW w:w="2693" w:type="dxa"/>
          </w:tcPr>
          <w:p w14:paraId="2CEFC32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w:t>
            </w:r>
            <w:proofErr w:type="spellStart"/>
            <w:r>
              <w:rPr>
                <w:rFonts w:ascii="Times New Roman" w:eastAsia="Times New Roman" w:hAnsi="Times New Roman" w:cs="Times New Roman"/>
                <w:b/>
                <w:color w:val="800000"/>
                <w:sz w:val="16"/>
                <w:szCs w:val="16"/>
              </w:rPr>
              <w:t>N,Sp,U</w:t>
            </w:r>
            <w:proofErr w:type="spellEnd"/>
            <w:r>
              <w:rPr>
                <w:rFonts w:ascii="Times New Roman" w:eastAsia="Times New Roman" w:hAnsi="Times New Roman" w:cs="Times New Roman"/>
                <w:b/>
                <w:color w:val="800000"/>
                <w:sz w:val="16"/>
                <w:szCs w:val="16"/>
              </w:rPr>
              <w:t>) colonization</w:t>
            </w:r>
          </w:p>
          <w:p w14:paraId="051ED59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0AF49F3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w:t>
            </w:r>
            <w:proofErr w:type="spellStart"/>
            <w:r>
              <w:rPr>
                <w:rFonts w:ascii="Times New Roman" w:eastAsia="Times New Roman" w:hAnsi="Times New Roman" w:cs="Times New Roman"/>
                <w:b/>
                <w:color w:val="800000"/>
                <w:sz w:val="16"/>
                <w:szCs w:val="16"/>
              </w:rPr>
              <w:t>N,Sp,U</w:t>
            </w:r>
            <w:proofErr w:type="spellEnd"/>
            <w:r>
              <w:rPr>
                <w:rFonts w:ascii="Times New Roman" w:eastAsia="Times New Roman" w:hAnsi="Times New Roman" w:cs="Times New Roman"/>
                <w:b/>
                <w:color w:val="800000"/>
                <w:sz w:val="16"/>
                <w:szCs w:val="16"/>
              </w:rPr>
              <w:t>) infections</w:t>
            </w:r>
          </w:p>
          <w:p w14:paraId="658D55B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A1DA7D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 of colonization</w:t>
            </w:r>
          </w:p>
          <w:p w14:paraId="5EBDC2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Pre-int.=22/42 (52.4%)</w:t>
            </w:r>
          </w:p>
          <w:p w14:paraId="30D95E5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Post-int.(12mths)=2%</w:t>
            </w:r>
          </w:p>
          <w:p w14:paraId="1E04072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B93C9E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 of infections</w:t>
            </w:r>
          </w:p>
          <w:p w14:paraId="0FB4544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Pre-int.=8.5% (1993 year)</w:t>
            </w:r>
          </w:p>
          <w:p w14:paraId="14118FE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Pre-int.=33% (Oct 1993)</w:t>
            </w:r>
          </w:p>
          <w:p w14:paraId="00C9F9D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Post-int.(39mths)=1.4%</w:t>
            </w:r>
          </w:p>
          <w:p w14:paraId="5F82890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800000"/>
                <w:sz w:val="16"/>
                <w:szCs w:val="16"/>
              </w:rPr>
            </w:pPr>
          </w:p>
          <w:p w14:paraId="2DD03FF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800000"/>
                <w:sz w:val="16"/>
                <w:szCs w:val="16"/>
              </w:rPr>
            </w:pPr>
          </w:p>
        </w:tc>
        <w:tc>
          <w:tcPr>
            <w:tcW w:w="2410" w:type="dxa"/>
          </w:tcPr>
          <w:p w14:paraId="2932CB49" w14:textId="77777777" w:rsidR="00CF5F09" w:rsidRDefault="00377E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Aggressive containment practices applied to a nursing home with a high MRSA infection rate not only reduced rates of colonization but also markedly reduced infections. This reduction was maintained over time. The cost of the containment practice was cost-effective. </w:t>
            </w:r>
          </w:p>
        </w:tc>
      </w:tr>
      <w:tr w:rsidR="00CF5F09" w14:paraId="451B43F2" w14:textId="77777777">
        <w:tc>
          <w:tcPr>
            <w:cnfStyle w:val="001000000000" w:firstRow="0" w:lastRow="0" w:firstColumn="1" w:lastColumn="0" w:oddVBand="0" w:evenVBand="0" w:oddHBand="0" w:evenHBand="0" w:firstRowFirstColumn="0" w:firstRowLastColumn="0" w:lastRowFirstColumn="0" w:lastRowLastColumn="0"/>
            <w:tcW w:w="988" w:type="dxa"/>
          </w:tcPr>
          <w:p w14:paraId="471CAFDF" w14:textId="28666367"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t>Kauffman et al. (1993)</w:t>
            </w:r>
            <w:r w:rsidRPr="00DF166B">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US</w:t>
            </w:r>
          </w:p>
        </w:tc>
        <w:tc>
          <w:tcPr>
            <w:tcW w:w="850" w:type="dxa"/>
          </w:tcPr>
          <w:p w14:paraId="3293DB7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1990, 12mths</w:t>
            </w:r>
          </w:p>
        </w:tc>
        <w:tc>
          <w:tcPr>
            <w:tcW w:w="1139" w:type="dxa"/>
          </w:tcPr>
          <w:p w14:paraId="6D5691A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2D1ED3C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2AFCCA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Historical control</w:t>
            </w:r>
          </w:p>
          <w:p w14:paraId="7D4B7F4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rPr>
            </w:pPr>
          </w:p>
        </w:tc>
        <w:tc>
          <w:tcPr>
            <w:tcW w:w="992" w:type="dxa"/>
          </w:tcPr>
          <w:p w14:paraId="545DD73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1 NH</w:t>
            </w:r>
          </w:p>
        </w:tc>
        <w:tc>
          <w:tcPr>
            <w:tcW w:w="2552" w:type="dxa"/>
          </w:tcPr>
          <w:p w14:paraId="2F16943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Decolonization</w:t>
            </w:r>
          </w:p>
          <w:p w14:paraId="10414BD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3407379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lastRenderedPageBreak/>
              <w:t>Phase 1: Only treated patients colonized with MRSA in their anterior nares (7mths)</w:t>
            </w:r>
          </w:p>
          <w:p w14:paraId="13ED914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Perform active surveillance</w:t>
            </w:r>
          </w:p>
          <w:p w14:paraId="1BEBF5D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Apply daily mupirocin 2% ointment on nares for decolonization </w:t>
            </w:r>
          </w:p>
          <w:p w14:paraId="4642FBC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Apply ointment on nares daily for one week; 3 times a week for 3 weeks; once a week for 3 months till all cultures are negative</w:t>
            </w:r>
          </w:p>
          <w:p w14:paraId="12C2678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470B46A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Phase 2: Treat patients colonized with MRSA in their anterior nares and wounds (7mths)</w:t>
            </w:r>
          </w:p>
          <w:p w14:paraId="16A2DBA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Perform active surveillance</w:t>
            </w:r>
          </w:p>
          <w:p w14:paraId="00D22F4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Apply daily mupirocin 2% ointment on both nares and wounds for decolonization for MRSA colonized residents </w:t>
            </w:r>
          </w:p>
          <w:p w14:paraId="1A6B74F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Apply ointment on nares and wounds daily for two weeks; three times a week for three weeks; once a week for three months till all cultures are negative</w:t>
            </w:r>
          </w:p>
          <w:p w14:paraId="2772922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276" w:type="dxa"/>
          </w:tcPr>
          <w:p w14:paraId="715DBB8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33EFBB3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N=321</w:t>
            </w:r>
          </w:p>
        </w:tc>
        <w:tc>
          <w:tcPr>
            <w:tcW w:w="2693" w:type="dxa"/>
          </w:tcPr>
          <w:p w14:paraId="0EEEF43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(N,W) colonization</w:t>
            </w:r>
          </w:p>
          <w:p w14:paraId="001ADE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 xml:space="preserve">Prevalence </w:t>
            </w:r>
          </w:p>
          <w:p w14:paraId="21CD576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 xml:space="preserve">Phase 1 </w:t>
            </w:r>
          </w:p>
          <w:p w14:paraId="5D9DF01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Pre-int.=15.2%</w:t>
            </w:r>
          </w:p>
          <w:p w14:paraId="0F0F9D8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Post-int.(7mths)=12.0%</w:t>
            </w:r>
          </w:p>
          <w:p w14:paraId="651A5C3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3F4FA71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Phase 2</w:t>
            </w:r>
          </w:p>
          <w:p w14:paraId="6DC99DF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Pre-int.=15.2%</w:t>
            </w:r>
          </w:p>
          <w:p w14:paraId="6ABD84D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Post-int.(5mths)=6.3%</w:t>
            </w:r>
          </w:p>
          <w:p w14:paraId="039EE96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026DDDF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infections</w:t>
            </w:r>
            <w:r>
              <w:rPr>
                <w:rFonts w:ascii="Times New Roman" w:eastAsia="Times New Roman" w:hAnsi="Times New Roman" w:cs="Times New Roman"/>
                <w:b/>
                <w:color w:val="800000"/>
                <w:sz w:val="16"/>
                <w:szCs w:val="16"/>
                <w:vertAlign w:val="superscript"/>
              </w:rPr>
              <w:footnoteReference w:id="11"/>
            </w:r>
          </w:p>
          <w:p w14:paraId="386590E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 9/341 (2.6%)</w:t>
            </w:r>
            <w:r>
              <w:rPr>
                <w:rFonts w:ascii="Times New Roman" w:eastAsia="Times New Roman" w:hAnsi="Times New Roman" w:cs="Times New Roman"/>
                <w:sz w:val="16"/>
                <w:szCs w:val="16"/>
                <w:vertAlign w:val="superscript"/>
              </w:rPr>
              <w:footnoteReference w:id="12"/>
            </w:r>
          </w:p>
          <w:p w14:paraId="5FB51E4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Post-int.(11mths)=6/321 (1.9%)</w:t>
            </w:r>
          </w:p>
          <w:p w14:paraId="42580E3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Phase 1</w:t>
            </w:r>
          </w:p>
          <w:p w14:paraId="472749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Post-int.(7mths)= 3/321 (0.9%)</w:t>
            </w:r>
          </w:p>
          <w:p w14:paraId="492A3A1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Phase 2</w:t>
            </w:r>
          </w:p>
          <w:p w14:paraId="74041B7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Post-int.(5mths)= 3/321 (0.9%)</w:t>
            </w:r>
          </w:p>
        </w:tc>
        <w:tc>
          <w:tcPr>
            <w:tcW w:w="2410" w:type="dxa"/>
          </w:tcPr>
          <w:p w14:paraId="5C9E6F2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Mupirocin ointment applied on both nares and wounds is effective at decreasing colonization with MRSA in </w:t>
            </w:r>
            <w:r>
              <w:rPr>
                <w:rFonts w:ascii="Times New Roman" w:eastAsia="Times New Roman" w:hAnsi="Times New Roman" w:cs="Times New Roman"/>
                <w:color w:val="000000"/>
                <w:sz w:val="16"/>
                <w:szCs w:val="16"/>
              </w:rPr>
              <w:lastRenderedPageBreak/>
              <w:t xml:space="preserve">nursing </w:t>
            </w:r>
            <w:r>
              <w:rPr>
                <w:rFonts w:ascii="Times New Roman" w:eastAsia="Times New Roman" w:hAnsi="Times New Roman" w:cs="Times New Roman"/>
                <w:sz w:val="16"/>
                <w:szCs w:val="16"/>
              </w:rPr>
              <w:t>homes</w:t>
            </w:r>
            <w:r>
              <w:rPr>
                <w:rFonts w:ascii="Times New Roman" w:eastAsia="Times New Roman" w:hAnsi="Times New Roman" w:cs="Times New Roman"/>
                <w:color w:val="000000"/>
                <w:sz w:val="16"/>
                <w:szCs w:val="16"/>
              </w:rPr>
              <w:t>. However, it should be saved for use in outbreak situation, and not used over the long term in facilities with endemic MRSA colonization</w:t>
            </w:r>
          </w:p>
        </w:tc>
      </w:tr>
      <w:tr w:rsidR="00CF5F09" w14:paraId="4FA165E0" w14:textId="77777777">
        <w:tc>
          <w:tcPr>
            <w:cnfStyle w:val="001000000000" w:firstRow="0" w:lastRow="0" w:firstColumn="1" w:lastColumn="0" w:oddVBand="0" w:evenVBand="0" w:oddHBand="0" w:evenHBand="0" w:firstRowFirstColumn="0" w:firstRowLastColumn="0" w:lastRowFirstColumn="0" w:lastRowLastColumn="0"/>
            <w:tcW w:w="988" w:type="dxa"/>
          </w:tcPr>
          <w:p w14:paraId="420A82C4" w14:textId="37375197" w:rsidR="00CF5F09" w:rsidRDefault="00377EB0">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Mody</w:t>
            </w:r>
            <w:proofErr w:type="spellEnd"/>
            <w:r>
              <w:rPr>
                <w:rFonts w:ascii="Times New Roman" w:eastAsia="Times New Roman" w:hAnsi="Times New Roman" w:cs="Times New Roman"/>
                <w:sz w:val="16"/>
                <w:szCs w:val="16"/>
              </w:rPr>
              <w:t xml:space="preserve"> et al. (2015</w:t>
            </w:r>
            <w:r w:rsidRPr="00DF166B">
              <w:rPr>
                <w:rFonts w:ascii="Times New Roman" w:eastAsia="Times New Roman" w:hAnsi="Times New Roman" w:cs="Times New Roman"/>
                <w:sz w:val="16"/>
                <w:szCs w:val="16"/>
              </w:rPr>
              <w:t>), US</w:t>
            </w:r>
            <w:r w:rsidR="00DF166B">
              <w:rPr>
                <w:rFonts w:ascii="Times New Roman" w:eastAsia="Times New Roman" w:hAnsi="Times New Roman" w:cs="Times New Roman"/>
                <w:sz w:val="16"/>
                <w:szCs w:val="16"/>
              </w:rPr>
              <w:t xml:space="preserve"> </w:t>
            </w:r>
          </w:p>
          <w:p w14:paraId="2847699A" w14:textId="77777777" w:rsidR="00CF5F09" w:rsidRDefault="00CF5F09">
            <w:pPr>
              <w:rPr>
                <w:rFonts w:ascii="Times New Roman" w:eastAsia="Times New Roman" w:hAnsi="Times New Roman" w:cs="Times New Roman"/>
                <w:sz w:val="16"/>
                <w:szCs w:val="16"/>
              </w:rPr>
            </w:pPr>
          </w:p>
        </w:tc>
        <w:tc>
          <w:tcPr>
            <w:tcW w:w="850" w:type="dxa"/>
          </w:tcPr>
          <w:p w14:paraId="56AB0EF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2010, 36mths</w:t>
            </w:r>
          </w:p>
        </w:tc>
        <w:tc>
          <w:tcPr>
            <w:tcW w:w="1139" w:type="dxa"/>
          </w:tcPr>
          <w:p w14:paraId="7B69E14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Clustered RCT</w:t>
            </w:r>
          </w:p>
          <w:p w14:paraId="27F4994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DA8A75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7A285BB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12 NHs </w:t>
            </w:r>
          </w:p>
          <w:p w14:paraId="795374C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1B4463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=6;</w:t>
            </w:r>
          </w:p>
          <w:p w14:paraId="4BF6AE4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=6</w:t>
            </w:r>
          </w:p>
          <w:p w14:paraId="5188D52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96505B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0399163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t>(</w:t>
            </w:r>
            <w:r>
              <w:rPr>
                <w:rFonts w:ascii="Times New Roman" w:eastAsia="Times New Roman" w:hAnsi="Times New Roman" w:cs="Times New Roman"/>
                <w:b/>
                <w:color w:val="800000"/>
                <w:sz w:val="16"/>
                <w:szCs w:val="16"/>
              </w:rPr>
              <w:t>1) Barrier precaution (2) Education (3) Hand hygiene (4) Performance improvement</w:t>
            </w:r>
          </w:p>
          <w:p w14:paraId="22F5586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94D31E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61800D2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rPr>
              <w:t xml:space="preserve">- Place on </w:t>
            </w:r>
            <w:proofErr w:type="spellStart"/>
            <w:r>
              <w:rPr>
                <w:rFonts w:ascii="Times New Roman" w:eastAsia="Times New Roman" w:hAnsi="Times New Roman" w:cs="Times New Roman"/>
                <w:sz w:val="16"/>
                <w:szCs w:val="16"/>
              </w:rPr>
              <w:t>preemptive</w:t>
            </w:r>
            <w:proofErr w:type="spellEnd"/>
            <w:r>
              <w:rPr>
                <w:rFonts w:ascii="Times New Roman" w:eastAsia="Times New Roman" w:hAnsi="Times New Roman" w:cs="Times New Roman"/>
                <w:sz w:val="16"/>
                <w:szCs w:val="16"/>
              </w:rPr>
              <w:t xml:space="preserve"> barrier precautions for individual with an indwelling device (glove and gown use for direct care)</w:t>
            </w:r>
          </w:p>
          <w:p w14:paraId="0885B81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Place barrier precaution sign on the doors to their rooms, inside their closet, at the nurses’ station, and on their medical records</w:t>
            </w:r>
          </w:p>
          <w:p w14:paraId="0CF4D85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Promote hand hygiene and barrier precaution among HCWs using posters, video, Glo Germ gel, pre-post culture, interactive infection </w:t>
            </w:r>
            <w:r>
              <w:rPr>
                <w:rFonts w:ascii="Times New Roman" w:eastAsia="Times New Roman" w:hAnsi="Times New Roman" w:cs="Times New Roman"/>
                <w:sz w:val="16"/>
                <w:szCs w:val="16"/>
              </w:rPr>
              <w:lastRenderedPageBreak/>
              <w:t xml:space="preserve">prevention modules, infection surveillance pocket cards </w:t>
            </w:r>
          </w:p>
          <w:p w14:paraId="281BACF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Encourage HCWs to perform hand hygiene before and after providing any care to the participants</w:t>
            </w:r>
          </w:p>
          <w:p w14:paraId="48C6434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Place hand hygiene products and personal protective equipment strategically at each site</w:t>
            </w:r>
          </w:p>
          <w:p w14:paraId="7910280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Not isolate any residents (allow socialization and obtain rehabilitation outside their room)</w:t>
            </w:r>
          </w:p>
          <w:p w14:paraId="7BDC6C9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Active surveillance with data reported back to the facilities every month, along with reminders of key strategies to prevent infections</w:t>
            </w:r>
          </w:p>
          <w:p w14:paraId="523E7A7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
          <w:p w14:paraId="41EC846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299FB86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Standard precaution</w:t>
            </w:r>
          </w:p>
          <w:p w14:paraId="6F7263F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Passive surveillance</w:t>
            </w:r>
            <w:r>
              <w:rPr>
                <w:rFonts w:ascii="Times New Roman" w:eastAsia="Times New Roman" w:hAnsi="Times New Roman" w:cs="Times New Roman"/>
                <w:sz w:val="16"/>
                <w:szCs w:val="16"/>
                <w:vertAlign w:val="superscript"/>
              </w:rPr>
              <w:footnoteReference w:id="13"/>
            </w:r>
          </w:p>
          <w:p w14:paraId="1408866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Education provided as needed</w:t>
            </w:r>
          </w:p>
        </w:tc>
        <w:tc>
          <w:tcPr>
            <w:tcW w:w="1276" w:type="dxa"/>
          </w:tcPr>
          <w:p w14:paraId="2618465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A structured 30-minute observation to monitor HCW activities and their use of barrier precautions but results were not reported.</w:t>
            </w:r>
          </w:p>
        </w:tc>
        <w:tc>
          <w:tcPr>
            <w:tcW w:w="1134" w:type="dxa"/>
          </w:tcPr>
          <w:p w14:paraId="0C4FC1F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N=418 (34174 device-days); </w:t>
            </w:r>
          </w:p>
          <w:p w14:paraId="6AD1D1D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E6BF12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=203; 17490 device-days; 3283 active surveillance samples</w:t>
            </w:r>
          </w:p>
          <w:p w14:paraId="5E0F737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215; 16684 device-days; 3274 active surveillance sample</w:t>
            </w:r>
          </w:p>
          <w:p w14:paraId="11CD26E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6590AE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2104549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All MDRO (MRSA, VRE, CFT-R GNB, CIP-R GNB) (C,F,I,N,P,R,W) colonization</w:t>
            </w:r>
          </w:p>
          <w:p w14:paraId="3E2D73A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0B9B45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Prevalence</w:t>
            </w:r>
            <w:r>
              <w:rPr>
                <w:rFonts w:ascii="Times New Roman" w:eastAsia="Times New Roman" w:hAnsi="Times New Roman" w:cs="Times New Roman"/>
                <w:b/>
                <w:color w:val="830000"/>
                <w:sz w:val="16"/>
                <w:szCs w:val="16"/>
                <w:vertAlign w:val="superscript"/>
              </w:rPr>
              <w:footnoteReference w:id="14"/>
            </w:r>
          </w:p>
          <w:p w14:paraId="577ECCD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All MDRO</w:t>
            </w:r>
          </w:p>
          <w:p w14:paraId="36844F0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Int.=1299/4883 (26.6%) </w:t>
            </w:r>
          </w:p>
          <w:p w14:paraId="0CD8CF5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.=1732/5313 (32.6%)</w:t>
            </w:r>
          </w:p>
          <w:p w14:paraId="7496B92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54A261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MRSA</w:t>
            </w:r>
          </w:p>
          <w:p w14:paraId="18A45C9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Int.=254/3098 (8.2%) </w:t>
            </w:r>
          </w:p>
          <w:p w14:paraId="74808F4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.=323/3076 (10.5%)</w:t>
            </w:r>
          </w:p>
          <w:p w14:paraId="0304834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F2C624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VRE</w:t>
            </w:r>
          </w:p>
          <w:p w14:paraId="44C4105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 122/3128 (3.9%)</w:t>
            </w:r>
          </w:p>
          <w:p w14:paraId="30B2FD4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.=162/3057 (5.3%)</w:t>
            </w:r>
          </w:p>
          <w:p w14:paraId="5DAC087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BCE0F2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 xml:space="preserve">CTZ-R GNB </w:t>
            </w:r>
          </w:p>
          <w:p w14:paraId="1B292FE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Int.=185/3426 (5.4%)</w:t>
            </w:r>
          </w:p>
          <w:p w14:paraId="161F82B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.=295/3512 (8.4%)</w:t>
            </w:r>
          </w:p>
          <w:p w14:paraId="51E773F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75976E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CIP-R GNB</w:t>
            </w:r>
          </w:p>
          <w:p w14:paraId="7E32FBB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Int.=738/3785 (19.5%)</w:t>
            </w:r>
          </w:p>
          <w:p w14:paraId="04EEA09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.=952/3934 (24.2%)</w:t>
            </w:r>
          </w:p>
          <w:p w14:paraId="5193EB9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
          <w:p w14:paraId="32C2E4A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Prevalence density rate</w:t>
            </w:r>
            <w:r>
              <w:rPr>
                <w:rFonts w:ascii="Times New Roman" w:eastAsia="Times New Roman" w:hAnsi="Times New Roman" w:cs="Times New Roman"/>
                <w:b/>
                <w:color w:val="830000"/>
                <w:sz w:val="16"/>
                <w:szCs w:val="16"/>
                <w:vertAlign w:val="superscript"/>
              </w:rPr>
              <w:footnoteReference w:id="15"/>
            </w:r>
            <w:r>
              <w:rPr>
                <w:rFonts w:ascii="Times New Roman" w:eastAsia="Times New Roman" w:hAnsi="Times New Roman" w:cs="Times New Roman"/>
                <w:b/>
                <w:color w:val="830000"/>
                <w:sz w:val="16"/>
                <w:szCs w:val="16"/>
              </w:rPr>
              <w:t>:</w:t>
            </w:r>
          </w:p>
          <w:p w14:paraId="0192AC1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All MDRO = 0.77 (0.62-0.94)</w:t>
            </w:r>
          </w:p>
          <w:p w14:paraId="72DFCE8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MRSA = 0.78 (0.64-0.96)</w:t>
            </w:r>
          </w:p>
          <w:p w14:paraId="0F0326C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VRE = 1.20 (0.82-1.75)</w:t>
            </w:r>
          </w:p>
          <w:p w14:paraId="06F275F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CTZ-R GNB = 0.94 (0.61-1.44)</w:t>
            </w:r>
          </w:p>
          <w:p w14:paraId="1EA4FD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CIP-R GNB = 0.75 (0.58-0.97)</w:t>
            </w:r>
          </w:p>
          <w:p w14:paraId="3A8C673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75F6E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Risk of new MDRO acquisition (/1000 device-days at risk)</w:t>
            </w:r>
            <w:r>
              <w:rPr>
                <w:rFonts w:ascii="Times New Roman" w:eastAsia="Times New Roman" w:hAnsi="Times New Roman" w:cs="Times New Roman"/>
                <w:b/>
                <w:color w:val="830000"/>
                <w:sz w:val="16"/>
                <w:szCs w:val="16"/>
                <w:vertAlign w:val="superscript"/>
              </w:rPr>
              <w:footnoteReference w:id="16"/>
            </w:r>
          </w:p>
          <w:p w14:paraId="54A5935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MRSA</w:t>
            </w:r>
          </w:p>
          <w:p w14:paraId="6F117D4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Int.=54/8772 (0.62%)</w:t>
            </w:r>
          </w:p>
          <w:p w14:paraId="0D006B2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.=56/7115 (0.79%)</w:t>
            </w:r>
          </w:p>
          <w:p w14:paraId="641CA1B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975F4A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VRE</w:t>
            </w:r>
          </w:p>
          <w:p w14:paraId="7D37837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Int.=22/12756 (0.17%)</w:t>
            </w:r>
          </w:p>
          <w:p w14:paraId="55BB02B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.=26/11070 (0.23%)</w:t>
            </w:r>
          </w:p>
          <w:p w14:paraId="0263C67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8C1FF4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 xml:space="preserve">CTZ-R/CIP-R GNB </w:t>
            </w:r>
          </w:p>
          <w:p w14:paraId="556C03A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Int.=42/7524 (0.56%)</w:t>
            </w:r>
          </w:p>
          <w:p w14:paraId="2BD587A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.=35/5685 (0.62%)</w:t>
            </w:r>
          </w:p>
          <w:p w14:paraId="39C28F1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7F7B19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Cluster- and covariate-adjusted Hazard Ratio for new acquisition (95%CI)</w:t>
            </w:r>
          </w:p>
          <w:p w14:paraId="7464674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MRSA = 0.78 (0.65-0.95)</w:t>
            </w:r>
          </w:p>
          <w:p w14:paraId="4ADA4FC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VRE = 0.85 (0.45-1.60)</w:t>
            </w:r>
          </w:p>
          <w:p w14:paraId="3433686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CIP-R/ CTZ-R GNB = 0.90 (0.60-1.33)</w:t>
            </w:r>
          </w:p>
          <w:p w14:paraId="3339DCF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DDFA30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Incidence rates of device-associated infections (/1000 device-days at risk)</w:t>
            </w:r>
          </w:p>
          <w:p w14:paraId="177D806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New CAUTI</w:t>
            </w:r>
          </w:p>
          <w:p w14:paraId="44B3F93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Int.=31/5982 (0.52%)</w:t>
            </w:r>
          </w:p>
          <w:p w14:paraId="476C67E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.=43/4292 (1.00%)</w:t>
            </w:r>
          </w:p>
          <w:p w14:paraId="24DA05B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B1A3BA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u w:val="single"/>
              </w:rPr>
              <w:lastRenderedPageBreak/>
              <w:t>New &amp; recurrent CAUTI</w:t>
            </w:r>
            <w:r>
              <w:rPr>
                <w:rFonts w:ascii="Times New Roman" w:eastAsia="Times New Roman" w:hAnsi="Times New Roman" w:cs="Times New Roman"/>
                <w:sz w:val="16"/>
                <w:szCs w:val="16"/>
              </w:rPr>
              <w:t xml:space="preserve"> </w:t>
            </w:r>
          </w:p>
          <w:p w14:paraId="186F97B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Int.=56/9413 (0.59%)</w:t>
            </w:r>
          </w:p>
          <w:p w14:paraId="0C1D033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.=75/8118 (0.92%)</w:t>
            </w:r>
          </w:p>
          <w:p w14:paraId="5011B28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1FB5C9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u w:val="single"/>
              </w:rPr>
              <w:t>Feeding tube associated SSTI</w:t>
            </w:r>
            <w:r>
              <w:rPr>
                <w:rFonts w:ascii="Times New Roman" w:eastAsia="Times New Roman" w:hAnsi="Times New Roman" w:cs="Times New Roman"/>
                <w:sz w:val="16"/>
                <w:szCs w:val="16"/>
              </w:rPr>
              <w:t xml:space="preserve"> Int.= 4/5635 (0.07%)</w:t>
            </w:r>
          </w:p>
          <w:p w14:paraId="331C858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.=3/5062 (0.06%)</w:t>
            </w:r>
          </w:p>
          <w:p w14:paraId="683BFA2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5FF900D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u w:val="single"/>
              </w:rPr>
              <w:t>Feeding tube-associated pneumonia</w:t>
            </w:r>
            <w:r>
              <w:rPr>
                <w:rFonts w:ascii="Times New Roman" w:eastAsia="Times New Roman" w:hAnsi="Times New Roman" w:cs="Times New Roman"/>
                <w:sz w:val="16"/>
                <w:szCs w:val="16"/>
              </w:rPr>
              <w:t xml:space="preserve"> </w:t>
            </w:r>
          </w:p>
          <w:p w14:paraId="6EA1FAF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Int.=10/5635 (0.18%)</w:t>
            </w:r>
          </w:p>
          <w:p w14:paraId="5724CA4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.=8/5062 (0.16%)</w:t>
            </w:r>
          </w:p>
          <w:p w14:paraId="3971518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B5156F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Cluster- and covariate-adjusted hazard ratio (95%CI)</w:t>
            </w:r>
          </w:p>
          <w:p w14:paraId="0A8176E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New CAUTI=0.54 (0.30-0.97)</w:t>
            </w:r>
          </w:p>
          <w:p w14:paraId="23BA5D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New &amp; recurrent CAUTI = 0.69 (0.49-0.99)</w:t>
            </w:r>
          </w:p>
          <w:p w14:paraId="3FB3D0D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Feeding tube associated SSTI =1.09 (0.22-5.45)</w:t>
            </w:r>
          </w:p>
          <w:p w14:paraId="705F37C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Feeding tube-associated pneumonia =1.83 (0.53-6.31)</w:t>
            </w:r>
          </w:p>
          <w:p w14:paraId="0FEB69D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55483EE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The intervention bundle reduced the overall MDRO prevalence density, new MRSA acquisitions, and clinically defined catheter-associated urinary tract infection rates in high-risk NH residents with indwelling devices.</w:t>
            </w:r>
          </w:p>
        </w:tc>
      </w:tr>
      <w:tr w:rsidR="00CF5F09" w14:paraId="7867AAAA" w14:textId="77777777">
        <w:tc>
          <w:tcPr>
            <w:cnfStyle w:val="001000000000" w:firstRow="0" w:lastRow="0" w:firstColumn="1" w:lastColumn="0" w:oddVBand="0" w:evenVBand="0" w:oddHBand="0" w:evenHBand="0" w:firstRowFirstColumn="0" w:firstRowLastColumn="0" w:lastRowFirstColumn="0" w:lastRowLastColumn="0"/>
            <w:tcW w:w="988" w:type="dxa"/>
          </w:tcPr>
          <w:p w14:paraId="7DCE334A" w14:textId="262B2655"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Morgan, et al. (2019), </w:t>
            </w:r>
            <w:r w:rsidRPr="00DF166B">
              <w:rPr>
                <w:rFonts w:ascii="Times New Roman" w:eastAsia="Times New Roman" w:hAnsi="Times New Roman" w:cs="Times New Roman"/>
                <w:sz w:val="16"/>
                <w:szCs w:val="16"/>
              </w:rPr>
              <w:t>US</w:t>
            </w:r>
            <w:r w:rsidR="00DF166B" w:rsidRPr="00DF166B">
              <w:rPr>
                <w:rFonts w:ascii="Times New Roman" w:eastAsia="Times New Roman" w:hAnsi="Times New Roman" w:cs="Times New Roman"/>
                <w:sz w:val="16"/>
                <w:szCs w:val="16"/>
              </w:rPr>
              <w:t xml:space="preserve"> </w:t>
            </w:r>
          </w:p>
        </w:tc>
        <w:tc>
          <w:tcPr>
            <w:tcW w:w="850" w:type="dxa"/>
          </w:tcPr>
          <w:p w14:paraId="6A9293D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2011, 48 months</w:t>
            </w:r>
          </w:p>
        </w:tc>
        <w:tc>
          <w:tcPr>
            <w:tcW w:w="1139" w:type="dxa"/>
          </w:tcPr>
          <w:p w14:paraId="143DB58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Controlled before-after study</w:t>
            </w:r>
          </w:p>
          <w:p w14:paraId="1E69FED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3636A0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p w14:paraId="77E7978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AAC57E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10B6092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74 LTCFs</w:t>
            </w:r>
          </w:p>
          <w:p w14:paraId="3288C4E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3F789B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=45;</w:t>
            </w:r>
          </w:p>
          <w:p w14:paraId="0A6A441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=28</w:t>
            </w:r>
          </w:p>
          <w:p w14:paraId="29C2D25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320C1EF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 xml:space="preserve">(1) Barrier precaution </w:t>
            </w:r>
          </w:p>
          <w:p w14:paraId="160D790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DE9907C"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2458B7B2" w14:textId="77777777" w:rsidR="00CF5F09" w:rsidRDefault="00377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Apply contact precaution</w:t>
            </w:r>
          </w:p>
          <w:p w14:paraId="7A8BE88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Use of gowns and gloves for all contact with residents or with the environment within their rooms for those residents colonized or infected with MRSA</w:t>
            </w:r>
          </w:p>
          <w:p w14:paraId="64654E99" w14:textId="77777777" w:rsidR="00CF5F09" w:rsidRDefault="00CF5F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D853AA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1B27977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Apply standard precaution (basic self-hygiene)</w:t>
            </w:r>
          </w:p>
          <w:p w14:paraId="58EAB40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3F095DC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1134" w:type="dxa"/>
          </w:tcPr>
          <w:p w14:paraId="655FE1C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N=75414</w:t>
            </w:r>
          </w:p>
          <w:p w14:paraId="2A656F8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073640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Int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=45167;</w:t>
            </w:r>
          </w:p>
          <w:p w14:paraId="35D15B4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w:t>
            </w:r>
            <w:r>
              <w:rPr>
                <w:rFonts w:ascii="Times New Roman" w:eastAsia="Times New Roman" w:hAnsi="Times New Roman" w:cs="Times New Roman"/>
                <w:sz w:val="16"/>
                <w:szCs w:val="16"/>
                <w:vertAlign w:val="subscript"/>
              </w:rPr>
              <w:t>Cnt</w:t>
            </w:r>
            <w:proofErr w:type="spellEnd"/>
            <w:r>
              <w:rPr>
                <w:rFonts w:ascii="Times New Roman" w:eastAsia="Times New Roman" w:hAnsi="Times New Roman" w:cs="Times New Roman"/>
                <w:sz w:val="16"/>
                <w:szCs w:val="16"/>
                <w:vertAlign w:val="subscript"/>
              </w:rPr>
              <w:t>.=</w:t>
            </w:r>
            <w:r>
              <w:rPr>
                <w:rFonts w:ascii="Times New Roman" w:eastAsia="Times New Roman" w:hAnsi="Times New Roman" w:cs="Times New Roman"/>
                <w:sz w:val="16"/>
                <w:szCs w:val="16"/>
              </w:rPr>
              <w:t>30247</w:t>
            </w:r>
          </w:p>
          <w:p w14:paraId="3BA77A8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31353D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3783788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w:t>
            </w:r>
            <w:proofErr w:type="spellStart"/>
            <w:r>
              <w:rPr>
                <w:rFonts w:ascii="Times New Roman" w:eastAsia="Times New Roman" w:hAnsi="Times New Roman" w:cs="Times New Roman"/>
                <w:b/>
                <w:color w:val="800000"/>
                <w:sz w:val="16"/>
                <w:szCs w:val="16"/>
              </w:rPr>
              <w:t>Unk</w:t>
            </w:r>
            <w:proofErr w:type="spellEnd"/>
            <w:r>
              <w:rPr>
                <w:rFonts w:ascii="Times New Roman" w:eastAsia="Times New Roman" w:hAnsi="Times New Roman" w:cs="Times New Roman"/>
                <w:b/>
                <w:color w:val="800000"/>
                <w:sz w:val="16"/>
                <w:szCs w:val="16"/>
              </w:rPr>
              <w:t>) acquisition</w:t>
            </w:r>
          </w:p>
          <w:p w14:paraId="49B3B9B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associated infections</w:t>
            </w:r>
          </w:p>
          <w:p w14:paraId="0EE7B5A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A30DF9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Prevalence (/1000 patient-days)</w:t>
            </w:r>
          </w:p>
          <w:p w14:paraId="6FFFBEA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Int.= 2.55 (0.25%) </w:t>
            </w:r>
          </w:p>
          <w:p w14:paraId="41433D4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 2.54 (0.26%)</w:t>
            </w:r>
          </w:p>
          <w:p w14:paraId="4B93AB6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B22A47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Infections (/1000 patient-days)</w:t>
            </w:r>
            <w:r>
              <w:rPr>
                <w:rFonts w:ascii="Times New Roman" w:eastAsia="Times New Roman" w:hAnsi="Times New Roman" w:cs="Times New Roman"/>
                <w:b/>
                <w:color w:val="800000"/>
                <w:sz w:val="16"/>
                <w:szCs w:val="16"/>
                <w:vertAlign w:val="superscript"/>
              </w:rPr>
              <w:footnoteReference w:id="17"/>
            </w:r>
          </w:p>
          <w:p w14:paraId="27214E7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Int.= 0.14 (0.01%) </w:t>
            </w:r>
          </w:p>
          <w:p w14:paraId="43CC130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Cnt</w:t>
            </w:r>
            <w:proofErr w:type="spellEnd"/>
            <w:r>
              <w:rPr>
                <w:rFonts w:ascii="Times New Roman" w:eastAsia="Times New Roman" w:hAnsi="Times New Roman" w:cs="Times New Roman"/>
                <w:sz w:val="16"/>
                <w:szCs w:val="16"/>
              </w:rPr>
              <w:t>.= 0.11 (0.01%)</w:t>
            </w:r>
          </w:p>
          <w:p w14:paraId="0701FD2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7259C1A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Contact precaution was not more effective in reducing MRSA acquisition and infection compared to standard precaution.</w:t>
            </w:r>
          </w:p>
        </w:tc>
      </w:tr>
      <w:tr w:rsidR="00CF5F09" w14:paraId="0BB0BCB8" w14:textId="77777777">
        <w:tc>
          <w:tcPr>
            <w:cnfStyle w:val="001000000000" w:firstRow="0" w:lastRow="0" w:firstColumn="1" w:lastColumn="0" w:oddVBand="0" w:evenVBand="0" w:oddHBand="0" w:evenHBand="0" w:firstRowFirstColumn="0" w:firstRowLastColumn="0" w:lastRowFirstColumn="0" w:lastRowLastColumn="0"/>
            <w:tcW w:w="988" w:type="dxa"/>
          </w:tcPr>
          <w:p w14:paraId="3C0B2B2D" w14:textId="011E4DFB" w:rsidR="00CF5F09" w:rsidRDefault="00377EB0" w:rsidP="00E84B74">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Ostrowsky</w:t>
            </w:r>
            <w:proofErr w:type="spellEnd"/>
            <w:r>
              <w:rPr>
                <w:rFonts w:ascii="Times New Roman" w:eastAsia="Times New Roman" w:hAnsi="Times New Roman" w:cs="Times New Roman"/>
                <w:sz w:val="16"/>
                <w:szCs w:val="16"/>
              </w:rPr>
              <w:t xml:space="preserve"> et al. (2001), US</w:t>
            </w:r>
            <w:r w:rsidR="00DF166B">
              <w:rPr>
                <w:rFonts w:ascii="Times New Roman" w:eastAsia="Times New Roman" w:hAnsi="Times New Roman" w:cs="Times New Roman"/>
                <w:sz w:val="16"/>
                <w:szCs w:val="16"/>
              </w:rPr>
              <w:t xml:space="preserve"> </w:t>
            </w:r>
          </w:p>
        </w:tc>
        <w:tc>
          <w:tcPr>
            <w:tcW w:w="850" w:type="dxa"/>
          </w:tcPr>
          <w:p w14:paraId="13843B1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1997, 28 months</w:t>
            </w:r>
          </w:p>
        </w:tc>
        <w:tc>
          <w:tcPr>
            <w:tcW w:w="1139" w:type="dxa"/>
          </w:tcPr>
          <w:p w14:paraId="52DB776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487FD3E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AF01A1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p w14:paraId="18256C1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16"/>
                <w:szCs w:val="16"/>
              </w:rPr>
            </w:pPr>
          </w:p>
        </w:tc>
        <w:tc>
          <w:tcPr>
            <w:tcW w:w="992" w:type="dxa"/>
          </w:tcPr>
          <w:p w14:paraId="6EAFE3A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28 LTCFs</w:t>
            </w:r>
          </w:p>
        </w:tc>
        <w:tc>
          <w:tcPr>
            <w:tcW w:w="2552" w:type="dxa"/>
          </w:tcPr>
          <w:p w14:paraId="6CBD53D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sz w:val="16"/>
                <w:szCs w:val="16"/>
              </w:rPr>
              <w:t>(</w:t>
            </w:r>
            <w:r>
              <w:rPr>
                <w:rFonts w:ascii="Times New Roman" w:eastAsia="Times New Roman" w:hAnsi="Times New Roman" w:cs="Times New Roman"/>
                <w:b/>
                <w:color w:val="800000"/>
                <w:sz w:val="16"/>
                <w:szCs w:val="16"/>
              </w:rPr>
              <w:t xml:space="preserve">1) Barrier precaution (2) Education (3) Environmental cleaning (4) Hand hygiene </w:t>
            </w:r>
          </w:p>
          <w:p w14:paraId="36460E6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8A2B71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5557DAD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Screen actively on admission to identify VRE positive residents</w:t>
            </w:r>
          </w:p>
          <w:p w14:paraId="2673DF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Cohort/ isolate for VRE positive residents </w:t>
            </w:r>
          </w:p>
          <w:p w14:paraId="4640A0E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Apply contact precaution with gloves and gown for direct contact</w:t>
            </w:r>
          </w:p>
          <w:p w14:paraId="3868C98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Encourage hand washing to health care workers, residents, and visitors</w:t>
            </w:r>
          </w:p>
          <w:p w14:paraId="2709230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Dedicate use of noncritical equipment</w:t>
            </w:r>
          </w:p>
          <w:p w14:paraId="24929B1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Clean and disinfect equipment with approved disinfectants</w:t>
            </w:r>
          </w:p>
          <w:p w14:paraId="2754946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Provide education materials to health care workers, patients, and visitors</w:t>
            </w:r>
          </w:p>
          <w:p w14:paraId="72CD0A9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Facilitate communication within facilities by stating the VRE status of patients orally or transfer sheet</w:t>
            </w:r>
          </w:p>
          <w:p w14:paraId="3F1CAD1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A28D14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1AF151A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Y</w:t>
            </w:r>
            <w:r>
              <w:rPr>
                <w:rFonts w:ascii="Times New Roman" w:eastAsia="Times New Roman" w:hAnsi="Times New Roman" w:cs="Times New Roman"/>
                <w:sz w:val="16"/>
                <w:szCs w:val="16"/>
                <w:vertAlign w:val="superscript"/>
              </w:rPr>
              <w:footnoteReference w:id="18"/>
            </w:r>
          </w:p>
          <w:p w14:paraId="0061227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9748D3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Compliance for isolation/ </w:t>
            </w:r>
            <w:proofErr w:type="spellStart"/>
            <w:r>
              <w:rPr>
                <w:rFonts w:ascii="Times New Roman" w:eastAsia="Times New Roman" w:hAnsi="Times New Roman" w:cs="Times New Roman"/>
                <w:sz w:val="16"/>
                <w:szCs w:val="16"/>
              </w:rPr>
              <w:t>cohorting</w:t>
            </w:r>
            <w:proofErr w:type="spellEnd"/>
            <w:r>
              <w:rPr>
                <w:rFonts w:ascii="Times New Roman" w:eastAsia="Times New Roman" w:hAnsi="Times New Roman" w:cs="Times New Roman"/>
                <w:sz w:val="16"/>
                <w:szCs w:val="16"/>
              </w:rPr>
              <w:t xml:space="preserve"> interventions (No. of LTCFs)</w:t>
            </w:r>
          </w:p>
          <w:p w14:paraId="775B651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Year 1 = 21/23 (91%)</w:t>
            </w:r>
          </w:p>
          <w:p w14:paraId="0841AB8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Year 2 = 22/25 (88%)</w:t>
            </w:r>
          </w:p>
        </w:tc>
        <w:tc>
          <w:tcPr>
            <w:tcW w:w="1134" w:type="dxa"/>
          </w:tcPr>
          <w:p w14:paraId="5A5E05E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N=5221</w:t>
            </w:r>
          </w:p>
          <w:p w14:paraId="6414462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8D52A7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 1782</w:t>
            </w:r>
          </w:p>
          <w:p w14:paraId="24CA728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5980BC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Post-int.=1789</w:t>
            </w:r>
          </w:p>
          <w:p w14:paraId="35093C6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E5FAE4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Post-int.= 1650</w:t>
            </w:r>
          </w:p>
        </w:tc>
        <w:tc>
          <w:tcPr>
            <w:tcW w:w="2693" w:type="dxa"/>
          </w:tcPr>
          <w:p w14:paraId="77AD0E9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lastRenderedPageBreak/>
              <w:t>VRE (R) colonization</w:t>
            </w:r>
          </w:p>
          <w:p w14:paraId="45149C6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42C1F40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Prevalence</w:t>
            </w:r>
          </w:p>
          <w:p w14:paraId="25BAFEF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 30/1782 (1.7%)</w:t>
            </w:r>
          </w:p>
          <w:p w14:paraId="11D333F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Post-int.(12mths) = 17/1789 (1.0%)</w:t>
            </w:r>
          </w:p>
          <w:p w14:paraId="6E7CC74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Post-int.(24mths) = 9/1650 (0.5%)</w:t>
            </w:r>
          </w:p>
          <w:p w14:paraId="43F6762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6120151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30000"/>
                <w:sz w:val="16"/>
                <w:szCs w:val="16"/>
              </w:rPr>
            </w:pPr>
            <w:r>
              <w:rPr>
                <w:rFonts w:ascii="Times New Roman" w:eastAsia="Times New Roman" w:hAnsi="Times New Roman" w:cs="Times New Roman"/>
                <w:b/>
                <w:color w:val="830000"/>
                <w:sz w:val="16"/>
                <w:szCs w:val="16"/>
              </w:rPr>
              <w:t xml:space="preserve">Relative risk </w:t>
            </w:r>
          </w:p>
          <w:p w14:paraId="26D588B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Pre-int. vs. Post-int.(12mths) </w:t>
            </w:r>
          </w:p>
          <w:p w14:paraId="68EAB64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0.6 (0.3-1.0); p=0.05</w:t>
            </w:r>
          </w:p>
          <w:p w14:paraId="0F5F03C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Pre-int. vs. Post-int. (24mths) </w:t>
            </w:r>
          </w:p>
          <w:p w14:paraId="4B1FCDA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 (0.2-0.7); p=0.001</w:t>
            </w:r>
          </w:p>
          <w:p w14:paraId="1E21E8B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15E8CAC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1EB7430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7923E9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407961F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An active infection-control intervention, which includes the obtaining of surveillance cultures and the isolation of infected patients, can reduce or eliminate the transmission of vancomycin- resistant enterococci in LTCFs.</w:t>
            </w:r>
          </w:p>
        </w:tc>
      </w:tr>
      <w:tr w:rsidR="00CF5F09" w14:paraId="64B085CD" w14:textId="77777777">
        <w:tc>
          <w:tcPr>
            <w:cnfStyle w:val="001000000000" w:firstRow="0" w:lastRow="0" w:firstColumn="1" w:lastColumn="0" w:oddVBand="0" w:evenVBand="0" w:oddHBand="0" w:evenHBand="0" w:firstRowFirstColumn="0" w:firstRowLastColumn="0" w:lastRowFirstColumn="0" w:lastRowLastColumn="0"/>
            <w:tcW w:w="988" w:type="dxa"/>
          </w:tcPr>
          <w:p w14:paraId="16448CDA" w14:textId="3FB44A65" w:rsidR="00CF5F09" w:rsidRDefault="00DF166B">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Peterson et al. (2016)</w:t>
            </w:r>
            <w:r w:rsidR="00377EB0">
              <w:rPr>
                <w:rFonts w:ascii="Times New Roman" w:eastAsia="Times New Roman" w:hAnsi="Times New Roman" w:cs="Times New Roman"/>
                <w:sz w:val="16"/>
                <w:szCs w:val="16"/>
              </w:rPr>
              <w:t>, US</w:t>
            </w:r>
            <w:r>
              <w:rPr>
                <w:rFonts w:ascii="Times New Roman" w:eastAsia="Times New Roman" w:hAnsi="Times New Roman" w:cs="Times New Roman"/>
                <w:sz w:val="16"/>
                <w:szCs w:val="16"/>
              </w:rPr>
              <w:t xml:space="preserve"> </w:t>
            </w:r>
          </w:p>
          <w:p w14:paraId="5EDC4EE6" w14:textId="77777777" w:rsidR="00CF5F09" w:rsidRDefault="00CF5F09">
            <w:pPr>
              <w:rPr>
                <w:rFonts w:ascii="Times New Roman" w:eastAsia="Times New Roman" w:hAnsi="Times New Roman" w:cs="Times New Roman"/>
                <w:sz w:val="16"/>
                <w:szCs w:val="16"/>
              </w:rPr>
            </w:pPr>
          </w:p>
          <w:p w14:paraId="44CBC73D" w14:textId="3DD7619E" w:rsidR="00CF5F09" w:rsidRDefault="00377EB0">
            <w:pPr>
              <w:pBdr>
                <w:top w:val="nil"/>
                <w:left w:val="nil"/>
                <w:bottom w:val="nil"/>
                <w:right w:val="nil"/>
                <w:between w:val="nil"/>
              </w:pBdr>
              <w:rPr>
                <w:rFonts w:ascii="Times New Roman" w:eastAsia="Times New Roman" w:hAnsi="Times New Roman" w:cs="Times New Roman"/>
                <w:i/>
                <w:color w:val="000000"/>
                <w:sz w:val="16"/>
                <w:szCs w:val="16"/>
              </w:rPr>
            </w:pPr>
            <w:proofErr w:type="spellStart"/>
            <w:r>
              <w:rPr>
                <w:rFonts w:ascii="Times New Roman" w:eastAsia="Times New Roman" w:hAnsi="Times New Roman" w:cs="Times New Roman"/>
                <w:b w:val="0"/>
                <w:i/>
                <w:color w:val="000000"/>
                <w:sz w:val="16"/>
                <w:szCs w:val="16"/>
              </w:rPr>
              <w:t>Schora</w:t>
            </w:r>
            <w:proofErr w:type="spellEnd"/>
            <w:r>
              <w:rPr>
                <w:rFonts w:ascii="Times New Roman" w:eastAsia="Times New Roman" w:hAnsi="Times New Roman" w:cs="Times New Roman"/>
                <w:b w:val="0"/>
                <w:i/>
                <w:color w:val="000000"/>
                <w:sz w:val="16"/>
                <w:szCs w:val="16"/>
              </w:rPr>
              <w:t xml:space="preserve"> et al. (2014)</w:t>
            </w:r>
            <w:r w:rsidR="00DF166B">
              <w:rPr>
                <w:rFonts w:ascii="Times New Roman" w:eastAsia="Times New Roman" w:hAnsi="Times New Roman" w:cs="Times New Roman"/>
                <w:b w:val="0"/>
                <w:i/>
                <w:color w:val="000000"/>
                <w:sz w:val="16"/>
                <w:szCs w:val="16"/>
              </w:rPr>
              <w:t xml:space="preserve"> </w:t>
            </w:r>
            <w:r>
              <w:rPr>
                <w:rFonts w:ascii="Times New Roman" w:eastAsia="Times New Roman" w:hAnsi="Times New Roman" w:cs="Times New Roman"/>
                <w:b w:val="0"/>
                <w:i/>
                <w:color w:val="000000"/>
                <w:sz w:val="16"/>
                <w:szCs w:val="16"/>
              </w:rPr>
              <w:t>and Peterson et al. (2016)</w:t>
            </w:r>
            <w:r w:rsidR="00DF166B">
              <w:rPr>
                <w:rFonts w:ascii="Times New Roman" w:eastAsia="Times New Roman" w:hAnsi="Times New Roman" w:cs="Times New Roman"/>
                <w:b w:val="0"/>
                <w:i/>
                <w:color w:val="000000"/>
                <w:sz w:val="16"/>
                <w:szCs w:val="16"/>
              </w:rPr>
              <w:t xml:space="preserve"> </w:t>
            </w:r>
            <w:r>
              <w:rPr>
                <w:rFonts w:ascii="Times New Roman" w:eastAsia="Times New Roman" w:hAnsi="Times New Roman" w:cs="Times New Roman"/>
                <w:b w:val="0"/>
                <w:i/>
                <w:color w:val="000000"/>
                <w:sz w:val="16"/>
                <w:szCs w:val="16"/>
              </w:rPr>
              <w:t xml:space="preserve">are based on the same study with the same study sample. </w:t>
            </w:r>
          </w:p>
          <w:p w14:paraId="58A74866" w14:textId="77777777" w:rsidR="00CF5F09" w:rsidRDefault="00CF5F09">
            <w:pPr>
              <w:rPr>
                <w:rFonts w:ascii="Times New Roman" w:eastAsia="Times New Roman" w:hAnsi="Times New Roman" w:cs="Times New Roman"/>
                <w:sz w:val="16"/>
                <w:szCs w:val="16"/>
              </w:rPr>
            </w:pPr>
          </w:p>
        </w:tc>
        <w:tc>
          <w:tcPr>
            <w:tcW w:w="850" w:type="dxa"/>
          </w:tcPr>
          <w:p w14:paraId="249157B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2011, 25mths</w:t>
            </w:r>
          </w:p>
        </w:tc>
        <w:tc>
          <w:tcPr>
            <w:tcW w:w="1139" w:type="dxa"/>
          </w:tcPr>
          <w:p w14:paraId="76DE8EB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Prospective, cluster RCT, non-blinded</w:t>
            </w:r>
          </w:p>
          <w:p w14:paraId="531726F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A3F2CB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24A472C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3 LTCFs</w:t>
            </w:r>
          </w:p>
        </w:tc>
        <w:tc>
          <w:tcPr>
            <w:tcW w:w="2552" w:type="dxa"/>
          </w:tcPr>
          <w:p w14:paraId="53D3280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Decolonization (2) Education (3) Environmental cleaning (4) Source control</w:t>
            </w:r>
          </w:p>
          <w:p w14:paraId="66B2C30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2F07F0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Year 1</w:t>
            </w:r>
          </w:p>
          <w:p w14:paraId="0F4695E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800000"/>
                <w:sz w:val="16"/>
                <w:szCs w:val="16"/>
                <w:u w:val="single"/>
              </w:rPr>
            </w:pPr>
            <w:r>
              <w:rPr>
                <w:rFonts w:ascii="Times New Roman" w:eastAsia="Times New Roman" w:hAnsi="Times New Roman" w:cs="Times New Roman"/>
                <w:sz w:val="16"/>
                <w:szCs w:val="16"/>
                <w:u w:val="single"/>
              </w:rPr>
              <w:t>Int.:</w:t>
            </w:r>
          </w:p>
          <w:p w14:paraId="21F073F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Perform active surveillance</w:t>
            </w:r>
          </w:p>
          <w:p w14:paraId="209C958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Test all new admission on-site followed by decolonization of those positive</w:t>
            </w:r>
          </w:p>
          <w:p w14:paraId="32223A7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Decolonize all residents with mupirocin ointment twice at the onset of the study and once at the beginning and again at the end of March 2011</w:t>
            </w:r>
          </w:p>
          <w:p w14:paraId="662A6EF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Provide education on the nature of pathogen transmission, the need for effective cleaning and disinfection of healthcare facility surfaces/ equipment, and the importance of hand hygiene</w:t>
            </w:r>
          </w:p>
          <w:p w14:paraId="04F0550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Patients who had MRSA strains resistant to mupirocin were given retapamulin 1% in the same manner as mupirocin</w:t>
            </w:r>
          </w:p>
          <w:p w14:paraId="12FB7A3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Use at least one chlorhexidine gluconate 4% body wash in the five-day regime</w:t>
            </w:r>
          </w:p>
          <w:p w14:paraId="548D379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Decontaminate the environmental flat surfaces in all rooms, common </w:t>
            </w:r>
            <w:r>
              <w:rPr>
                <w:rFonts w:ascii="Times New Roman" w:eastAsia="Times New Roman" w:hAnsi="Times New Roman" w:cs="Times New Roman"/>
                <w:color w:val="000000"/>
                <w:sz w:val="16"/>
                <w:szCs w:val="16"/>
              </w:rPr>
              <w:lastRenderedPageBreak/>
              <w:t>areas, and equipment with bleach for over a one-week period before each point prevalence survey</w:t>
            </w:r>
          </w:p>
          <w:p w14:paraId="4899CBD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4F2D848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2041A98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12105C6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18B5D18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123325E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Year 2</w:t>
            </w:r>
          </w:p>
          <w:p w14:paraId="4F41887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 xml:space="preserve">Int. &amp; </w:t>
            </w: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201D725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24B801B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Convert all units to intervention consisting of universal decolonization</w:t>
            </w:r>
            <w:r>
              <w:rPr>
                <w:rFonts w:ascii="Times New Roman" w:eastAsia="Times New Roman" w:hAnsi="Times New Roman" w:cs="Times New Roman"/>
                <w:sz w:val="16"/>
                <w:szCs w:val="16"/>
                <w:vertAlign w:val="superscript"/>
              </w:rPr>
              <w:footnoteReference w:id="19"/>
            </w:r>
          </w:p>
          <w:p w14:paraId="3DB055E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Retest all MRSA positive residents after decolonization and this process was continued until they had a negative test for MRSA in their nares or were discharged</w:t>
            </w:r>
          </w:p>
          <w:p w14:paraId="30DD11D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Use intensive decolonization regimen for those not decolonized with nasal treatment alone (the regimen consisted of minocycline 100mg orally twice daily for 5 days; </w:t>
            </w:r>
            <w:proofErr w:type="spellStart"/>
            <w:r>
              <w:rPr>
                <w:rFonts w:ascii="Times New Roman" w:eastAsia="Times New Roman" w:hAnsi="Times New Roman" w:cs="Times New Roman"/>
                <w:sz w:val="16"/>
                <w:szCs w:val="16"/>
              </w:rPr>
              <w:t>rifampin</w:t>
            </w:r>
            <w:proofErr w:type="spellEnd"/>
            <w:r>
              <w:rPr>
                <w:rFonts w:ascii="Times New Roman" w:eastAsia="Times New Roman" w:hAnsi="Times New Roman" w:cs="Times New Roman"/>
                <w:sz w:val="16"/>
                <w:szCs w:val="16"/>
              </w:rPr>
              <w:t xml:space="preserve"> 600mg orally once daily for 5 days; 2% mupirocin ointment to the anterior nares twice per day for 7 days, and a bath or shower with 4% chlorhexidine once per week for 2 weeks)</w:t>
            </w:r>
          </w:p>
          <w:p w14:paraId="2C01DCB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See Year 1</w:t>
            </w:r>
          </w:p>
          <w:p w14:paraId="5E7D252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02065C3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490CCC8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N=7069</w:t>
            </w:r>
          </w:p>
        </w:tc>
        <w:tc>
          <w:tcPr>
            <w:tcW w:w="2693" w:type="dxa"/>
          </w:tcPr>
          <w:p w14:paraId="0B0E238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b/>
                <w:color w:val="800000"/>
                <w:sz w:val="16"/>
                <w:szCs w:val="16"/>
              </w:rPr>
              <w:t>MRSA infections</w:t>
            </w:r>
          </w:p>
          <w:p w14:paraId="387567B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Infection rates (/10,000 patient-days)</w:t>
            </w:r>
            <w:r>
              <w:rPr>
                <w:rFonts w:ascii="Times New Roman" w:eastAsia="Times New Roman" w:hAnsi="Times New Roman" w:cs="Times New Roman"/>
                <w:b/>
                <w:sz w:val="16"/>
                <w:szCs w:val="16"/>
                <w:vertAlign w:val="superscript"/>
              </w:rPr>
              <w:footnoteReference w:id="20"/>
            </w:r>
          </w:p>
          <w:p w14:paraId="3BB6738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Pre-int.:</w:t>
            </w:r>
          </w:p>
          <w:p w14:paraId="6179E7E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Int</w:t>
            </w:r>
            <w:proofErr w:type="spellEnd"/>
            <w:r>
              <w:rPr>
                <w:rFonts w:ascii="Times New Roman" w:eastAsia="Times New Roman" w:hAnsi="Times New Roman" w:cs="Times New Roman"/>
                <w:color w:val="000000"/>
                <w:sz w:val="16"/>
                <w:szCs w:val="16"/>
              </w:rPr>
              <w:t>.&amp;</w:t>
            </w:r>
            <w:proofErr w:type="spellStart"/>
            <w:r>
              <w:rPr>
                <w:rFonts w:ascii="Times New Roman" w:eastAsia="Times New Roman" w:hAnsi="Times New Roman" w:cs="Times New Roman"/>
                <w:color w:val="000000"/>
                <w:sz w:val="16"/>
                <w:szCs w:val="16"/>
              </w:rPr>
              <w:t>Cnt</w:t>
            </w:r>
            <w:proofErr w:type="spellEnd"/>
            <w:r>
              <w:rPr>
                <w:rFonts w:ascii="Times New Roman" w:eastAsia="Times New Roman" w:hAnsi="Times New Roman" w:cs="Times New Roman"/>
                <w:color w:val="000000"/>
                <w:sz w:val="16"/>
                <w:szCs w:val="16"/>
              </w:rPr>
              <w:t>.=44/365809 =1.20</w:t>
            </w:r>
          </w:p>
          <w:p w14:paraId="1CC2E3D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7BAC3F5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Post-int.(12mths):</w:t>
            </w:r>
          </w:p>
          <w:p w14:paraId="1A0602C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Int.=14/129113 =1.08</w:t>
            </w:r>
          </w:p>
          <w:p w14:paraId="73A686C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Cnt</w:t>
            </w:r>
            <w:proofErr w:type="spellEnd"/>
            <w:r>
              <w:rPr>
                <w:rFonts w:ascii="Times New Roman" w:eastAsia="Times New Roman" w:hAnsi="Times New Roman" w:cs="Times New Roman"/>
                <w:color w:val="000000"/>
                <w:sz w:val="16"/>
                <w:szCs w:val="16"/>
              </w:rPr>
              <w:t>.=9/165052 = 0.55</w:t>
            </w:r>
          </w:p>
          <w:p w14:paraId="568C85D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67F82A8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Post-int.(24mths)</w:t>
            </w:r>
          </w:p>
          <w:p w14:paraId="3685571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Int</w:t>
            </w:r>
            <w:proofErr w:type="spellEnd"/>
            <w:r>
              <w:rPr>
                <w:rFonts w:ascii="Times New Roman" w:eastAsia="Times New Roman" w:hAnsi="Times New Roman" w:cs="Times New Roman"/>
                <w:color w:val="000000"/>
                <w:sz w:val="16"/>
                <w:szCs w:val="16"/>
              </w:rPr>
              <w:t>.&amp;</w:t>
            </w:r>
            <w:proofErr w:type="spellStart"/>
            <w:r>
              <w:rPr>
                <w:rFonts w:ascii="Times New Roman" w:eastAsia="Times New Roman" w:hAnsi="Times New Roman" w:cs="Times New Roman"/>
                <w:color w:val="000000"/>
                <w:sz w:val="16"/>
                <w:szCs w:val="16"/>
              </w:rPr>
              <w:t>Cnt</w:t>
            </w:r>
            <w:proofErr w:type="spellEnd"/>
            <w:r>
              <w:rPr>
                <w:rFonts w:ascii="Times New Roman" w:eastAsia="Times New Roman" w:hAnsi="Times New Roman" w:cs="Times New Roman"/>
                <w:color w:val="000000"/>
                <w:sz w:val="16"/>
                <w:szCs w:val="16"/>
              </w:rPr>
              <w:t xml:space="preserve">.=12/287847=0.42 </w:t>
            </w:r>
          </w:p>
          <w:p w14:paraId="3469D39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(p&lt;.001 compared to baseline)</w:t>
            </w:r>
          </w:p>
          <w:p w14:paraId="5AE7D67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0B1CA34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On-site MRSA surveillance with targeted decolonization resulted in a significant decrease in clinical MRSA infection among LTCF residents. </w:t>
            </w:r>
          </w:p>
        </w:tc>
      </w:tr>
      <w:tr w:rsidR="00CF5F09" w14:paraId="63CB7B31" w14:textId="77777777">
        <w:tc>
          <w:tcPr>
            <w:cnfStyle w:val="001000000000" w:firstRow="0" w:lastRow="0" w:firstColumn="1" w:lastColumn="0" w:oddVBand="0" w:evenVBand="0" w:oddHBand="0" w:evenHBand="0" w:firstRowFirstColumn="0" w:firstRowLastColumn="0" w:lastRowFirstColumn="0" w:lastRowLastColumn="0"/>
            <w:tcW w:w="988" w:type="dxa"/>
          </w:tcPr>
          <w:p w14:paraId="6309ED5A" w14:textId="151EA43C" w:rsidR="00CF5F09" w:rsidRDefault="00377EB0">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Schora</w:t>
            </w:r>
            <w:proofErr w:type="spellEnd"/>
            <w:r>
              <w:rPr>
                <w:rFonts w:ascii="Times New Roman" w:eastAsia="Times New Roman" w:hAnsi="Times New Roman" w:cs="Times New Roman"/>
                <w:sz w:val="16"/>
                <w:szCs w:val="16"/>
              </w:rPr>
              <w:t xml:space="preserve"> et al. (2014), US</w:t>
            </w:r>
            <w:r>
              <w:rPr>
                <w:rFonts w:ascii="Times New Roman" w:eastAsia="Times New Roman" w:hAnsi="Times New Roman" w:cs="Times New Roman"/>
                <w:sz w:val="16"/>
                <w:szCs w:val="16"/>
                <w:vertAlign w:val="superscript"/>
              </w:rPr>
              <w:footnoteReference w:id="21"/>
            </w:r>
          </w:p>
          <w:p w14:paraId="46F58409" w14:textId="77777777" w:rsidR="00CF5F09" w:rsidRDefault="00CF5F09">
            <w:pPr>
              <w:rPr>
                <w:rFonts w:ascii="Times New Roman" w:eastAsia="Times New Roman" w:hAnsi="Times New Roman" w:cs="Times New Roman"/>
                <w:sz w:val="16"/>
                <w:szCs w:val="16"/>
              </w:rPr>
            </w:pPr>
          </w:p>
        </w:tc>
        <w:tc>
          <w:tcPr>
            <w:tcW w:w="850" w:type="dxa"/>
          </w:tcPr>
          <w:p w14:paraId="53D7275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2011, 25mths</w:t>
            </w:r>
          </w:p>
        </w:tc>
        <w:tc>
          <w:tcPr>
            <w:tcW w:w="1139" w:type="dxa"/>
          </w:tcPr>
          <w:p w14:paraId="000CCE7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Prospective, cluster RCT</w:t>
            </w:r>
          </w:p>
          <w:p w14:paraId="06592B8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25E7CFC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Concurrent control</w:t>
            </w:r>
          </w:p>
        </w:tc>
        <w:tc>
          <w:tcPr>
            <w:tcW w:w="992" w:type="dxa"/>
          </w:tcPr>
          <w:p w14:paraId="491A145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3 LTCFs</w:t>
            </w:r>
            <w:r>
              <w:rPr>
                <w:rFonts w:ascii="Times New Roman" w:eastAsia="Times New Roman" w:hAnsi="Times New Roman" w:cs="Times New Roman"/>
                <w:sz w:val="16"/>
                <w:szCs w:val="16"/>
                <w:vertAlign w:val="superscript"/>
              </w:rPr>
              <w:footnoteReference w:id="22"/>
            </w:r>
          </w:p>
          <w:p w14:paraId="4007050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8598BF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4E5AED6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color w:val="800000"/>
                <w:sz w:val="16"/>
                <w:szCs w:val="16"/>
              </w:rPr>
              <w:t>(1) Decolonization (2) Education (3) Environmental cleaning (4) Source control</w:t>
            </w:r>
          </w:p>
          <w:p w14:paraId="11515EA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p>
          <w:p w14:paraId="79A82FC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Year 1</w:t>
            </w:r>
            <w:r>
              <w:rPr>
                <w:rFonts w:ascii="Times New Roman" w:eastAsia="Times New Roman" w:hAnsi="Times New Roman" w:cs="Times New Roman"/>
                <w:b/>
                <w:sz w:val="16"/>
                <w:szCs w:val="16"/>
                <w:vertAlign w:val="superscript"/>
              </w:rPr>
              <w:footnoteReference w:id="23"/>
            </w:r>
          </w:p>
          <w:p w14:paraId="7A09284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Int.:</w:t>
            </w:r>
          </w:p>
          <w:p w14:paraId="4C5C070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0185CD71" w14:textId="77777777" w:rsidR="00686C8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Test new admission on-site </w:t>
            </w:r>
            <w:r w:rsidR="00686C89">
              <w:rPr>
                <w:rFonts w:ascii="Times New Roman" w:eastAsia="Times New Roman" w:hAnsi="Times New Roman" w:cs="Times New Roman"/>
                <w:sz w:val="16"/>
                <w:szCs w:val="16"/>
              </w:rPr>
              <w:t>and decolonized those tested positive</w:t>
            </w:r>
            <w:r>
              <w:rPr>
                <w:rFonts w:ascii="Times New Roman" w:eastAsia="Times New Roman" w:hAnsi="Times New Roman" w:cs="Times New Roman"/>
                <w:sz w:val="16"/>
                <w:szCs w:val="16"/>
              </w:rPr>
              <w:t xml:space="preserve"> </w:t>
            </w:r>
          </w:p>
          <w:p w14:paraId="0527293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Decolonize all residents with mupirocin ointment twice a day for five days (applied to the nares)</w:t>
            </w:r>
          </w:p>
          <w:p w14:paraId="4A65E40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Apply chlorhexidine bath once per week (repeat the regime a second time 1 month later)</w:t>
            </w:r>
          </w:p>
          <w:p w14:paraId="41EA92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Clean the common areas, nursing units, equipment, and patient rooms with bleach</w:t>
            </w:r>
          </w:p>
          <w:p w14:paraId="5EFDA08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Provide hand hygiene education to all health care personnel </w:t>
            </w:r>
          </w:p>
          <w:p w14:paraId="43040AF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Test all discharge for nasal MRSA colonization in the last four month of year 1</w:t>
            </w:r>
          </w:p>
          <w:p w14:paraId="0D26BC1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Apply Chlorhexidine bathing</w:t>
            </w:r>
          </w:p>
          <w:p w14:paraId="2209B37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935B2A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4C1421F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3B66C98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Test all new admission on-site without reporting the results to the staff and taking any further action </w:t>
            </w:r>
          </w:p>
          <w:p w14:paraId="714E3BF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15FA9E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r>
              <w:rPr>
                <w:rFonts w:ascii="Times New Roman" w:eastAsia="Times New Roman" w:hAnsi="Times New Roman" w:cs="Times New Roman"/>
                <w:b/>
                <w:sz w:val="16"/>
                <w:szCs w:val="16"/>
              </w:rPr>
              <w:t>Year 2</w:t>
            </w:r>
          </w:p>
          <w:p w14:paraId="2E06EDA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 xml:space="preserve">Int. &amp; </w:t>
            </w:r>
            <w:proofErr w:type="spellStart"/>
            <w:r>
              <w:rPr>
                <w:rFonts w:ascii="Times New Roman" w:eastAsia="Times New Roman" w:hAnsi="Times New Roman" w:cs="Times New Roman"/>
                <w:sz w:val="16"/>
                <w:szCs w:val="16"/>
                <w:u w:val="single"/>
              </w:rPr>
              <w:t>Cnt</w:t>
            </w:r>
            <w:proofErr w:type="spellEnd"/>
            <w:r>
              <w:rPr>
                <w:rFonts w:ascii="Times New Roman" w:eastAsia="Times New Roman" w:hAnsi="Times New Roman" w:cs="Times New Roman"/>
                <w:sz w:val="16"/>
                <w:szCs w:val="16"/>
                <w:u w:val="single"/>
              </w:rPr>
              <w:t>.:</w:t>
            </w:r>
          </w:p>
          <w:p w14:paraId="5AD7B924" w14:textId="77777777" w:rsidR="00686C8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All units were </w:t>
            </w:r>
            <w:r w:rsidR="00686C89">
              <w:rPr>
                <w:rFonts w:ascii="Times New Roman" w:eastAsia="Times New Roman" w:hAnsi="Times New Roman" w:cs="Times New Roman"/>
                <w:sz w:val="16"/>
                <w:szCs w:val="16"/>
              </w:rPr>
              <w:t>converted to intervention group</w:t>
            </w:r>
            <w:r>
              <w:rPr>
                <w:rFonts w:ascii="Times New Roman" w:eastAsia="Times New Roman" w:hAnsi="Times New Roman" w:cs="Times New Roman"/>
                <w:sz w:val="16"/>
                <w:szCs w:val="16"/>
                <w:vertAlign w:val="superscript"/>
              </w:rPr>
              <w:footnoteReference w:id="24"/>
            </w:r>
          </w:p>
          <w:p w14:paraId="48551DD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See Year 1</w:t>
            </w:r>
            <w:r>
              <w:rPr>
                <w:rFonts w:ascii="Times New Roman" w:eastAsia="Times New Roman" w:hAnsi="Times New Roman" w:cs="Times New Roman"/>
                <w:sz w:val="16"/>
                <w:szCs w:val="16"/>
                <w:vertAlign w:val="superscript"/>
              </w:rPr>
              <w:footnoteReference w:id="25"/>
            </w:r>
          </w:p>
          <w:p w14:paraId="1397A5D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BC2E9B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F8D414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290D862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06DF4AD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N=4424</w:t>
            </w:r>
          </w:p>
        </w:tc>
        <w:tc>
          <w:tcPr>
            <w:tcW w:w="2693" w:type="dxa"/>
          </w:tcPr>
          <w:p w14:paraId="3F473CC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 colonization</w:t>
            </w:r>
          </w:p>
          <w:p w14:paraId="2AF35EE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558BCD9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w:t>
            </w:r>
          </w:p>
          <w:p w14:paraId="6F5B946A"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6"/>
                <w:szCs w:val="16"/>
              </w:rPr>
            </w:pPr>
          </w:p>
          <w:p w14:paraId="27598FE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Pre-int.:</w:t>
            </w:r>
          </w:p>
          <w:p w14:paraId="31F38D2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Int.=53/315 (16.8%)</w:t>
            </w:r>
          </w:p>
          <w:p w14:paraId="677BF0E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Cnt</w:t>
            </w:r>
            <w:proofErr w:type="spellEnd"/>
            <w:r>
              <w:rPr>
                <w:rFonts w:ascii="Times New Roman" w:eastAsia="Times New Roman" w:hAnsi="Times New Roman" w:cs="Times New Roman"/>
                <w:color w:val="000000"/>
                <w:sz w:val="16"/>
                <w:szCs w:val="16"/>
              </w:rPr>
              <w:t>.=59/358 (16.5%)</w:t>
            </w:r>
          </w:p>
          <w:p w14:paraId="18D4D96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38A5335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Post-int. (12mths)</w:t>
            </w:r>
          </w:p>
          <w:p w14:paraId="34AE574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 xml:space="preserve">Int.=83/715 (11.6%) </w:t>
            </w:r>
            <w:r>
              <w:rPr>
                <w:rFonts w:ascii="Times New Roman" w:eastAsia="Times New Roman" w:hAnsi="Times New Roman" w:cs="Times New Roman"/>
                <w:i/>
                <w:color w:val="000000"/>
                <w:sz w:val="16"/>
                <w:szCs w:val="16"/>
              </w:rPr>
              <w:t>(p=0.028)</w:t>
            </w:r>
          </w:p>
          <w:p w14:paraId="1F5843F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Cnt</w:t>
            </w:r>
            <w:proofErr w:type="spellEnd"/>
            <w:r>
              <w:rPr>
                <w:rFonts w:ascii="Times New Roman" w:eastAsia="Times New Roman" w:hAnsi="Times New Roman" w:cs="Times New Roman"/>
                <w:color w:val="000000"/>
                <w:sz w:val="16"/>
                <w:szCs w:val="16"/>
              </w:rPr>
              <w:t xml:space="preserve">.=136/762 (17.9%) </w:t>
            </w:r>
            <w:r>
              <w:rPr>
                <w:rFonts w:ascii="Times New Roman" w:eastAsia="Times New Roman" w:hAnsi="Times New Roman" w:cs="Times New Roman"/>
                <w:i/>
                <w:color w:val="000000"/>
                <w:sz w:val="16"/>
                <w:szCs w:val="16"/>
              </w:rPr>
              <w:t>(p=0.613)</w:t>
            </w:r>
          </w:p>
          <w:p w14:paraId="18346BD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2E1AF74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u w:val="single"/>
              </w:rPr>
            </w:pPr>
            <w:r>
              <w:rPr>
                <w:rFonts w:ascii="Times New Roman" w:eastAsia="Times New Roman" w:hAnsi="Times New Roman" w:cs="Times New Roman"/>
                <w:color w:val="000000"/>
                <w:sz w:val="16"/>
                <w:szCs w:val="16"/>
                <w:u w:val="single"/>
              </w:rPr>
              <w:t>Post-int. (24mths)</w:t>
            </w:r>
            <w:r>
              <w:rPr>
                <w:rFonts w:ascii="Times New Roman" w:eastAsia="Times New Roman" w:hAnsi="Times New Roman" w:cs="Times New Roman"/>
                <w:color w:val="000000"/>
                <w:sz w:val="16"/>
                <w:szCs w:val="16"/>
                <w:u w:val="single"/>
                <w:vertAlign w:val="superscript"/>
              </w:rPr>
              <w:footnoteReference w:id="26"/>
            </w:r>
          </w:p>
          <w:p w14:paraId="4699881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Int. = 240/2274 (10.6%) </w:t>
            </w:r>
            <w:r>
              <w:rPr>
                <w:rFonts w:ascii="Times New Roman" w:eastAsia="Times New Roman" w:hAnsi="Times New Roman" w:cs="Times New Roman"/>
                <w:i/>
                <w:color w:val="000000"/>
                <w:sz w:val="16"/>
                <w:szCs w:val="16"/>
              </w:rPr>
              <w:t>(p&lt;.001)</w:t>
            </w:r>
          </w:p>
          <w:p w14:paraId="0B06D63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2054B92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2410" w:type="dxa"/>
          </w:tcPr>
          <w:p w14:paraId="6D4EBC7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The planned interventions of screening and decolonization were successful at lowering MRSA colonization without affecting the home-like style of living of LTCF residents. </w:t>
            </w:r>
          </w:p>
          <w:p w14:paraId="00A20CA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49AD8182" w14:textId="77777777" w:rsidTr="00CF5F09">
        <w:trPr>
          <w:trHeight w:val="7088"/>
        </w:trPr>
        <w:tc>
          <w:tcPr>
            <w:cnfStyle w:val="001000000000" w:firstRow="0" w:lastRow="0" w:firstColumn="1" w:lastColumn="0" w:oddVBand="0" w:evenVBand="0" w:oddHBand="0" w:evenHBand="0" w:firstRowFirstColumn="0" w:firstRowLastColumn="0" w:lastRowFirstColumn="0" w:lastRowLastColumn="0"/>
            <w:tcW w:w="988" w:type="dxa"/>
          </w:tcPr>
          <w:p w14:paraId="1041E690" w14:textId="07421094" w:rsidR="00CF5F09" w:rsidRDefault="00377EB0" w:rsidP="00E84B74">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lastRenderedPageBreak/>
              <w:t>Schweon</w:t>
            </w:r>
            <w:proofErr w:type="spellEnd"/>
            <w:r>
              <w:rPr>
                <w:rFonts w:ascii="Times New Roman" w:eastAsia="Times New Roman" w:hAnsi="Times New Roman" w:cs="Times New Roman"/>
                <w:sz w:val="16"/>
                <w:szCs w:val="16"/>
              </w:rPr>
              <w:t xml:space="preserve"> et al. (2013), US</w:t>
            </w:r>
            <w:r w:rsidR="00DF166B" w:rsidRPr="00DF166B">
              <w:rPr>
                <w:rFonts w:ascii="Times New Roman" w:eastAsia="Times New Roman" w:hAnsi="Times New Roman" w:cs="Times New Roman"/>
                <w:sz w:val="16"/>
                <w:szCs w:val="16"/>
              </w:rPr>
              <w:t xml:space="preserve"> </w:t>
            </w:r>
          </w:p>
        </w:tc>
        <w:tc>
          <w:tcPr>
            <w:tcW w:w="850" w:type="dxa"/>
          </w:tcPr>
          <w:p w14:paraId="4B36E67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2009, 22 months</w:t>
            </w:r>
          </w:p>
        </w:tc>
        <w:tc>
          <w:tcPr>
            <w:tcW w:w="1139" w:type="dxa"/>
          </w:tcPr>
          <w:p w14:paraId="14357B3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interrupted time series study</w:t>
            </w:r>
          </w:p>
          <w:p w14:paraId="62C4C81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23D15C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p w14:paraId="6C78B9E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color w:val="C00000"/>
                <w:sz w:val="16"/>
                <w:szCs w:val="16"/>
              </w:rPr>
              <w:t xml:space="preserve"> </w:t>
            </w:r>
          </w:p>
        </w:tc>
        <w:tc>
          <w:tcPr>
            <w:tcW w:w="992" w:type="dxa"/>
          </w:tcPr>
          <w:p w14:paraId="6E80812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A NH</w:t>
            </w:r>
          </w:p>
        </w:tc>
        <w:tc>
          <w:tcPr>
            <w:tcW w:w="2552" w:type="dxa"/>
          </w:tcPr>
          <w:p w14:paraId="52E76B7D" w14:textId="6808FF31" w:rsidR="00CF5F09" w:rsidRDefault="00B8659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Administrative</w:t>
            </w:r>
            <w:bookmarkStart w:id="0" w:name="_GoBack"/>
            <w:bookmarkEnd w:id="0"/>
            <w:r w:rsidR="00377EB0">
              <w:rPr>
                <w:rFonts w:ascii="Times New Roman" w:eastAsia="Times New Roman" w:hAnsi="Times New Roman" w:cs="Times New Roman"/>
                <w:b/>
                <w:color w:val="800000"/>
                <w:sz w:val="16"/>
                <w:szCs w:val="16"/>
              </w:rPr>
              <w:t xml:space="preserve"> engagement (2) Education (3) Hand hygiene (4) Performance improvement</w:t>
            </w:r>
          </w:p>
          <w:p w14:paraId="13138EC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0591F2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Place touch-free dispensers containing hand sanitizer foam in high-traffic areas throughout the facility</w:t>
            </w:r>
          </w:p>
          <w:p w14:paraId="260C806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Implement an education program for all HCP</w:t>
            </w:r>
          </w:p>
          <w:p w14:paraId="48A768B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Present CDC HH guidelines on the timing of performing hand hygiene</w:t>
            </w:r>
          </w:p>
          <w:p w14:paraId="5968A7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Present videos demonstrating proper hand hygiene techniques</w:t>
            </w:r>
          </w:p>
          <w:p w14:paraId="1EEC830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Distribute instant hand sanitizer for personal carriage to all HCPs upon completion of the education program</w:t>
            </w:r>
          </w:p>
          <w:p w14:paraId="726B696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Mount posters promoting hand hygiene at strategic location to serve as reminders</w:t>
            </w:r>
          </w:p>
          <w:p w14:paraId="1DB66CC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Identify and reward the HCP with the best compliance</w:t>
            </w:r>
          </w:p>
          <w:p w14:paraId="7A78E81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Create a poster containing the champion’s quote about the importance of hand hygiene, a picture of him/her using the ABHR</w:t>
            </w:r>
          </w:p>
          <w:p w14:paraId="0B6C784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Involve the infection preventionist and the Director of Nursing in promoting hand hygiene in all resident care areas for all shifts</w:t>
            </w:r>
          </w:p>
          <w:p w14:paraId="5B4DE43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Provide educational information about hand hygiene program to residents at the monthly Resident’s Council meeting </w:t>
            </w:r>
          </w:p>
          <w:p w14:paraId="563948A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Promote hand hygiene in all resident care areas for all shifts from the infection preventionist and the Director of Nursing </w:t>
            </w:r>
          </w:p>
          <w:p w14:paraId="6EA528B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1276" w:type="dxa"/>
          </w:tcPr>
          <w:p w14:paraId="51183D4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Monthly HH compliance monitoring</w:t>
            </w:r>
            <w:r>
              <w:rPr>
                <w:rFonts w:ascii="Times New Roman" w:eastAsia="Times New Roman" w:hAnsi="Times New Roman" w:cs="Times New Roman"/>
                <w:sz w:val="16"/>
                <w:szCs w:val="16"/>
                <w:vertAlign w:val="superscript"/>
              </w:rPr>
              <w:footnoteReference w:id="27"/>
            </w:r>
          </w:p>
          <w:p w14:paraId="1360AD5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7EE64F7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Staff compliance</w:t>
            </w:r>
            <w:r>
              <w:rPr>
                <w:rFonts w:ascii="Times New Roman" w:eastAsia="Times New Roman" w:hAnsi="Times New Roman" w:cs="Times New Roman"/>
                <w:sz w:val="16"/>
                <w:szCs w:val="16"/>
                <w:vertAlign w:val="superscript"/>
              </w:rPr>
              <w:footnoteReference w:id="28"/>
            </w:r>
            <w:r>
              <w:rPr>
                <w:rFonts w:ascii="Times New Roman" w:eastAsia="Times New Roman" w:hAnsi="Times New Roman" w:cs="Times New Roman"/>
                <w:sz w:val="16"/>
                <w:szCs w:val="16"/>
              </w:rPr>
              <w:t xml:space="preserve"> = 259/480=54%</w:t>
            </w:r>
          </w:p>
          <w:p w14:paraId="513F3F5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*480 direct observation</w:t>
            </w:r>
          </w:p>
          <w:p w14:paraId="026E730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23ECB3F"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1E08209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2693" w:type="dxa"/>
          </w:tcPr>
          <w:p w14:paraId="38D6C5C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incident infection rates</w:t>
            </w:r>
          </w:p>
          <w:p w14:paraId="226F22D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MRSA incident infection rates (/1000 resident rate)</w:t>
            </w:r>
          </w:p>
          <w:p w14:paraId="1C99468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Pre-int.=0.53</w:t>
            </w:r>
          </w:p>
          <w:p w14:paraId="3F32DB5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Post-int.=0.55 </w:t>
            </w:r>
          </w:p>
          <w:p w14:paraId="1D158AF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(p=0.89)</w:t>
            </w:r>
          </w:p>
          <w:p w14:paraId="5E8046C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7A28D4A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VRE incident infection rate C. difficile incident infection rates</w:t>
            </w:r>
          </w:p>
          <w:p w14:paraId="0B71FA2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VRE incident infection rates (/1000 resident rate)</w:t>
            </w:r>
          </w:p>
          <w:p w14:paraId="2E95B58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Pre-int.=0.07</w:t>
            </w:r>
          </w:p>
          <w:p w14:paraId="4060F6D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Post-int.=0.05 </w:t>
            </w:r>
          </w:p>
          <w:p w14:paraId="62E9B1C6"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(p=0.80)</w:t>
            </w:r>
          </w:p>
          <w:p w14:paraId="3A55F0D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0E044D6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C. difficile incident infection rates</w:t>
            </w:r>
          </w:p>
          <w:p w14:paraId="561958B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 difficile incident infection rates (/1000 resident days)</w:t>
            </w:r>
          </w:p>
          <w:p w14:paraId="256CE2C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Pre-int.=0.08</w:t>
            </w:r>
          </w:p>
          <w:p w14:paraId="5D43FF7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Post-int.=0.04 </w:t>
            </w:r>
          </w:p>
          <w:p w14:paraId="14AD8ED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(p=0.36)</w:t>
            </w:r>
          </w:p>
          <w:p w14:paraId="614EAB6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221320B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2410" w:type="dxa"/>
          </w:tcPr>
          <w:p w14:paraId="52DB7F3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color w:val="000000"/>
                <w:sz w:val="16"/>
                <w:szCs w:val="16"/>
              </w:rPr>
              <w:t xml:space="preserve">The comprehensive hand hygiene program was not effective in reducing MRSA-, VRE-, and </w:t>
            </w:r>
            <w:proofErr w:type="spellStart"/>
            <w:r>
              <w:rPr>
                <w:rFonts w:ascii="Times New Roman" w:eastAsia="Times New Roman" w:hAnsi="Times New Roman" w:cs="Times New Roman"/>
                <w:color w:val="000000"/>
                <w:sz w:val="16"/>
                <w:szCs w:val="16"/>
              </w:rPr>
              <w:t>C.diff</w:t>
            </w:r>
            <w:proofErr w:type="spellEnd"/>
            <w:r>
              <w:rPr>
                <w:rFonts w:ascii="Times New Roman" w:eastAsia="Times New Roman" w:hAnsi="Times New Roman" w:cs="Times New Roman"/>
                <w:color w:val="000000"/>
                <w:sz w:val="16"/>
                <w:szCs w:val="16"/>
              </w:rPr>
              <w:t xml:space="preserve">-related infections in the LTCF. </w:t>
            </w:r>
          </w:p>
        </w:tc>
      </w:tr>
      <w:tr w:rsidR="00CF5F09" w14:paraId="7D290692" w14:textId="77777777">
        <w:tc>
          <w:tcPr>
            <w:cnfStyle w:val="001000000000" w:firstRow="0" w:lastRow="0" w:firstColumn="1" w:lastColumn="0" w:oddVBand="0" w:evenVBand="0" w:oddHBand="0" w:evenHBand="0" w:firstRowFirstColumn="0" w:firstRowLastColumn="0" w:lastRowFirstColumn="0" w:lastRowLastColumn="0"/>
            <w:tcW w:w="988" w:type="dxa"/>
          </w:tcPr>
          <w:p w14:paraId="204E281A" w14:textId="4F2E375A" w:rsidR="00CF5F09" w:rsidRDefault="00377EB0" w:rsidP="00E84B74">
            <w:pP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Silverblatt</w:t>
            </w:r>
            <w:proofErr w:type="spellEnd"/>
            <w:r>
              <w:rPr>
                <w:rFonts w:ascii="Times New Roman" w:eastAsia="Times New Roman" w:hAnsi="Times New Roman" w:cs="Times New Roman"/>
                <w:sz w:val="16"/>
                <w:szCs w:val="16"/>
              </w:rPr>
              <w:t xml:space="preserve"> et al. (2000), US</w:t>
            </w:r>
            <w:r w:rsidR="00DF166B">
              <w:rPr>
                <w:rFonts w:ascii="Times New Roman" w:eastAsia="Times New Roman" w:hAnsi="Times New Roman" w:cs="Times New Roman"/>
                <w:sz w:val="16"/>
                <w:szCs w:val="16"/>
              </w:rPr>
              <w:t xml:space="preserve"> </w:t>
            </w:r>
          </w:p>
        </w:tc>
        <w:tc>
          <w:tcPr>
            <w:tcW w:w="850" w:type="dxa"/>
          </w:tcPr>
          <w:p w14:paraId="716539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1996, 32mths</w:t>
            </w:r>
          </w:p>
        </w:tc>
        <w:tc>
          <w:tcPr>
            <w:tcW w:w="1139" w:type="dxa"/>
          </w:tcPr>
          <w:p w14:paraId="534A65C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Uncontrolled interrupted </w:t>
            </w:r>
            <w:r>
              <w:rPr>
                <w:rFonts w:ascii="Times New Roman" w:eastAsia="Times New Roman" w:hAnsi="Times New Roman" w:cs="Times New Roman"/>
                <w:sz w:val="16"/>
                <w:szCs w:val="16"/>
              </w:rPr>
              <w:lastRenderedPageBreak/>
              <w:t>time series study</w:t>
            </w:r>
          </w:p>
          <w:p w14:paraId="682ED2F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6760218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Historical control </w:t>
            </w:r>
          </w:p>
          <w:p w14:paraId="6DF2082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color w:val="C00000"/>
                <w:sz w:val="16"/>
                <w:szCs w:val="16"/>
              </w:rPr>
              <w:t xml:space="preserve"> </w:t>
            </w:r>
          </w:p>
        </w:tc>
        <w:tc>
          <w:tcPr>
            <w:tcW w:w="992" w:type="dxa"/>
          </w:tcPr>
          <w:p w14:paraId="7930E7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A NH</w:t>
            </w:r>
          </w:p>
          <w:p w14:paraId="6428B10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081C361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 xml:space="preserve">(1) Barrier precaution (2) Decolonization (3) Education (4) Hand hygiene </w:t>
            </w:r>
          </w:p>
          <w:p w14:paraId="3D53839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7ED22E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active surveillance</w:t>
            </w:r>
          </w:p>
          <w:p w14:paraId="6F6013D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Screen for VRE on admission and discharge</w:t>
            </w:r>
          </w:p>
          <w:p w14:paraId="53E4F8F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Isolate colonized/infected residents</w:t>
            </w:r>
          </w:p>
          <w:p w14:paraId="1230E77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Use oral bacitracin to decolonize VRE positive residents</w:t>
            </w:r>
          </w:p>
          <w:p w14:paraId="792B923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Repeat rectal swab for VRE-positive residents monthly until negative</w:t>
            </w:r>
          </w:p>
          <w:p w14:paraId="17965D9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Place VRE-colonized or -infected residents in individual rooms or cohort with another VRE-positive resident</w:t>
            </w:r>
          </w:p>
          <w:p w14:paraId="7E90660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Allow residents to leave their rooms if they were competent to follow hand washing instructions</w:t>
            </w:r>
          </w:p>
          <w:p w14:paraId="04A813E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Allow residents to leave their rooms with supervision if they were not competent to follow hand washing instruction</w:t>
            </w:r>
          </w:p>
          <w:p w14:paraId="3F0F950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Wear clean clothes and leave all personal articles inside their rooms, including wheelchairs, outside their rooms</w:t>
            </w:r>
          </w:p>
          <w:p w14:paraId="53D5E64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Instruct caregiver to don gowns and gloves before entering the room of colonized residents</w:t>
            </w:r>
          </w:p>
          <w:p w14:paraId="4FF0AB8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Enforce hand washing strictly for personnel</w:t>
            </w:r>
          </w:p>
          <w:p w14:paraId="5EF1438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Require personnel to rinse with an alcohol-based waterless skin disinfectant after washing</w:t>
            </w:r>
          </w:p>
          <w:p w14:paraId="68B8FBB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Give all staff and family members instructions on the isolation techniques</w:t>
            </w:r>
          </w:p>
          <w:p w14:paraId="1B9E967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Label rooms suitably at their entrance</w:t>
            </w:r>
          </w:p>
          <w:p w14:paraId="2DFF496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5AF6C5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25DB94A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73E3999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N=199</w:t>
            </w:r>
          </w:p>
        </w:tc>
        <w:tc>
          <w:tcPr>
            <w:tcW w:w="2693" w:type="dxa"/>
          </w:tcPr>
          <w:p w14:paraId="7D8859D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VRE (R) colonization</w:t>
            </w:r>
          </w:p>
          <w:p w14:paraId="72ECB16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7D5DA95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lastRenderedPageBreak/>
              <w:t>Prevalence</w:t>
            </w:r>
            <w:r>
              <w:rPr>
                <w:rFonts w:ascii="Times New Roman" w:eastAsia="Times New Roman" w:hAnsi="Times New Roman" w:cs="Times New Roman"/>
                <w:b/>
                <w:color w:val="000000"/>
                <w:sz w:val="16"/>
                <w:szCs w:val="16"/>
                <w:vertAlign w:val="superscript"/>
              </w:rPr>
              <w:footnoteReference w:id="29"/>
            </w:r>
          </w:p>
          <w:p w14:paraId="6D90365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Pre-int.=0/69</w:t>
            </w:r>
          </w:p>
          <w:p w14:paraId="5082638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Post-int.=0/130</w:t>
            </w:r>
          </w:p>
          <w:p w14:paraId="35301DE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11F8498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Adherence to infection control practices by the patient care staff of the LTCF was associated with </w:t>
            </w:r>
            <w:r>
              <w:rPr>
                <w:rFonts w:ascii="Times New Roman" w:eastAsia="Times New Roman" w:hAnsi="Times New Roman" w:cs="Times New Roman"/>
                <w:sz w:val="16"/>
                <w:szCs w:val="16"/>
              </w:rPr>
              <w:lastRenderedPageBreak/>
              <w:t>the absence of transmission of VRE colonization among its residents. The presence of rectal colonization with VRE in an acute care patient should not be a barrier to acceptance in a nursing home.</w:t>
            </w:r>
          </w:p>
        </w:tc>
      </w:tr>
      <w:tr w:rsidR="00CF5F09" w14:paraId="20DD459B" w14:textId="77777777">
        <w:tc>
          <w:tcPr>
            <w:cnfStyle w:val="001000000000" w:firstRow="0" w:lastRow="0" w:firstColumn="1" w:lastColumn="0" w:oddVBand="0" w:evenVBand="0" w:oddHBand="0" w:evenHBand="0" w:firstRowFirstColumn="0" w:firstRowLastColumn="0" w:lastRowFirstColumn="0" w:lastRowLastColumn="0"/>
            <w:tcW w:w="988" w:type="dxa"/>
          </w:tcPr>
          <w:p w14:paraId="29EE0308" w14:textId="3E840B8B"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Singh et al. (2018), US</w:t>
            </w:r>
            <w:r w:rsidR="00DF166B">
              <w:rPr>
                <w:rFonts w:ascii="Times New Roman" w:eastAsia="Times New Roman" w:hAnsi="Times New Roman" w:cs="Times New Roman"/>
                <w:sz w:val="16"/>
                <w:szCs w:val="16"/>
              </w:rPr>
              <w:t xml:space="preserve"> </w:t>
            </w:r>
          </w:p>
        </w:tc>
        <w:tc>
          <w:tcPr>
            <w:tcW w:w="850" w:type="dxa"/>
          </w:tcPr>
          <w:p w14:paraId="2AF7044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2014, 33 </w:t>
            </w:r>
            <w:proofErr w:type="spellStart"/>
            <w:r>
              <w:rPr>
                <w:rFonts w:ascii="Times New Roman" w:eastAsia="Times New Roman" w:hAnsi="Times New Roman" w:cs="Times New Roman"/>
                <w:sz w:val="16"/>
                <w:szCs w:val="16"/>
              </w:rPr>
              <w:t>mths</w:t>
            </w:r>
            <w:proofErr w:type="spellEnd"/>
          </w:p>
        </w:tc>
        <w:tc>
          <w:tcPr>
            <w:tcW w:w="1139" w:type="dxa"/>
          </w:tcPr>
          <w:p w14:paraId="616BDE6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023EE6C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4227912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Historical control </w:t>
            </w:r>
          </w:p>
        </w:tc>
        <w:tc>
          <w:tcPr>
            <w:tcW w:w="992" w:type="dxa"/>
          </w:tcPr>
          <w:p w14:paraId="02F8FFA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132 Veterans </w:t>
            </w:r>
            <w:r>
              <w:rPr>
                <w:rFonts w:ascii="Times New Roman" w:eastAsia="Times New Roman" w:hAnsi="Times New Roman" w:cs="Times New Roman"/>
                <w:sz w:val="16"/>
                <w:szCs w:val="16"/>
              </w:rPr>
              <w:lastRenderedPageBreak/>
              <w:t>Affairs facilities</w:t>
            </w:r>
          </w:p>
        </w:tc>
        <w:tc>
          <w:tcPr>
            <w:tcW w:w="2552" w:type="dxa"/>
          </w:tcPr>
          <w:p w14:paraId="2574A321"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lastRenderedPageBreak/>
              <w:t xml:space="preserve">(1) Administrative engagement (2) Barrier precaution (3) </w:t>
            </w:r>
            <w:r>
              <w:rPr>
                <w:rFonts w:ascii="Times New Roman" w:eastAsia="Times New Roman" w:hAnsi="Times New Roman" w:cs="Times New Roman"/>
                <w:b/>
                <w:color w:val="800000"/>
                <w:sz w:val="16"/>
                <w:szCs w:val="16"/>
              </w:rPr>
              <w:lastRenderedPageBreak/>
              <w:t xml:space="preserve">Environmental cleansing (4) Education (5) Hand hygiene </w:t>
            </w:r>
          </w:p>
          <w:p w14:paraId="06A2ED5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33776CC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Clean the environmental </w:t>
            </w:r>
          </w:p>
          <w:p w14:paraId="07960B0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Perform hand hygiene</w:t>
            </w:r>
          </w:p>
          <w:p w14:paraId="2230FBF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Perform contact precautions for suspected or documented </w:t>
            </w:r>
            <w:proofErr w:type="spellStart"/>
            <w:r>
              <w:rPr>
                <w:rFonts w:ascii="Times New Roman" w:eastAsia="Times New Roman" w:hAnsi="Times New Roman" w:cs="Times New Roman"/>
                <w:sz w:val="16"/>
                <w:szCs w:val="16"/>
              </w:rPr>
              <w:t>C.diff</w:t>
            </w:r>
            <w:proofErr w:type="spellEnd"/>
            <w:r>
              <w:rPr>
                <w:rFonts w:ascii="Times New Roman" w:eastAsia="Times New Roman" w:hAnsi="Times New Roman" w:cs="Times New Roman"/>
                <w:sz w:val="16"/>
                <w:szCs w:val="16"/>
              </w:rPr>
              <w:t>. cases</w:t>
            </w:r>
          </w:p>
          <w:p w14:paraId="4C3FA52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An institutional culture change in which infection control becomes everyone’s business</w:t>
            </w:r>
          </w:p>
          <w:p w14:paraId="40AE876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28D5EE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1276" w:type="dxa"/>
          </w:tcPr>
          <w:p w14:paraId="047E674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NS</w:t>
            </w:r>
          </w:p>
        </w:tc>
        <w:tc>
          <w:tcPr>
            <w:tcW w:w="1134" w:type="dxa"/>
          </w:tcPr>
          <w:p w14:paraId="004D2B2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N=9288098 resident days</w:t>
            </w:r>
          </w:p>
        </w:tc>
        <w:tc>
          <w:tcPr>
            <w:tcW w:w="2693" w:type="dxa"/>
          </w:tcPr>
          <w:p w14:paraId="2B7E04AD"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roofErr w:type="spellStart"/>
            <w:r>
              <w:rPr>
                <w:rFonts w:ascii="Times New Roman" w:eastAsia="Times New Roman" w:hAnsi="Times New Roman" w:cs="Times New Roman"/>
                <w:b/>
                <w:color w:val="800000"/>
                <w:sz w:val="16"/>
                <w:szCs w:val="16"/>
              </w:rPr>
              <w:t>C.diff</w:t>
            </w:r>
            <w:proofErr w:type="spellEnd"/>
            <w:r>
              <w:rPr>
                <w:rFonts w:ascii="Times New Roman" w:eastAsia="Times New Roman" w:hAnsi="Times New Roman" w:cs="Times New Roman"/>
                <w:b/>
                <w:color w:val="800000"/>
                <w:sz w:val="16"/>
                <w:szCs w:val="16"/>
              </w:rPr>
              <w:t>. infection</w:t>
            </w:r>
            <w:r>
              <w:rPr>
                <w:rFonts w:ascii="Times New Roman" w:eastAsia="Times New Roman" w:hAnsi="Times New Roman" w:cs="Times New Roman"/>
                <w:b/>
                <w:color w:val="800000"/>
                <w:sz w:val="16"/>
                <w:szCs w:val="16"/>
                <w:vertAlign w:val="superscript"/>
              </w:rPr>
              <w:footnoteReference w:id="30"/>
            </w:r>
            <w:r>
              <w:rPr>
                <w:rFonts w:ascii="Times New Roman" w:eastAsia="Times New Roman" w:hAnsi="Times New Roman" w:cs="Times New Roman"/>
                <w:b/>
                <w:color w:val="800000"/>
                <w:sz w:val="16"/>
                <w:szCs w:val="16"/>
              </w:rPr>
              <w:t xml:space="preserve"> (/10000 resident days)</w:t>
            </w:r>
          </w:p>
          <w:p w14:paraId="6450C86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0A23F01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Pre-int.=1.98</w:t>
            </w:r>
          </w:p>
          <w:p w14:paraId="1FBD8E9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Post-int.(33mths)=1.26</w:t>
            </w:r>
          </w:p>
          <w:p w14:paraId="461455E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800000"/>
                <w:sz w:val="16"/>
                <w:szCs w:val="16"/>
              </w:rPr>
            </w:pPr>
          </w:p>
        </w:tc>
        <w:tc>
          <w:tcPr>
            <w:tcW w:w="2410" w:type="dxa"/>
          </w:tcPr>
          <w:p w14:paraId="153156D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 xml:space="preserve">The nationwide number of clinically confirmed LTCF-onset </w:t>
            </w:r>
            <w:proofErr w:type="spellStart"/>
            <w:r>
              <w:rPr>
                <w:rFonts w:ascii="Times New Roman" w:eastAsia="Times New Roman" w:hAnsi="Times New Roman" w:cs="Times New Roman"/>
                <w:sz w:val="16"/>
                <w:szCs w:val="16"/>
              </w:rPr>
              <w:t>C.diff</w:t>
            </w:r>
            <w:proofErr w:type="spellEnd"/>
            <w:r>
              <w:rPr>
                <w:rFonts w:ascii="Times New Roman" w:eastAsia="Times New Roman" w:hAnsi="Times New Roman" w:cs="Times New Roman"/>
                <w:sz w:val="16"/>
                <w:szCs w:val="16"/>
              </w:rPr>
              <w:t xml:space="preserve">. cases decreased 36.1% in </w:t>
            </w:r>
            <w:r>
              <w:rPr>
                <w:rFonts w:ascii="Times New Roman" w:eastAsia="Times New Roman" w:hAnsi="Times New Roman" w:cs="Times New Roman"/>
                <w:sz w:val="16"/>
                <w:szCs w:val="16"/>
              </w:rPr>
              <w:lastRenderedPageBreak/>
              <w:t xml:space="preserve">the subsequent 33-month analysis period. </w:t>
            </w:r>
          </w:p>
        </w:tc>
      </w:tr>
      <w:tr w:rsidR="00CF5F09" w14:paraId="0E13B114" w14:textId="77777777">
        <w:tc>
          <w:tcPr>
            <w:cnfStyle w:val="001000000000" w:firstRow="0" w:lastRow="0" w:firstColumn="1" w:lastColumn="0" w:oddVBand="0" w:evenVBand="0" w:oddHBand="0" w:evenHBand="0" w:firstRowFirstColumn="0" w:firstRowLastColumn="0" w:lastRowFirstColumn="0" w:lastRowLastColumn="0"/>
            <w:tcW w:w="988" w:type="dxa"/>
          </w:tcPr>
          <w:p w14:paraId="63C41A6E" w14:textId="23D018B5" w:rsidR="00CF5F09" w:rsidRDefault="00377EB0" w:rsidP="00E84B74">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Thomas et al. (1989), US</w:t>
            </w:r>
            <w:r w:rsidR="00DF166B" w:rsidRPr="00DF166B">
              <w:rPr>
                <w:rFonts w:ascii="Times New Roman" w:eastAsia="Times New Roman" w:hAnsi="Times New Roman" w:cs="Times New Roman"/>
                <w:sz w:val="16"/>
                <w:szCs w:val="16"/>
              </w:rPr>
              <w:t xml:space="preserve"> </w:t>
            </w:r>
          </w:p>
        </w:tc>
        <w:tc>
          <w:tcPr>
            <w:tcW w:w="850" w:type="dxa"/>
          </w:tcPr>
          <w:p w14:paraId="7536E6F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1987, 3mths</w:t>
            </w:r>
          </w:p>
        </w:tc>
        <w:tc>
          <w:tcPr>
            <w:tcW w:w="1139" w:type="dxa"/>
          </w:tcPr>
          <w:p w14:paraId="56479F58"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Uncontrolled before-after study</w:t>
            </w:r>
          </w:p>
          <w:p w14:paraId="14B8D88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p w14:paraId="12565EB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Historical control</w:t>
            </w:r>
          </w:p>
        </w:tc>
        <w:tc>
          <w:tcPr>
            <w:tcW w:w="992" w:type="dxa"/>
          </w:tcPr>
          <w:p w14:paraId="167BB559"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A LTCF</w:t>
            </w:r>
          </w:p>
        </w:tc>
        <w:tc>
          <w:tcPr>
            <w:tcW w:w="2552" w:type="dxa"/>
          </w:tcPr>
          <w:p w14:paraId="22E8D347"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(1) Barrier precaution (2) Education</w:t>
            </w:r>
          </w:p>
          <w:p w14:paraId="58FE0A4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24DC5A0C"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Move MRSA positive residents into a designated ward</w:t>
            </w:r>
          </w:p>
          <w:p w14:paraId="3477508F"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Assign employees MRSA cases into the same ward</w:t>
            </w:r>
          </w:p>
          <w:p w14:paraId="605A3B64"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color w:val="000000"/>
                <w:sz w:val="16"/>
                <w:szCs w:val="16"/>
              </w:rPr>
              <w:t>- Educate the employees on hygiene measures to prevent transmission of the organism</w:t>
            </w:r>
          </w:p>
        </w:tc>
        <w:tc>
          <w:tcPr>
            <w:tcW w:w="1276" w:type="dxa"/>
          </w:tcPr>
          <w:p w14:paraId="00A5431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NS</w:t>
            </w:r>
          </w:p>
        </w:tc>
        <w:tc>
          <w:tcPr>
            <w:tcW w:w="1134" w:type="dxa"/>
          </w:tcPr>
          <w:p w14:paraId="5F0AD7EA"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N=164</w:t>
            </w:r>
          </w:p>
        </w:tc>
        <w:tc>
          <w:tcPr>
            <w:tcW w:w="2693" w:type="dxa"/>
          </w:tcPr>
          <w:p w14:paraId="3E0A05B3"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 (N) colonization</w:t>
            </w:r>
          </w:p>
          <w:p w14:paraId="2189733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311651B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Prevalence</w:t>
            </w:r>
          </w:p>
          <w:p w14:paraId="404889B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39D7A425"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Pre-int.=12/164 (7.3%)</w:t>
            </w:r>
          </w:p>
          <w:p w14:paraId="20C0EC8B"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Post-int.(3mths)=10/166 (6.0%)</w:t>
            </w:r>
          </w:p>
          <w:p w14:paraId="243F66D1"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p w14:paraId="2F581CFE"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r>
              <w:rPr>
                <w:rFonts w:ascii="Times New Roman" w:eastAsia="Times New Roman" w:hAnsi="Times New Roman" w:cs="Times New Roman"/>
                <w:b/>
                <w:color w:val="800000"/>
                <w:sz w:val="16"/>
                <w:szCs w:val="16"/>
              </w:rPr>
              <w:t>MRSA-related infections</w:t>
            </w:r>
          </w:p>
          <w:p w14:paraId="625D178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p w14:paraId="285CC5C0"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Pre-int.=3/164 (1.8%)</w:t>
            </w:r>
          </w:p>
          <w:p w14:paraId="0A1B2E9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Post-int.=1/166 (0.6%)</w:t>
            </w:r>
          </w:p>
          <w:p w14:paraId="4FD6460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rPr>
            </w:pPr>
          </w:p>
        </w:tc>
        <w:tc>
          <w:tcPr>
            <w:tcW w:w="2410" w:type="dxa"/>
          </w:tcPr>
          <w:p w14:paraId="6A490362" w14:textId="77777777" w:rsidR="00CF5F09" w:rsidRDefault="00377E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Modest control measures reduced MRSA colonization and its related infections among residents in the LTCF. </w:t>
            </w:r>
          </w:p>
        </w:tc>
      </w:tr>
      <w:tr w:rsidR="00CF5F09" w14:paraId="42C6EBCD" w14:textId="77777777">
        <w:tc>
          <w:tcPr>
            <w:cnfStyle w:val="001000000000" w:firstRow="0" w:lastRow="0" w:firstColumn="1" w:lastColumn="0" w:oddVBand="0" w:evenVBand="0" w:oddHBand="0" w:evenHBand="0" w:firstRowFirstColumn="0" w:firstRowLastColumn="0" w:lastRowFirstColumn="0" w:lastRowLastColumn="0"/>
            <w:tcW w:w="988" w:type="dxa"/>
          </w:tcPr>
          <w:p w14:paraId="247D0404" w14:textId="77777777" w:rsidR="00CF5F09" w:rsidRDefault="00CF5F09">
            <w:pPr>
              <w:rPr>
                <w:rFonts w:ascii="Times New Roman" w:eastAsia="Times New Roman" w:hAnsi="Times New Roman" w:cs="Times New Roman"/>
                <w:sz w:val="16"/>
                <w:szCs w:val="16"/>
              </w:rPr>
            </w:pPr>
          </w:p>
        </w:tc>
        <w:tc>
          <w:tcPr>
            <w:tcW w:w="850" w:type="dxa"/>
          </w:tcPr>
          <w:p w14:paraId="6B0FC65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9" w:type="dxa"/>
          </w:tcPr>
          <w:p w14:paraId="573832D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2202860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552" w:type="dxa"/>
          </w:tcPr>
          <w:p w14:paraId="55DC3E9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1276" w:type="dxa"/>
          </w:tcPr>
          <w:p w14:paraId="7D59F95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7FBFCB0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7BDBF95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410" w:type="dxa"/>
          </w:tcPr>
          <w:p w14:paraId="40F99B48"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034D5094" w14:textId="77777777">
        <w:tc>
          <w:tcPr>
            <w:cnfStyle w:val="001000000000" w:firstRow="0" w:lastRow="0" w:firstColumn="1" w:lastColumn="0" w:oddVBand="0" w:evenVBand="0" w:oddHBand="0" w:evenHBand="0" w:firstRowFirstColumn="0" w:firstRowLastColumn="0" w:lastRowFirstColumn="0" w:lastRowLastColumn="0"/>
            <w:tcW w:w="988" w:type="dxa"/>
          </w:tcPr>
          <w:p w14:paraId="6450FEB9" w14:textId="77777777" w:rsidR="00CF5F09" w:rsidRDefault="00CF5F09">
            <w:pPr>
              <w:rPr>
                <w:rFonts w:ascii="Times New Roman" w:eastAsia="Times New Roman" w:hAnsi="Times New Roman" w:cs="Times New Roman"/>
                <w:sz w:val="16"/>
                <w:szCs w:val="16"/>
              </w:rPr>
            </w:pPr>
          </w:p>
        </w:tc>
        <w:tc>
          <w:tcPr>
            <w:tcW w:w="850" w:type="dxa"/>
          </w:tcPr>
          <w:p w14:paraId="1248E497"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9" w:type="dxa"/>
          </w:tcPr>
          <w:p w14:paraId="11761F1E"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7B94867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0BF7181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2162E479"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69E3B47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5F8E65F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74EB55F3"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3997EE11" w14:textId="77777777" w:rsidTr="00686C89">
        <w:trPr>
          <w:trHeight w:val="89"/>
        </w:trPr>
        <w:tc>
          <w:tcPr>
            <w:cnfStyle w:val="001000000000" w:firstRow="0" w:lastRow="0" w:firstColumn="1" w:lastColumn="0" w:oddVBand="0" w:evenVBand="0" w:oddHBand="0" w:evenHBand="0" w:firstRowFirstColumn="0" w:firstRowLastColumn="0" w:lastRowFirstColumn="0" w:lastRowLastColumn="0"/>
            <w:tcW w:w="988" w:type="dxa"/>
          </w:tcPr>
          <w:p w14:paraId="4818F6A3" w14:textId="77777777" w:rsidR="00CF5F09" w:rsidRDefault="00CF5F09">
            <w:pPr>
              <w:rPr>
                <w:rFonts w:ascii="Times New Roman" w:eastAsia="Times New Roman" w:hAnsi="Times New Roman" w:cs="Times New Roman"/>
                <w:sz w:val="16"/>
                <w:szCs w:val="16"/>
              </w:rPr>
            </w:pPr>
          </w:p>
        </w:tc>
        <w:tc>
          <w:tcPr>
            <w:tcW w:w="850" w:type="dxa"/>
          </w:tcPr>
          <w:p w14:paraId="00BA9FE4"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9" w:type="dxa"/>
          </w:tcPr>
          <w:p w14:paraId="12949BB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6A2568B5"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382ECED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76C10F0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676A56FB"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7597DA7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5DA5B83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r w:rsidR="00CF5F09" w14:paraId="6C02490B" w14:textId="77777777" w:rsidTr="00CF5F09">
        <w:trPr>
          <w:trHeight w:val="68"/>
        </w:trPr>
        <w:tc>
          <w:tcPr>
            <w:cnfStyle w:val="001000000000" w:firstRow="0" w:lastRow="0" w:firstColumn="1" w:lastColumn="0" w:oddVBand="0" w:evenVBand="0" w:oddHBand="0" w:evenHBand="0" w:firstRowFirstColumn="0" w:firstRowLastColumn="0" w:lastRowFirstColumn="0" w:lastRowLastColumn="0"/>
            <w:tcW w:w="988" w:type="dxa"/>
          </w:tcPr>
          <w:p w14:paraId="1494D9D8" w14:textId="77777777" w:rsidR="00CF5F09" w:rsidRDefault="00CF5F09">
            <w:pPr>
              <w:rPr>
                <w:rFonts w:ascii="Times New Roman" w:eastAsia="Times New Roman" w:hAnsi="Times New Roman" w:cs="Times New Roman"/>
                <w:sz w:val="16"/>
                <w:szCs w:val="16"/>
              </w:rPr>
            </w:pPr>
          </w:p>
        </w:tc>
        <w:tc>
          <w:tcPr>
            <w:tcW w:w="850" w:type="dxa"/>
          </w:tcPr>
          <w:p w14:paraId="2D75FAE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9" w:type="dxa"/>
          </w:tcPr>
          <w:p w14:paraId="22264130"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992" w:type="dxa"/>
          </w:tcPr>
          <w:p w14:paraId="309F91CD"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800000"/>
                <w:sz w:val="16"/>
                <w:szCs w:val="16"/>
              </w:rPr>
            </w:pPr>
          </w:p>
        </w:tc>
        <w:tc>
          <w:tcPr>
            <w:tcW w:w="2552" w:type="dxa"/>
          </w:tcPr>
          <w:p w14:paraId="74A9244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276" w:type="dxa"/>
          </w:tcPr>
          <w:p w14:paraId="17E1006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1134" w:type="dxa"/>
          </w:tcPr>
          <w:p w14:paraId="2DDA003C"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693" w:type="dxa"/>
          </w:tcPr>
          <w:p w14:paraId="1F47BED6"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c>
          <w:tcPr>
            <w:tcW w:w="2410" w:type="dxa"/>
          </w:tcPr>
          <w:p w14:paraId="1E70E4B2" w14:textId="77777777" w:rsidR="00CF5F09" w:rsidRDefault="00CF5F0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p>
        </w:tc>
      </w:tr>
    </w:tbl>
    <w:p w14:paraId="2EB916AB" w14:textId="77777777" w:rsidR="00CF5F09" w:rsidRDefault="00CF5F09">
      <w:pPr>
        <w:rPr>
          <w:rFonts w:ascii="Times New Roman" w:eastAsia="Times New Roman" w:hAnsi="Times New Roman" w:cs="Times New Roman"/>
        </w:rPr>
        <w:sectPr w:rsidR="00CF5F09" w:rsidSect="00686C89">
          <w:footerReference w:type="even" r:id="rId9"/>
          <w:footerReference w:type="default" r:id="rId10"/>
          <w:pgSz w:w="16838" w:h="11906" w:orient="landscape"/>
          <w:pgMar w:top="1440" w:right="1440" w:bottom="1440" w:left="1440" w:header="709" w:footer="709" w:gutter="0"/>
          <w:cols w:space="720"/>
        </w:sectPr>
      </w:pPr>
    </w:p>
    <w:p w14:paraId="0DA778B6" w14:textId="77777777" w:rsidR="00CF5F09" w:rsidRDefault="00377EB0">
      <w:pPr>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 xml:space="preserve">Abbreviations: </w:t>
      </w:r>
    </w:p>
    <w:p w14:paraId="6CCEA8BE"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CI, confidence interval; </w:t>
      </w:r>
      <w:proofErr w:type="spellStart"/>
      <w:r>
        <w:rPr>
          <w:rFonts w:ascii="Times New Roman" w:eastAsia="Times New Roman" w:hAnsi="Times New Roman" w:cs="Times New Roman"/>
          <w:sz w:val="20"/>
          <w:szCs w:val="20"/>
        </w:rPr>
        <w:t>cnt</w:t>
      </w:r>
      <w:proofErr w:type="spellEnd"/>
      <w:r>
        <w:rPr>
          <w:rFonts w:ascii="Times New Roman" w:eastAsia="Times New Roman" w:hAnsi="Times New Roman" w:cs="Times New Roman"/>
          <w:sz w:val="20"/>
          <w:szCs w:val="20"/>
        </w:rPr>
        <w:t xml:space="preserve">, control; </w:t>
      </w:r>
      <w:proofErr w:type="spellStart"/>
      <w:r>
        <w:rPr>
          <w:rFonts w:ascii="Times New Roman" w:eastAsia="Times New Roman" w:hAnsi="Times New Roman" w:cs="Times New Roman"/>
          <w:sz w:val="20"/>
          <w:szCs w:val="20"/>
        </w:rPr>
        <w:t>int</w:t>
      </w:r>
      <w:proofErr w:type="spellEnd"/>
      <w:r>
        <w:rPr>
          <w:rFonts w:ascii="Times New Roman" w:eastAsia="Times New Roman" w:hAnsi="Times New Roman" w:cs="Times New Roman"/>
          <w:sz w:val="20"/>
          <w:szCs w:val="20"/>
        </w:rPr>
        <w:t xml:space="preserve">, intervention; IRR, incidence rate ratio; </w:t>
      </w:r>
      <w:proofErr w:type="spellStart"/>
      <w:r>
        <w:rPr>
          <w:rFonts w:ascii="Times New Roman" w:eastAsia="Times New Roman" w:hAnsi="Times New Roman" w:cs="Times New Roman"/>
          <w:sz w:val="20"/>
          <w:szCs w:val="20"/>
        </w:rPr>
        <w:t>mth</w:t>
      </w:r>
      <w:proofErr w:type="spellEnd"/>
      <w:r>
        <w:rPr>
          <w:rFonts w:ascii="Times New Roman" w:eastAsia="Times New Roman" w:hAnsi="Times New Roman" w:cs="Times New Roman"/>
          <w:sz w:val="20"/>
          <w:szCs w:val="20"/>
        </w:rPr>
        <w:t>, month; No., number; NS, not specified; RR, relative risk</w:t>
      </w:r>
    </w:p>
    <w:p w14:paraId="4F2C7DEE" w14:textId="77777777" w:rsidR="00CF5F09" w:rsidRDefault="00CF5F09">
      <w:pPr>
        <w:rPr>
          <w:rFonts w:ascii="Times New Roman" w:eastAsia="Times New Roman" w:hAnsi="Times New Roman" w:cs="Times New Roman"/>
          <w:sz w:val="20"/>
          <w:szCs w:val="20"/>
        </w:rPr>
      </w:pPr>
    </w:p>
    <w:p w14:paraId="78E7E581"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BSI, bloodstream infection; </w:t>
      </w:r>
      <w:proofErr w:type="spellStart"/>
      <w:r>
        <w:rPr>
          <w:rFonts w:ascii="Times New Roman" w:eastAsia="Times New Roman" w:hAnsi="Times New Roman" w:cs="Times New Roman"/>
          <w:sz w:val="20"/>
          <w:szCs w:val="20"/>
        </w:rPr>
        <w:t>C.diff</w:t>
      </w:r>
      <w:proofErr w:type="spellEnd"/>
      <w:r>
        <w:rPr>
          <w:rFonts w:ascii="Times New Roman" w:eastAsia="Times New Roman" w:hAnsi="Times New Roman" w:cs="Times New Roman"/>
          <w:sz w:val="20"/>
          <w:szCs w:val="20"/>
        </w:rPr>
        <w:t xml:space="preserve">, clostridium difficile infection; CTZ-R, ceftazidime-resistant; CIP-R, ciprofloxacin-resistant; CRE, </w:t>
      </w:r>
      <w:proofErr w:type="spellStart"/>
      <w:r>
        <w:rPr>
          <w:rFonts w:ascii="Times New Roman" w:eastAsia="Times New Roman" w:hAnsi="Times New Roman" w:cs="Times New Roman"/>
          <w:sz w:val="20"/>
          <w:szCs w:val="20"/>
        </w:rPr>
        <w:t>carbapenem</w:t>
      </w:r>
      <w:proofErr w:type="spellEnd"/>
      <w:r>
        <w:rPr>
          <w:rFonts w:ascii="Times New Roman" w:eastAsia="Times New Roman" w:hAnsi="Times New Roman" w:cs="Times New Roman"/>
          <w:sz w:val="20"/>
          <w:szCs w:val="20"/>
        </w:rPr>
        <w:t xml:space="preserve">-resistant </w:t>
      </w:r>
      <w:proofErr w:type="spellStart"/>
      <w:r>
        <w:rPr>
          <w:rFonts w:ascii="Times New Roman" w:eastAsia="Times New Roman" w:hAnsi="Times New Roman" w:cs="Times New Roman"/>
          <w:sz w:val="20"/>
          <w:szCs w:val="20"/>
        </w:rPr>
        <w:t>enterobacteriaceae</w:t>
      </w:r>
      <w:proofErr w:type="spellEnd"/>
      <w:r>
        <w:rPr>
          <w:rFonts w:ascii="Times New Roman" w:eastAsia="Times New Roman" w:hAnsi="Times New Roman" w:cs="Times New Roman"/>
          <w:sz w:val="20"/>
          <w:szCs w:val="20"/>
        </w:rPr>
        <w:t xml:space="preserve">; GNB, Gram-negative bacteria; HAI, health care-associated infection; KPC, </w:t>
      </w:r>
      <w:proofErr w:type="spellStart"/>
      <w:r>
        <w:rPr>
          <w:rFonts w:ascii="Times New Roman" w:eastAsia="Times New Roman" w:hAnsi="Times New Roman" w:cs="Times New Roman"/>
          <w:sz w:val="20"/>
          <w:szCs w:val="20"/>
        </w:rPr>
        <w:t>klebsiella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pneumoniae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carbapenemase</w:t>
      </w:r>
      <w:proofErr w:type="spellEnd"/>
      <w:r>
        <w:rPr>
          <w:rFonts w:ascii="Times New Roman" w:eastAsia="Times New Roman" w:hAnsi="Times New Roman" w:cs="Times New Roman"/>
          <w:sz w:val="20"/>
          <w:szCs w:val="20"/>
        </w:rPr>
        <w:t>-producing K. pneumoniae; MRSA, methicillin-resistant Staphylococcus aureus; VRE, vancomycin-resistant enterococci</w:t>
      </w:r>
    </w:p>
    <w:p w14:paraId="735C8217" w14:textId="77777777" w:rsidR="00CF5F09" w:rsidRDefault="00CF5F09">
      <w:pPr>
        <w:rPr>
          <w:rFonts w:ascii="Times New Roman" w:eastAsia="Times New Roman" w:hAnsi="Times New Roman" w:cs="Times New Roman"/>
          <w:sz w:val="20"/>
          <w:szCs w:val="20"/>
        </w:rPr>
      </w:pPr>
    </w:p>
    <w:p w14:paraId="3EF7B2DA"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CLC, Community living </w:t>
      </w:r>
      <w:proofErr w:type="spellStart"/>
      <w:r>
        <w:rPr>
          <w:rFonts w:ascii="Times New Roman" w:eastAsia="Times New Roman" w:hAnsi="Times New Roman" w:cs="Times New Roman"/>
          <w:sz w:val="20"/>
          <w:szCs w:val="20"/>
        </w:rPr>
        <w:t>Centers</w:t>
      </w:r>
      <w:proofErr w:type="spellEnd"/>
      <w:r>
        <w:rPr>
          <w:rFonts w:ascii="Times New Roman" w:eastAsia="Times New Roman" w:hAnsi="Times New Roman" w:cs="Times New Roman"/>
          <w:sz w:val="20"/>
          <w:szCs w:val="20"/>
        </w:rPr>
        <w:t xml:space="preserve">; EH, Elderly home; LTCF, long-term care facility not specified; NH, nursing home </w:t>
      </w:r>
    </w:p>
    <w:p w14:paraId="3F9530D5" w14:textId="77777777" w:rsidR="00CF5F09" w:rsidRDefault="00CF5F09">
      <w:pPr>
        <w:rPr>
          <w:rFonts w:ascii="Times New Roman" w:eastAsia="Times New Roman" w:hAnsi="Times New Roman" w:cs="Times New Roman"/>
          <w:sz w:val="20"/>
          <w:szCs w:val="20"/>
        </w:rPr>
      </w:pPr>
    </w:p>
    <w:p w14:paraId="597F3AD6"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axillary; B, blood; C; suprapubic catheter site; N, nasal; P, pharyngeal or throat; I, inguinal or groin; F, enteral feeding tube insertion site; G, gastric fluid; R, rectal or perineal; S, stool or faecal; </w:t>
      </w:r>
      <w:proofErr w:type="spellStart"/>
      <w:r>
        <w:rPr>
          <w:rFonts w:ascii="Times New Roman" w:eastAsia="Times New Roman" w:hAnsi="Times New Roman" w:cs="Times New Roman"/>
          <w:sz w:val="20"/>
          <w:szCs w:val="20"/>
        </w:rPr>
        <w:t>Sp</w:t>
      </w:r>
      <w:proofErr w:type="spellEnd"/>
      <w:r>
        <w:rPr>
          <w:rFonts w:ascii="Times New Roman" w:eastAsia="Times New Roman" w:hAnsi="Times New Roman" w:cs="Times New Roman"/>
          <w:sz w:val="20"/>
          <w:szCs w:val="20"/>
        </w:rPr>
        <w:t xml:space="preserve">, sputum; U, urine, V, vaginal; W, wound; </w:t>
      </w:r>
      <w:proofErr w:type="spellStart"/>
      <w:r>
        <w:rPr>
          <w:rFonts w:ascii="Times New Roman" w:eastAsia="Times New Roman" w:hAnsi="Times New Roman" w:cs="Times New Roman"/>
          <w:sz w:val="20"/>
          <w:szCs w:val="20"/>
        </w:rPr>
        <w:t>Oth</w:t>
      </w:r>
      <w:proofErr w:type="spellEnd"/>
      <w:r>
        <w:rPr>
          <w:rFonts w:ascii="Times New Roman" w:eastAsia="Times New Roman" w:hAnsi="Times New Roman" w:cs="Times New Roman"/>
          <w:sz w:val="20"/>
          <w:szCs w:val="20"/>
        </w:rPr>
        <w:t xml:space="preserve">, other sites (depending on clinical picture); </w:t>
      </w:r>
      <w:proofErr w:type="spellStart"/>
      <w:r>
        <w:rPr>
          <w:rFonts w:ascii="Times New Roman" w:eastAsia="Times New Roman" w:hAnsi="Times New Roman" w:cs="Times New Roman"/>
          <w:sz w:val="20"/>
          <w:szCs w:val="20"/>
        </w:rPr>
        <w:t>Unk</w:t>
      </w:r>
      <w:proofErr w:type="spellEnd"/>
      <w:r>
        <w:rPr>
          <w:rFonts w:ascii="Times New Roman" w:eastAsia="Times New Roman" w:hAnsi="Times New Roman" w:cs="Times New Roman"/>
          <w:sz w:val="20"/>
          <w:szCs w:val="20"/>
        </w:rPr>
        <w:t>, unknown</w:t>
      </w:r>
    </w:p>
    <w:p w14:paraId="01010D52" w14:textId="77777777" w:rsidR="00CF5F09" w:rsidRDefault="00CF5F09">
      <w:pPr>
        <w:rPr>
          <w:rFonts w:ascii="Times New Roman" w:eastAsia="Times New Roman" w:hAnsi="Times New Roman" w:cs="Times New Roman"/>
          <w:sz w:val="20"/>
          <w:szCs w:val="20"/>
        </w:rPr>
      </w:pPr>
    </w:p>
    <w:p w14:paraId="2068B3A5" w14:textId="77777777" w:rsidR="00CF5F09" w:rsidRDefault="00377EB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ABHR, alcohol-based hand rub; CAUTI, catheter-associated urinary tract infection; CDC, </w:t>
      </w:r>
      <w:proofErr w:type="spellStart"/>
      <w:r>
        <w:rPr>
          <w:rFonts w:ascii="Times New Roman" w:eastAsia="Times New Roman" w:hAnsi="Times New Roman" w:cs="Times New Roman"/>
          <w:sz w:val="20"/>
          <w:szCs w:val="20"/>
        </w:rPr>
        <w:t>Centers</w:t>
      </w:r>
      <w:proofErr w:type="spellEnd"/>
      <w:r>
        <w:rPr>
          <w:rFonts w:ascii="Times New Roman" w:eastAsia="Times New Roman" w:hAnsi="Times New Roman" w:cs="Times New Roman"/>
          <w:sz w:val="20"/>
          <w:szCs w:val="20"/>
        </w:rPr>
        <w:t xml:space="preserve"> for Disease Control and Prevention; HH, hand hygiene; ID, infectious disease; HCP, health care personnel; HCW, healthcare workers; SSTI, skin and soft-tissue infection; UTI, urinary tract infection</w:t>
      </w:r>
    </w:p>
    <w:p w14:paraId="6BC084E6" w14:textId="77777777" w:rsidR="00CF5F09" w:rsidRDefault="00CF5F09">
      <w:pPr>
        <w:rPr>
          <w:rFonts w:ascii="Times New Roman" w:eastAsia="Times New Roman" w:hAnsi="Times New Roman" w:cs="Times New Roman"/>
        </w:rPr>
      </w:pPr>
    </w:p>
    <w:p w14:paraId="53B76D98" w14:textId="77777777" w:rsidR="00CF5F09" w:rsidRDefault="00CF5F09">
      <w:pPr>
        <w:rPr>
          <w:rFonts w:ascii="Times New Roman" w:eastAsia="Times New Roman" w:hAnsi="Times New Roman" w:cs="Times New Roman"/>
        </w:rPr>
      </w:pPr>
    </w:p>
    <w:p w14:paraId="3EF43005" w14:textId="77777777" w:rsidR="00CF5F09" w:rsidRDefault="00CF5F09">
      <w:pPr>
        <w:rPr>
          <w:rFonts w:ascii="Times New Roman" w:eastAsia="Times New Roman" w:hAnsi="Times New Roman" w:cs="Times New Roman"/>
        </w:rPr>
        <w:sectPr w:rsidR="00CF5F09">
          <w:pgSz w:w="16838" w:h="11906" w:orient="landscape"/>
          <w:pgMar w:top="1440" w:right="1440" w:bottom="1440" w:left="1440" w:header="708" w:footer="708" w:gutter="0"/>
          <w:cols w:space="720"/>
        </w:sectPr>
      </w:pPr>
    </w:p>
    <w:p w14:paraId="319A3FC8" w14:textId="77777777" w:rsidR="00CF5F09" w:rsidRDefault="00377EB0">
      <w:pPr>
        <w:rPr>
          <w:rFonts w:ascii="Times New Roman" w:eastAsia="Times New Roman" w:hAnsi="Times New Roman" w:cs="Times New Roman"/>
        </w:rPr>
      </w:pPr>
      <w:r>
        <w:rPr>
          <w:rFonts w:ascii="Times New Roman" w:eastAsia="Times New Roman" w:hAnsi="Times New Roman" w:cs="Times New Roman"/>
          <w:b/>
        </w:rPr>
        <w:lastRenderedPageBreak/>
        <w:t>References</w:t>
      </w:r>
    </w:p>
    <w:p w14:paraId="7C1A4704" w14:textId="13AF81CD" w:rsidR="00CF5F09" w:rsidRDefault="00377EB0" w:rsidP="00E84B74">
      <w:pPr>
        <w:widowControl w:val="0"/>
        <w:pBdr>
          <w:top w:val="nil"/>
          <w:left w:val="nil"/>
          <w:bottom w:val="nil"/>
          <w:right w:val="nil"/>
          <w:between w:val="nil"/>
        </w:pBdr>
        <w:spacing w:before="220" w:after="220"/>
        <w:ind w:left="440" w:hanging="440"/>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ab/>
      </w:r>
      <w:hyperlink r:id="rId11">
        <w:r>
          <w:rPr>
            <w:rFonts w:ascii="Times New Roman" w:eastAsia="Times New Roman" w:hAnsi="Times New Roman" w:cs="Times New Roman"/>
            <w:color w:val="000000"/>
          </w:rPr>
          <w:t xml:space="preserve">Bradley SF, </w:t>
        </w:r>
        <w:proofErr w:type="spellStart"/>
        <w:r>
          <w:rPr>
            <w:rFonts w:ascii="Times New Roman" w:eastAsia="Times New Roman" w:hAnsi="Times New Roman" w:cs="Times New Roman"/>
            <w:color w:val="000000"/>
          </w:rPr>
          <w:t>Terpenning</w:t>
        </w:r>
        <w:proofErr w:type="spellEnd"/>
        <w:r>
          <w:rPr>
            <w:rFonts w:ascii="Times New Roman" w:eastAsia="Times New Roman" w:hAnsi="Times New Roman" w:cs="Times New Roman"/>
            <w:color w:val="000000"/>
          </w:rPr>
          <w:t xml:space="preserve"> MS, Ramsey MA, </w:t>
        </w:r>
      </w:hyperlink>
      <w:hyperlink r:id="rId12">
        <w:r>
          <w:rPr>
            <w:rFonts w:ascii="Times New Roman" w:eastAsia="Times New Roman" w:hAnsi="Times New Roman" w:cs="Times New Roman"/>
            <w:i/>
            <w:color w:val="000000"/>
          </w:rPr>
          <w:t>et al.</w:t>
        </w:r>
      </w:hyperlink>
      <w:hyperlink r:id="rId13">
        <w:r>
          <w:rPr>
            <w:rFonts w:ascii="Times New Roman" w:eastAsia="Times New Roman" w:hAnsi="Times New Roman" w:cs="Times New Roman"/>
            <w:color w:val="000000"/>
          </w:rPr>
          <w:t xml:space="preserve"> Methicillin-resistant Staphylococcus aureus: colonization and infection in a long-term care facility. </w:t>
        </w:r>
      </w:hyperlink>
      <w:hyperlink r:id="rId14">
        <w:r>
          <w:rPr>
            <w:rFonts w:ascii="Times New Roman" w:eastAsia="Times New Roman" w:hAnsi="Times New Roman" w:cs="Times New Roman"/>
            <w:i/>
            <w:color w:val="000000"/>
          </w:rPr>
          <w:t>Ann Intern Med</w:t>
        </w:r>
      </w:hyperlink>
      <w:hyperlink r:id="rId15">
        <w:r>
          <w:rPr>
            <w:rFonts w:ascii="Times New Roman" w:eastAsia="Times New Roman" w:hAnsi="Times New Roman" w:cs="Times New Roman"/>
            <w:color w:val="000000"/>
          </w:rPr>
          <w:t xml:space="preserve"> 1991;</w:t>
        </w:r>
      </w:hyperlink>
      <w:hyperlink r:id="rId16">
        <w:r>
          <w:rPr>
            <w:rFonts w:ascii="Times New Roman" w:eastAsia="Times New Roman" w:hAnsi="Times New Roman" w:cs="Times New Roman"/>
            <w:b/>
            <w:color w:val="000000"/>
          </w:rPr>
          <w:t>115</w:t>
        </w:r>
      </w:hyperlink>
      <w:hyperlink r:id="rId17">
        <w:r>
          <w:rPr>
            <w:rFonts w:ascii="Times New Roman" w:eastAsia="Times New Roman" w:hAnsi="Times New Roman" w:cs="Times New Roman"/>
            <w:color w:val="000000"/>
          </w:rPr>
          <w:t>:417–22. doi:</w:t>
        </w:r>
      </w:hyperlink>
      <w:hyperlink r:id="rId18">
        <w:r>
          <w:rPr>
            <w:rFonts w:ascii="Times New Roman" w:eastAsia="Times New Roman" w:hAnsi="Times New Roman" w:cs="Times New Roman"/>
            <w:color w:val="000000"/>
          </w:rPr>
          <w:t>10.7326/0003-4819-115-6-417</w:t>
        </w:r>
      </w:hyperlink>
    </w:p>
    <w:p w14:paraId="17234E2E" w14:textId="77777777" w:rsidR="00CF5F09" w:rsidRDefault="00CF5F09">
      <w:pPr>
        <w:widowControl w:val="0"/>
        <w:pBdr>
          <w:top w:val="nil"/>
          <w:left w:val="nil"/>
          <w:bottom w:val="nil"/>
          <w:right w:val="nil"/>
          <w:between w:val="nil"/>
        </w:pBdr>
        <w:spacing w:line="276" w:lineRule="auto"/>
        <w:rPr>
          <w:rFonts w:ascii="Times New Roman" w:eastAsia="Times New Roman" w:hAnsi="Times New Roman" w:cs="Times New Roman"/>
        </w:rPr>
      </w:pPr>
    </w:p>
    <w:sectPr w:rsidR="00CF5F09">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421EEA" w14:textId="77777777" w:rsidR="00452167" w:rsidRDefault="00452167">
      <w:r>
        <w:separator/>
      </w:r>
    </w:p>
  </w:endnote>
  <w:endnote w:type="continuationSeparator" w:id="0">
    <w:p w14:paraId="61A63A6B" w14:textId="77777777" w:rsidR="00452167" w:rsidRDefault="00452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90222" w14:textId="77777777" w:rsidR="00DF166B" w:rsidRDefault="00DF166B">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2D83AB71" w14:textId="77777777" w:rsidR="00DF166B" w:rsidRDefault="00DF166B">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C970" w14:textId="5C037F23" w:rsidR="00DF166B" w:rsidRDefault="00DF166B">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B8659D">
      <w:rPr>
        <w:noProof/>
        <w:color w:val="000000"/>
      </w:rPr>
      <w:t>12</w:t>
    </w:r>
    <w:r>
      <w:rPr>
        <w:color w:val="000000"/>
      </w:rPr>
      <w:fldChar w:fldCharType="end"/>
    </w:r>
  </w:p>
  <w:p w14:paraId="2FADBE88" w14:textId="77777777" w:rsidR="00DF166B" w:rsidRDefault="00DF166B">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AF4F2" w14:textId="77777777" w:rsidR="00452167" w:rsidRDefault="00452167">
      <w:r>
        <w:separator/>
      </w:r>
    </w:p>
  </w:footnote>
  <w:footnote w:type="continuationSeparator" w:id="0">
    <w:p w14:paraId="18D2CC31" w14:textId="77777777" w:rsidR="00452167" w:rsidRDefault="00452167">
      <w:r>
        <w:continuationSeparator/>
      </w:r>
    </w:p>
  </w:footnote>
  <w:footnote w:id="1">
    <w:p w14:paraId="57D1DFF1"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Number of facilities included in the baseline analysis.</w:t>
      </w:r>
    </w:p>
  </w:footnote>
  <w:footnote w:id="2">
    <w:p w14:paraId="2989015C" w14:textId="77777777" w:rsidR="00DF166B" w:rsidRPr="00686C89"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IPC training consisted of a 36-hour course and periodic workshops in infection control principles specific to the LTCF to designated infection control personnel.</w:t>
      </w:r>
    </w:p>
  </w:footnote>
  <w:footnote w:id="3">
    <w:p w14:paraId="0805F3FA"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Sample size was not specified. We reported the number of beds in the nursing homes.</w:t>
      </w:r>
      <w:r>
        <w:rPr>
          <w:rFonts w:ascii="Times New Roman" w:eastAsia="Times New Roman" w:hAnsi="Times New Roman" w:cs="Times New Roman"/>
          <w:color w:val="000000"/>
          <w:sz w:val="16"/>
          <w:szCs w:val="16"/>
        </w:rPr>
        <w:t xml:space="preserve"> </w:t>
      </w:r>
    </w:p>
  </w:footnote>
  <w:footnote w:id="4">
    <w:p w14:paraId="676D7138" w14:textId="77777777" w:rsidR="00DF166B" w:rsidRPr="00686C89"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Designated areas included the nurses’ station, at each resident’s bedside, at napkin-round trolley, along the corridor and in the common room.</w:t>
      </w:r>
    </w:p>
  </w:footnote>
  <w:footnote w:id="5">
    <w:p w14:paraId="6C9D6268"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authors reported the mean prevalence.</w:t>
      </w:r>
    </w:p>
  </w:footnote>
  <w:footnote w:id="6">
    <w:p w14:paraId="6CD533A7" w14:textId="77777777" w:rsidR="00DF166B" w:rsidRPr="00686C89"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WHO multimodal strategies includes (1) supply with alcohol-based hand rub; (2) place alcohol hand rub at points of care; (3) display posters and reminders depicting hand hygiene indications and proper techniques, (4) deliver health talk by trained infectious control branch nurses to HCWs on the rationale, indications, and techniques for HH, methods to prevent skin dryness, and indications for glove use, with its limitations; (5) play video clips tailor-made to HCWs’ working environment (HH opportunities); (6) measure the skin moisture level with a moisture checker before and after application of alcohol-based hand rub to minimize the fear of skin dryness; (7) use a hand inspection cabinet and fluorescent dye as training aids to demonstrate the importance of proper HH techniques; (8) employ the train-the-trainer approach and provide training materials to each intervention home; (9) provide immediate feedback to HCW at the time of direct observation; (10) provide performance reports with anonymous and aggregated data to the management after each phase of data collection.</w:t>
      </w:r>
    </w:p>
  </w:footnote>
  <w:footnote w:id="7">
    <w:p w14:paraId="4A2B81E2"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Direct observation of HH practice of HCWs in intervention homes were conducted at the baseline and one and four months after intervention by eight trained infection control nurses.</w:t>
      </w:r>
      <w:r>
        <w:rPr>
          <w:rFonts w:ascii="Times New Roman" w:eastAsia="Times New Roman" w:hAnsi="Times New Roman" w:cs="Times New Roman"/>
          <w:color w:val="000000"/>
          <w:sz w:val="16"/>
          <w:szCs w:val="16"/>
        </w:rPr>
        <w:t xml:space="preserve"> </w:t>
      </w:r>
    </w:p>
  </w:footnote>
  <w:footnote w:id="8">
    <w:p w14:paraId="02228A74"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Hand hygiene compliance was the percentage of a comparison between the number of times hand decontamination occurred versus the number of times hand washing opportunities arising.  </w:t>
      </w:r>
    </w:p>
  </w:footnote>
  <w:footnote w:id="9">
    <w:p w14:paraId="02264555"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We only included the participants in survey one and four since insufficient information was provided in survey two and three.</w:t>
      </w:r>
    </w:p>
  </w:footnote>
  <w:footnote w:id="10">
    <w:p w14:paraId="113E8269"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MRSA prevalence was not reported in numbers. The reported numbers were estimated based on visual assessment from Figure 1 in the paper.</w:t>
      </w:r>
    </w:p>
  </w:footnote>
  <w:footnote w:id="11">
    <w:p w14:paraId="261DA6EC"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MRSA infections were defined by the criteria set forth by the Centers for Disease Control. </w:t>
      </w:r>
      <w:r w:rsidRPr="00686C89">
        <w:rPr>
          <w:rFonts w:ascii="Times New Roman" w:eastAsia="Times New Roman" w:hAnsi="Times New Roman" w:cs="Times New Roman"/>
          <w:sz w:val="16"/>
          <w:szCs w:val="16"/>
        </w:rPr>
        <w:t>Events</w:t>
      </w:r>
      <w:r w:rsidRPr="00686C89">
        <w:rPr>
          <w:rFonts w:ascii="Times New Roman" w:eastAsia="Times New Roman" w:hAnsi="Times New Roman" w:cs="Times New Roman"/>
          <w:color w:val="000000"/>
          <w:sz w:val="16"/>
          <w:szCs w:val="16"/>
        </w:rPr>
        <w:t xml:space="preserve"> </w:t>
      </w:r>
      <w:r w:rsidRPr="00686C89">
        <w:rPr>
          <w:rFonts w:ascii="Times New Roman" w:eastAsia="Times New Roman" w:hAnsi="Times New Roman" w:cs="Times New Roman"/>
          <w:sz w:val="16"/>
          <w:szCs w:val="16"/>
        </w:rPr>
        <w:t>were</w:t>
      </w:r>
      <w:r w:rsidRPr="00686C89">
        <w:rPr>
          <w:rFonts w:ascii="Times New Roman" w:eastAsia="Times New Roman" w:hAnsi="Times New Roman" w:cs="Times New Roman"/>
          <w:color w:val="000000"/>
          <w:sz w:val="16"/>
          <w:szCs w:val="16"/>
        </w:rPr>
        <w:t xml:space="preserve"> reported with different length of time </w:t>
      </w:r>
      <w:r w:rsidRPr="00686C89">
        <w:rPr>
          <w:rFonts w:ascii="Times New Roman" w:eastAsia="Times New Roman" w:hAnsi="Times New Roman" w:cs="Times New Roman"/>
          <w:sz w:val="16"/>
          <w:szCs w:val="16"/>
        </w:rPr>
        <w:t>periods</w:t>
      </w:r>
      <w:r w:rsidRPr="00686C89">
        <w:rPr>
          <w:rFonts w:ascii="Times New Roman" w:eastAsia="Times New Roman" w:hAnsi="Times New Roman" w:cs="Times New Roman"/>
          <w:color w:val="000000"/>
          <w:sz w:val="16"/>
          <w:szCs w:val="16"/>
        </w:rPr>
        <w:t xml:space="preserve"> compared with pre-intervention.</w:t>
      </w:r>
    </w:p>
  </w:footnote>
  <w:footnote w:id="12">
    <w:p w14:paraId="5A99611A" w14:textId="6D5525A5"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pre-intervention rate of MRSA infection was extracted from the previous study from the same research team</w:t>
      </w:r>
      <w:r>
        <w:rPr>
          <w:rFonts w:ascii="Times New Roman" w:eastAsia="Times New Roman" w:hAnsi="Times New Roman" w:cs="Times New Roman"/>
          <w:color w:val="000000"/>
          <w:sz w:val="16"/>
          <w:szCs w:val="16"/>
        </w:rPr>
        <w:t xml:space="preserve"> </w:t>
      </w:r>
      <w:hyperlink r:id="rId1">
        <w:r w:rsidR="00E84B74">
          <w:rPr>
            <w:rFonts w:ascii="Times New Roman" w:eastAsia="Times New Roman" w:hAnsi="Times New Roman" w:cs="Times New Roman"/>
            <w:b/>
            <w:color w:val="000000"/>
            <w:sz w:val="16"/>
            <w:szCs w:val="16"/>
          </w:rPr>
          <w:t>[1</w:t>
        </w:r>
        <w:r w:rsidRPr="00DF166B">
          <w:rPr>
            <w:rFonts w:ascii="Times New Roman" w:eastAsia="Times New Roman" w:hAnsi="Times New Roman" w:cs="Times New Roman"/>
            <w:b/>
            <w:color w:val="000000"/>
            <w:sz w:val="16"/>
            <w:szCs w:val="16"/>
          </w:rPr>
          <w:t>]</w:t>
        </w:r>
      </w:hyperlink>
      <w:r>
        <w:rPr>
          <w:rFonts w:ascii="Times New Roman" w:eastAsia="Times New Roman" w:hAnsi="Times New Roman" w:cs="Times New Roman"/>
          <w:color w:val="000000"/>
          <w:sz w:val="16"/>
          <w:szCs w:val="16"/>
        </w:rPr>
        <w:t>.</w:t>
      </w:r>
      <w:r w:rsidRPr="00DF166B">
        <w:rPr>
          <w:rFonts w:ascii="Times New Roman" w:eastAsia="Times New Roman" w:hAnsi="Times New Roman" w:cs="Times New Roman"/>
          <w:b/>
          <w:color w:val="000000"/>
          <w:sz w:val="16"/>
          <w:szCs w:val="16"/>
        </w:rPr>
        <w:t xml:space="preserve"> </w:t>
      </w:r>
    </w:p>
  </w:footnote>
  <w:footnote w:id="13">
    <w:p w14:paraId="492F0101"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authors defined passive surveillance as cultures collected at baseline, day 15, and then monthly for outcome measurements monthly, with no reports given to the facilities; while active surveillance was defined as cultures collected at baseline, day 15, and then monthly, with data reported back to the facilities every month. </w:t>
      </w:r>
    </w:p>
  </w:footnote>
  <w:footnote w:id="14">
    <w:p w14:paraId="2B46660C"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denominator (i.e. total number of swabs) were not provided in the article. It was calculated based on the number of positive swabs divided by the total number of swabs.</w:t>
      </w:r>
    </w:p>
  </w:footnote>
  <w:footnote w:id="15">
    <w:p w14:paraId="46C5964D" w14:textId="77777777" w:rsidR="00DF166B" w:rsidRPr="00686C89"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Prevalence density rate (cluster- and covariate-adjusted rate ratio) defined as each participant’s total number of MDRO-positive anatomic sites across all MDROs per visit averaged over the duration of participation.</w:t>
      </w:r>
    </w:p>
  </w:footnote>
  <w:footnote w:id="16">
    <w:p w14:paraId="2523EDCD" w14:textId="77777777" w:rsidR="00DF166B"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Risk of new MDRO acquisition defined as the number of residents with new acquisitions per 1000 device-days at risk.</w:t>
      </w:r>
    </w:p>
  </w:footnote>
  <w:footnote w:id="17">
    <w:p w14:paraId="6E66A58A"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data was observed visually from Figure 4.</w:t>
      </w:r>
    </w:p>
  </w:footnote>
  <w:footnote w:id="18">
    <w:p w14:paraId="72E997B1"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authors used self-reported questionnaires to monitor the staff compliance before and after the interventions implemented</w:t>
      </w:r>
    </w:p>
  </w:footnote>
  <w:footnote w:id="19">
    <w:p w14:paraId="066D452F"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There was too much resident and staff intermingling between all units each day, and thus the decision was made to make all units intervention sites for Year 2 in order to test if the original intervention plan would have a significant impact. </w:t>
      </w:r>
    </w:p>
  </w:footnote>
  <w:footnote w:id="20">
    <w:p w14:paraId="2903D47F" w14:textId="5B787913"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Peterson (2016)</w:t>
      </w:r>
      <w:r w:rsidRPr="00DF166B">
        <w:rPr>
          <w:rFonts w:ascii="Times New Roman" w:eastAsia="Times New Roman" w:hAnsi="Times New Roman" w:cs="Times New Roman"/>
          <w:b/>
          <w:color w:val="000000"/>
          <w:sz w:val="16"/>
          <w:szCs w:val="16"/>
        </w:rPr>
        <w:t xml:space="preserve"> </w:t>
      </w:r>
      <w:r w:rsidRPr="00686C89">
        <w:rPr>
          <w:rFonts w:ascii="Times New Roman" w:eastAsia="Times New Roman" w:hAnsi="Times New Roman" w:cs="Times New Roman"/>
          <w:color w:val="000000"/>
          <w:sz w:val="16"/>
          <w:szCs w:val="16"/>
        </w:rPr>
        <w:t xml:space="preserve">and </w:t>
      </w:r>
      <w:proofErr w:type="spellStart"/>
      <w:r w:rsidRPr="00686C89">
        <w:rPr>
          <w:rFonts w:ascii="Times New Roman" w:eastAsia="Times New Roman" w:hAnsi="Times New Roman" w:cs="Times New Roman"/>
          <w:color w:val="000000"/>
          <w:sz w:val="16"/>
          <w:szCs w:val="16"/>
        </w:rPr>
        <w:t>Schora</w:t>
      </w:r>
      <w:proofErr w:type="spellEnd"/>
      <w:r w:rsidRPr="00686C89">
        <w:rPr>
          <w:rFonts w:ascii="Times New Roman" w:eastAsia="Times New Roman" w:hAnsi="Times New Roman" w:cs="Times New Roman"/>
          <w:color w:val="000000"/>
          <w:sz w:val="16"/>
          <w:szCs w:val="16"/>
        </w:rPr>
        <w:t xml:space="preserve"> (2014)</w:t>
      </w:r>
      <w:r>
        <w:rPr>
          <w:rFonts w:ascii="Times New Roman" w:eastAsia="Times New Roman" w:hAnsi="Times New Roman" w:cs="Times New Roman"/>
          <w:color w:val="000000"/>
          <w:sz w:val="16"/>
          <w:szCs w:val="16"/>
        </w:rPr>
        <w:t xml:space="preserve"> </w:t>
      </w:r>
      <w:r w:rsidRPr="00686C89">
        <w:rPr>
          <w:rFonts w:ascii="Times New Roman" w:eastAsia="Times New Roman" w:hAnsi="Times New Roman" w:cs="Times New Roman"/>
          <w:color w:val="000000"/>
          <w:sz w:val="16"/>
          <w:szCs w:val="16"/>
        </w:rPr>
        <w:t>are originated from the same study. The infection rates were reported in Peterson (2016) but not in Schora (2014).</w:t>
      </w:r>
    </w:p>
  </w:footnote>
  <w:footnote w:id="21">
    <w:p w14:paraId="12FBDD5D"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Schora et al. (2014) and Peterson et al. (2016) are based on the same study with the same study sample.</w:t>
      </w:r>
    </w:p>
  </w:footnote>
  <w:footnote w:id="22">
    <w:p w14:paraId="6367E85D"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No information on randomization on LTCFs</w:t>
      </w:r>
    </w:p>
  </w:footnote>
  <w:footnote w:id="23">
    <w:p w14:paraId="244A1EBD"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Existing infection control practices at each LTCF include regular surveillance and reporting, contact isolation for residents with signs and symptoms of an infection caused by a multidrug-resistant organism or unexplained symptoms, and cleaning with bleach on all high-touch areas during outbreak.</w:t>
      </w:r>
    </w:p>
  </w:footnote>
  <w:footnote w:id="24">
    <w:p w14:paraId="4A8A022A"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All units followed intervention protocol because of the failure of the cluster randomized approach to sufficiently segregate patients in year 2.</w:t>
      </w:r>
    </w:p>
  </w:footnote>
  <w:footnote w:id="25">
    <w:p w14:paraId="2B81E65E"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One LTCF continued with mupirocin decolonization; however, two others replaced mupirocin with retapamulin because of increasing mupirocin resistance in the MRSA isolates of the residents at these two LTCFs. Residents who failed 2 rounds of retapamulin decolonization were offered decolonization with oral rifampin and minocycline.</w:t>
      </w:r>
    </w:p>
  </w:footnote>
  <w:footnote w:id="26">
    <w:p w14:paraId="316F6736" w14:textId="77777777" w:rsidR="00DF166B"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All units received intervention due to randomization contamination.</w:t>
      </w:r>
    </w:p>
  </w:footnote>
  <w:footnote w:id="27">
    <w:p w14:paraId="19D74BE6"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The monthly hand hygiene compliance monitoring using the hand hygiene observation tool was conducted by the Director of Nursing and the infection preventionist. Special care was taken to perform the monitoring when HCP were unaware of the Director of Nursing and the infection preventionist’s presence in the resident care area to avoid the </w:t>
      </w:r>
      <w:r w:rsidRPr="00686C89">
        <w:rPr>
          <w:rFonts w:ascii="Times New Roman" w:eastAsia="Times New Roman" w:hAnsi="Times New Roman" w:cs="Times New Roman"/>
          <w:sz w:val="16"/>
          <w:szCs w:val="16"/>
        </w:rPr>
        <w:t>Hawthorne</w:t>
      </w:r>
      <w:r w:rsidRPr="00686C89">
        <w:rPr>
          <w:rFonts w:ascii="Times New Roman" w:eastAsia="Times New Roman" w:hAnsi="Times New Roman" w:cs="Times New Roman"/>
          <w:color w:val="000000"/>
          <w:sz w:val="16"/>
          <w:szCs w:val="16"/>
        </w:rPr>
        <w:t xml:space="preserve"> effect.</w:t>
      </w:r>
    </w:p>
  </w:footnote>
  <w:footnote w:id="28">
    <w:p w14:paraId="738782C1" w14:textId="77777777" w:rsidR="00DF166B" w:rsidRDefault="00DF166B">
      <w:pPr>
        <w:rPr>
          <w:rFonts w:ascii="Times New Roman" w:eastAsia="Times New Roman" w:hAnsi="Times New Roman" w:cs="Times New Roman"/>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sz w:val="16"/>
          <w:szCs w:val="16"/>
        </w:rPr>
        <w:t xml:space="preserve"> Resident compliance was encouraged and observed but not reported.</w:t>
      </w:r>
    </w:p>
  </w:footnote>
  <w:footnote w:id="29">
    <w:p w14:paraId="30B01BE7"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Prevalence was calculated as the number of residents cultured positive who have not already been identified on admission divided by the total number of residents tested after initial screening and decolonization.</w:t>
      </w:r>
    </w:p>
  </w:footnote>
  <w:footnote w:id="30">
    <w:p w14:paraId="6F2B3512" w14:textId="77777777" w:rsidR="00DF166B" w:rsidRPr="00686C89" w:rsidRDefault="00DF166B">
      <w:pPr>
        <w:pBdr>
          <w:top w:val="nil"/>
          <w:left w:val="nil"/>
          <w:bottom w:val="nil"/>
          <w:right w:val="nil"/>
          <w:between w:val="nil"/>
        </w:pBdr>
        <w:rPr>
          <w:rFonts w:ascii="Times New Roman" w:eastAsia="Times New Roman" w:hAnsi="Times New Roman" w:cs="Times New Roman"/>
          <w:color w:val="000000"/>
          <w:sz w:val="16"/>
          <w:szCs w:val="16"/>
        </w:rPr>
      </w:pPr>
      <w:r w:rsidRPr="00686C89">
        <w:rPr>
          <w:rFonts w:ascii="Times New Roman" w:hAnsi="Times New Roman" w:cs="Times New Roman"/>
          <w:sz w:val="16"/>
          <w:szCs w:val="16"/>
          <w:vertAlign w:val="superscript"/>
        </w:rPr>
        <w:footnoteRef/>
      </w:r>
      <w:r w:rsidRPr="00686C89">
        <w:rPr>
          <w:rFonts w:ascii="Times New Roman" w:eastAsia="Times New Roman" w:hAnsi="Times New Roman" w:cs="Times New Roman"/>
          <w:color w:val="000000"/>
          <w:sz w:val="16"/>
          <w:szCs w:val="16"/>
        </w:rPr>
        <w:t xml:space="preserve"> Clinically confirmed LTCF-onset CDI cases was defined as residents with clinical evidence of illness (ie, diarrhea or histopathologic or colonoscopic evidence of pseudomembranous colitis) and a </w:t>
      </w:r>
      <w:r w:rsidRPr="00686C89">
        <w:rPr>
          <w:rFonts w:ascii="Times New Roman" w:eastAsia="Times New Roman" w:hAnsi="Times New Roman" w:cs="Times New Roman"/>
          <w:sz w:val="16"/>
          <w:szCs w:val="16"/>
        </w:rPr>
        <w:t>non duplicate</w:t>
      </w:r>
      <w:r w:rsidRPr="00686C89">
        <w:rPr>
          <w:rFonts w:ascii="Times New Roman" w:eastAsia="Times New Roman" w:hAnsi="Times New Roman" w:cs="Times New Roman"/>
          <w:color w:val="000000"/>
          <w:sz w:val="16"/>
          <w:szCs w:val="16"/>
        </w:rPr>
        <w:t>, nonrecurrent positive diagnostic laboratory test collected &gt;48 hours after admission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6580A"/>
    <w:multiLevelType w:val="multilevel"/>
    <w:tmpl w:val="766C7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16B327D"/>
    <w:multiLevelType w:val="multilevel"/>
    <w:tmpl w:val="3F365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0NDeytLAwsjQzNzdW0lEKTi0uzszPAymwqAUApZP+CCwAAAA="/>
  </w:docVars>
  <w:rsids>
    <w:rsidRoot w:val="00CF5F09"/>
    <w:rsid w:val="00026F56"/>
    <w:rsid w:val="00077991"/>
    <w:rsid w:val="0022360E"/>
    <w:rsid w:val="00252AAA"/>
    <w:rsid w:val="00261BE9"/>
    <w:rsid w:val="00377EB0"/>
    <w:rsid w:val="00452167"/>
    <w:rsid w:val="004F0889"/>
    <w:rsid w:val="005857A4"/>
    <w:rsid w:val="00591BA0"/>
    <w:rsid w:val="0059317E"/>
    <w:rsid w:val="005C4EB1"/>
    <w:rsid w:val="005F1621"/>
    <w:rsid w:val="00644B02"/>
    <w:rsid w:val="00686C89"/>
    <w:rsid w:val="006B0411"/>
    <w:rsid w:val="006F5268"/>
    <w:rsid w:val="00916811"/>
    <w:rsid w:val="00976613"/>
    <w:rsid w:val="00987087"/>
    <w:rsid w:val="009B4618"/>
    <w:rsid w:val="009E4CDF"/>
    <w:rsid w:val="00A35A60"/>
    <w:rsid w:val="00B8659D"/>
    <w:rsid w:val="00C433A2"/>
    <w:rsid w:val="00C929E4"/>
    <w:rsid w:val="00CF5F09"/>
    <w:rsid w:val="00DF166B"/>
    <w:rsid w:val="00E84B74"/>
    <w:rsid w:val="00FC08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0EB4D"/>
  <w15:docId w15:val="{3EBBB655-3CDF-4882-A231-7B3D599B3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H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outlineLvl w:val="0"/>
    </w:pPr>
    <w:rPr>
      <w:color w:val="2F5496"/>
      <w:sz w:val="32"/>
      <w:szCs w:val="32"/>
    </w:rPr>
  </w:style>
  <w:style w:type="paragraph" w:styleId="Heading2">
    <w:name w:val="heading 2"/>
    <w:basedOn w:val="Normal"/>
    <w:next w:val="Normal"/>
    <w:pPr>
      <w:keepNext/>
      <w:keepLines/>
      <w:spacing w:before="40"/>
      <w:outlineLvl w:val="1"/>
    </w:pPr>
    <w:rPr>
      <w:color w:val="2F5496"/>
      <w:sz w:val="26"/>
      <w:szCs w:val="26"/>
    </w:rPr>
  </w:style>
  <w:style w:type="paragraph" w:styleId="Heading3">
    <w:name w:val="heading 3"/>
    <w:basedOn w:val="Normal"/>
    <w:next w:val="Normal"/>
    <w:pPr>
      <w:keepNext/>
      <w:keepLines/>
      <w:spacing w:before="40"/>
      <w:outlineLvl w:val="2"/>
    </w:pPr>
    <w:rPr>
      <w:color w:val="1F3863"/>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40"/>
      <w:outlineLvl w:val="4"/>
    </w:pPr>
    <w:rPr>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6B0411"/>
    <w:pPr>
      <w:tabs>
        <w:tab w:val="center" w:pos="4680"/>
        <w:tab w:val="right" w:pos="9360"/>
      </w:tabs>
    </w:pPr>
  </w:style>
  <w:style w:type="character" w:customStyle="1" w:styleId="HeaderChar">
    <w:name w:val="Header Char"/>
    <w:basedOn w:val="DefaultParagraphFont"/>
    <w:link w:val="Header"/>
    <w:uiPriority w:val="99"/>
    <w:rsid w:val="006B0411"/>
  </w:style>
  <w:style w:type="paragraph" w:styleId="Footer">
    <w:name w:val="footer"/>
    <w:basedOn w:val="Normal"/>
    <w:link w:val="FooterChar"/>
    <w:uiPriority w:val="99"/>
    <w:unhideWhenUsed/>
    <w:rsid w:val="006B0411"/>
    <w:pPr>
      <w:tabs>
        <w:tab w:val="center" w:pos="4680"/>
        <w:tab w:val="right" w:pos="9360"/>
      </w:tabs>
    </w:pPr>
  </w:style>
  <w:style w:type="character" w:customStyle="1" w:styleId="FooterChar">
    <w:name w:val="Footer Char"/>
    <w:basedOn w:val="DefaultParagraphFont"/>
    <w:link w:val="Footer"/>
    <w:uiPriority w:val="99"/>
    <w:rsid w:val="006B0411"/>
  </w:style>
  <w:style w:type="table" w:styleId="TableGrid">
    <w:name w:val="Table Grid"/>
    <w:basedOn w:val="TableNormal"/>
    <w:uiPriority w:val="39"/>
    <w:rsid w:val="009B4618"/>
    <w:rPr>
      <w:rFonts w:asciiTheme="minorHAnsi" w:eastAsiaTheme="minorEastAsia" w:hAnsiTheme="minorHAnsi" w:cstheme="minorBidi"/>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perpile.com/c/ivsOrE/YP8Z" TargetMode="External"/><Relationship Id="rId13" Type="http://schemas.openxmlformats.org/officeDocument/2006/relationships/hyperlink" Target="http://paperpile.com/b/ivsOrE/OIRa" TargetMode="External"/><Relationship Id="rId18" Type="http://schemas.openxmlformats.org/officeDocument/2006/relationships/hyperlink" Target="http://dx.doi.org/10.7326/0003-4819-115-6-417" TargetMode="External"/><Relationship Id="rId3" Type="http://schemas.openxmlformats.org/officeDocument/2006/relationships/settings" Target="settings.xml"/><Relationship Id="rId7" Type="http://schemas.openxmlformats.org/officeDocument/2006/relationships/hyperlink" Target="https://paperpile.com/c/ivsOrE/YP8Z" TargetMode="External"/><Relationship Id="rId12" Type="http://schemas.openxmlformats.org/officeDocument/2006/relationships/hyperlink" Target="http://paperpile.com/b/ivsOrE/OIRa" TargetMode="External"/><Relationship Id="rId17" Type="http://schemas.openxmlformats.org/officeDocument/2006/relationships/hyperlink" Target="http://paperpile.com/b/ivsOrE/OIRa" TargetMode="External"/><Relationship Id="rId2" Type="http://schemas.openxmlformats.org/officeDocument/2006/relationships/styles" Target="styles.xml"/><Relationship Id="rId16" Type="http://schemas.openxmlformats.org/officeDocument/2006/relationships/hyperlink" Target="http://paperpile.com/b/ivsOrE/OIR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perpile.com/b/ivsOrE/OIRa" TargetMode="External"/><Relationship Id="rId5" Type="http://schemas.openxmlformats.org/officeDocument/2006/relationships/footnotes" Target="footnotes.xml"/><Relationship Id="rId15" Type="http://schemas.openxmlformats.org/officeDocument/2006/relationships/hyperlink" Target="http://paperpile.com/b/ivsOrE/OIRa"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paperpile.com/b/ivsOrE/OIR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aperpile.com/c/ivsOrE/OI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16</Pages>
  <Words>4062</Words>
  <Characters>23156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1155136506</dc:creator>
  <cp:lastModifiedBy>Valerie</cp:lastModifiedBy>
  <cp:revision>6</cp:revision>
  <cp:lastPrinted>2020-12-03T03:52:00Z</cp:lastPrinted>
  <dcterms:created xsi:type="dcterms:W3CDTF">2020-12-09T08:58:00Z</dcterms:created>
  <dcterms:modified xsi:type="dcterms:W3CDTF">2020-12-17T09:16:00Z</dcterms:modified>
</cp:coreProperties>
</file>