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AC0A3" w14:textId="77777777" w:rsidR="001A1E06" w:rsidRPr="004A27FD" w:rsidRDefault="001A1E06" w:rsidP="001A1E06">
      <w:pPr>
        <w:spacing w:after="160" w:line="259" w:lineRule="auto"/>
        <w:rPr>
          <w:rFonts w:ascii="Calibri" w:eastAsia="DengXian" w:hAnsi="Calibri" w:cs="Arial"/>
          <w:sz w:val="22"/>
          <w:szCs w:val="22"/>
          <w:lang w:eastAsia="zh-CN"/>
        </w:rPr>
      </w:pPr>
      <w:r w:rsidRPr="004A27FD">
        <w:rPr>
          <w:rFonts w:ascii="Calibri" w:eastAsia="DengXian" w:hAnsi="Calibri" w:cs="Arial"/>
          <w:b/>
          <w:bCs/>
          <w:sz w:val="22"/>
          <w:szCs w:val="22"/>
          <w:lang w:eastAsia="zh-CN"/>
        </w:rPr>
        <w:t>Supplementary Table 3.</w:t>
      </w:r>
      <w:r w:rsidRPr="004A27FD">
        <w:rPr>
          <w:rFonts w:ascii="Calibri" w:eastAsia="DengXian" w:hAnsi="Calibri" w:cs="Arial"/>
          <w:sz w:val="22"/>
          <w:szCs w:val="22"/>
          <w:lang w:eastAsia="zh-CN"/>
        </w:rPr>
        <w:t xml:space="preserve"> Time to First MDRO Isolation since Admission</w:t>
      </w:r>
    </w:p>
    <w:tbl>
      <w:tblPr>
        <w:tblStyle w:val="TableGrid"/>
        <w:tblW w:w="895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850"/>
        <w:gridCol w:w="3005"/>
        <w:gridCol w:w="2551"/>
      </w:tblGrid>
      <w:tr w:rsidR="001A1E06" w:rsidRPr="004A27FD" w14:paraId="2A3B92E0" w14:textId="77777777" w:rsidTr="004B4A47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229EF5F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Organism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DD0FE54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N</w:t>
            </w: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14:paraId="55B9CF28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Time to First MDRO Isolation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44D0813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Isolated within 48 hours</w:t>
            </w:r>
          </w:p>
        </w:tc>
      </w:tr>
      <w:tr w:rsidR="001A1E06" w:rsidRPr="004A27FD" w14:paraId="75632D98" w14:textId="77777777" w:rsidTr="004B4A47">
        <w:tc>
          <w:tcPr>
            <w:tcW w:w="2551" w:type="dxa"/>
            <w:tcBorders>
              <w:bottom w:val="nil"/>
            </w:tcBorders>
            <w:vAlign w:val="center"/>
          </w:tcPr>
          <w:p w14:paraId="4A7E6A46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Any MDRO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6EBFE388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226</w:t>
            </w:r>
          </w:p>
        </w:tc>
        <w:tc>
          <w:tcPr>
            <w:tcW w:w="3005" w:type="dxa"/>
            <w:tcBorders>
              <w:bottom w:val="nil"/>
            </w:tcBorders>
            <w:vAlign w:val="center"/>
          </w:tcPr>
          <w:p w14:paraId="5288CC05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10.9 (5.6-20.5)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14:paraId="6507C025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29 (12.8%)</w:t>
            </w:r>
          </w:p>
        </w:tc>
      </w:tr>
      <w:tr w:rsidR="001A1E06" w:rsidRPr="004A27FD" w14:paraId="4E60155E" w14:textId="77777777" w:rsidTr="004B4A47"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78D91E78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MRSA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3C72E458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66</w:t>
            </w:r>
          </w:p>
        </w:tc>
        <w:tc>
          <w:tcPr>
            <w:tcW w:w="3005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1EAEDC76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lang w:val="fr-FR"/>
              </w:rPr>
            </w:pPr>
            <w:r w:rsidRPr="004A27FD">
              <w:rPr>
                <w:rFonts w:ascii="Calibri" w:hAnsi="Calibri" w:cs="Arial"/>
                <w:lang w:val="fr-FR"/>
              </w:rPr>
              <w:t>9.8 (2.7-24.2)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354C6233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15 (22.7%)</w:t>
            </w:r>
          </w:p>
        </w:tc>
      </w:tr>
      <w:tr w:rsidR="001A1E06" w:rsidRPr="004A27FD" w14:paraId="1C2117C6" w14:textId="77777777" w:rsidTr="004B4A47"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720A4FE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VRE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A66890E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31</w:t>
            </w: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6AA49D53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lang w:val="fr-FR"/>
              </w:rPr>
            </w:pPr>
            <w:r w:rsidRPr="004A27FD">
              <w:rPr>
                <w:rFonts w:ascii="Calibri" w:hAnsi="Calibri" w:cs="Arial"/>
                <w:lang w:val="fr-FR"/>
              </w:rPr>
              <w:t>14.9 (8.5-30.6)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48345EAE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0</w:t>
            </w:r>
          </w:p>
        </w:tc>
      </w:tr>
      <w:tr w:rsidR="001A1E06" w:rsidRPr="004A27FD" w14:paraId="42FB7B04" w14:textId="77777777" w:rsidTr="004B4A47"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3C99C33F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643EA7">
              <w:rPr>
                <w:rFonts w:ascii="Calibri" w:hAnsi="Calibri" w:cs="Arial"/>
                <w:i/>
                <w:iCs/>
              </w:rPr>
              <w:t>Pseudomonas</w:t>
            </w:r>
            <w:r w:rsidRPr="004A27FD">
              <w:rPr>
                <w:rFonts w:ascii="Calibri" w:hAnsi="Calibri" w:cs="Arial"/>
              </w:rPr>
              <w:t xml:space="preserve"> (Group 1)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71E42A31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81</w:t>
            </w:r>
          </w:p>
        </w:tc>
        <w:tc>
          <w:tcPr>
            <w:tcW w:w="3005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59337FA1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lang w:val="fr-FR"/>
              </w:rPr>
            </w:pPr>
            <w:r w:rsidRPr="004A27FD">
              <w:rPr>
                <w:rFonts w:ascii="Calibri" w:hAnsi="Calibri" w:cs="Arial"/>
                <w:lang w:val="fr-FR"/>
              </w:rPr>
              <w:t>23.6 (15.7-36.0)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27B417A2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0</w:t>
            </w:r>
          </w:p>
        </w:tc>
      </w:tr>
      <w:tr w:rsidR="001A1E06" w:rsidRPr="004A27FD" w14:paraId="06BBF996" w14:textId="77777777" w:rsidTr="004B4A47"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44AB2823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643EA7">
              <w:rPr>
                <w:rFonts w:ascii="Calibri" w:hAnsi="Calibri" w:cs="Arial"/>
                <w:i/>
                <w:iCs/>
              </w:rPr>
              <w:t>Pseudomonas</w:t>
            </w:r>
            <w:r w:rsidRPr="004A27FD">
              <w:rPr>
                <w:rFonts w:ascii="Calibri" w:hAnsi="Calibri" w:cs="Arial"/>
              </w:rPr>
              <w:t xml:space="preserve"> (Group 2)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52F9ED4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21</w:t>
            </w: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3EED1C3C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lang w:val="fr-FR"/>
              </w:rPr>
            </w:pPr>
            <w:r w:rsidRPr="004A27FD">
              <w:rPr>
                <w:rFonts w:ascii="Calibri" w:hAnsi="Calibri" w:cs="Arial"/>
                <w:lang w:val="fr-FR"/>
              </w:rPr>
              <w:t>20.1 (15.6-45.4)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960EEF5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0</w:t>
            </w:r>
          </w:p>
        </w:tc>
      </w:tr>
      <w:tr w:rsidR="001A1E06" w:rsidRPr="004A27FD" w14:paraId="1E90A889" w14:textId="77777777" w:rsidTr="004B4A47"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74629507" w14:textId="77777777" w:rsidR="001A1E06" w:rsidRPr="00643EA7" w:rsidRDefault="001A1E06" w:rsidP="004B4A47">
            <w:pPr>
              <w:spacing w:line="276" w:lineRule="auto"/>
              <w:rPr>
                <w:rFonts w:ascii="Calibri" w:hAnsi="Calibri" w:cs="Arial"/>
                <w:i/>
                <w:iCs/>
              </w:rPr>
            </w:pPr>
            <w:r w:rsidRPr="00643EA7">
              <w:rPr>
                <w:rFonts w:ascii="Calibri" w:hAnsi="Calibri" w:cs="Arial"/>
                <w:i/>
                <w:iCs/>
              </w:rPr>
              <w:t>Acinetobacter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04FC2DD3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15</w:t>
            </w:r>
          </w:p>
        </w:tc>
        <w:tc>
          <w:tcPr>
            <w:tcW w:w="3005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5976A9EE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  <w:lang w:val="fr-FR"/>
              </w:rPr>
            </w:pPr>
            <w:r w:rsidRPr="004A27FD">
              <w:rPr>
                <w:rFonts w:ascii="Calibri" w:hAnsi="Calibri" w:cs="Arial"/>
                <w:lang w:val="fr-FR"/>
              </w:rPr>
              <w:t>18.8 (12.1-24.2)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3861E4BB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0</w:t>
            </w:r>
          </w:p>
        </w:tc>
      </w:tr>
      <w:tr w:rsidR="001A1E06" w:rsidRPr="004A27FD" w14:paraId="78009757" w14:textId="77777777" w:rsidTr="004B4A47"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E9E5800" w14:textId="77777777" w:rsidR="001A1E06" w:rsidRPr="00643EA7" w:rsidRDefault="001A1E06" w:rsidP="004B4A47">
            <w:pPr>
              <w:spacing w:line="276" w:lineRule="auto"/>
              <w:rPr>
                <w:rFonts w:ascii="Calibri" w:hAnsi="Calibri" w:cs="Arial"/>
                <w:i/>
                <w:iCs/>
              </w:rPr>
            </w:pPr>
            <w:r w:rsidRPr="00643EA7">
              <w:rPr>
                <w:rFonts w:ascii="Calibri" w:hAnsi="Calibri" w:cs="Arial"/>
                <w:i/>
                <w:iCs/>
              </w:rPr>
              <w:t xml:space="preserve">Stenotrophomonas 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BA2D5BD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65</w:t>
            </w: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00EE700E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9.3 (3.6-22.7)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64D8BFF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10 (15.4%)</w:t>
            </w:r>
          </w:p>
        </w:tc>
      </w:tr>
      <w:tr w:rsidR="001A1E06" w:rsidRPr="004A27FD" w14:paraId="063C8996" w14:textId="77777777" w:rsidTr="004B4A47"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49BAEAE0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CRE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22D18066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11</w:t>
            </w:r>
          </w:p>
        </w:tc>
        <w:tc>
          <w:tcPr>
            <w:tcW w:w="3005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5A37878B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24.7 (10.3-40.4)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1F57CC12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&lt; 5</w:t>
            </w:r>
          </w:p>
        </w:tc>
      </w:tr>
      <w:tr w:rsidR="001A1E06" w:rsidRPr="004A27FD" w14:paraId="05EE8822" w14:textId="77777777" w:rsidTr="004B4A47">
        <w:tc>
          <w:tcPr>
            <w:tcW w:w="2551" w:type="dxa"/>
            <w:tcBorders>
              <w:top w:val="nil"/>
            </w:tcBorders>
            <w:vAlign w:val="center"/>
          </w:tcPr>
          <w:p w14:paraId="5B76F810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ESBL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E175CF8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39</w:t>
            </w:r>
          </w:p>
        </w:tc>
        <w:tc>
          <w:tcPr>
            <w:tcW w:w="3005" w:type="dxa"/>
            <w:tcBorders>
              <w:top w:val="nil"/>
            </w:tcBorders>
            <w:vAlign w:val="center"/>
          </w:tcPr>
          <w:p w14:paraId="61568A28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9.8 (7.2-23.1)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4FFF084E" w14:textId="77777777" w:rsidR="001A1E06" w:rsidRPr="004A27FD" w:rsidRDefault="001A1E06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&lt; 5</w:t>
            </w:r>
          </w:p>
        </w:tc>
      </w:tr>
      <w:tr w:rsidR="001A1E06" w:rsidRPr="004A27FD" w14:paraId="12261F8E" w14:textId="77777777" w:rsidTr="004B4A47">
        <w:tc>
          <w:tcPr>
            <w:tcW w:w="8957" w:type="dxa"/>
            <w:gridSpan w:val="4"/>
          </w:tcPr>
          <w:p w14:paraId="2AE93421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  <w:sz w:val="18"/>
                <w:szCs w:val="18"/>
              </w:rPr>
            </w:pPr>
            <w:r w:rsidRPr="004A27FD">
              <w:rPr>
                <w:rFonts w:ascii="Calibri" w:hAnsi="Calibri" w:cs="Arial"/>
                <w:sz w:val="18"/>
                <w:szCs w:val="18"/>
              </w:rPr>
              <w:t xml:space="preserve">Time to swab data presented as median (IQR) days. Isolated within 48 hours data presented as frequency (percentage). Excludes missing data. </w:t>
            </w:r>
          </w:p>
          <w:p w14:paraId="4F819D2B" w14:textId="35A3D92D" w:rsidR="001A1E06" w:rsidRPr="004A27FD" w:rsidRDefault="001A1E06" w:rsidP="004B4A47">
            <w:pPr>
              <w:spacing w:line="276" w:lineRule="auto"/>
              <w:rPr>
                <w:rFonts w:ascii="Calibri" w:hAnsi="Calibri" w:cs="Arial"/>
                <w:sz w:val="18"/>
                <w:szCs w:val="18"/>
              </w:rPr>
            </w:pPr>
            <w:r w:rsidRPr="004A27FD">
              <w:rPr>
                <w:rFonts w:ascii="Calibri" w:hAnsi="Calibri" w:cs="Arial"/>
                <w:sz w:val="18"/>
                <w:szCs w:val="18"/>
              </w:rPr>
              <w:t xml:space="preserve">CRE = Carbapenem-resistant Enterobacteriaceae; ESBL-PE = Extended spectrum beta lactamase producing Enterobacteriaceae; IQR = interquartile range; MDRO = multi-drug resistant organism; MRSA = Methicillin-resistant </w:t>
            </w:r>
            <w:r w:rsidRPr="004A27FD">
              <w:rPr>
                <w:rFonts w:ascii="Calibri" w:hAnsi="Calibri" w:cs="Arial"/>
                <w:i/>
                <w:iCs/>
                <w:sz w:val="18"/>
                <w:szCs w:val="18"/>
              </w:rPr>
              <w:t>Staphylococcus aureus</w:t>
            </w:r>
            <w:r w:rsidRPr="004A27FD">
              <w:rPr>
                <w:rFonts w:ascii="Calibri" w:hAnsi="Calibri" w:cs="Arial"/>
                <w:sz w:val="18"/>
                <w:szCs w:val="18"/>
              </w:rPr>
              <w:t xml:space="preserve">; VRE = Vancomycin-resistant </w:t>
            </w:r>
            <w:r w:rsidR="007C5672">
              <w:rPr>
                <w:rFonts w:ascii="Calibri" w:hAnsi="Calibri" w:cs="Arial"/>
                <w:sz w:val="18"/>
                <w:szCs w:val="18"/>
              </w:rPr>
              <w:t>E</w:t>
            </w:r>
            <w:r w:rsidRPr="004A27FD">
              <w:rPr>
                <w:rFonts w:ascii="Calibri" w:hAnsi="Calibri" w:cs="Arial"/>
                <w:sz w:val="18"/>
                <w:szCs w:val="18"/>
              </w:rPr>
              <w:t xml:space="preserve">nterococcus. </w:t>
            </w:r>
            <w:r w:rsidRPr="004A27FD">
              <w:rPr>
                <w:rFonts w:ascii="Calibri" w:hAnsi="Calibri" w:cs="Arial"/>
                <w:i/>
                <w:iCs/>
                <w:sz w:val="18"/>
                <w:szCs w:val="18"/>
              </w:rPr>
              <w:t>Pseudomonas aeruginosa</w:t>
            </w:r>
            <w:r w:rsidRPr="004A27FD">
              <w:rPr>
                <w:rFonts w:ascii="Calibri" w:hAnsi="Calibri" w:cs="Arial"/>
                <w:sz w:val="18"/>
                <w:szCs w:val="18"/>
              </w:rPr>
              <w:t xml:space="preserve"> groups are defined by resistance to carbapenems (Group 1) or either piperacillin-tazobactam or cefepime (Group 2).</w:t>
            </w:r>
          </w:p>
          <w:p w14:paraId="3A7769E4" w14:textId="77777777" w:rsidR="001A1E06" w:rsidRPr="004A27FD" w:rsidRDefault="001A1E06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  <w:sz w:val="18"/>
                <w:szCs w:val="18"/>
              </w:rPr>
              <w:t>Note that one patient could develop an MDRO from multiple organism groups.</w:t>
            </w:r>
          </w:p>
        </w:tc>
      </w:tr>
    </w:tbl>
    <w:p w14:paraId="73329DA2" w14:textId="77777777" w:rsidR="001A1E06" w:rsidRDefault="001A1E06"/>
    <w:sectPr w:rsidR="001A1E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06"/>
    <w:rsid w:val="001A1E06"/>
    <w:rsid w:val="007C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114D4"/>
  <w15:chartTrackingRefBased/>
  <w15:docId w15:val="{50190A1F-FE85-C242-9209-F68277F3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E06"/>
    <w:rPr>
      <w:rFonts w:eastAsia="DengXi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940</Characters>
  <Application>Microsoft Office Word</Application>
  <DocSecurity>0</DocSecurity>
  <Lines>16</Lines>
  <Paragraphs>4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Cleland</dc:creator>
  <cp:keywords/>
  <dc:description/>
  <cp:lastModifiedBy>H Cleland</cp:lastModifiedBy>
  <cp:revision>2</cp:revision>
  <dcterms:created xsi:type="dcterms:W3CDTF">2021-12-22T02:47:00Z</dcterms:created>
  <dcterms:modified xsi:type="dcterms:W3CDTF">2021-12-22T04:02:00Z</dcterms:modified>
</cp:coreProperties>
</file>