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8B5" w:rsidRDefault="001538B5" w:rsidP="001538B5">
      <w:pPr>
        <w:pStyle w:val="Heading1"/>
      </w:pPr>
      <w:r>
        <w:t>Supplementary Materials</w:t>
      </w:r>
    </w:p>
    <w:p w:rsidR="001538B5" w:rsidRPr="00E55F70" w:rsidRDefault="001538B5" w:rsidP="001538B5">
      <w:pPr>
        <w:pStyle w:val="Heading2"/>
      </w:pPr>
      <w:r>
        <w:t>Cooper et al. Hierarchy of Evidence Ranking Scores</w:t>
      </w:r>
    </w:p>
    <w:tbl>
      <w:tblPr>
        <w:tblW w:w="8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8346"/>
      </w:tblGrid>
      <w:tr w:rsidR="001538B5" w:rsidTr="000241DA">
        <w:trPr>
          <w:trHeight w:val="442"/>
          <w:tblHeader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b/>
                <w:szCs w:val="18"/>
              </w:rPr>
            </w:pPr>
            <w:r w:rsidRPr="003B476E">
              <w:rPr>
                <w:b/>
                <w:szCs w:val="18"/>
              </w:rPr>
              <w:t>Rank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b/>
                <w:szCs w:val="18"/>
              </w:rPr>
            </w:pPr>
            <w:r w:rsidRPr="003B476E">
              <w:rPr>
                <w:b/>
                <w:szCs w:val="18"/>
              </w:rPr>
              <w:t>Data components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8881" w:type="dxa"/>
            <w:gridSpan w:val="2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b/>
                <w:i/>
                <w:iCs/>
                <w:sz w:val="18"/>
                <w:szCs w:val="18"/>
              </w:rPr>
            </w:pPr>
            <w:r w:rsidRPr="003B476E">
              <w:rPr>
                <w:b/>
                <w:i/>
                <w:iCs/>
                <w:sz w:val="20"/>
                <w:szCs w:val="18"/>
              </w:rPr>
              <w:t>Clinical effect sizes, adverse events &amp; complications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1+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Meta-analysis of RCTs with direct comparison between comparator therapies, measuring final outcomes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1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 xml:space="preserve">Single RCT with direct comparison between comparator therapies, measuring final outcomes 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2+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Meta-analysis of RCTs with direct comparison between comparator therapies, measuring surrogate outcomes</w:t>
            </w:r>
          </w:p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Meta-analysis of placebo-controlled RCTs with similar trial populations, measuring the final outcomes for each individual therapy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2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Single RCT with a direct comparison between comparator therapies, measuring surrogate outcomes</w:t>
            </w:r>
          </w:p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Single placebo-controlled RCT with similar trial populations, measuring the final outcomes for each individual therapy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3+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Meta-analysis of placebo-controlled RCTs with similar trial populations, measuring the surrogate outcomes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3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Single placebo-controlled RCTs with similar trial populations, measuring the surrogate outcomes for each individual therapy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4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 xml:space="preserve">Observational studies (e.g., case control) 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5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Non-analytic studies (e.g., case reports)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6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Expert opinion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9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Not stated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8881" w:type="dxa"/>
            <w:gridSpan w:val="2"/>
            <w:noWrap/>
            <w:vAlign w:val="center"/>
          </w:tcPr>
          <w:p w:rsidR="001538B5" w:rsidRPr="003B476E" w:rsidRDefault="001538B5" w:rsidP="000241DA">
            <w:pPr>
              <w:spacing w:after="40" w:line="240" w:lineRule="auto"/>
              <w:rPr>
                <w:b/>
                <w:i/>
                <w:iCs/>
                <w:sz w:val="18"/>
                <w:szCs w:val="18"/>
              </w:rPr>
            </w:pPr>
            <w:r w:rsidRPr="003B476E">
              <w:rPr>
                <w:b/>
                <w:i/>
                <w:iCs/>
                <w:sz w:val="20"/>
                <w:szCs w:val="18"/>
              </w:rPr>
              <w:t>Baseline clinical data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1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Case series or analysis of reliable administrative databases specifically conducted for the study covering patients solely from the jurisdiction of interest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2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Recent case series or analysis of reliable administrative databases covering patients solely from the jurisdiction of interest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3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Recent case series or analysis of reliable administrative databases covering patients solely from another jurisdiction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4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Old case series or analysis of reliable administrative databases; estimate from RCTs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5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Estimates from previously published economic analyses: unsourced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6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Expert opinion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9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Not stated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8881" w:type="dxa"/>
            <w:gridSpan w:val="2"/>
            <w:noWrap/>
            <w:vAlign w:val="center"/>
          </w:tcPr>
          <w:p w:rsidR="001538B5" w:rsidRPr="003B476E" w:rsidRDefault="001538B5" w:rsidP="000241DA">
            <w:pPr>
              <w:spacing w:after="40" w:line="240" w:lineRule="auto"/>
              <w:rPr>
                <w:b/>
                <w:i/>
                <w:iCs/>
                <w:sz w:val="20"/>
                <w:szCs w:val="18"/>
              </w:rPr>
            </w:pPr>
            <w:r w:rsidRPr="003B476E">
              <w:rPr>
                <w:b/>
                <w:i/>
                <w:iCs/>
                <w:sz w:val="20"/>
                <w:szCs w:val="18"/>
              </w:rPr>
              <w:t>Resource use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1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Prospective data collection or analysis of reliable administrative data for specific study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2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Recently published results of prospective data collection or recent analysis of reliable administrative data – same jurisdiction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3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Unsourced data from previous economic evaluations – same jurisdiction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Recently published results of prospective data collection or recent analysis of reliable administrative data – different jurisdiction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5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Unsourced data from previous economic evaluations – different jurisdiction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6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Expert opinion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9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Not stated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8881" w:type="dxa"/>
            <w:gridSpan w:val="2"/>
            <w:noWrap/>
            <w:vAlign w:val="center"/>
          </w:tcPr>
          <w:p w:rsidR="001538B5" w:rsidRPr="003B476E" w:rsidRDefault="001538B5" w:rsidP="000241DA">
            <w:pPr>
              <w:spacing w:after="40" w:line="240" w:lineRule="auto"/>
              <w:rPr>
                <w:b/>
                <w:i/>
                <w:iCs/>
                <w:sz w:val="18"/>
                <w:szCs w:val="18"/>
              </w:rPr>
            </w:pPr>
            <w:r w:rsidRPr="003B476E">
              <w:rPr>
                <w:b/>
                <w:i/>
                <w:iCs/>
                <w:sz w:val="20"/>
                <w:szCs w:val="18"/>
              </w:rPr>
              <w:t>Costs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1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 xml:space="preserve">Cost calculations based on reliable databases or data sources conducted for specific study – same jurisdiction 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2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Recently published cost calculations based on reliable databases or data course – same jurisdiction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3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Unsourced data from previous economic evaluation – same jurisdiction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4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Recently published cost calculations based on reliable databases or data course – different jurisdiction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5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Unsourced data from previous economic evaluation – different jurisdiction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6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Expert opinion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9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Not stated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8881" w:type="dxa"/>
            <w:gridSpan w:val="2"/>
            <w:noWrap/>
            <w:vAlign w:val="center"/>
          </w:tcPr>
          <w:p w:rsidR="001538B5" w:rsidRPr="003B476E" w:rsidRDefault="001538B5" w:rsidP="000241DA">
            <w:pPr>
              <w:spacing w:after="40" w:line="240" w:lineRule="auto"/>
              <w:rPr>
                <w:b/>
                <w:i/>
                <w:iCs/>
                <w:sz w:val="18"/>
                <w:szCs w:val="18"/>
              </w:rPr>
            </w:pPr>
            <w:r w:rsidRPr="003B476E">
              <w:rPr>
                <w:b/>
                <w:i/>
                <w:iCs/>
                <w:sz w:val="20"/>
                <w:szCs w:val="18"/>
              </w:rPr>
              <w:t>Utilities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1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Direct utility assessment for the specific study from a sample either: (a) of the general population, (b) with knowledge of the disease(s) of interest, (c) of patients with the disease(s) of interest</w:t>
            </w:r>
          </w:p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Indirect utility assessment for the specific study from patient sample with disease(s) of interest, using a tool validated for the patient population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2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Indirect utility assessment for the specific study from patient sample with disease(s) of interest, using a tool not validated for the patient population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3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Direct utility assessment from a previous study from a sample either: (a) of the general population, (b) with knowledge of the disease(s) of interest, (c) of patients with the disease(s) of interest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4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 xml:space="preserve">Indirect utility assessment from a previous study from patient sample with disease(s) of interest: using tool not validated for the patient population. </w:t>
            </w:r>
          </w:p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Unsourced utility data from previous study – method of elicitation unknown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5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Patient preference values obtained from a visual analogue scale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6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Delphi panels, expert opinion</w:t>
            </w:r>
          </w:p>
        </w:tc>
      </w:tr>
      <w:tr w:rsidR="001538B5" w:rsidTr="000241DA">
        <w:trPr>
          <w:trHeight w:val="442"/>
          <w:jc w:val="center"/>
        </w:trPr>
        <w:tc>
          <w:tcPr>
            <w:tcW w:w="535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9</w:t>
            </w:r>
          </w:p>
        </w:tc>
        <w:tc>
          <w:tcPr>
            <w:tcW w:w="8346" w:type="dxa"/>
            <w:noWrap/>
            <w:vAlign w:val="center"/>
            <w:hideMark/>
          </w:tcPr>
          <w:p w:rsidR="001538B5" w:rsidRPr="003B476E" w:rsidRDefault="001538B5" w:rsidP="000241DA">
            <w:pPr>
              <w:spacing w:after="40" w:line="240" w:lineRule="auto"/>
              <w:rPr>
                <w:sz w:val="18"/>
                <w:szCs w:val="18"/>
              </w:rPr>
            </w:pPr>
            <w:r w:rsidRPr="003B476E">
              <w:rPr>
                <w:sz w:val="18"/>
                <w:szCs w:val="18"/>
              </w:rPr>
              <w:t>Not stated</w:t>
            </w:r>
          </w:p>
        </w:tc>
      </w:tr>
    </w:tbl>
    <w:p w:rsidR="00345053" w:rsidRDefault="001538B5">
      <w:bookmarkStart w:id="0" w:name="_GoBack"/>
      <w:bookmarkEnd w:id="0"/>
    </w:p>
    <w:sectPr w:rsidR="00345053" w:rsidSect="009F4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B5"/>
    <w:rsid w:val="001538B5"/>
    <w:rsid w:val="00643988"/>
    <w:rsid w:val="007D02A9"/>
    <w:rsid w:val="009F4B47"/>
    <w:rsid w:val="00AD160D"/>
    <w:rsid w:val="00D4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3E65E"/>
  <w15:chartTrackingRefBased/>
  <w15:docId w15:val="{70EFA2EC-B9C6-4C62-B132-75B8BFAB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8B5"/>
    <w:pPr>
      <w:spacing w:line="36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8B5"/>
    <w:pPr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8B5"/>
    <w:pPr>
      <w:keepNext/>
      <w:spacing w:after="0"/>
      <w:outlineLvl w:val="1"/>
    </w:pPr>
    <w:rPr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8B5"/>
    <w:rPr>
      <w:rFonts w:ascii="Arial" w:hAnsi="Arial" w:cs="Arial"/>
      <w:b/>
      <w:bCs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538B5"/>
    <w:rPr>
      <w:rFonts w:ascii="Arial" w:hAnsi="Arial" w:cs="Arial"/>
      <w:b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Painter</dc:creator>
  <cp:keywords/>
  <dc:description/>
  <cp:lastModifiedBy>Chris Painter</cp:lastModifiedBy>
  <cp:revision>1</cp:revision>
  <dcterms:created xsi:type="dcterms:W3CDTF">2022-11-25T03:51:00Z</dcterms:created>
  <dcterms:modified xsi:type="dcterms:W3CDTF">2022-11-25T03:51:00Z</dcterms:modified>
</cp:coreProperties>
</file>