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17286" w14:textId="0BE9EFBC" w:rsidR="00F01ACE" w:rsidRDefault="006C56F3" w:rsidP="00F01ACE">
      <w:pPr>
        <w:pStyle w:val="Titre2"/>
        <w:spacing w:line="48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0" w:name="_Toc132876490"/>
      <w:proofErr w:type="spellStart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</w:t>
      </w:r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material</w:t>
      </w:r>
      <w:bookmarkEnd w:id="0"/>
      <w:proofErr w:type="spellEnd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1</w:t>
      </w:r>
    </w:p>
    <w:p w14:paraId="1BF340B2" w14:textId="77777777" w:rsidR="00F01ACE" w:rsidRDefault="00F01ACE" w:rsidP="00F01ACE">
      <w:pPr>
        <w:spacing w:line="480" w:lineRule="auto"/>
      </w:pPr>
    </w:p>
    <w:p w14:paraId="60FC42E6" w14:textId="42F8524B" w:rsidR="006C56F3" w:rsidRDefault="006C56F3" w:rsidP="006C56F3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 xml:space="preserve">File </w:t>
      </w:r>
      <w:r w:rsidRPr="002D34A5">
        <w:rPr>
          <w:rFonts w:ascii="Arial" w:hAnsi="Arial" w:cs="Arial"/>
          <w:b/>
          <w:bCs/>
          <w:sz w:val="22"/>
          <w:szCs w:val="22"/>
          <w:lang w:val="en-US"/>
        </w:rPr>
        <w:t>S1:</w:t>
      </w:r>
      <w:r w:rsidRPr="00CC1C9B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Febrile neutropenia guidelines</w:t>
      </w:r>
    </w:p>
    <w:p w14:paraId="1902B512" w14:textId="77777777" w:rsidR="00F01ACE" w:rsidRPr="00D15AB8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u w:val="single"/>
          <w:lang w:val="en-US"/>
        </w:rPr>
      </w:pPr>
    </w:p>
    <w:p w14:paraId="17E93DB9" w14:textId="77777777" w:rsidR="00F01ACE" w:rsidRPr="0077499F" w:rsidRDefault="00F01ACE" w:rsidP="00F01ACE">
      <w:pPr>
        <w:spacing w:line="480" w:lineRule="auto"/>
        <w:contextualSpacing/>
        <w:jc w:val="both"/>
        <w:rPr>
          <w:rFonts w:ascii="Arial" w:hAnsi="Arial" w:cs="Arial"/>
          <w:i/>
          <w:iCs/>
          <w:sz w:val="22"/>
          <w:szCs w:val="22"/>
          <w:u w:val="single"/>
          <w:lang w:val="en-US"/>
        </w:rPr>
      </w:pPr>
      <w:r>
        <w:rPr>
          <w:rFonts w:ascii="Arial" w:hAnsi="Arial" w:cs="Arial"/>
          <w:sz w:val="22"/>
          <w:szCs w:val="22"/>
          <w:u w:val="single"/>
          <w:lang w:val="en-US"/>
        </w:rPr>
        <w:t>Pre-intervention and intervention periods</w:t>
      </w:r>
    </w:p>
    <w:p w14:paraId="69F18EF0" w14:textId="0F7C1595" w:rsidR="00F01ACE" w:rsidRPr="0055448C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55448C">
        <w:rPr>
          <w:rFonts w:ascii="Arial" w:hAnsi="Arial" w:cs="Arial"/>
          <w:sz w:val="22"/>
          <w:szCs w:val="22"/>
          <w:lang w:val="en-US"/>
        </w:rPr>
        <w:t xml:space="preserve">In line with ECIL guidelines, EAT with a beta-lactam was started immediately after onset of fever in neutropenic patients, after blood cultures were taken. </w:t>
      </w:r>
      <w:r>
        <w:rPr>
          <w:rFonts w:ascii="Arial" w:hAnsi="Arial" w:cs="Arial"/>
          <w:sz w:val="22"/>
          <w:szCs w:val="22"/>
          <w:lang w:val="en-US"/>
        </w:rPr>
        <w:t>D</w:t>
      </w:r>
      <w:r w:rsidRPr="0055448C">
        <w:rPr>
          <w:rFonts w:ascii="Arial" w:hAnsi="Arial" w:cs="Arial"/>
          <w:sz w:val="22"/>
          <w:szCs w:val="22"/>
          <w:lang w:val="en-US"/>
        </w:rPr>
        <w:t xml:space="preserve">uring both periods, carbapenem use was restricted to patients with prior colonization or infection with </w:t>
      </w:r>
      <w:r>
        <w:rPr>
          <w:rFonts w:ascii="Arial" w:hAnsi="Arial" w:cs="Arial"/>
          <w:sz w:val="22"/>
          <w:szCs w:val="22"/>
          <w:lang w:val="en-US"/>
        </w:rPr>
        <w:t xml:space="preserve">extended-spectrum </w:t>
      </w:r>
      <m:oMath>
        <m:r>
          <w:rPr>
            <w:rFonts w:ascii="Cambria Math" w:hAnsi="Cambria Math" w:cs="Arial"/>
            <w:sz w:val="22"/>
            <w:szCs w:val="22"/>
            <w:lang w:val="en-US"/>
          </w:rPr>
          <m:t>β</m:t>
        </m:r>
      </m:oMath>
      <w:r>
        <w:rPr>
          <w:rFonts w:ascii="Arial" w:hAnsi="Arial" w:cs="Arial"/>
          <w:sz w:val="22"/>
          <w:szCs w:val="22"/>
          <w:lang w:val="en-US"/>
        </w:rPr>
        <w:t>-lactamase</w:t>
      </w:r>
      <w:r w:rsidRPr="0055448C">
        <w:rPr>
          <w:rFonts w:ascii="Arial" w:hAnsi="Arial" w:cs="Arial"/>
          <w:sz w:val="22"/>
          <w:szCs w:val="22"/>
          <w:lang w:val="en-US"/>
        </w:rPr>
        <w:t xml:space="preserve">-producing bacteria and in patients with septic shock. A single injection of aminoglycosides was administered in patients with sepsis or septic shock. An agent active against resistant Gram-positive bacteria (GPB) (e.g., </w:t>
      </w:r>
      <w:r w:rsidR="00036B2E" w:rsidRPr="002703F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glycopeptide, lipopeptide </w:t>
      </w:r>
      <w:r w:rsidR="00036B2E">
        <w:rPr>
          <w:rFonts w:ascii="Arial" w:hAnsi="Arial" w:cs="Arial"/>
          <w:color w:val="000000"/>
          <w:sz w:val="22"/>
          <w:szCs w:val="22"/>
          <w:shd w:val="clear" w:color="auto" w:fill="FFFFFF"/>
        </w:rPr>
        <w:t>or</w:t>
      </w:r>
      <w:r w:rsidR="00036B2E" w:rsidRPr="002703F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36B2E" w:rsidRPr="002703F8">
        <w:rPr>
          <w:rFonts w:ascii="Arial" w:hAnsi="Arial" w:cs="Arial"/>
          <w:color w:val="000000"/>
          <w:sz w:val="22"/>
          <w:szCs w:val="22"/>
          <w:shd w:val="clear" w:color="auto" w:fill="FFFFFF"/>
        </w:rPr>
        <w:t>oxazolidinon</w:t>
      </w:r>
      <w:r w:rsidR="00036B2E">
        <w:rPr>
          <w:rFonts w:ascii="Arial" w:hAnsi="Arial" w:cs="Arial"/>
          <w:color w:val="000000"/>
          <w:sz w:val="22"/>
          <w:szCs w:val="22"/>
          <w:shd w:val="clear" w:color="auto" w:fill="FFFFFF"/>
        </w:rPr>
        <w:t>e</w:t>
      </w:r>
      <w:proofErr w:type="spellEnd"/>
      <w:r w:rsidRPr="0055448C">
        <w:rPr>
          <w:rFonts w:ascii="Arial" w:hAnsi="Arial" w:cs="Arial"/>
          <w:sz w:val="22"/>
          <w:szCs w:val="22"/>
          <w:lang w:val="en-US"/>
        </w:rPr>
        <w:t>) was added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55448C">
        <w:rPr>
          <w:rFonts w:ascii="Arial" w:hAnsi="Arial" w:cs="Arial"/>
          <w:sz w:val="22"/>
          <w:szCs w:val="22"/>
          <w:lang w:val="en-US"/>
        </w:rPr>
        <w:t xml:space="preserve"> similarly during both periods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55448C">
        <w:rPr>
          <w:rFonts w:ascii="Arial" w:hAnsi="Arial" w:cs="Arial"/>
          <w:sz w:val="22"/>
          <w:szCs w:val="22"/>
          <w:lang w:val="en-US"/>
        </w:rPr>
        <w:t xml:space="preserve"> in patients with suspected catheter-related infection, skin and soft tissue infection or severe mucositis and in patients with septic shock. </w:t>
      </w:r>
    </w:p>
    <w:p w14:paraId="730577E2" w14:textId="77777777" w:rsidR="00F01ACE" w:rsidRPr="0055448C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</w:p>
    <w:p w14:paraId="33D50C1E" w14:textId="77777777" w:rsidR="00F01ACE" w:rsidRPr="0077499F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>
        <w:rPr>
          <w:rFonts w:ascii="Arial" w:hAnsi="Arial" w:cs="Arial"/>
          <w:sz w:val="22"/>
          <w:szCs w:val="22"/>
          <w:u w:val="single"/>
          <w:lang w:val="en-US"/>
        </w:rPr>
        <w:t>Intervention period only</w:t>
      </w:r>
    </w:p>
    <w:p w14:paraId="0F3EADD9" w14:textId="77777777" w:rsidR="00F01ACE" w:rsidRPr="0055448C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55448C">
        <w:rPr>
          <w:rFonts w:ascii="Arial" w:hAnsi="Arial" w:cs="Arial"/>
          <w:sz w:val="22"/>
          <w:szCs w:val="22"/>
          <w:lang w:val="en-US"/>
        </w:rPr>
        <w:t xml:space="preserve">EAT was systematically reassessed between 48 and 72 hours after introduction. </w:t>
      </w:r>
    </w:p>
    <w:p w14:paraId="72A0143A" w14:textId="77777777" w:rsidR="00F01ACE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55448C">
        <w:rPr>
          <w:rFonts w:ascii="Arial" w:hAnsi="Arial" w:cs="Arial"/>
          <w:sz w:val="22"/>
          <w:szCs w:val="22"/>
          <w:lang w:val="en-US"/>
        </w:rPr>
        <w:t xml:space="preserve">- </w:t>
      </w:r>
      <w:r w:rsidRPr="00FF16F5">
        <w:rPr>
          <w:rFonts w:ascii="Arial" w:hAnsi="Arial" w:cs="Arial"/>
          <w:i/>
          <w:iCs/>
          <w:sz w:val="22"/>
          <w:szCs w:val="22"/>
          <w:lang w:val="en-US"/>
        </w:rPr>
        <w:t>De-escalation strategy</w:t>
      </w:r>
      <w:r w:rsidRPr="0055448C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0234F055" w14:textId="77777777" w:rsidR="00F01ACE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55448C">
        <w:rPr>
          <w:rFonts w:ascii="Arial" w:hAnsi="Arial" w:cs="Arial"/>
          <w:sz w:val="22"/>
          <w:szCs w:val="22"/>
          <w:lang w:val="en-US"/>
        </w:rPr>
        <w:t xml:space="preserve">If EAT with carbapenem was started based on prior colonization or infection with resistant pathogens and no microbiological documentation was available, de-escalation was encouraged in stable patients who had been afebrile for at least 48 </w:t>
      </w:r>
      <w:r>
        <w:rPr>
          <w:rFonts w:ascii="Arial" w:hAnsi="Arial" w:cs="Arial"/>
          <w:sz w:val="22"/>
          <w:szCs w:val="22"/>
          <w:lang w:val="en-US"/>
        </w:rPr>
        <w:t>h</w:t>
      </w:r>
      <w:r w:rsidRPr="0055448C">
        <w:rPr>
          <w:rFonts w:ascii="Arial" w:hAnsi="Arial" w:cs="Arial"/>
          <w:sz w:val="22"/>
          <w:szCs w:val="22"/>
          <w:lang w:val="en-US"/>
        </w:rPr>
        <w:t>ours. If an agent active again</w:t>
      </w:r>
      <w:r>
        <w:rPr>
          <w:rFonts w:ascii="Arial" w:hAnsi="Arial" w:cs="Arial"/>
          <w:sz w:val="22"/>
          <w:szCs w:val="22"/>
          <w:lang w:val="en-US"/>
        </w:rPr>
        <w:t>st</w:t>
      </w:r>
      <w:r w:rsidRPr="0055448C">
        <w:rPr>
          <w:rFonts w:ascii="Arial" w:hAnsi="Arial" w:cs="Arial"/>
          <w:sz w:val="22"/>
          <w:szCs w:val="22"/>
          <w:lang w:val="en-US"/>
        </w:rPr>
        <w:t xml:space="preserve"> GPB was started based on focal clinical signs</w:t>
      </w:r>
      <w:r>
        <w:rPr>
          <w:rFonts w:ascii="Arial" w:hAnsi="Arial" w:cs="Arial"/>
          <w:sz w:val="22"/>
          <w:szCs w:val="22"/>
          <w:lang w:val="en-US"/>
        </w:rPr>
        <w:t xml:space="preserve"> and</w:t>
      </w:r>
      <w:r w:rsidRPr="00CC0048">
        <w:rPr>
          <w:rFonts w:ascii="Arial" w:hAnsi="Arial" w:cs="Arial"/>
          <w:sz w:val="22"/>
          <w:szCs w:val="22"/>
          <w:lang w:val="en-US"/>
        </w:rPr>
        <w:t xml:space="preserve"> no </w:t>
      </w:r>
      <w:r>
        <w:rPr>
          <w:rFonts w:ascii="Arial" w:hAnsi="Arial" w:cs="Arial"/>
          <w:sz w:val="22"/>
          <w:szCs w:val="22"/>
          <w:lang w:val="en-US"/>
        </w:rPr>
        <w:t>GPB</w:t>
      </w:r>
      <w:r w:rsidRPr="00CC0048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was documented</w:t>
      </w:r>
      <w:r w:rsidRPr="0055448C">
        <w:rPr>
          <w:rFonts w:ascii="Arial" w:hAnsi="Arial" w:cs="Arial"/>
          <w:sz w:val="22"/>
          <w:szCs w:val="22"/>
          <w:lang w:val="en-US"/>
        </w:rPr>
        <w:t xml:space="preserve">, its </w:t>
      </w:r>
      <w:r>
        <w:rPr>
          <w:rFonts w:ascii="Arial" w:hAnsi="Arial" w:cs="Arial"/>
          <w:sz w:val="22"/>
          <w:szCs w:val="22"/>
          <w:lang w:val="en-US"/>
        </w:rPr>
        <w:t>stopping</w:t>
      </w:r>
      <w:r w:rsidRPr="0055448C">
        <w:rPr>
          <w:rFonts w:ascii="Arial" w:hAnsi="Arial" w:cs="Arial"/>
          <w:sz w:val="22"/>
          <w:szCs w:val="22"/>
          <w:lang w:val="en-US"/>
        </w:rPr>
        <w:t xml:space="preserve"> was encouraged in stable patients upon resolution of focal clinical signs. If carbapenem </w:t>
      </w:r>
      <w:r>
        <w:rPr>
          <w:rFonts w:ascii="Arial" w:hAnsi="Arial" w:cs="Arial"/>
          <w:sz w:val="22"/>
          <w:szCs w:val="22"/>
          <w:lang w:val="en-US"/>
        </w:rPr>
        <w:t xml:space="preserve">and anti-resistant </w:t>
      </w:r>
      <w:r w:rsidRPr="0055448C">
        <w:rPr>
          <w:rFonts w:ascii="Arial" w:hAnsi="Arial" w:cs="Arial"/>
          <w:sz w:val="22"/>
          <w:szCs w:val="22"/>
          <w:lang w:val="en-US"/>
        </w:rPr>
        <w:t>GPB</w:t>
      </w:r>
      <w:r>
        <w:rPr>
          <w:rFonts w:ascii="Arial" w:hAnsi="Arial" w:cs="Arial"/>
          <w:sz w:val="22"/>
          <w:szCs w:val="22"/>
          <w:lang w:val="en-US"/>
        </w:rPr>
        <w:t xml:space="preserve"> therapy</w:t>
      </w:r>
      <w:r w:rsidRPr="0055448C">
        <w:rPr>
          <w:rFonts w:ascii="Arial" w:hAnsi="Arial" w:cs="Arial"/>
          <w:sz w:val="22"/>
          <w:szCs w:val="22"/>
          <w:lang w:val="en-US"/>
        </w:rPr>
        <w:t xml:space="preserve"> w</w:t>
      </w:r>
      <w:r>
        <w:rPr>
          <w:rFonts w:ascii="Arial" w:hAnsi="Arial" w:cs="Arial"/>
          <w:sz w:val="22"/>
          <w:szCs w:val="22"/>
          <w:lang w:val="en-US"/>
        </w:rPr>
        <w:t>ere</w:t>
      </w:r>
      <w:r w:rsidRPr="0055448C">
        <w:rPr>
          <w:rFonts w:ascii="Arial" w:hAnsi="Arial" w:cs="Arial"/>
          <w:sz w:val="22"/>
          <w:szCs w:val="22"/>
          <w:lang w:val="en-US"/>
        </w:rPr>
        <w:t xml:space="preserve"> started in the context of septic shock and the patient stabilized on treatment without documented infection, no </w:t>
      </w:r>
      <w:proofErr w:type="gramStart"/>
      <w:r w:rsidRPr="0055448C">
        <w:rPr>
          <w:rFonts w:ascii="Arial" w:hAnsi="Arial" w:cs="Arial"/>
          <w:sz w:val="22"/>
          <w:szCs w:val="22"/>
          <w:lang w:val="en-US"/>
        </w:rPr>
        <w:t>particular change</w:t>
      </w:r>
      <w:proofErr w:type="gramEnd"/>
      <w:r w:rsidRPr="0055448C">
        <w:rPr>
          <w:rFonts w:ascii="Arial" w:hAnsi="Arial" w:cs="Arial"/>
          <w:sz w:val="22"/>
          <w:szCs w:val="22"/>
          <w:lang w:val="en-US"/>
        </w:rPr>
        <w:t xml:space="preserve"> was encouraged. </w:t>
      </w:r>
    </w:p>
    <w:p w14:paraId="43F498B6" w14:textId="77777777" w:rsidR="00F01ACE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55448C">
        <w:rPr>
          <w:rFonts w:ascii="Arial" w:hAnsi="Arial" w:cs="Arial"/>
          <w:sz w:val="22"/>
          <w:szCs w:val="22"/>
          <w:lang w:val="en-US"/>
        </w:rPr>
        <w:t xml:space="preserve">- </w:t>
      </w:r>
      <w:r w:rsidRPr="00FF16F5">
        <w:rPr>
          <w:rFonts w:ascii="Arial" w:hAnsi="Arial" w:cs="Arial"/>
          <w:i/>
          <w:iCs/>
          <w:sz w:val="22"/>
          <w:szCs w:val="22"/>
          <w:lang w:val="en-US"/>
        </w:rPr>
        <w:t>Discontinuation strategy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99361ED" w14:textId="77777777" w:rsidR="00F01ACE" w:rsidRPr="0055448C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55448C">
        <w:rPr>
          <w:rFonts w:ascii="Arial" w:hAnsi="Arial" w:cs="Arial"/>
          <w:sz w:val="22"/>
          <w:szCs w:val="22"/>
          <w:lang w:val="en-US"/>
        </w:rPr>
        <w:lastRenderedPageBreak/>
        <w:t>Without clinical nor microbiological documentation, EAT discontinu</w:t>
      </w:r>
      <w:r>
        <w:rPr>
          <w:rFonts w:ascii="Arial" w:hAnsi="Arial" w:cs="Arial"/>
          <w:sz w:val="22"/>
          <w:szCs w:val="22"/>
          <w:lang w:val="en-US"/>
        </w:rPr>
        <w:t>ation was encouraged</w:t>
      </w:r>
      <w:r w:rsidRPr="0055448C">
        <w:rPr>
          <w:rFonts w:ascii="Arial" w:hAnsi="Arial" w:cs="Arial"/>
          <w:sz w:val="22"/>
          <w:szCs w:val="22"/>
          <w:lang w:val="en-US"/>
        </w:rPr>
        <w:t xml:space="preserve"> after 72 hours in stable patients who had been afebrile for at least 48 hours. In clinically or microbiologically documented infections, </w:t>
      </w:r>
      <w:r>
        <w:rPr>
          <w:rFonts w:ascii="Arial" w:hAnsi="Arial" w:cs="Arial"/>
          <w:sz w:val="22"/>
          <w:szCs w:val="22"/>
          <w:lang w:val="en-US"/>
        </w:rPr>
        <w:t xml:space="preserve">discontinuation of </w:t>
      </w:r>
      <w:r w:rsidRPr="0055448C">
        <w:rPr>
          <w:rFonts w:ascii="Arial" w:hAnsi="Arial" w:cs="Arial"/>
          <w:sz w:val="22"/>
          <w:szCs w:val="22"/>
          <w:lang w:val="en-US"/>
        </w:rPr>
        <w:t xml:space="preserve">appropriate antibiotic therapy was </w:t>
      </w:r>
      <w:r>
        <w:rPr>
          <w:rFonts w:ascii="Arial" w:hAnsi="Arial" w:cs="Arial"/>
          <w:sz w:val="22"/>
          <w:szCs w:val="22"/>
          <w:lang w:val="en-US"/>
        </w:rPr>
        <w:t xml:space="preserve">encouraged after </w:t>
      </w:r>
      <w:r w:rsidRPr="0055448C">
        <w:rPr>
          <w:rFonts w:ascii="Arial" w:hAnsi="Arial" w:cs="Arial"/>
          <w:sz w:val="22"/>
          <w:szCs w:val="22"/>
          <w:lang w:val="en-US"/>
        </w:rPr>
        <w:t>7 days</w:t>
      </w:r>
      <w:r>
        <w:rPr>
          <w:rFonts w:ascii="Arial" w:hAnsi="Arial" w:cs="Arial"/>
          <w:sz w:val="22"/>
          <w:szCs w:val="22"/>
          <w:lang w:val="en-US"/>
        </w:rPr>
        <w:t xml:space="preserve"> and after </w:t>
      </w:r>
      <w:r w:rsidRPr="0055448C">
        <w:rPr>
          <w:rFonts w:ascii="Arial" w:hAnsi="Arial" w:cs="Arial"/>
          <w:sz w:val="22"/>
          <w:szCs w:val="22"/>
          <w:lang w:val="en-US"/>
        </w:rPr>
        <w:t xml:space="preserve">infection was microbiologically eradicated, clinical resolution was obtained and fever had resolved for at least 4 days. </w:t>
      </w:r>
    </w:p>
    <w:p w14:paraId="4620897A" w14:textId="77777777" w:rsidR="00F01ACE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55448C">
        <w:rPr>
          <w:rFonts w:ascii="Arial" w:hAnsi="Arial" w:cs="Arial"/>
          <w:sz w:val="22"/>
          <w:szCs w:val="22"/>
          <w:lang w:val="en-US"/>
        </w:rPr>
        <w:t xml:space="preserve">- </w:t>
      </w:r>
      <w:r w:rsidRPr="00FF16F5">
        <w:rPr>
          <w:rFonts w:ascii="Arial" w:hAnsi="Arial" w:cs="Arial"/>
          <w:i/>
          <w:iCs/>
          <w:sz w:val="22"/>
          <w:szCs w:val="22"/>
          <w:lang w:val="en-US"/>
        </w:rPr>
        <w:t>Approach to persistent or recurrent fever</w:t>
      </w:r>
    </w:p>
    <w:p w14:paraId="6946F8FD" w14:textId="77777777" w:rsidR="00F01ACE" w:rsidRPr="006A0082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55448C">
        <w:rPr>
          <w:rFonts w:ascii="Arial" w:hAnsi="Arial" w:cs="Arial"/>
          <w:sz w:val="22"/>
          <w:szCs w:val="22"/>
          <w:lang w:val="en-US"/>
        </w:rPr>
        <w:t>If fever persisted in stable patients without new clinical signs, change</w:t>
      </w:r>
      <w:r>
        <w:rPr>
          <w:rFonts w:ascii="Arial" w:hAnsi="Arial" w:cs="Arial"/>
          <w:sz w:val="22"/>
          <w:szCs w:val="22"/>
          <w:lang w:val="en-US"/>
        </w:rPr>
        <w:t>s</w:t>
      </w:r>
      <w:r w:rsidRPr="0055448C">
        <w:rPr>
          <w:rFonts w:ascii="Arial" w:hAnsi="Arial" w:cs="Arial"/>
          <w:sz w:val="22"/>
          <w:szCs w:val="22"/>
          <w:lang w:val="en-US"/>
        </w:rPr>
        <w:t xml:space="preserve"> in antibiotic therapy w</w:t>
      </w:r>
      <w:r>
        <w:rPr>
          <w:rFonts w:ascii="Arial" w:hAnsi="Arial" w:cs="Arial"/>
          <w:sz w:val="22"/>
          <w:szCs w:val="22"/>
          <w:lang w:val="en-US"/>
        </w:rPr>
        <w:t>ere</w:t>
      </w:r>
      <w:r w:rsidRPr="0055448C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discouraged</w:t>
      </w:r>
      <w:r w:rsidRPr="0055448C">
        <w:rPr>
          <w:rFonts w:ascii="Arial" w:hAnsi="Arial" w:cs="Arial"/>
          <w:sz w:val="22"/>
          <w:szCs w:val="22"/>
          <w:lang w:val="en-US"/>
        </w:rPr>
        <w:t xml:space="preserve"> and the diagnostic work-up was continued, including repeated blood </w:t>
      </w:r>
      <w:proofErr w:type="gramStart"/>
      <w:r w:rsidRPr="0055448C">
        <w:rPr>
          <w:rFonts w:ascii="Arial" w:hAnsi="Arial" w:cs="Arial"/>
          <w:sz w:val="22"/>
          <w:szCs w:val="22"/>
          <w:lang w:val="en-US"/>
        </w:rPr>
        <w:t>cultures</w:t>
      </w:r>
      <w:proofErr w:type="gramEnd"/>
      <w:r w:rsidRPr="0055448C">
        <w:rPr>
          <w:rFonts w:ascii="Arial" w:hAnsi="Arial" w:cs="Arial"/>
          <w:sz w:val="22"/>
          <w:szCs w:val="22"/>
          <w:lang w:val="en-US"/>
        </w:rPr>
        <w:t xml:space="preserve"> and computed tomographic of chest and sinuses. If fever recurred after antibiotic discontinuation, EAT was immediately reintroduced, after new blood cultures were taken</w:t>
      </w:r>
      <w:r>
        <w:rPr>
          <w:rFonts w:ascii="Arial" w:hAnsi="Arial" w:cs="Arial"/>
          <w:sz w:val="22"/>
          <w:szCs w:val="22"/>
          <w:lang w:val="en-US"/>
        </w:rPr>
        <w:t>.</w:t>
      </w:r>
      <w:r>
        <w:rPr>
          <w:rFonts w:ascii="Arial" w:hAnsi="Arial" w:cs="Arial"/>
          <w:b/>
          <w:bCs/>
          <w:sz w:val="22"/>
          <w:szCs w:val="22"/>
          <w:lang w:val="en-US"/>
        </w:rPr>
        <w:br w:type="page"/>
      </w:r>
    </w:p>
    <w:p w14:paraId="62CB02C9" w14:textId="77777777" w:rsidR="00F01ACE" w:rsidRDefault="00F01ACE" w:rsidP="00F01ACE">
      <w:pPr>
        <w:spacing w:line="480" w:lineRule="auto"/>
        <w:contextualSpacing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C65ED4">
        <w:rPr>
          <w:rFonts w:ascii="Arial" w:hAnsi="Arial" w:cs="Arial"/>
          <w:b/>
          <w:bCs/>
          <w:noProof/>
          <w:sz w:val="22"/>
          <w:szCs w:val="22"/>
          <w:lang w:val="en-US"/>
        </w:rPr>
        <w:lastRenderedPageBreak/>
        <w:drawing>
          <wp:inline distT="0" distB="0" distL="0" distR="0" wp14:anchorId="2E74CEDB" wp14:editId="52306BAB">
            <wp:extent cx="5791200" cy="5504075"/>
            <wp:effectExtent l="0" t="0" r="0" b="0"/>
            <wp:docPr id="91034777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347777" name=""/>
                    <pic:cNvPicPr/>
                  </pic:nvPicPr>
                  <pic:blipFill rotWithShape="1">
                    <a:blip r:embed="rId6"/>
                    <a:srcRect l="1244" t="9221" r="1172" b="21220"/>
                    <a:stretch/>
                  </pic:blipFill>
                  <pic:spPr bwMode="auto">
                    <a:xfrm>
                      <a:off x="0" y="0"/>
                      <a:ext cx="5798016" cy="5510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6C30C" w14:textId="77777777" w:rsidR="00F01ACE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Figure</w:t>
      </w:r>
      <w:r w:rsidRPr="002D34A5">
        <w:rPr>
          <w:rFonts w:ascii="Arial" w:hAnsi="Arial" w:cs="Arial"/>
          <w:b/>
          <w:bCs/>
          <w:sz w:val="22"/>
          <w:szCs w:val="22"/>
          <w:lang w:val="en-US"/>
        </w:rPr>
        <w:t xml:space="preserve"> S1:</w:t>
      </w:r>
      <w:r w:rsidRPr="00CC1C9B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Decision algorithm for introduction of empirical antibiotic therapy for febrile neutropenia</w:t>
      </w:r>
    </w:p>
    <w:p w14:paraId="4CE557A9" w14:textId="77777777" w:rsidR="00F01ACE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</w:p>
    <w:p w14:paraId="1560BFFF" w14:textId="77777777" w:rsidR="00F01ACE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Abbreviations: AMS: Antimicrobial stewardship; CVC: Central venous catheter; ESBL: Extended-spectrum beta-lactamase; Pipe-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tazo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: piperacillin-tazobactam;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qSOFA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: Quick SOFA; SST: Skin and soft tissue </w:t>
      </w:r>
      <w:r>
        <w:rPr>
          <w:rFonts w:ascii="Arial" w:hAnsi="Arial" w:cs="Arial"/>
          <w:sz w:val="22"/>
          <w:szCs w:val="22"/>
          <w:lang w:val="en-US"/>
        </w:rPr>
        <w:br w:type="page"/>
      </w:r>
    </w:p>
    <w:p w14:paraId="3BB245B2" w14:textId="77777777" w:rsidR="00F01ACE" w:rsidRDefault="00F01ACE" w:rsidP="00F01ACE">
      <w:pPr>
        <w:spacing w:line="480" w:lineRule="auto"/>
        <w:contextualSpacing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8E0ACC">
        <w:rPr>
          <w:rFonts w:ascii="Arial" w:hAnsi="Arial" w:cs="Arial"/>
          <w:b/>
          <w:bCs/>
          <w:noProof/>
          <w:sz w:val="22"/>
          <w:szCs w:val="22"/>
          <w:lang w:val="en-US"/>
        </w:rPr>
        <w:lastRenderedPageBreak/>
        <w:drawing>
          <wp:inline distT="0" distB="0" distL="0" distR="0" wp14:anchorId="269F5D3C" wp14:editId="4AC87FAB">
            <wp:extent cx="5898776" cy="7545584"/>
            <wp:effectExtent l="0" t="0" r="0" b="0"/>
            <wp:docPr id="9850864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086452" name=""/>
                    <pic:cNvPicPr/>
                  </pic:nvPicPr>
                  <pic:blipFill rotWithShape="1">
                    <a:blip r:embed="rId7"/>
                    <a:srcRect t="2451" b="1610"/>
                    <a:stretch/>
                  </pic:blipFill>
                  <pic:spPr bwMode="auto">
                    <a:xfrm>
                      <a:off x="0" y="0"/>
                      <a:ext cx="5901841" cy="7549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89003" w14:textId="77777777" w:rsidR="00F01ACE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Figure</w:t>
      </w:r>
      <w:r w:rsidRPr="002D34A5">
        <w:rPr>
          <w:rFonts w:ascii="Arial" w:hAnsi="Arial" w:cs="Arial"/>
          <w:b/>
          <w:bCs/>
          <w:sz w:val="22"/>
          <w:szCs w:val="22"/>
          <w:lang w:val="en-US"/>
        </w:rPr>
        <w:t xml:space="preserve"> S</w:t>
      </w:r>
      <w:r>
        <w:rPr>
          <w:rFonts w:ascii="Arial" w:hAnsi="Arial" w:cs="Arial"/>
          <w:b/>
          <w:bCs/>
          <w:sz w:val="22"/>
          <w:szCs w:val="22"/>
          <w:lang w:val="en-US"/>
        </w:rPr>
        <w:t>2</w:t>
      </w:r>
      <w:r w:rsidRPr="002D34A5">
        <w:rPr>
          <w:rFonts w:ascii="Arial" w:hAnsi="Arial" w:cs="Arial"/>
          <w:b/>
          <w:bCs/>
          <w:sz w:val="22"/>
          <w:szCs w:val="22"/>
          <w:lang w:val="en-US"/>
        </w:rPr>
        <w:t>:</w:t>
      </w:r>
      <w:r w:rsidRPr="00CC1C9B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Decision algorithm for reassessment of empirical antibiotic therapy with piperacillin-tazobactam or cefepime</w:t>
      </w:r>
    </w:p>
    <w:p w14:paraId="4C298E78" w14:textId="77777777" w:rsidR="00F01ACE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</w:p>
    <w:p w14:paraId="714B6117" w14:textId="77777777" w:rsidR="00F01ACE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lastRenderedPageBreak/>
        <w:t>Abbreviations: AMS: Antimicrobial stewardship; CVC: Central venous catheter; EAT: Empirical antibiotic therapy; GPB: Gram-positive bacteria; Pipe-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tazo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: piperacillin-tazobactam; SST: Skin and soft tissue </w:t>
      </w:r>
      <w:r>
        <w:rPr>
          <w:rFonts w:ascii="Arial" w:hAnsi="Arial" w:cs="Arial"/>
          <w:sz w:val="22"/>
          <w:szCs w:val="22"/>
          <w:lang w:val="en-US"/>
        </w:rPr>
        <w:br w:type="page"/>
      </w:r>
    </w:p>
    <w:p w14:paraId="73D8A4D7" w14:textId="77777777" w:rsidR="00F01ACE" w:rsidRDefault="00F01ACE" w:rsidP="00F01ACE">
      <w:pPr>
        <w:spacing w:line="480" w:lineRule="auto"/>
        <w:contextualSpacing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B00BF0">
        <w:rPr>
          <w:rFonts w:ascii="Arial" w:hAnsi="Arial" w:cs="Arial"/>
          <w:b/>
          <w:bCs/>
          <w:noProof/>
          <w:sz w:val="22"/>
          <w:szCs w:val="22"/>
          <w:lang w:val="en-US"/>
        </w:rPr>
        <w:lastRenderedPageBreak/>
        <w:drawing>
          <wp:inline distT="0" distB="0" distL="0" distR="0" wp14:anchorId="08D697CB" wp14:editId="2B8A03F7">
            <wp:extent cx="5829651" cy="7566211"/>
            <wp:effectExtent l="0" t="0" r="0" b="3175"/>
            <wp:docPr id="18540176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017639" name=""/>
                    <pic:cNvPicPr/>
                  </pic:nvPicPr>
                  <pic:blipFill rotWithShape="1">
                    <a:blip r:embed="rId8"/>
                    <a:srcRect t="701" b="1959"/>
                    <a:stretch/>
                  </pic:blipFill>
                  <pic:spPr bwMode="auto">
                    <a:xfrm>
                      <a:off x="0" y="0"/>
                      <a:ext cx="5833301" cy="7570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38C51D" w14:textId="77777777" w:rsidR="00F01ACE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Figure</w:t>
      </w:r>
      <w:r w:rsidRPr="002D34A5">
        <w:rPr>
          <w:rFonts w:ascii="Arial" w:hAnsi="Arial" w:cs="Arial"/>
          <w:b/>
          <w:bCs/>
          <w:sz w:val="22"/>
          <w:szCs w:val="22"/>
          <w:lang w:val="en-US"/>
        </w:rPr>
        <w:t xml:space="preserve"> S</w:t>
      </w:r>
      <w:r>
        <w:rPr>
          <w:rFonts w:ascii="Arial" w:hAnsi="Arial" w:cs="Arial"/>
          <w:b/>
          <w:bCs/>
          <w:sz w:val="22"/>
          <w:szCs w:val="22"/>
          <w:lang w:val="en-US"/>
        </w:rPr>
        <w:t>3</w:t>
      </w:r>
      <w:r w:rsidRPr="002D34A5">
        <w:rPr>
          <w:rFonts w:ascii="Arial" w:hAnsi="Arial" w:cs="Arial"/>
          <w:b/>
          <w:bCs/>
          <w:sz w:val="22"/>
          <w:szCs w:val="22"/>
          <w:lang w:val="en-US"/>
        </w:rPr>
        <w:t>:</w:t>
      </w:r>
      <w:r w:rsidRPr="00CC1C9B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Decision algorithm for reassessment of empirical antibiotic therapy with carbapenem </w:t>
      </w:r>
    </w:p>
    <w:p w14:paraId="71EED0DC" w14:textId="77777777" w:rsidR="00F01ACE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</w:p>
    <w:p w14:paraId="71CF7444" w14:textId="77777777" w:rsidR="00F01ACE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lastRenderedPageBreak/>
        <w:t>Abbreviations: AMS: Antimicrobial stewardship; CVC: Central venous catheter; EAT: Empirical antibiotic therapy; GPB: Gram-positive bacteria; Pipe-</w:t>
      </w:r>
      <w:proofErr w:type="spellStart"/>
      <w:r>
        <w:rPr>
          <w:rFonts w:ascii="Arial" w:hAnsi="Arial" w:cs="Arial"/>
          <w:sz w:val="22"/>
          <w:szCs w:val="22"/>
          <w:lang w:val="en-US"/>
        </w:rPr>
        <w:t>tazo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: piperacillin-tazobactam; SST: Skin and soft tissue </w:t>
      </w:r>
      <w:r>
        <w:rPr>
          <w:rFonts w:ascii="Arial" w:hAnsi="Arial" w:cs="Arial"/>
          <w:sz w:val="22"/>
          <w:szCs w:val="22"/>
          <w:lang w:val="en-US"/>
        </w:rPr>
        <w:br w:type="page"/>
      </w:r>
    </w:p>
    <w:p w14:paraId="409CBA8F" w14:textId="23D12A4E" w:rsidR="00A73789" w:rsidRDefault="00A73789" w:rsidP="00A36D4D">
      <w:pPr>
        <w:spacing w:line="480" w:lineRule="auto"/>
        <w:rPr>
          <w:rFonts w:ascii="Arial" w:hAnsi="Arial" w:cs="Arial"/>
          <w:sz w:val="22"/>
          <w:szCs w:val="22"/>
        </w:rPr>
      </w:pPr>
      <w:r w:rsidRPr="002D34A5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>Table S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1: </w:t>
      </w:r>
      <w:r w:rsidRPr="008978D7">
        <w:rPr>
          <w:rFonts w:ascii="Arial" w:hAnsi="Arial" w:cs="Arial"/>
          <w:sz w:val="22"/>
          <w:szCs w:val="22"/>
        </w:rPr>
        <w:t xml:space="preserve">Description of </w:t>
      </w:r>
      <w:proofErr w:type="spellStart"/>
      <w:r>
        <w:rPr>
          <w:rFonts w:ascii="Arial" w:hAnsi="Arial" w:cs="Arial"/>
          <w:sz w:val="22"/>
          <w:szCs w:val="22"/>
        </w:rPr>
        <w:t>bacterial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species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8978D7">
        <w:rPr>
          <w:rFonts w:ascii="Arial" w:hAnsi="Arial" w:cs="Arial"/>
          <w:sz w:val="22"/>
          <w:szCs w:val="22"/>
        </w:rPr>
        <w:t>and</w:t>
      </w:r>
      <w:r w:rsidR="00A36D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78D7">
        <w:rPr>
          <w:rFonts w:ascii="Arial" w:hAnsi="Arial" w:cs="Arial"/>
          <w:sz w:val="22"/>
          <w:szCs w:val="22"/>
        </w:rPr>
        <w:t>antibiotic</w:t>
      </w:r>
      <w:proofErr w:type="spellEnd"/>
      <w:r w:rsidRPr="008978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78D7">
        <w:rPr>
          <w:rFonts w:ascii="Arial" w:hAnsi="Arial" w:cs="Arial"/>
          <w:sz w:val="22"/>
          <w:szCs w:val="22"/>
        </w:rPr>
        <w:t>susceptibility</w:t>
      </w:r>
      <w:proofErr w:type="spellEnd"/>
      <w:r w:rsidRPr="008978D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isolated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78D7">
        <w:rPr>
          <w:rFonts w:ascii="Arial" w:hAnsi="Arial" w:cs="Arial"/>
          <w:sz w:val="22"/>
          <w:szCs w:val="22"/>
        </w:rPr>
        <w:t>from</w:t>
      </w:r>
      <w:proofErr w:type="spellEnd"/>
      <w:r w:rsidRPr="008978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978D7">
        <w:rPr>
          <w:rFonts w:ascii="Arial" w:hAnsi="Arial" w:cs="Arial"/>
          <w:sz w:val="22"/>
          <w:szCs w:val="22"/>
        </w:rPr>
        <w:t>blood</w:t>
      </w:r>
      <w:proofErr w:type="spellEnd"/>
      <w:r w:rsidR="00D91F2B">
        <w:rPr>
          <w:rFonts w:ascii="Arial" w:hAnsi="Arial" w:cs="Arial"/>
          <w:sz w:val="22"/>
          <w:szCs w:val="22"/>
        </w:rPr>
        <w:t xml:space="preserve"> </w:t>
      </w:r>
      <w:r w:rsidRPr="008978D7">
        <w:rPr>
          <w:rFonts w:ascii="Arial" w:hAnsi="Arial" w:cs="Arial"/>
          <w:sz w:val="22"/>
          <w:szCs w:val="22"/>
        </w:rPr>
        <w:t>cultures</w:t>
      </w:r>
      <w:r w:rsidR="00A36D4D">
        <w:rPr>
          <w:rFonts w:ascii="Arial" w:hAnsi="Arial" w:cs="Arial"/>
          <w:sz w:val="22"/>
          <w:szCs w:val="22"/>
        </w:rPr>
        <w:t xml:space="preserve"> in </w:t>
      </w:r>
      <w:proofErr w:type="spellStart"/>
      <w:proofErr w:type="gramStart"/>
      <w:r w:rsidR="00A36D4D">
        <w:rPr>
          <w:rFonts w:ascii="Arial" w:hAnsi="Arial" w:cs="Arial"/>
          <w:sz w:val="22"/>
          <w:szCs w:val="22"/>
        </w:rPr>
        <w:t>bacteremia</w:t>
      </w:r>
      <w:proofErr w:type="spellEnd"/>
      <w:proofErr w:type="gramEnd"/>
    </w:p>
    <w:p w14:paraId="57ADE15B" w14:textId="77777777" w:rsidR="00A73789" w:rsidRPr="00497D3E" w:rsidRDefault="00A73789" w:rsidP="00A73789">
      <w:pPr>
        <w:rPr>
          <w:rFonts w:ascii="Arial" w:hAnsi="Arial" w:cs="Arial"/>
          <w:sz w:val="22"/>
          <w:szCs w:val="22"/>
        </w:rPr>
      </w:pPr>
    </w:p>
    <w:tbl>
      <w:tblPr>
        <w:tblStyle w:val="Grilledutableau"/>
        <w:tblpPr w:leftFromText="141" w:rightFromText="141" w:vertAnchor="text" w:horzAnchor="margin" w:tblpXSpec="center" w:tblpY="120"/>
        <w:tblW w:w="9932" w:type="dxa"/>
        <w:tblBorders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71"/>
        <w:gridCol w:w="2693"/>
        <w:gridCol w:w="2268"/>
      </w:tblGrid>
      <w:tr w:rsidR="00A73789" w:rsidRPr="00B05707" w14:paraId="53985AF4" w14:textId="77777777" w:rsidTr="00FD3C81">
        <w:trPr>
          <w:trHeight w:val="403"/>
        </w:trPr>
        <w:tc>
          <w:tcPr>
            <w:tcW w:w="4971" w:type="dxa"/>
            <w:tcBorders>
              <w:top w:val="single" w:sz="4" w:space="0" w:color="auto"/>
              <w:bottom w:val="single" w:sz="4" w:space="0" w:color="auto"/>
            </w:tcBorders>
          </w:tcPr>
          <w:p w14:paraId="44AB3EFE" w14:textId="77777777" w:rsidR="00A73789" w:rsidRPr="00B05707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89C756E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B05707">
              <w:rPr>
                <w:rFonts w:ascii="Arial" w:hAnsi="Arial" w:cs="Arial"/>
                <w:b/>
                <w:bCs/>
              </w:rPr>
              <w:t xml:space="preserve">Pre-intervention </w:t>
            </w:r>
            <w:proofErr w:type="spellStart"/>
            <w:r w:rsidRPr="00B05707">
              <w:rPr>
                <w:rFonts w:ascii="Arial" w:hAnsi="Arial" w:cs="Arial"/>
                <w:b/>
                <w:bCs/>
              </w:rPr>
              <w:t>period</w:t>
            </w:r>
            <w:proofErr w:type="spellEnd"/>
            <w:r w:rsidRPr="00B05707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51F107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Intervention </w:t>
            </w:r>
            <w:proofErr w:type="spellStart"/>
            <w:r>
              <w:rPr>
                <w:rFonts w:ascii="Arial" w:hAnsi="Arial" w:cs="Arial"/>
                <w:b/>
                <w:bCs/>
              </w:rPr>
              <w:t>period</w:t>
            </w:r>
            <w:proofErr w:type="spellEnd"/>
            <w:r w:rsidRPr="00B0570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A73789" w:rsidRPr="00B05707" w14:paraId="12A4AD6B" w14:textId="77777777" w:rsidTr="00FD3C81">
        <w:trPr>
          <w:trHeight w:val="317"/>
        </w:trPr>
        <w:tc>
          <w:tcPr>
            <w:tcW w:w="4971" w:type="dxa"/>
            <w:hideMark/>
          </w:tcPr>
          <w:p w14:paraId="16E63270" w14:textId="736B1300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Number</w:t>
            </w:r>
            <w:proofErr w:type="spellEnd"/>
            <w:r>
              <w:rPr>
                <w:rFonts w:ascii="Arial" w:hAnsi="Arial" w:cs="Arial"/>
              </w:rPr>
              <w:t xml:space="preserve"> of </w:t>
            </w:r>
            <w:proofErr w:type="spellStart"/>
            <w:r w:rsidR="006D2A6A">
              <w:rPr>
                <w:rFonts w:ascii="Arial" w:hAnsi="Arial" w:cs="Arial"/>
              </w:rPr>
              <w:t>bacteremia</w:t>
            </w:r>
            <w:proofErr w:type="spellEnd"/>
            <w:r w:rsidR="006D2A6A">
              <w:rPr>
                <w:rFonts w:ascii="Arial" w:hAnsi="Arial" w:cs="Arial"/>
              </w:rPr>
              <w:t xml:space="preserve"> </w:t>
            </w:r>
            <w:proofErr w:type="spellStart"/>
            <w:r w:rsidR="006D2A6A">
              <w:rPr>
                <w:rFonts w:ascii="Arial" w:hAnsi="Arial" w:cs="Arial"/>
              </w:rPr>
              <w:t>episodes</w:t>
            </w:r>
            <w:proofErr w:type="spellEnd"/>
          </w:p>
        </w:tc>
        <w:tc>
          <w:tcPr>
            <w:tcW w:w="2693" w:type="dxa"/>
            <w:hideMark/>
          </w:tcPr>
          <w:p w14:paraId="1829A677" w14:textId="77777777" w:rsidR="00A73789" w:rsidRPr="00B05707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B05707">
              <w:rPr>
                <w:rFonts w:ascii="Arial" w:hAnsi="Arial" w:cs="Arial"/>
              </w:rPr>
              <w:t xml:space="preserve">9 </w:t>
            </w:r>
          </w:p>
        </w:tc>
        <w:tc>
          <w:tcPr>
            <w:tcW w:w="2268" w:type="dxa"/>
            <w:hideMark/>
          </w:tcPr>
          <w:p w14:paraId="10E3EA6A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B05707">
              <w:rPr>
                <w:rFonts w:ascii="Arial" w:hAnsi="Arial" w:cs="Arial"/>
              </w:rPr>
              <w:t xml:space="preserve">18 </w:t>
            </w:r>
          </w:p>
        </w:tc>
      </w:tr>
      <w:tr w:rsidR="00A73789" w:rsidRPr="00B05707" w14:paraId="170B62F8" w14:textId="77777777" w:rsidTr="00FD3C81">
        <w:trPr>
          <w:trHeight w:val="317"/>
        </w:trPr>
        <w:tc>
          <w:tcPr>
            <w:tcW w:w="4971" w:type="dxa"/>
          </w:tcPr>
          <w:p w14:paraId="529D8B3B" w14:textId="77777777" w:rsidR="00A73789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  <w:kern w:val="24"/>
              </w:rPr>
              <w:t xml:space="preserve">Gram-positive </w:t>
            </w:r>
            <w:proofErr w:type="spellStart"/>
            <w:r>
              <w:rPr>
                <w:rFonts w:ascii="Arial" w:hAnsi="Arial" w:cs="Arial"/>
                <w:color w:val="000000" w:themeColor="text1"/>
                <w:kern w:val="24"/>
              </w:rPr>
              <w:t>species</w:t>
            </w:r>
            <w:proofErr w:type="spellEnd"/>
            <w:r w:rsidRPr="00B05707">
              <w:rPr>
                <w:rFonts w:ascii="Arial" w:hAnsi="Arial" w:cs="Arial"/>
              </w:rPr>
              <w:t>, n (%) </w:t>
            </w:r>
          </w:p>
        </w:tc>
        <w:tc>
          <w:tcPr>
            <w:tcW w:w="2693" w:type="dxa"/>
          </w:tcPr>
          <w:p w14:paraId="00F33A78" w14:textId="77777777" w:rsidR="00A73789" w:rsidRPr="00B05707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(44)</w:t>
            </w:r>
          </w:p>
        </w:tc>
        <w:tc>
          <w:tcPr>
            <w:tcW w:w="2268" w:type="dxa"/>
          </w:tcPr>
          <w:p w14:paraId="0E16AD84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(11)</w:t>
            </w:r>
          </w:p>
        </w:tc>
      </w:tr>
      <w:tr w:rsidR="00A73789" w:rsidRPr="00B05707" w14:paraId="5471CB37" w14:textId="77777777" w:rsidTr="00FD3C81">
        <w:trPr>
          <w:trHeight w:val="317"/>
        </w:trPr>
        <w:tc>
          <w:tcPr>
            <w:tcW w:w="4971" w:type="dxa"/>
          </w:tcPr>
          <w:p w14:paraId="2AE0840C" w14:textId="77777777" w:rsidR="00A73789" w:rsidRPr="00FB4AE3" w:rsidRDefault="00A73789" w:rsidP="00FD3C81">
            <w:pPr>
              <w:spacing w:line="480" w:lineRule="auto"/>
              <w:contextualSpacing/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</w:pP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 xml:space="preserve"> Staphylococcus aureus</w:t>
            </w:r>
          </w:p>
        </w:tc>
        <w:tc>
          <w:tcPr>
            <w:tcW w:w="2693" w:type="dxa"/>
          </w:tcPr>
          <w:p w14:paraId="0236882F" w14:textId="77777777" w:rsidR="00A73789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14:paraId="0113174E" w14:textId="77777777" w:rsidR="00A73789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73789" w:rsidRPr="00B05707" w14:paraId="385BB93F" w14:textId="77777777" w:rsidTr="00FD3C81">
        <w:trPr>
          <w:trHeight w:val="317"/>
        </w:trPr>
        <w:tc>
          <w:tcPr>
            <w:tcW w:w="4971" w:type="dxa"/>
          </w:tcPr>
          <w:p w14:paraId="2C8DD4D4" w14:textId="77777777" w:rsidR="00A73789" w:rsidRPr="00AC2471" w:rsidRDefault="00A73789" w:rsidP="00FD3C81">
            <w:pPr>
              <w:spacing w:line="480" w:lineRule="auto"/>
              <w:contextualSpacing/>
              <w:rPr>
                <w:rFonts w:ascii="Arial" w:hAnsi="Arial" w:cs="Arial"/>
                <w:color w:val="000000" w:themeColor="text1"/>
                <w:kern w:val="24"/>
              </w:rPr>
            </w:pP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1B232E">
              <w:rPr>
                <w:rFonts w:ascii="Arial" w:hAnsi="Arial" w:cs="Arial"/>
              </w:rPr>
              <w:t>S</w:t>
            </w:r>
            <w:r w:rsidRPr="001B232E">
              <w:rPr>
                <w:rFonts w:ascii="Arial" w:hAnsi="Arial" w:cs="Arial"/>
                <w:color w:val="000000" w:themeColor="text1"/>
                <w:kern w:val="24"/>
              </w:rPr>
              <w:t xml:space="preserve">usceptible to </w:t>
            </w:r>
            <w:proofErr w:type="spellStart"/>
            <w:r w:rsidRPr="001B232E">
              <w:rPr>
                <w:rFonts w:ascii="Arial" w:hAnsi="Arial" w:cs="Arial"/>
                <w:color w:val="000000" w:themeColor="text1"/>
                <w:kern w:val="24"/>
              </w:rPr>
              <w:t>methicillin</w:t>
            </w:r>
            <w:proofErr w:type="spellEnd"/>
          </w:p>
        </w:tc>
        <w:tc>
          <w:tcPr>
            <w:tcW w:w="2693" w:type="dxa"/>
          </w:tcPr>
          <w:p w14:paraId="582AA1E1" w14:textId="77777777" w:rsidR="00A73789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14:paraId="76911EE9" w14:textId="291DDE6F" w:rsidR="00A73789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663E19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A</w:t>
            </w:r>
          </w:p>
        </w:tc>
      </w:tr>
      <w:tr w:rsidR="00A73789" w:rsidRPr="00B05707" w14:paraId="4C081DA0" w14:textId="77777777" w:rsidTr="00FD3C81">
        <w:trPr>
          <w:trHeight w:val="317"/>
        </w:trPr>
        <w:tc>
          <w:tcPr>
            <w:tcW w:w="4971" w:type="dxa"/>
          </w:tcPr>
          <w:p w14:paraId="31DE6F3E" w14:textId="77777777" w:rsidR="00A73789" w:rsidRPr="00FB4AE3" w:rsidRDefault="00A73789" w:rsidP="00FD3C81">
            <w:pPr>
              <w:spacing w:line="480" w:lineRule="auto"/>
              <w:contextualSpacing/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</w:pP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 xml:space="preserve">Streptococcus </w:t>
            </w:r>
            <w:proofErr w:type="spellStart"/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viridans</w:t>
            </w:r>
            <w:proofErr w:type="spellEnd"/>
          </w:p>
        </w:tc>
        <w:tc>
          <w:tcPr>
            <w:tcW w:w="2693" w:type="dxa"/>
          </w:tcPr>
          <w:p w14:paraId="3D5E70B2" w14:textId="77777777" w:rsidR="00A73789" w:rsidRPr="00B05707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</w:tcPr>
          <w:p w14:paraId="6B1627F7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A73789" w:rsidRPr="00B05707" w14:paraId="40283253" w14:textId="77777777" w:rsidTr="00FD3C81">
        <w:trPr>
          <w:trHeight w:val="317"/>
        </w:trPr>
        <w:tc>
          <w:tcPr>
            <w:tcW w:w="4971" w:type="dxa"/>
          </w:tcPr>
          <w:p w14:paraId="6E65565E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  <w:color w:val="000000" w:themeColor="text1"/>
                <w:kern w:val="24"/>
              </w:rPr>
            </w:pP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Enterococcus faec</w:t>
            </w:r>
            <w:r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alis</w:t>
            </w:r>
          </w:p>
        </w:tc>
        <w:tc>
          <w:tcPr>
            <w:tcW w:w="2693" w:type="dxa"/>
          </w:tcPr>
          <w:p w14:paraId="40AF4CC9" w14:textId="77777777" w:rsidR="00A73789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</w:tcPr>
          <w:p w14:paraId="20217F95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A73789" w:rsidRPr="00B05707" w14:paraId="7DDA1B3E" w14:textId="77777777" w:rsidTr="00FD3C81">
        <w:trPr>
          <w:trHeight w:val="317"/>
        </w:trPr>
        <w:tc>
          <w:tcPr>
            <w:tcW w:w="4971" w:type="dxa"/>
            <w:hideMark/>
          </w:tcPr>
          <w:p w14:paraId="611F60A8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Enterococcus faecium</w:t>
            </w:r>
          </w:p>
        </w:tc>
        <w:tc>
          <w:tcPr>
            <w:tcW w:w="2693" w:type="dxa"/>
            <w:hideMark/>
          </w:tcPr>
          <w:p w14:paraId="0BCC0A51" w14:textId="77777777" w:rsidR="00A73789" w:rsidRPr="00B05707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hideMark/>
          </w:tcPr>
          <w:p w14:paraId="2DB46D84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73789" w:rsidRPr="00B05707" w14:paraId="7BCA36F8" w14:textId="77777777" w:rsidTr="00FD3C81">
        <w:trPr>
          <w:trHeight w:val="317"/>
        </w:trPr>
        <w:tc>
          <w:tcPr>
            <w:tcW w:w="4971" w:type="dxa"/>
            <w:hideMark/>
          </w:tcPr>
          <w:p w14:paraId="335425DD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  <w:kern w:val="24"/>
              </w:rPr>
              <w:t>Gram-</w:t>
            </w:r>
            <w:proofErr w:type="spellStart"/>
            <w:r>
              <w:rPr>
                <w:rFonts w:ascii="Arial" w:hAnsi="Arial" w:cs="Arial"/>
                <w:color w:val="000000" w:themeColor="text1"/>
                <w:kern w:val="24"/>
              </w:rPr>
              <w:t>negative</w:t>
            </w:r>
            <w:proofErr w:type="spellEnd"/>
            <w:r>
              <w:rPr>
                <w:rFonts w:ascii="Arial" w:hAnsi="Arial" w:cs="Arial"/>
                <w:color w:val="000000" w:themeColor="text1"/>
                <w:kern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kern w:val="24"/>
              </w:rPr>
              <w:t>species</w:t>
            </w:r>
            <w:proofErr w:type="spellEnd"/>
            <w:r w:rsidRPr="00B05707">
              <w:rPr>
                <w:rFonts w:ascii="Arial" w:hAnsi="Arial" w:cs="Arial"/>
              </w:rPr>
              <w:t>, n (%) </w:t>
            </w:r>
          </w:p>
        </w:tc>
        <w:tc>
          <w:tcPr>
            <w:tcW w:w="2693" w:type="dxa"/>
            <w:hideMark/>
          </w:tcPr>
          <w:p w14:paraId="3E3D715E" w14:textId="77777777" w:rsidR="00A73789" w:rsidRPr="00B05707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(56)</w:t>
            </w:r>
          </w:p>
        </w:tc>
        <w:tc>
          <w:tcPr>
            <w:tcW w:w="2268" w:type="dxa"/>
            <w:hideMark/>
          </w:tcPr>
          <w:p w14:paraId="5632F412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(89)</w:t>
            </w:r>
          </w:p>
        </w:tc>
      </w:tr>
      <w:tr w:rsidR="00A73789" w:rsidRPr="00B05707" w14:paraId="0253B125" w14:textId="77777777" w:rsidTr="00FD3C81">
        <w:trPr>
          <w:trHeight w:val="317"/>
        </w:trPr>
        <w:tc>
          <w:tcPr>
            <w:tcW w:w="4971" w:type="dxa"/>
          </w:tcPr>
          <w:p w14:paraId="17ABBF88" w14:textId="77777777" w:rsidR="00A73789" w:rsidRDefault="00A73789" w:rsidP="00FD3C81">
            <w:pPr>
              <w:spacing w:line="480" w:lineRule="auto"/>
              <w:contextualSpacing/>
              <w:rPr>
                <w:rFonts w:ascii="Arial" w:hAnsi="Arial" w:cs="Arial"/>
                <w:color w:val="000000" w:themeColor="text1"/>
                <w:kern w:val="24"/>
              </w:rPr>
            </w:pP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proofErr w:type="spellStart"/>
            <w:r>
              <w:rPr>
                <w:rFonts w:ascii="Arial" w:hAnsi="Arial" w:cs="Arial"/>
                <w:i/>
                <w:iCs/>
                <w:lang w:val="en-US"/>
              </w:rPr>
              <w:t>Enterobacterales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species</w:t>
            </w:r>
          </w:p>
        </w:tc>
        <w:tc>
          <w:tcPr>
            <w:tcW w:w="2693" w:type="dxa"/>
          </w:tcPr>
          <w:p w14:paraId="32DF8C90" w14:textId="77777777" w:rsidR="00A73789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</w:tcPr>
          <w:p w14:paraId="45204714" w14:textId="77777777" w:rsidR="00A73789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A73789" w:rsidRPr="00B05707" w14:paraId="4B49003E" w14:textId="77777777" w:rsidTr="00FD3C81">
        <w:trPr>
          <w:trHeight w:val="317"/>
        </w:trPr>
        <w:tc>
          <w:tcPr>
            <w:tcW w:w="4971" w:type="dxa"/>
            <w:hideMark/>
          </w:tcPr>
          <w:p w14:paraId="5FBF9AFA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</w:rPr>
              <w:t>Escherichia coli</w:t>
            </w:r>
          </w:p>
        </w:tc>
        <w:tc>
          <w:tcPr>
            <w:tcW w:w="2693" w:type="dxa"/>
            <w:hideMark/>
          </w:tcPr>
          <w:p w14:paraId="54A94E0D" w14:textId="77777777" w:rsidR="00A73789" w:rsidRPr="00B05707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  <w:hideMark/>
          </w:tcPr>
          <w:p w14:paraId="7E242269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A73789" w:rsidRPr="00B05707" w14:paraId="2B452E81" w14:textId="77777777" w:rsidTr="00FD3C81">
        <w:trPr>
          <w:trHeight w:val="317"/>
        </w:trPr>
        <w:tc>
          <w:tcPr>
            <w:tcW w:w="4971" w:type="dxa"/>
            <w:hideMark/>
          </w:tcPr>
          <w:p w14:paraId="4A9B2C28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</w:rPr>
              <w:t xml:space="preserve">Klebsiella </w:t>
            </w:r>
            <w:proofErr w:type="spellStart"/>
            <w:r>
              <w:rPr>
                <w:rFonts w:ascii="Arial" w:hAnsi="Arial" w:cs="Arial"/>
                <w:i/>
                <w:iCs/>
              </w:rPr>
              <w:t>pneumoniae</w:t>
            </w:r>
            <w:proofErr w:type="spellEnd"/>
          </w:p>
        </w:tc>
        <w:tc>
          <w:tcPr>
            <w:tcW w:w="2693" w:type="dxa"/>
            <w:hideMark/>
          </w:tcPr>
          <w:p w14:paraId="3DF9C802" w14:textId="77777777" w:rsidR="00A73789" w:rsidRPr="00B05707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  <w:hideMark/>
          </w:tcPr>
          <w:p w14:paraId="327AC786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A73789" w:rsidRPr="00B05707" w14:paraId="6AC11C09" w14:textId="77777777" w:rsidTr="00FD3C81">
        <w:trPr>
          <w:trHeight w:val="317"/>
        </w:trPr>
        <w:tc>
          <w:tcPr>
            <w:tcW w:w="4971" w:type="dxa"/>
          </w:tcPr>
          <w:p w14:paraId="1815E800" w14:textId="77777777" w:rsidR="00A73789" w:rsidRPr="00116076" w:rsidRDefault="00A73789" w:rsidP="00FD3C81">
            <w:pPr>
              <w:spacing w:line="480" w:lineRule="auto"/>
              <w:contextualSpacing/>
              <w:rPr>
                <w:rFonts w:ascii="Arial" w:hAnsi="Arial" w:cs="Arial"/>
                <w:color w:val="000000" w:themeColor="text1"/>
                <w:kern w:val="24"/>
              </w:rPr>
            </w:pP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Enterobacter</w:t>
            </w:r>
            <w:r w:rsidRPr="00F530E9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 xml:space="preserve"> </w:t>
            </w:r>
            <w:proofErr w:type="spellStart"/>
            <w:r w:rsidRPr="00F530E9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cloacae</w:t>
            </w:r>
            <w:proofErr w:type="spellEnd"/>
          </w:p>
        </w:tc>
        <w:tc>
          <w:tcPr>
            <w:tcW w:w="2693" w:type="dxa"/>
          </w:tcPr>
          <w:p w14:paraId="1B721960" w14:textId="77777777" w:rsidR="00A73789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</w:tcPr>
          <w:p w14:paraId="03443565" w14:textId="77777777" w:rsidR="00A73789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A73789" w:rsidRPr="00B05707" w14:paraId="68723138" w14:textId="77777777" w:rsidTr="00FD3C81">
        <w:trPr>
          <w:trHeight w:val="317"/>
        </w:trPr>
        <w:tc>
          <w:tcPr>
            <w:tcW w:w="4971" w:type="dxa"/>
            <w:hideMark/>
          </w:tcPr>
          <w:p w14:paraId="0D5D75E4" w14:textId="77777777" w:rsidR="00A73789" w:rsidRPr="00FB4AE3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>
              <w:rPr>
                <w:rFonts w:ascii="Arial" w:hAnsi="Arial" w:cs="Arial"/>
              </w:rPr>
              <w:t xml:space="preserve">Multiple </w:t>
            </w:r>
            <w:proofErr w:type="spellStart"/>
            <w:r>
              <w:rPr>
                <w:rFonts w:ascii="Arial" w:hAnsi="Arial" w:cs="Arial"/>
                <w:i/>
                <w:iCs/>
                <w:lang w:val="en-US"/>
              </w:rPr>
              <w:t>Enterobacterales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species</w:t>
            </w:r>
          </w:p>
        </w:tc>
        <w:tc>
          <w:tcPr>
            <w:tcW w:w="2693" w:type="dxa"/>
            <w:hideMark/>
          </w:tcPr>
          <w:p w14:paraId="55807688" w14:textId="77777777" w:rsidR="00A73789" w:rsidRPr="00B05707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  <w:hideMark/>
          </w:tcPr>
          <w:p w14:paraId="3C501CEB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73789" w:rsidRPr="00B05707" w14:paraId="097546B2" w14:textId="77777777" w:rsidTr="00FD3C81">
        <w:trPr>
          <w:trHeight w:val="317"/>
        </w:trPr>
        <w:tc>
          <w:tcPr>
            <w:tcW w:w="4971" w:type="dxa"/>
          </w:tcPr>
          <w:p w14:paraId="7FD726FA" w14:textId="77777777" w:rsidR="00A73789" w:rsidRPr="005E03CB" w:rsidRDefault="00A73789" w:rsidP="00FD3C81">
            <w:pPr>
              <w:spacing w:line="480" w:lineRule="auto"/>
              <w:contextualSpacing/>
              <w:rPr>
                <w:rFonts w:ascii="Arial" w:hAnsi="Arial" w:cs="Arial"/>
                <w:color w:val="000000" w:themeColor="text1"/>
                <w:kern w:val="24"/>
              </w:rPr>
            </w:pP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1B232E">
              <w:rPr>
                <w:rFonts w:ascii="Arial" w:hAnsi="Arial" w:cs="Arial"/>
              </w:rPr>
              <w:t>S</w:t>
            </w:r>
            <w:r w:rsidRPr="001B232E">
              <w:rPr>
                <w:rFonts w:ascii="Arial" w:hAnsi="Arial" w:cs="Arial"/>
                <w:color w:val="000000" w:themeColor="text1"/>
                <w:kern w:val="24"/>
              </w:rPr>
              <w:t xml:space="preserve">usceptible to </w:t>
            </w:r>
            <w:proofErr w:type="spellStart"/>
            <w:r>
              <w:rPr>
                <w:rFonts w:ascii="Arial" w:hAnsi="Arial" w:cs="Arial"/>
                <w:color w:val="000000" w:themeColor="text1"/>
                <w:kern w:val="24"/>
              </w:rPr>
              <w:t>piperacillin-tazobactam</w:t>
            </w:r>
            <w:proofErr w:type="spellEnd"/>
          </w:p>
        </w:tc>
        <w:tc>
          <w:tcPr>
            <w:tcW w:w="2693" w:type="dxa"/>
          </w:tcPr>
          <w:p w14:paraId="7BFF4BC3" w14:textId="77777777" w:rsidR="00A73789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</w:tcPr>
          <w:p w14:paraId="0C0A7D4A" w14:textId="77777777" w:rsidR="00A73789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A73789" w:rsidRPr="00B05707" w14:paraId="68492DE0" w14:textId="77777777" w:rsidTr="00FD3C81">
        <w:trPr>
          <w:trHeight w:val="317"/>
        </w:trPr>
        <w:tc>
          <w:tcPr>
            <w:tcW w:w="4971" w:type="dxa"/>
          </w:tcPr>
          <w:p w14:paraId="7325C0BA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  <w:color w:val="000000" w:themeColor="text1"/>
                <w:kern w:val="24"/>
              </w:rPr>
            </w:pP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1B232E">
              <w:rPr>
                <w:rFonts w:ascii="Arial" w:hAnsi="Arial" w:cs="Arial"/>
              </w:rPr>
              <w:t>S</w:t>
            </w:r>
            <w:r w:rsidRPr="001B232E">
              <w:rPr>
                <w:rFonts w:ascii="Arial" w:hAnsi="Arial" w:cs="Arial"/>
                <w:color w:val="000000" w:themeColor="text1"/>
                <w:kern w:val="24"/>
              </w:rPr>
              <w:t xml:space="preserve">usceptible to </w:t>
            </w:r>
            <w:proofErr w:type="spellStart"/>
            <w:r>
              <w:rPr>
                <w:rFonts w:ascii="Arial" w:hAnsi="Arial" w:cs="Arial"/>
                <w:color w:val="000000" w:themeColor="text1"/>
                <w:kern w:val="24"/>
              </w:rPr>
              <w:t>cefepime</w:t>
            </w:r>
            <w:proofErr w:type="spellEnd"/>
          </w:p>
        </w:tc>
        <w:tc>
          <w:tcPr>
            <w:tcW w:w="2693" w:type="dxa"/>
          </w:tcPr>
          <w:p w14:paraId="0A5F83E7" w14:textId="77777777" w:rsidR="00A73789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</w:tcPr>
          <w:p w14:paraId="0D53F0CA" w14:textId="77777777" w:rsidR="00A73789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A73789" w:rsidRPr="00B05707" w14:paraId="19178C08" w14:textId="77777777" w:rsidTr="00FD3C81">
        <w:trPr>
          <w:trHeight w:val="317"/>
        </w:trPr>
        <w:tc>
          <w:tcPr>
            <w:tcW w:w="4971" w:type="dxa"/>
          </w:tcPr>
          <w:p w14:paraId="5A71E8ED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  <w:color w:val="000000" w:themeColor="text1"/>
                <w:kern w:val="24"/>
              </w:rPr>
            </w:pP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1B232E">
              <w:rPr>
                <w:rFonts w:ascii="Arial" w:hAnsi="Arial" w:cs="Arial"/>
              </w:rPr>
              <w:t>S</w:t>
            </w:r>
            <w:r w:rsidRPr="001B232E">
              <w:rPr>
                <w:rFonts w:ascii="Arial" w:hAnsi="Arial" w:cs="Arial"/>
                <w:color w:val="000000" w:themeColor="text1"/>
                <w:kern w:val="24"/>
              </w:rPr>
              <w:t xml:space="preserve">usceptible to </w:t>
            </w:r>
            <w:proofErr w:type="spellStart"/>
            <w:r>
              <w:rPr>
                <w:rFonts w:ascii="Arial" w:hAnsi="Arial" w:cs="Arial"/>
                <w:color w:val="000000" w:themeColor="text1"/>
                <w:kern w:val="24"/>
              </w:rPr>
              <w:t>imipenem</w:t>
            </w:r>
            <w:proofErr w:type="spellEnd"/>
          </w:p>
        </w:tc>
        <w:tc>
          <w:tcPr>
            <w:tcW w:w="2693" w:type="dxa"/>
          </w:tcPr>
          <w:p w14:paraId="5F01C448" w14:textId="77777777" w:rsidR="00A73789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</w:tcPr>
          <w:p w14:paraId="61D3E57B" w14:textId="77777777" w:rsidR="00A73789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A73789" w:rsidRPr="00B05707" w14:paraId="77533B3C" w14:textId="77777777" w:rsidTr="00FD3C81">
        <w:trPr>
          <w:trHeight w:val="317"/>
        </w:trPr>
        <w:tc>
          <w:tcPr>
            <w:tcW w:w="4971" w:type="dxa"/>
          </w:tcPr>
          <w:p w14:paraId="3763DB69" w14:textId="1730F27D" w:rsidR="00A73789" w:rsidRPr="005E03CB" w:rsidRDefault="00A73789" w:rsidP="00FD3C81">
            <w:pPr>
              <w:spacing w:line="480" w:lineRule="auto"/>
              <w:contextualSpacing/>
              <w:rPr>
                <w:rFonts w:ascii="Arial" w:hAnsi="Arial" w:cs="Arial"/>
                <w:color w:val="000000" w:themeColor="text1"/>
                <w:kern w:val="24"/>
              </w:rPr>
            </w:pPr>
            <w:r w:rsidRPr="005E03CB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5E03CB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5E03CB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5E03CB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5E03CB">
              <w:rPr>
                <w:rFonts w:ascii="Arial" w:hAnsi="Arial" w:cs="Arial"/>
                <w:color w:val="000000" w:themeColor="text1"/>
                <w:kern w:val="24"/>
              </w:rPr>
              <w:t>Extended</w:t>
            </w:r>
            <w:r w:rsidR="00663E19">
              <w:rPr>
                <w:rFonts w:ascii="Arial" w:hAnsi="Arial" w:cs="Arial"/>
                <w:color w:val="000000" w:themeColor="text1"/>
                <w:kern w:val="24"/>
              </w:rPr>
              <w:t>-</w:t>
            </w:r>
            <w:proofErr w:type="spellStart"/>
            <w:r w:rsidR="00663E19">
              <w:rPr>
                <w:rFonts w:ascii="Arial" w:hAnsi="Arial" w:cs="Arial"/>
                <w:color w:val="000000" w:themeColor="text1"/>
                <w:kern w:val="24"/>
              </w:rPr>
              <w:t>spectrum</w:t>
            </w:r>
            <w:proofErr w:type="spellEnd"/>
            <w:r w:rsidRPr="005E03CB">
              <w:rPr>
                <w:rFonts w:ascii="Arial" w:hAnsi="Arial" w:cs="Arial"/>
                <w:color w:val="000000" w:themeColor="text1"/>
                <w:kern w:val="24"/>
              </w:rPr>
              <w:t xml:space="preserve"> </w:t>
            </w:r>
            <w:proofErr w:type="spellStart"/>
            <w:r w:rsidR="00A90928">
              <w:rPr>
                <w:rFonts w:ascii="Arial" w:hAnsi="Arial" w:cs="Arial"/>
                <w:color w:val="000000" w:themeColor="text1"/>
                <w:kern w:val="24"/>
              </w:rPr>
              <w:t>b</w:t>
            </w:r>
            <w:r w:rsidRPr="005E03CB">
              <w:rPr>
                <w:rFonts w:ascii="Arial" w:hAnsi="Arial" w:cs="Arial"/>
                <w:color w:val="000000" w:themeColor="text1"/>
                <w:kern w:val="24"/>
              </w:rPr>
              <w:t>eta</w:t>
            </w:r>
            <w:proofErr w:type="spellEnd"/>
            <w:r w:rsidRPr="005E03CB">
              <w:rPr>
                <w:rFonts w:ascii="Arial" w:hAnsi="Arial" w:cs="Arial"/>
                <w:color w:val="000000" w:themeColor="text1"/>
                <w:kern w:val="24"/>
              </w:rPr>
              <w:t xml:space="preserve">-lactamase </w:t>
            </w:r>
            <w:proofErr w:type="spellStart"/>
            <w:r w:rsidRPr="005E03CB">
              <w:rPr>
                <w:rFonts w:ascii="Arial" w:hAnsi="Arial" w:cs="Arial"/>
                <w:color w:val="000000" w:themeColor="text1"/>
                <w:kern w:val="24"/>
              </w:rPr>
              <w:t>produc</w:t>
            </w:r>
            <w:r>
              <w:rPr>
                <w:rFonts w:ascii="Arial" w:hAnsi="Arial" w:cs="Arial"/>
                <w:color w:val="000000" w:themeColor="text1"/>
                <w:kern w:val="24"/>
              </w:rPr>
              <w:t>er</w:t>
            </w:r>
            <w:proofErr w:type="spellEnd"/>
          </w:p>
        </w:tc>
        <w:tc>
          <w:tcPr>
            <w:tcW w:w="2693" w:type="dxa"/>
          </w:tcPr>
          <w:p w14:paraId="0CE51015" w14:textId="77777777" w:rsidR="00A73789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</w:tcPr>
          <w:p w14:paraId="4AA6AD4D" w14:textId="77777777" w:rsidR="00A73789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A73789" w:rsidRPr="00B05707" w14:paraId="6DD563A6" w14:textId="77777777" w:rsidTr="00FD3C81">
        <w:trPr>
          <w:trHeight w:val="317"/>
        </w:trPr>
        <w:tc>
          <w:tcPr>
            <w:tcW w:w="4971" w:type="dxa"/>
          </w:tcPr>
          <w:p w14:paraId="4F146BF3" w14:textId="77777777" w:rsidR="00A73789" w:rsidRPr="00847B8B" w:rsidRDefault="00A73789" w:rsidP="00FD3C81">
            <w:pPr>
              <w:spacing w:line="480" w:lineRule="auto"/>
              <w:contextualSpacing/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</w:pP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 xml:space="preserve">Pseudomonas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species</w:t>
            </w:r>
            <w:proofErr w:type="spellEnd"/>
          </w:p>
        </w:tc>
        <w:tc>
          <w:tcPr>
            <w:tcW w:w="2693" w:type="dxa"/>
          </w:tcPr>
          <w:p w14:paraId="5D7E2C8E" w14:textId="77777777" w:rsidR="00A73789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</w:tcPr>
          <w:p w14:paraId="4C803746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A73789" w:rsidRPr="00B05707" w14:paraId="61063D6B" w14:textId="77777777" w:rsidTr="00FD3C81">
        <w:trPr>
          <w:trHeight w:val="317"/>
        </w:trPr>
        <w:tc>
          <w:tcPr>
            <w:tcW w:w="4971" w:type="dxa"/>
          </w:tcPr>
          <w:p w14:paraId="2E5CD4BC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  <w:color w:val="000000" w:themeColor="text1"/>
                <w:kern w:val="24"/>
              </w:rPr>
            </w:pP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 xml:space="preserve">Pseudomonas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aeruginosa</w:t>
            </w:r>
            <w:proofErr w:type="spellEnd"/>
          </w:p>
        </w:tc>
        <w:tc>
          <w:tcPr>
            <w:tcW w:w="2693" w:type="dxa"/>
          </w:tcPr>
          <w:p w14:paraId="3A5A0CD6" w14:textId="77777777" w:rsidR="00A73789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2268" w:type="dxa"/>
          </w:tcPr>
          <w:p w14:paraId="2BAB2DBC" w14:textId="77777777" w:rsidR="00A73789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A73789" w:rsidRPr="00B05707" w14:paraId="7DF47B38" w14:textId="77777777" w:rsidTr="00FD3C81">
        <w:trPr>
          <w:trHeight w:val="317"/>
        </w:trPr>
        <w:tc>
          <w:tcPr>
            <w:tcW w:w="4971" w:type="dxa"/>
          </w:tcPr>
          <w:p w14:paraId="476F0D95" w14:textId="77777777" w:rsidR="00A73789" w:rsidRPr="00D70D3E" w:rsidRDefault="00A73789" w:rsidP="00FD3C81">
            <w:pPr>
              <w:spacing w:line="480" w:lineRule="auto"/>
              <w:contextualSpacing/>
              <w:rPr>
                <w:rFonts w:ascii="Arial" w:hAnsi="Arial" w:cs="Arial"/>
                <w:color w:val="000000" w:themeColor="text1"/>
                <w:kern w:val="24"/>
              </w:rPr>
            </w:pP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 xml:space="preserve">Pseudomonas </w:t>
            </w:r>
            <w:r w:rsidRPr="001B232E">
              <w:rPr>
                <w:rFonts w:ascii="Arial" w:hAnsi="Arial" w:cs="Arial"/>
                <w:color w:val="000000" w:themeColor="text1"/>
                <w:kern w:val="24"/>
              </w:rPr>
              <w:t>non-</w:t>
            </w:r>
            <w:proofErr w:type="spellStart"/>
            <w:r w:rsidRPr="001B232E">
              <w:rPr>
                <w:rFonts w:ascii="Arial" w:hAnsi="Arial" w:cs="Arial"/>
                <w:color w:val="000000" w:themeColor="text1"/>
                <w:kern w:val="24"/>
              </w:rPr>
              <w:t>aeruginosa</w:t>
            </w:r>
            <w:proofErr w:type="spellEnd"/>
            <w:r w:rsidRPr="001B232E">
              <w:rPr>
                <w:rFonts w:ascii="Arial" w:hAnsi="Arial" w:cs="Arial"/>
                <w:color w:val="000000" w:themeColor="text1"/>
                <w:kern w:val="24"/>
              </w:rPr>
              <w:t xml:space="preserve"> </w:t>
            </w:r>
            <w:proofErr w:type="spellStart"/>
            <w:r w:rsidRPr="001B232E">
              <w:rPr>
                <w:rFonts w:ascii="Arial" w:hAnsi="Arial" w:cs="Arial"/>
                <w:color w:val="000000" w:themeColor="text1"/>
                <w:kern w:val="24"/>
              </w:rPr>
              <w:t>species</w:t>
            </w:r>
            <w:proofErr w:type="spellEnd"/>
          </w:p>
        </w:tc>
        <w:tc>
          <w:tcPr>
            <w:tcW w:w="2693" w:type="dxa"/>
          </w:tcPr>
          <w:p w14:paraId="0A68F38F" w14:textId="77777777" w:rsidR="00A73789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2268" w:type="dxa"/>
          </w:tcPr>
          <w:p w14:paraId="77547409" w14:textId="77777777" w:rsidR="00A73789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A73789" w:rsidRPr="00B05707" w14:paraId="41C3EA82" w14:textId="77777777" w:rsidTr="00FD3C81">
        <w:trPr>
          <w:trHeight w:val="317"/>
        </w:trPr>
        <w:tc>
          <w:tcPr>
            <w:tcW w:w="4971" w:type="dxa"/>
          </w:tcPr>
          <w:p w14:paraId="27282096" w14:textId="77777777" w:rsidR="00A73789" w:rsidRPr="00FB4AE3" w:rsidRDefault="00A73789" w:rsidP="00FD3C81">
            <w:pPr>
              <w:spacing w:line="480" w:lineRule="auto"/>
              <w:contextualSpacing/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</w:pP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1B232E">
              <w:rPr>
                <w:rFonts w:ascii="Arial" w:hAnsi="Arial" w:cs="Arial"/>
              </w:rPr>
              <w:t>S</w:t>
            </w:r>
            <w:r w:rsidRPr="001B232E">
              <w:rPr>
                <w:rFonts w:ascii="Arial" w:hAnsi="Arial" w:cs="Arial"/>
                <w:color w:val="000000" w:themeColor="text1"/>
                <w:kern w:val="24"/>
              </w:rPr>
              <w:t xml:space="preserve">usceptible to </w:t>
            </w:r>
            <w:proofErr w:type="spellStart"/>
            <w:r>
              <w:rPr>
                <w:rFonts w:ascii="Arial" w:hAnsi="Arial" w:cs="Arial"/>
                <w:color w:val="000000" w:themeColor="text1"/>
                <w:kern w:val="24"/>
              </w:rPr>
              <w:t>piperacillin-tazobactam</w:t>
            </w:r>
            <w:proofErr w:type="spellEnd"/>
          </w:p>
        </w:tc>
        <w:tc>
          <w:tcPr>
            <w:tcW w:w="2693" w:type="dxa"/>
          </w:tcPr>
          <w:p w14:paraId="4976DD1A" w14:textId="77777777" w:rsidR="00A73789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2268" w:type="dxa"/>
          </w:tcPr>
          <w:p w14:paraId="700D1AA4" w14:textId="77777777" w:rsidR="00A73789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A73789" w:rsidRPr="00B05707" w14:paraId="234A94DF" w14:textId="77777777" w:rsidTr="00FD3C81">
        <w:trPr>
          <w:trHeight w:val="317"/>
        </w:trPr>
        <w:tc>
          <w:tcPr>
            <w:tcW w:w="4971" w:type="dxa"/>
          </w:tcPr>
          <w:p w14:paraId="14084A7B" w14:textId="77777777" w:rsidR="00A73789" w:rsidRPr="00FB4AE3" w:rsidRDefault="00A73789" w:rsidP="00FD3C81">
            <w:pPr>
              <w:spacing w:line="480" w:lineRule="auto"/>
              <w:contextualSpacing/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</w:pP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1B232E">
              <w:rPr>
                <w:rFonts w:ascii="Arial" w:hAnsi="Arial" w:cs="Arial"/>
              </w:rPr>
              <w:t>S</w:t>
            </w:r>
            <w:r w:rsidRPr="001B232E">
              <w:rPr>
                <w:rFonts w:ascii="Arial" w:hAnsi="Arial" w:cs="Arial"/>
                <w:color w:val="000000" w:themeColor="text1"/>
                <w:kern w:val="24"/>
              </w:rPr>
              <w:t xml:space="preserve">usceptible to </w:t>
            </w:r>
            <w:proofErr w:type="spellStart"/>
            <w:r>
              <w:rPr>
                <w:rFonts w:ascii="Arial" w:hAnsi="Arial" w:cs="Arial"/>
                <w:color w:val="000000" w:themeColor="text1"/>
                <w:kern w:val="24"/>
              </w:rPr>
              <w:t>cefepime</w:t>
            </w:r>
            <w:proofErr w:type="spellEnd"/>
          </w:p>
        </w:tc>
        <w:tc>
          <w:tcPr>
            <w:tcW w:w="2693" w:type="dxa"/>
          </w:tcPr>
          <w:p w14:paraId="1D1E0E94" w14:textId="77777777" w:rsidR="00A73789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2268" w:type="dxa"/>
          </w:tcPr>
          <w:p w14:paraId="2521F898" w14:textId="77777777" w:rsidR="00A73789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A73789" w:rsidRPr="00B05707" w14:paraId="10B9D577" w14:textId="77777777" w:rsidTr="00FD3C81">
        <w:trPr>
          <w:trHeight w:val="317"/>
        </w:trPr>
        <w:tc>
          <w:tcPr>
            <w:tcW w:w="4971" w:type="dxa"/>
          </w:tcPr>
          <w:p w14:paraId="7F3DE495" w14:textId="77777777" w:rsidR="00A73789" w:rsidRPr="00FB4AE3" w:rsidRDefault="00A73789" w:rsidP="00FD3C81">
            <w:pPr>
              <w:spacing w:line="480" w:lineRule="auto"/>
              <w:contextualSpacing/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</w:pP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lastRenderedPageBreak/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FB4AE3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 </w:t>
            </w:r>
            <w:r w:rsidRPr="001B232E">
              <w:rPr>
                <w:rFonts w:ascii="Arial" w:hAnsi="Arial" w:cs="Arial"/>
              </w:rPr>
              <w:t>S</w:t>
            </w:r>
            <w:r w:rsidRPr="001B232E">
              <w:rPr>
                <w:rFonts w:ascii="Arial" w:hAnsi="Arial" w:cs="Arial"/>
                <w:color w:val="000000" w:themeColor="text1"/>
                <w:kern w:val="24"/>
              </w:rPr>
              <w:t xml:space="preserve">usceptible to </w:t>
            </w:r>
            <w:proofErr w:type="spellStart"/>
            <w:r>
              <w:rPr>
                <w:rFonts w:ascii="Arial" w:hAnsi="Arial" w:cs="Arial"/>
                <w:color w:val="000000" w:themeColor="text1"/>
                <w:kern w:val="24"/>
              </w:rPr>
              <w:t>imipenem</w:t>
            </w:r>
            <w:proofErr w:type="spellEnd"/>
          </w:p>
        </w:tc>
        <w:tc>
          <w:tcPr>
            <w:tcW w:w="2693" w:type="dxa"/>
          </w:tcPr>
          <w:p w14:paraId="04772377" w14:textId="77777777" w:rsidR="00A73789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2268" w:type="dxa"/>
          </w:tcPr>
          <w:p w14:paraId="69983F1B" w14:textId="77777777" w:rsidR="00A73789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A73789" w:rsidRPr="00B05707" w14:paraId="6CEBC451" w14:textId="77777777" w:rsidTr="00FD3C81">
        <w:trPr>
          <w:trHeight w:val="317"/>
        </w:trPr>
        <w:tc>
          <w:tcPr>
            <w:tcW w:w="4971" w:type="dxa"/>
          </w:tcPr>
          <w:p w14:paraId="443EE3DD" w14:textId="77777777" w:rsidR="00A73789" w:rsidRPr="00B05707" w:rsidRDefault="00A73789" w:rsidP="00FD3C81">
            <w:pPr>
              <w:spacing w:line="480" w:lineRule="auto"/>
              <w:contextualSpacing/>
              <w:rPr>
                <w:rFonts w:ascii="Arial" w:hAnsi="Arial" w:cs="Arial"/>
                <w:color w:val="000000" w:themeColor="text1"/>
                <w:kern w:val="24"/>
              </w:rPr>
            </w:pP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B05707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proofErr w:type="spellStart"/>
            <w:r>
              <w:rPr>
                <w:rFonts w:ascii="Arial" w:hAnsi="Arial" w:cs="Arial"/>
                <w:color w:val="000000" w:themeColor="text1"/>
                <w:kern w:val="24"/>
              </w:rPr>
              <w:t>Anaerobic</w:t>
            </w:r>
            <w:proofErr w:type="spellEnd"/>
            <w:r>
              <w:rPr>
                <w:rFonts w:ascii="Arial" w:hAnsi="Arial" w:cs="Arial"/>
                <w:color w:val="000000" w:themeColor="text1"/>
                <w:kern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kern w:val="24"/>
              </w:rPr>
              <w:t>species</w:t>
            </w:r>
            <w:proofErr w:type="spellEnd"/>
          </w:p>
        </w:tc>
        <w:tc>
          <w:tcPr>
            <w:tcW w:w="2693" w:type="dxa"/>
          </w:tcPr>
          <w:p w14:paraId="3BB86084" w14:textId="77777777" w:rsidR="00A73789" w:rsidRDefault="00A73789" w:rsidP="00FD3C81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</w:tcPr>
          <w:p w14:paraId="2B5B6984" w14:textId="77777777" w:rsidR="00A73789" w:rsidRDefault="00A73789" w:rsidP="00FD3C81">
            <w:pPr>
              <w:spacing w:line="48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CFAC759" w14:textId="5AD3A01A" w:rsidR="00A73789" w:rsidRDefault="00A73789" w:rsidP="00F01ACE">
      <w:pPr>
        <w:spacing w:line="480" w:lineRule="auto"/>
        <w:contextualSpacing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br w:type="page"/>
      </w:r>
    </w:p>
    <w:p w14:paraId="3EAC47B8" w14:textId="2654BD5D" w:rsidR="00F01ACE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2D34A5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>Table S</w:t>
      </w:r>
      <w:r w:rsidR="00A73789">
        <w:rPr>
          <w:rFonts w:ascii="Arial" w:hAnsi="Arial" w:cs="Arial"/>
          <w:b/>
          <w:bCs/>
          <w:sz w:val="22"/>
          <w:szCs w:val="22"/>
          <w:lang w:val="en-US"/>
        </w:rPr>
        <w:t>2</w:t>
      </w:r>
      <w:r w:rsidRPr="002D34A5">
        <w:rPr>
          <w:rFonts w:ascii="Arial" w:hAnsi="Arial" w:cs="Arial"/>
          <w:b/>
          <w:bCs/>
          <w:sz w:val="22"/>
          <w:szCs w:val="22"/>
          <w:lang w:val="en-US"/>
        </w:rPr>
        <w:t>:</w:t>
      </w:r>
      <w:r w:rsidRPr="00CC1C9B">
        <w:rPr>
          <w:rFonts w:ascii="Arial" w:hAnsi="Arial" w:cs="Arial"/>
          <w:sz w:val="22"/>
          <w:szCs w:val="22"/>
          <w:lang w:val="en-US"/>
        </w:rPr>
        <w:t xml:space="preserve"> Logistic regression model: factors associated with compliance with early de-escalation and discontinuation </w:t>
      </w:r>
      <w:proofErr w:type="gramStart"/>
      <w:r w:rsidRPr="00CC1C9B">
        <w:rPr>
          <w:rFonts w:ascii="Arial" w:hAnsi="Arial" w:cs="Arial"/>
          <w:sz w:val="22"/>
          <w:szCs w:val="22"/>
          <w:lang w:val="en-US"/>
        </w:rPr>
        <w:t>strategies</w:t>
      </w:r>
      <w:proofErr w:type="gramEnd"/>
    </w:p>
    <w:p w14:paraId="724830C9" w14:textId="77777777" w:rsidR="00F01ACE" w:rsidRPr="00CC1C9B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</w:p>
    <w:p w14:paraId="56849225" w14:textId="77777777" w:rsidR="00F01ACE" w:rsidRPr="0055448C" w:rsidRDefault="00F01ACE" w:rsidP="00F01ACE">
      <w:pPr>
        <w:spacing w:line="480" w:lineRule="auto"/>
        <w:contextualSpacing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</w:p>
    <w:tbl>
      <w:tblPr>
        <w:tblStyle w:val="Grilledutableau"/>
        <w:tblW w:w="9751" w:type="dxa"/>
        <w:jc w:val="center"/>
        <w:tblBorders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828"/>
        <w:gridCol w:w="2258"/>
        <w:gridCol w:w="992"/>
        <w:gridCol w:w="2681"/>
        <w:gridCol w:w="992"/>
      </w:tblGrid>
      <w:tr w:rsidR="00F01ACE" w:rsidRPr="0055448C" w14:paraId="7CE69B07" w14:textId="77777777" w:rsidTr="00C01F48">
        <w:trPr>
          <w:jc w:val="center"/>
        </w:trPr>
        <w:tc>
          <w:tcPr>
            <w:tcW w:w="2828" w:type="dxa"/>
            <w:tcBorders>
              <w:bottom w:val="nil"/>
            </w:tcBorders>
            <w:hideMark/>
          </w:tcPr>
          <w:p w14:paraId="36E76A7C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  <w:b/>
                <w:bCs/>
              </w:rPr>
            </w:pPr>
            <w:r w:rsidRPr="0055448C">
              <w:rPr>
                <w:rFonts w:ascii="Arial" w:hAnsi="Arial" w:cs="Arial"/>
                <w:b/>
                <w:bCs/>
              </w:rPr>
              <w:t>Variables</w:t>
            </w:r>
          </w:p>
        </w:tc>
        <w:tc>
          <w:tcPr>
            <w:tcW w:w="3250" w:type="dxa"/>
            <w:gridSpan w:val="2"/>
            <w:tcBorders>
              <w:bottom w:val="nil"/>
            </w:tcBorders>
            <w:hideMark/>
          </w:tcPr>
          <w:p w14:paraId="66ECF71A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55448C">
              <w:rPr>
                <w:rFonts w:ascii="Arial" w:hAnsi="Arial" w:cs="Arial"/>
                <w:b/>
                <w:bCs/>
              </w:rPr>
              <w:t>Univariate</w:t>
            </w:r>
            <w:proofErr w:type="spellEnd"/>
          </w:p>
        </w:tc>
        <w:tc>
          <w:tcPr>
            <w:tcW w:w="3673" w:type="dxa"/>
            <w:gridSpan w:val="2"/>
            <w:tcBorders>
              <w:bottom w:val="nil"/>
            </w:tcBorders>
            <w:hideMark/>
          </w:tcPr>
          <w:p w14:paraId="2BD09B67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55448C">
              <w:rPr>
                <w:rFonts w:ascii="Arial" w:hAnsi="Arial" w:cs="Arial"/>
                <w:b/>
                <w:bCs/>
              </w:rPr>
              <w:t>Multivariate</w:t>
            </w:r>
            <w:proofErr w:type="spellEnd"/>
          </w:p>
        </w:tc>
      </w:tr>
      <w:tr w:rsidR="00F01ACE" w:rsidRPr="0055448C" w14:paraId="1987D76E" w14:textId="77777777" w:rsidTr="00C01F48">
        <w:trPr>
          <w:jc w:val="center"/>
        </w:trPr>
        <w:tc>
          <w:tcPr>
            <w:tcW w:w="2828" w:type="dxa"/>
            <w:tcBorders>
              <w:top w:val="nil"/>
              <w:bottom w:val="single" w:sz="4" w:space="0" w:color="auto"/>
            </w:tcBorders>
            <w:hideMark/>
          </w:tcPr>
          <w:p w14:paraId="35D648DD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8" w:type="dxa"/>
            <w:tcBorders>
              <w:top w:val="nil"/>
              <w:bottom w:val="single" w:sz="4" w:space="0" w:color="auto"/>
            </w:tcBorders>
            <w:hideMark/>
          </w:tcPr>
          <w:p w14:paraId="78B620B8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5448C">
              <w:rPr>
                <w:rFonts w:ascii="Arial" w:hAnsi="Arial" w:cs="Arial"/>
                <w:b/>
                <w:bCs/>
              </w:rPr>
              <w:t>OR (95% CI)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hideMark/>
          </w:tcPr>
          <w:p w14:paraId="7E123C42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55448C">
              <w:rPr>
                <w:rFonts w:ascii="Arial" w:hAnsi="Arial" w:cs="Arial"/>
                <w:b/>
                <w:bCs/>
                <w:i/>
                <w:iCs/>
              </w:rPr>
              <w:t>p</w:t>
            </w:r>
            <w:proofErr w:type="gramEnd"/>
            <w:r w:rsidRPr="0055448C">
              <w:rPr>
                <w:rFonts w:ascii="Arial" w:hAnsi="Arial" w:cs="Arial"/>
                <w:b/>
                <w:bCs/>
              </w:rPr>
              <w:t xml:space="preserve"> value</w:t>
            </w:r>
          </w:p>
        </w:tc>
        <w:tc>
          <w:tcPr>
            <w:tcW w:w="2681" w:type="dxa"/>
            <w:tcBorders>
              <w:top w:val="nil"/>
              <w:bottom w:val="single" w:sz="4" w:space="0" w:color="auto"/>
            </w:tcBorders>
            <w:hideMark/>
          </w:tcPr>
          <w:p w14:paraId="1C9EB547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5448C">
              <w:rPr>
                <w:rFonts w:ascii="Arial" w:hAnsi="Arial" w:cs="Arial"/>
                <w:b/>
                <w:bCs/>
              </w:rPr>
              <w:t>OR (95% CI)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hideMark/>
          </w:tcPr>
          <w:p w14:paraId="0F9D1DAB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55448C">
              <w:rPr>
                <w:rFonts w:ascii="Arial" w:hAnsi="Arial" w:cs="Arial"/>
                <w:b/>
                <w:bCs/>
                <w:i/>
                <w:iCs/>
              </w:rPr>
              <w:t>p</w:t>
            </w:r>
            <w:proofErr w:type="gramEnd"/>
            <w:r w:rsidRPr="0055448C">
              <w:rPr>
                <w:rFonts w:ascii="Arial" w:hAnsi="Arial" w:cs="Arial"/>
                <w:b/>
                <w:bCs/>
              </w:rPr>
              <w:t xml:space="preserve"> value</w:t>
            </w:r>
          </w:p>
        </w:tc>
      </w:tr>
      <w:tr w:rsidR="00F01ACE" w:rsidRPr="0055448C" w14:paraId="68391887" w14:textId="77777777" w:rsidTr="00C01F48">
        <w:trPr>
          <w:jc w:val="center"/>
        </w:trPr>
        <w:tc>
          <w:tcPr>
            <w:tcW w:w="2828" w:type="dxa"/>
            <w:hideMark/>
          </w:tcPr>
          <w:p w14:paraId="0B60542E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 xml:space="preserve">Age </w:t>
            </w:r>
            <m:oMath>
              <m:r>
                <w:rPr>
                  <w:rFonts w:ascii="Cambria Math" w:hAnsi="Cambria Math" w:cs="Arial"/>
                </w:rPr>
                <m:t xml:space="preserve">&lt; </m:t>
              </m:r>
            </m:oMath>
            <w:r w:rsidRPr="0055448C">
              <w:rPr>
                <w:rFonts w:ascii="Arial" w:hAnsi="Arial" w:cs="Arial"/>
              </w:rPr>
              <w:t>65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years</w:t>
            </w:r>
            <w:proofErr w:type="spellEnd"/>
          </w:p>
        </w:tc>
        <w:tc>
          <w:tcPr>
            <w:tcW w:w="2258" w:type="dxa"/>
            <w:hideMark/>
          </w:tcPr>
          <w:p w14:paraId="098A2B8D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1.02 (0.48</w:t>
            </w:r>
            <w:r w:rsidRPr="00B05707">
              <w:rPr>
                <w:rFonts w:ascii="Arial" w:hAnsi="Arial" w:cs="Arial"/>
                <w:color w:val="222222"/>
                <w:shd w:val="clear" w:color="auto" w:fill="FFFFFF"/>
              </w:rPr>
              <w:t>–</w:t>
            </w:r>
            <w:r w:rsidRPr="0055448C">
              <w:rPr>
                <w:rFonts w:ascii="Arial" w:hAnsi="Arial" w:cs="Arial"/>
              </w:rPr>
              <w:t>2.18)</w:t>
            </w:r>
          </w:p>
        </w:tc>
        <w:tc>
          <w:tcPr>
            <w:tcW w:w="992" w:type="dxa"/>
            <w:hideMark/>
          </w:tcPr>
          <w:p w14:paraId="14B5749A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0.951</w:t>
            </w:r>
          </w:p>
        </w:tc>
        <w:tc>
          <w:tcPr>
            <w:tcW w:w="2681" w:type="dxa"/>
            <w:hideMark/>
          </w:tcPr>
          <w:p w14:paraId="1046EA27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14:paraId="0B91821C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F01ACE" w:rsidRPr="0055448C" w14:paraId="56415130" w14:textId="77777777" w:rsidTr="00C01F48">
        <w:trPr>
          <w:jc w:val="center"/>
        </w:trPr>
        <w:tc>
          <w:tcPr>
            <w:tcW w:w="2828" w:type="dxa"/>
            <w:hideMark/>
          </w:tcPr>
          <w:p w14:paraId="716EE143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w:proofErr w:type="spellStart"/>
            <w:r w:rsidRPr="0055448C">
              <w:rPr>
                <w:rFonts w:ascii="Arial" w:hAnsi="Arial" w:cs="Arial"/>
              </w:rPr>
              <w:t>Charlson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55448C">
              <w:rPr>
                <w:rFonts w:ascii="Arial" w:hAnsi="Arial" w:cs="Arial"/>
              </w:rPr>
              <w:t>Comorbidity</w:t>
            </w:r>
            <w:proofErr w:type="spellEnd"/>
            <w:r w:rsidRPr="0055448C">
              <w:rPr>
                <w:rFonts w:ascii="Arial" w:hAnsi="Arial" w:cs="Arial"/>
              </w:rPr>
              <w:t xml:space="preserve"> Index</w:t>
            </w:r>
          </w:p>
        </w:tc>
        <w:tc>
          <w:tcPr>
            <w:tcW w:w="2258" w:type="dxa"/>
            <w:hideMark/>
          </w:tcPr>
          <w:p w14:paraId="45C4A899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14:paraId="2484C6BB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681" w:type="dxa"/>
            <w:hideMark/>
          </w:tcPr>
          <w:p w14:paraId="14C8C2E9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14:paraId="74EA295A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F01ACE" w:rsidRPr="0055448C" w14:paraId="252B1544" w14:textId="77777777" w:rsidTr="00C01F48">
        <w:trPr>
          <w:jc w:val="center"/>
        </w:trPr>
        <w:tc>
          <w:tcPr>
            <w:tcW w:w="2828" w:type="dxa"/>
            <w:hideMark/>
          </w:tcPr>
          <w:p w14:paraId="22D48311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color w:val="000000" w:themeColor="text1"/>
                  <w:kern w:val="24"/>
                </w:rPr>
                <m:t> </m:t>
              </m:r>
              <m:r>
                <w:rPr>
                  <w:rFonts w:ascii="Cambria Math" w:hAnsi="Cambria Math" w:cs="Arial"/>
                </w:rPr>
                <m:t>≤</m:t>
              </m:r>
            </m:oMath>
            <w:r w:rsidRPr="0055448C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2258" w:type="dxa"/>
            <w:hideMark/>
          </w:tcPr>
          <w:p w14:paraId="4DB4FAD7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0.38 (0.12</w:t>
            </w:r>
            <w:r w:rsidRPr="00B05707">
              <w:rPr>
                <w:rFonts w:ascii="Arial" w:hAnsi="Arial" w:cs="Arial"/>
                <w:color w:val="222222"/>
                <w:shd w:val="clear" w:color="auto" w:fill="FFFFFF"/>
              </w:rPr>
              <w:t>–</w:t>
            </w:r>
            <w:r w:rsidRPr="0055448C">
              <w:rPr>
                <w:rFonts w:ascii="Arial" w:hAnsi="Arial" w:cs="Arial"/>
              </w:rPr>
              <w:t>1.15)</w:t>
            </w:r>
          </w:p>
        </w:tc>
        <w:tc>
          <w:tcPr>
            <w:tcW w:w="992" w:type="dxa"/>
            <w:hideMark/>
          </w:tcPr>
          <w:p w14:paraId="3307F7E0" w14:textId="77777777" w:rsidR="00F01ACE" w:rsidRPr="00EA486B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EA486B">
              <w:rPr>
                <w:rFonts w:ascii="Arial" w:hAnsi="Arial" w:cs="Arial"/>
              </w:rPr>
              <w:t>0.087</w:t>
            </w:r>
          </w:p>
        </w:tc>
        <w:tc>
          <w:tcPr>
            <w:tcW w:w="2681" w:type="dxa"/>
            <w:hideMark/>
          </w:tcPr>
          <w:p w14:paraId="53BD2A2F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1.74 (0.3</w:t>
            </w:r>
            <w:r w:rsidRPr="00B05707">
              <w:rPr>
                <w:rFonts w:ascii="Arial" w:hAnsi="Arial" w:cs="Arial"/>
                <w:color w:val="222222"/>
                <w:shd w:val="clear" w:color="auto" w:fill="FFFFFF"/>
              </w:rPr>
              <w:t>–</w:t>
            </w:r>
            <w:r w:rsidRPr="0055448C">
              <w:rPr>
                <w:rFonts w:ascii="Arial" w:hAnsi="Arial" w:cs="Arial"/>
              </w:rPr>
              <w:t>10.23)</w:t>
            </w:r>
          </w:p>
        </w:tc>
        <w:tc>
          <w:tcPr>
            <w:tcW w:w="992" w:type="dxa"/>
            <w:hideMark/>
          </w:tcPr>
          <w:p w14:paraId="1B0836CD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0.541</w:t>
            </w:r>
          </w:p>
        </w:tc>
      </w:tr>
      <w:tr w:rsidR="00F01ACE" w:rsidRPr="0055448C" w14:paraId="49603E27" w14:textId="77777777" w:rsidTr="00C01F48">
        <w:trPr>
          <w:jc w:val="center"/>
        </w:trPr>
        <w:tc>
          <w:tcPr>
            <w:tcW w:w="2828" w:type="dxa"/>
            <w:hideMark/>
          </w:tcPr>
          <w:p w14:paraId="00DB8D6D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color w:val="000000" w:themeColor="text1"/>
                  <w:kern w:val="24"/>
                </w:rPr>
                <m:t> </m:t>
              </m:r>
              <m:r>
                <w:rPr>
                  <w:rFonts w:ascii="Cambria Math" w:hAnsi="Cambria Math" w:cs="Arial"/>
                </w:rPr>
                <m:t>&gt;</m:t>
              </m:r>
            </m:oMath>
            <w:r w:rsidRPr="0055448C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2258" w:type="dxa"/>
            <w:hideMark/>
          </w:tcPr>
          <w:p w14:paraId="01CD3929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Reference</w:t>
            </w:r>
          </w:p>
        </w:tc>
        <w:tc>
          <w:tcPr>
            <w:tcW w:w="992" w:type="dxa"/>
            <w:hideMark/>
          </w:tcPr>
          <w:p w14:paraId="391693F7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681" w:type="dxa"/>
            <w:hideMark/>
          </w:tcPr>
          <w:p w14:paraId="3237474E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Reference</w:t>
            </w:r>
          </w:p>
        </w:tc>
        <w:tc>
          <w:tcPr>
            <w:tcW w:w="992" w:type="dxa"/>
            <w:hideMark/>
          </w:tcPr>
          <w:p w14:paraId="0DB73B07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F01ACE" w:rsidRPr="0055448C" w14:paraId="04645A67" w14:textId="77777777" w:rsidTr="00C01F48">
        <w:trPr>
          <w:jc w:val="center"/>
        </w:trPr>
        <w:tc>
          <w:tcPr>
            <w:tcW w:w="2828" w:type="dxa"/>
            <w:hideMark/>
          </w:tcPr>
          <w:p w14:paraId="0C3D4A5E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w:proofErr w:type="spellStart"/>
            <w:r w:rsidRPr="0055448C">
              <w:rPr>
                <w:rFonts w:ascii="Arial" w:hAnsi="Arial" w:cs="Arial"/>
              </w:rPr>
              <w:t>Hematologic</w:t>
            </w:r>
            <w:proofErr w:type="spellEnd"/>
            <w:r w:rsidRPr="0055448C">
              <w:rPr>
                <w:rFonts w:ascii="Arial" w:hAnsi="Arial" w:cs="Arial"/>
              </w:rPr>
              <w:t xml:space="preserve"> </w:t>
            </w:r>
            <w:proofErr w:type="spellStart"/>
            <w:r w:rsidRPr="0055448C">
              <w:rPr>
                <w:rFonts w:ascii="Arial" w:hAnsi="Arial" w:cs="Arial"/>
              </w:rPr>
              <w:t>disease</w:t>
            </w:r>
            <w:proofErr w:type="spellEnd"/>
            <w:r w:rsidRPr="0055448C">
              <w:rPr>
                <w:rFonts w:ascii="Arial" w:hAnsi="Arial" w:cs="Arial"/>
              </w:rPr>
              <w:t> </w:t>
            </w:r>
          </w:p>
        </w:tc>
        <w:tc>
          <w:tcPr>
            <w:tcW w:w="2258" w:type="dxa"/>
            <w:hideMark/>
          </w:tcPr>
          <w:p w14:paraId="265AB6B7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14:paraId="012057A9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681" w:type="dxa"/>
            <w:hideMark/>
          </w:tcPr>
          <w:p w14:paraId="50CFA551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14:paraId="4905F3BC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F01ACE" w:rsidRPr="0055448C" w14:paraId="28D2DC01" w14:textId="77777777" w:rsidTr="00C01F48">
        <w:trPr>
          <w:jc w:val="center"/>
        </w:trPr>
        <w:tc>
          <w:tcPr>
            <w:tcW w:w="2828" w:type="dxa"/>
            <w:hideMark/>
          </w:tcPr>
          <w:p w14:paraId="18ECD280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55448C">
              <w:rPr>
                <w:rFonts w:ascii="Arial" w:hAnsi="Arial" w:cs="Arial"/>
              </w:rPr>
              <w:t>AML </w:t>
            </w:r>
          </w:p>
        </w:tc>
        <w:tc>
          <w:tcPr>
            <w:tcW w:w="2258" w:type="dxa"/>
            <w:hideMark/>
          </w:tcPr>
          <w:p w14:paraId="50542B00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2.62 (1.25</w:t>
            </w:r>
            <w:r w:rsidRPr="00B05707">
              <w:rPr>
                <w:rFonts w:ascii="Arial" w:hAnsi="Arial" w:cs="Arial"/>
                <w:color w:val="222222"/>
                <w:shd w:val="clear" w:color="auto" w:fill="FFFFFF"/>
              </w:rPr>
              <w:t>–</w:t>
            </w:r>
            <w:r w:rsidRPr="0055448C">
              <w:rPr>
                <w:rFonts w:ascii="Arial" w:hAnsi="Arial" w:cs="Arial"/>
              </w:rPr>
              <w:t>5.5)</w:t>
            </w:r>
          </w:p>
        </w:tc>
        <w:tc>
          <w:tcPr>
            <w:tcW w:w="992" w:type="dxa"/>
            <w:hideMark/>
          </w:tcPr>
          <w:p w14:paraId="4802892C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5448C">
              <w:rPr>
                <w:rFonts w:ascii="Arial" w:hAnsi="Arial" w:cs="Arial"/>
                <w:b/>
                <w:bCs/>
              </w:rPr>
              <w:t xml:space="preserve">0.011 </w:t>
            </w:r>
          </w:p>
        </w:tc>
        <w:tc>
          <w:tcPr>
            <w:tcW w:w="2681" w:type="dxa"/>
            <w:hideMark/>
          </w:tcPr>
          <w:p w14:paraId="24554596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0.81 (0.26</w:t>
            </w:r>
            <w:r w:rsidRPr="00B05707">
              <w:rPr>
                <w:rFonts w:ascii="Arial" w:hAnsi="Arial" w:cs="Arial"/>
                <w:color w:val="222222"/>
                <w:shd w:val="clear" w:color="auto" w:fill="FFFFFF"/>
              </w:rPr>
              <w:t>–</w:t>
            </w:r>
            <w:r w:rsidRPr="0055448C">
              <w:rPr>
                <w:rFonts w:ascii="Arial" w:hAnsi="Arial" w:cs="Arial"/>
              </w:rPr>
              <w:t>2.53)</w:t>
            </w:r>
          </w:p>
        </w:tc>
        <w:tc>
          <w:tcPr>
            <w:tcW w:w="992" w:type="dxa"/>
            <w:hideMark/>
          </w:tcPr>
          <w:p w14:paraId="765B54D8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0.715</w:t>
            </w:r>
          </w:p>
        </w:tc>
      </w:tr>
      <w:tr w:rsidR="00F01ACE" w:rsidRPr="0055448C" w14:paraId="1A88A31C" w14:textId="77777777" w:rsidTr="00C01F48">
        <w:trPr>
          <w:jc w:val="center"/>
        </w:trPr>
        <w:tc>
          <w:tcPr>
            <w:tcW w:w="2828" w:type="dxa"/>
            <w:hideMark/>
          </w:tcPr>
          <w:p w14:paraId="3C4EDDD1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proofErr w:type="spellStart"/>
            <w:r w:rsidRPr="0055448C">
              <w:rPr>
                <w:rFonts w:ascii="Arial" w:hAnsi="Arial" w:cs="Arial"/>
              </w:rPr>
              <w:t>Other</w:t>
            </w:r>
            <w:proofErr w:type="spellEnd"/>
          </w:p>
        </w:tc>
        <w:tc>
          <w:tcPr>
            <w:tcW w:w="2258" w:type="dxa"/>
            <w:hideMark/>
          </w:tcPr>
          <w:p w14:paraId="38A07165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Reference</w:t>
            </w:r>
          </w:p>
        </w:tc>
        <w:tc>
          <w:tcPr>
            <w:tcW w:w="992" w:type="dxa"/>
            <w:hideMark/>
          </w:tcPr>
          <w:p w14:paraId="7E2AFAB1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681" w:type="dxa"/>
            <w:hideMark/>
          </w:tcPr>
          <w:p w14:paraId="51E051AF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Reference</w:t>
            </w:r>
          </w:p>
        </w:tc>
        <w:tc>
          <w:tcPr>
            <w:tcW w:w="992" w:type="dxa"/>
            <w:hideMark/>
          </w:tcPr>
          <w:p w14:paraId="25AA8A4E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F01ACE" w:rsidRPr="0055448C" w14:paraId="71A29606" w14:textId="77777777" w:rsidTr="00C01F48">
        <w:trPr>
          <w:jc w:val="center"/>
        </w:trPr>
        <w:tc>
          <w:tcPr>
            <w:tcW w:w="2828" w:type="dxa"/>
            <w:hideMark/>
          </w:tcPr>
          <w:p w14:paraId="06E63BAC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 xml:space="preserve">Type of </w:t>
            </w:r>
            <w:proofErr w:type="spellStart"/>
            <w:r w:rsidRPr="0055448C">
              <w:rPr>
                <w:rFonts w:ascii="Arial" w:hAnsi="Arial" w:cs="Arial"/>
              </w:rPr>
              <w:t>chemotherapy</w:t>
            </w:r>
            <w:proofErr w:type="spellEnd"/>
          </w:p>
        </w:tc>
        <w:tc>
          <w:tcPr>
            <w:tcW w:w="2258" w:type="dxa"/>
            <w:hideMark/>
          </w:tcPr>
          <w:p w14:paraId="498BE86F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14:paraId="1760D7F2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681" w:type="dxa"/>
            <w:hideMark/>
          </w:tcPr>
          <w:p w14:paraId="79492EC9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14:paraId="0794C6FD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F01ACE" w:rsidRPr="0055448C" w14:paraId="69E4AAD8" w14:textId="77777777" w:rsidTr="00C01F48">
        <w:trPr>
          <w:trHeight w:val="235"/>
          <w:jc w:val="center"/>
        </w:trPr>
        <w:tc>
          <w:tcPr>
            <w:tcW w:w="2828" w:type="dxa"/>
            <w:hideMark/>
          </w:tcPr>
          <w:p w14:paraId="05625447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55448C">
              <w:rPr>
                <w:rFonts w:ascii="Arial" w:hAnsi="Arial" w:cs="Arial"/>
              </w:rPr>
              <w:t xml:space="preserve">Induction </w:t>
            </w:r>
          </w:p>
        </w:tc>
        <w:tc>
          <w:tcPr>
            <w:tcW w:w="2258" w:type="dxa"/>
            <w:hideMark/>
          </w:tcPr>
          <w:p w14:paraId="2847D115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1.22 (0.59</w:t>
            </w:r>
            <w:r w:rsidRPr="00B05707">
              <w:rPr>
                <w:rFonts w:ascii="Arial" w:hAnsi="Arial" w:cs="Arial"/>
                <w:color w:val="222222"/>
                <w:shd w:val="clear" w:color="auto" w:fill="FFFFFF"/>
              </w:rPr>
              <w:t>–</w:t>
            </w:r>
            <w:r w:rsidRPr="0055448C">
              <w:rPr>
                <w:rFonts w:ascii="Arial" w:hAnsi="Arial" w:cs="Arial"/>
              </w:rPr>
              <w:t>2.5)</w:t>
            </w:r>
          </w:p>
        </w:tc>
        <w:tc>
          <w:tcPr>
            <w:tcW w:w="992" w:type="dxa"/>
            <w:hideMark/>
          </w:tcPr>
          <w:p w14:paraId="662CC953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0.592</w:t>
            </w:r>
          </w:p>
        </w:tc>
        <w:tc>
          <w:tcPr>
            <w:tcW w:w="2681" w:type="dxa"/>
            <w:hideMark/>
          </w:tcPr>
          <w:p w14:paraId="5F3465EB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14:paraId="7836D05E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F01ACE" w:rsidRPr="0055448C" w14:paraId="120EEF5C" w14:textId="77777777" w:rsidTr="00C01F48">
        <w:trPr>
          <w:jc w:val="center"/>
        </w:trPr>
        <w:tc>
          <w:tcPr>
            <w:tcW w:w="2828" w:type="dxa"/>
            <w:hideMark/>
          </w:tcPr>
          <w:p w14:paraId="047B14B0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proofErr w:type="spellStart"/>
            <w:r w:rsidRPr="0055448C">
              <w:rPr>
                <w:rFonts w:ascii="Arial" w:hAnsi="Arial" w:cs="Arial"/>
              </w:rPr>
              <w:t>Other</w:t>
            </w:r>
            <w:proofErr w:type="spellEnd"/>
          </w:p>
        </w:tc>
        <w:tc>
          <w:tcPr>
            <w:tcW w:w="2258" w:type="dxa"/>
            <w:hideMark/>
          </w:tcPr>
          <w:p w14:paraId="00D54CDA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Reference</w:t>
            </w:r>
          </w:p>
        </w:tc>
        <w:tc>
          <w:tcPr>
            <w:tcW w:w="992" w:type="dxa"/>
            <w:hideMark/>
          </w:tcPr>
          <w:p w14:paraId="11F2016B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681" w:type="dxa"/>
            <w:hideMark/>
          </w:tcPr>
          <w:p w14:paraId="0C2D1E86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Reference</w:t>
            </w:r>
          </w:p>
        </w:tc>
        <w:tc>
          <w:tcPr>
            <w:tcW w:w="992" w:type="dxa"/>
            <w:hideMark/>
          </w:tcPr>
          <w:p w14:paraId="39F89F95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F01ACE" w:rsidRPr="0055448C" w14:paraId="6978CBD7" w14:textId="77777777" w:rsidTr="00C01F48">
        <w:trPr>
          <w:jc w:val="center"/>
        </w:trPr>
        <w:tc>
          <w:tcPr>
            <w:tcW w:w="2828" w:type="dxa"/>
            <w:hideMark/>
          </w:tcPr>
          <w:p w14:paraId="62015E82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 xml:space="preserve">Typer of </w:t>
            </w:r>
            <w:proofErr w:type="spellStart"/>
            <w:r w:rsidRPr="0055448C">
              <w:rPr>
                <w:rFonts w:ascii="Arial" w:hAnsi="Arial" w:cs="Arial"/>
              </w:rPr>
              <w:t>fever</w:t>
            </w:r>
            <w:proofErr w:type="spellEnd"/>
            <w:r w:rsidRPr="0055448C">
              <w:rPr>
                <w:rFonts w:ascii="Arial" w:hAnsi="Arial" w:cs="Arial"/>
              </w:rPr>
              <w:t xml:space="preserve"> </w:t>
            </w:r>
            <w:proofErr w:type="spellStart"/>
            <w:r w:rsidRPr="0055448C">
              <w:rPr>
                <w:rFonts w:ascii="Arial" w:hAnsi="Arial" w:cs="Arial"/>
              </w:rPr>
              <w:t>episode</w:t>
            </w:r>
            <w:proofErr w:type="spellEnd"/>
          </w:p>
        </w:tc>
        <w:tc>
          <w:tcPr>
            <w:tcW w:w="2258" w:type="dxa"/>
            <w:hideMark/>
          </w:tcPr>
          <w:p w14:paraId="69938301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14:paraId="5B15BF23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681" w:type="dxa"/>
            <w:hideMark/>
          </w:tcPr>
          <w:p w14:paraId="6C5292A1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14:paraId="36D0206D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F01ACE" w:rsidRPr="0055448C" w14:paraId="127642C6" w14:textId="77777777" w:rsidTr="00C01F48">
        <w:trPr>
          <w:jc w:val="center"/>
        </w:trPr>
        <w:tc>
          <w:tcPr>
            <w:tcW w:w="2828" w:type="dxa"/>
            <w:hideMark/>
          </w:tcPr>
          <w:p w14:paraId="5A30D391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55448C">
              <w:rPr>
                <w:rFonts w:ascii="Arial" w:hAnsi="Arial" w:cs="Arial"/>
              </w:rPr>
              <w:t>FUO</w:t>
            </w:r>
          </w:p>
        </w:tc>
        <w:tc>
          <w:tcPr>
            <w:tcW w:w="2258" w:type="dxa"/>
            <w:hideMark/>
          </w:tcPr>
          <w:p w14:paraId="1E314110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1.13 (0.55</w:t>
            </w:r>
            <w:r w:rsidRPr="00B05707">
              <w:rPr>
                <w:rFonts w:ascii="Arial" w:hAnsi="Arial" w:cs="Arial"/>
                <w:color w:val="222222"/>
                <w:shd w:val="clear" w:color="auto" w:fill="FFFFFF"/>
              </w:rPr>
              <w:t>–</w:t>
            </w:r>
            <w:r w:rsidRPr="0055448C">
              <w:rPr>
                <w:rFonts w:ascii="Arial" w:hAnsi="Arial" w:cs="Arial"/>
              </w:rPr>
              <w:t>2.34)</w:t>
            </w:r>
          </w:p>
        </w:tc>
        <w:tc>
          <w:tcPr>
            <w:tcW w:w="992" w:type="dxa"/>
            <w:hideMark/>
          </w:tcPr>
          <w:p w14:paraId="6299BF0E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 xml:space="preserve">0.733 </w:t>
            </w:r>
          </w:p>
        </w:tc>
        <w:tc>
          <w:tcPr>
            <w:tcW w:w="2681" w:type="dxa"/>
            <w:hideMark/>
          </w:tcPr>
          <w:p w14:paraId="3F43576D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14:paraId="157DB430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F01ACE" w:rsidRPr="0055448C" w14:paraId="018ABA70" w14:textId="77777777" w:rsidTr="00C01F48">
        <w:trPr>
          <w:jc w:val="center"/>
        </w:trPr>
        <w:tc>
          <w:tcPr>
            <w:tcW w:w="2828" w:type="dxa"/>
            <w:hideMark/>
          </w:tcPr>
          <w:p w14:paraId="5DEC5548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proofErr w:type="spellStart"/>
            <w:r w:rsidRPr="0055448C">
              <w:rPr>
                <w:rFonts w:ascii="Arial" w:hAnsi="Arial" w:cs="Arial"/>
              </w:rPr>
              <w:t>Other</w:t>
            </w:r>
            <w:proofErr w:type="spellEnd"/>
          </w:p>
        </w:tc>
        <w:tc>
          <w:tcPr>
            <w:tcW w:w="2258" w:type="dxa"/>
            <w:hideMark/>
          </w:tcPr>
          <w:p w14:paraId="4E90A391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Reference</w:t>
            </w:r>
          </w:p>
        </w:tc>
        <w:tc>
          <w:tcPr>
            <w:tcW w:w="992" w:type="dxa"/>
            <w:hideMark/>
          </w:tcPr>
          <w:p w14:paraId="1DDFC78C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681" w:type="dxa"/>
            <w:hideMark/>
          </w:tcPr>
          <w:p w14:paraId="2CF6FF7B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Reference</w:t>
            </w:r>
          </w:p>
        </w:tc>
        <w:tc>
          <w:tcPr>
            <w:tcW w:w="992" w:type="dxa"/>
            <w:hideMark/>
          </w:tcPr>
          <w:p w14:paraId="1AB3DF50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F01ACE" w:rsidRPr="0055448C" w14:paraId="7701ADF4" w14:textId="77777777" w:rsidTr="00C01F48">
        <w:trPr>
          <w:jc w:val="center"/>
        </w:trPr>
        <w:tc>
          <w:tcPr>
            <w:tcW w:w="2828" w:type="dxa"/>
            <w:hideMark/>
          </w:tcPr>
          <w:p w14:paraId="421EFAE8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 xml:space="preserve">Duration of </w:t>
            </w:r>
            <w:proofErr w:type="spellStart"/>
            <w:r w:rsidRPr="0055448C">
              <w:rPr>
                <w:rFonts w:ascii="Arial" w:hAnsi="Arial" w:cs="Arial"/>
              </w:rPr>
              <w:t>febrile</w:t>
            </w:r>
            <w:proofErr w:type="spellEnd"/>
            <w:r w:rsidRPr="0055448C">
              <w:rPr>
                <w:rFonts w:ascii="Arial" w:hAnsi="Arial" w:cs="Arial"/>
              </w:rPr>
              <w:t xml:space="preserve"> </w:t>
            </w:r>
            <w:proofErr w:type="spellStart"/>
            <w:r w:rsidRPr="0055448C">
              <w:rPr>
                <w:rFonts w:ascii="Arial" w:hAnsi="Arial" w:cs="Arial"/>
              </w:rPr>
              <w:t>episode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days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258" w:type="dxa"/>
            <w:hideMark/>
          </w:tcPr>
          <w:p w14:paraId="398C742B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14:paraId="5C516B6A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681" w:type="dxa"/>
            <w:hideMark/>
          </w:tcPr>
          <w:p w14:paraId="3A929A86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14:paraId="253ED86E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F01ACE" w:rsidRPr="0055448C" w14:paraId="3AE586FE" w14:textId="77777777" w:rsidTr="00C01F48">
        <w:trPr>
          <w:jc w:val="center"/>
        </w:trPr>
        <w:tc>
          <w:tcPr>
            <w:tcW w:w="2828" w:type="dxa"/>
            <w:hideMark/>
          </w:tcPr>
          <w:p w14:paraId="167B5A1C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color w:val="000000" w:themeColor="text1"/>
                  <w:kern w:val="24"/>
                </w:rPr>
                <m:t> </m:t>
              </m:r>
              <m:r>
                <w:rPr>
                  <w:rFonts w:ascii="Cambria Math" w:hAnsi="Cambria Math" w:cs="Arial"/>
                </w:rPr>
                <m:t>≤</m:t>
              </m:r>
            </m:oMath>
            <w:r w:rsidRPr="0055448C">
              <w:rPr>
                <w:rFonts w:ascii="Arial" w:hAnsi="Arial" w:cs="Arial"/>
              </w:rPr>
              <w:t xml:space="preserve"> 3</w:t>
            </w:r>
          </w:p>
        </w:tc>
        <w:tc>
          <w:tcPr>
            <w:tcW w:w="2258" w:type="dxa"/>
            <w:hideMark/>
          </w:tcPr>
          <w:p w14:paraId="153CB060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1.26 (0.6</w:t>
            </w:r>
            <w:r w:rsidRPr="00B05707">
              <w:rPr>
                <w:rFonts w:ascii="Arial" w:hAnsi="Arial" w:cs="Arial"/>
                <w:color w:val="222222"/>
                <w:shd w:val="clear" w:color="auto" w:fill="FFFFFF"/>
              </w:rPr>
              <w:t>–</w:t>
            </w:r>
            <w:r w:rsidRPr="0055448C">
              <w:rPr>
                <w:rFonts w:ascii="Arial" w:hAnsi="Arial" w:cs="Arial"/>
              </w:rPr>
              <w:t>2.66)</w:t>
            </w:r>
          </w:p>
        </w:tc>
        <w:tc>
          <w:tcPr>
            <w:tcW w:w="992" w:type="dxa"/>
            <w:hideMark/>
          </w:tcPr>
          <w:p w14:paraId="5447224C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0.536</w:t>
            </w:r>
          </w:p>
        </w:tc>
        <w:tc>
          <w:tcPr>
            <w:tcW w:w="2681" w:type="dxa"/>
            <w:hideMark/>
          </w:tcPr>
          <w:p w14:paraId="47FBAC21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14:paraId="1D0744C2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F01ACE" w:rsidRPr="0055448C" w14:paraId="5333ABD2" w14:textId="77777777" w:rsidTr="00C01F48">
        <w:trPr>
          <w:jc w:val="center"/>
        </w:trPr>
        <w:tc>
          <w:tcPr>
            <w:tcW w:w="2828" w:type="dxa"/>
            <w:hideMark/>
          </w:tcPr>
          <w:p w14:paraId="127880D0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m:oMath>
              <m:r>
                <w:rPr>
                  <w:rFonts w:ascii="Cambria Math" w:hAnsi="Cambria Math" w:cs="Arial"/>
                </w:rPr>
                <m:t xml:space="preserve">&gt; </m:t>
              </m:r>
            </m:oMath>
            <w:r w:rsidRPr="0055448C">
              <w:rPr>
                <w:rFonts w:ascii="Arial" w:hAnsi="Arial" w:cs="Arial"/>
              </w:rPr>
              <w:t>3</w:t>
            </w:r>
          </w:p>
        </w:tc>
        <w:tc>
          <w:tcPr>
            <w:tcW w:w="2258" w:type="dxa"/>
            <w:hideMark/>
          </w:tcPr>
          <w:p w14:paraId="33F26A6E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Reference</w:t>
            </w:r>
          </w:p>
        </w:tc>
        <w:tc>
          <w:tcPr>
            <w:tcW w:w="992" w:type="dxa"/>
            <w:hideMark/>
          </w:tcPr>
          <w:p w14:paraId="75E9C0A5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681" w:type="dxa"/>
            <w:hideMark/>
          </w:tcPr>
          <w:p w14:paraId="23906D1C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Reference</w:t>
            </w:r>
          </w:p>
        </w:tc>
        <w:tc>
          <w:tcPr>
            <w:tcW w:w="992" w:type="dxa"/>
            <w:hideMark/>
          </w:tcPr>
          <w:p w14:paraId="76B685B0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F01ACE" w:rsidRPr="0055448C" w14:paraId="158EB4CE" w14:textId="77777777" w:rsidTr="00C01F48">
        <w:trPr>
          <w:jc w:val="center"/>
        </w:trPr>
        <w:tc>
          <w:tcPr>
            <w:tcW w:w="2828" w:type="dxa"/>
            <w:hideMark/>
          </w:tcPr>
          <w:p w14:paraId="00536CF0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w:proofErr w:type="spellStart"/>
            <w:r w:rsidRPr="0055448C">
              <w:rPr>
                <w:rFonts w:ascii="Arial" w:hAnsi="Arial" w:cs="Arial"/>
              </w:rPr>
              <w:t>Period</w:t>
            </w:r>
            <w:proofErr w:type="spellEnd"/>
          </w:p>
        </w:tc>
        <w:tc>
          <w:tcPr>
            <w:tcW w:w="2258" w:type="dxa"/>
            <w:hideMark/>
          </w:tcPr>
          <w:p w14:paraId="1B86D7E8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14:paraId="1F1592E9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681" w:type="dxa"/>
            <w:hideMark/>
          </w:tcPr>
          <w:p w14:paraId="19B1BC47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14:paraId="5290BC25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F01ACE" w:rsidRPr="0055448C" w14:paraId="4A041F89" w14:textId="77777777" w:rsidTr="00C01F48">
        <w:trPr>
          <w:jc w:val="center"/>
        </w:trPr>
        <w:tc>
          <w:tcPr>
            <w:tcW w:w="2828" w:type="dxa"/>
            <w:hideMark/>
          </w:tcPr>
          <w:p w14:paraId="1EBB02C1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>
              <w:rPr>
                <w:rFonts w:ascii="Arial" w:hAnsi="Arial" w:cs="Arial"/>
                <w:color w:val="000000" w:themeColor="text1"/>
                <w:kern w:val="24"/>
              </w:rPr>
              <w:t>I</w:t>
            </w:r>
            <w:r w:rsidRPr="0055448C">
              <w:rPr>
                <w:rFonts w:ascii="Arial" w:hAnsi="Arial" w:cs="Arial"/>
              </w:rPr>
              <w:t>ntervention</w:t>
            </w:r>
          </w:p>
        </w:tc>
        <w:tc>
          <w:tcPr>
            <w:tcW w:w="2258" w:type="dxa"/>
            <w:hideMark/>
          </w:tcPr>
          <w:p w14:paraId="07655745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38.67 (12.07</w:t>
            </w:r>
            <w:r w:rsidRPr="00B05707">
              <w:rPr>
                <w:rFonts w:ascii="Arial" w:hAnsi="Arial" w:cs="Arial"/>
                <w:color w:val="222222"/>
                <w:shd w:val="clear" w:color="auto" w:fill="FFFFFF"/>
              </w:rPr>
              <w:t>–</w:t>
            </w:r>
            <w:r w:rsidRPr="0055448C">
              <w:rPr>
                <w:rFonts w:ascii="Arial" w:hAnsi="Arial" w:cs="Arial"/>
              </w:rPr>
              <w:t>123.9)</w:t>
            </w:r>
          </w:p>
        </w:tc>
        <w:tc>
          <w:tcPr>
            <w:tcW w:w="992" w:type="dxa"/>
            <w:hideMark/>
          </w:tcPr>
          <w:p w14:paraId="55D1AB89" w14:textId="77777777" w:rsidR="00F01ACE" w:rsidRPr="00615A5D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615A5D">
              <w:rPr>
                <w:rFonts w:ascii="Arial" w:hAnsi="Arial" w:cs="Arial"/>
                <w:b/>
                <w:bCs/>
                <w:lang w:val="en-US"/>
              </w:rPr>
              <w:t>&lt; 0.001</w:t>
            </w:r>
          </w:p>
        </w:tc>
        <w:tc>
          <w:tcPr>
            <w:tcW w:w="2681" w:type="dxa"/>
            <w:hideMark/>
          </w:tcPr>
          <w:p w14:paraId="67AE8CD2" w14:textId="77777777" w:rsidR="00F01ACE" w:rsidRPr="00615A5D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615A5D">
              <w:rPr>
                <w:rFonts w:ascii="Arial" w:hAnsi="Arial" w:cs="Arial"/>
              </w:rPr>
              <w:t>49.27 (12.53</w:t>
            </w:r>
            <w:r w:rsidRPr="00B05707">
              <w:rPr>
                <w:rFonts w:ascii="Arial" w:hAnsi="Arial" w:cs="Arial"/>
                <w:color w:val="222222"/>
                <w:shd w:val="clear" w:color="auto" w:fill="FFFFFF"/>
              </w:rPr>
              <w:t>–</w:t>
            </w:r>
            <w:r w:rsidRPr="00615A5D">
              <w:rPr>
                <w:rFonts w:ascii="Arial" w:hAnsi="Arial" w:cs="Arial"/>
              </w:rPr>
              <w:t>193.68)</w:t>
            </w:r>
          </w:p>
        </w:tc>
        <w:tc>
          <w:tcPr>
            <w:tcW w:w="992" w:type="dxa"/>
            <w:hideMark/>
          </w:tcPr>
          <w:p w14:paraId="2E5D3D44" w14:textId="77777777" w:rsidR="00F01ACE" w:rsidRPr="00615A5D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615A5D">
              <w:rPr>
                <w:rFonts w:ascii="Arial" w:hAnsi="Arial" w:cs="Arial"/>
                <w:b/>
                <w:bCs/>
                <w:lang w:val="en-US"/>
              </w:rPr>
              <w:t>&lt; 0.001</w:t>
            </w:r>
          </w:p>
        </w:tc>
      </w:tr>
      <w:tr w:rsidR="00F01ACE" w:rsidRPr="0055448C" w14:paraId="7CAF9794" w14:textId="77777777" w:rsidTr="00C01F48">
        <w:trPr>
          <w:jc w:val="center"/>
        </w:trPr>
        <w:tc>
          <w:tcPr>
            <w:tcW w:w="2828" w:type="dxa"/>
            <w:hideMark/>
          </w:tcPr>
          <w:p w14:paraId="1B3AAFB3" w14:textId="77777777" w:rsidR="00F01ACE" w:rsidRPr="0055448C" w:rsidRDefault="00F01ACE" w:rsidP="00C01F48">
            <w:pPr>
              <w:spacing w:line="480" w:lineRule="auto"/>
              <w:contextualSpacing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  <w:color w:val="000000" w:themeColor="text1"/>
                <w:kern w:val="24"/>
              </w:rPr>
              <w:t> </w:t>
            </w:r>
            <w:r w:rsidRPr="0055448C">
              <w:rPr>
                <w:rFonts w:ascii="Arial" w:hAnsi="Arial" w:cs="Arial"/>
                <w:color w:val="000000" w:themeColor="text1"/>
                <w:kern w:val="24"/>
              </w:rPr>
              <w:t>Pre-i</w:t>
            </w:r>
            <w:r w:rsidRPr="0055448C">
              <w:rPr>
                <w:rFonts w:ascii="Arial" w:hAnsi="Arial" w:cs="Arial"/>
              </w:rPr>
              <w:t>ntervention</w:t>
            </w:r>
          </w:p>
        </w:tc>
        <w:tc>
          <w:tcPr>
            <w:tcW w:w="2258" w:type="dxa"/>
            <w:hideMark/>
          </w:tcPr>
          <w:p w14:paraId="35733334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Reference</w:t>
            </w:r>
          </w:p>
        </w:tc>
        <w:tc>
          <w:tcPr>
            <w:tcW w:w="992" w:type="dxa"/>
            <w:hideMark/>
          </w:tcPr>
          <w:p w14:paraId="1F802F2E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681" w:type="dxa"/>
            <w:hideMark/>
          </w:tcPr>
          <w:p w14:paraId="139EB0A9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  <w:r w:rsidRPr="0055448C">
              <w:rPr>
                <w:rFonts w:ascii="Arial" w:hAnsi="Arial" w:cs="Arial"/>
              </w:rPr>
              <w:t>Reference</w:t>
            </w:r>
          </w:p>
        </w:tc>
        <w:tc>
          <w:tcPr>
            <w:tcW w:w="992" w:type="dxa"/>
            <w:hideMark/>
          </w:tcPr>
          <w:p w14:paraId="49EBF8AB" w14:textId="77777777" w:rsidR="00F01ACE" w:rsidRPr="0055448C" w:rsidRDefault="00F01ACE" w:rsidP="00C01F48">
            <w:pPr>
              <w:spacing w:line="48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7756F256" w14:textId="77777777" w:rsidR="00F01ACE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</w:p>
    <w:p w14:paraId="5D9BCAE5" w14:textId="77777777" w:rsidR="00F01ACE" w:rsidRPr="0055448C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55448C">
        <w:rPr>
          <w:rFonts w:ascii="Arial" w:hAnsi="Arial" w:cs="Arial"/>
          <w:sz w:val="22"/>
          <w:szCs w:val="22"/>
          <w:lang w:val="en-US"/>
        </w:rPr>
        <w:lastRenderedPageBreak/>
        <w:t>Abbreviations: AML: Acute myeloid leukemia;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55448C">
        <w:rPr>
          <w:rFonts w:ascii="Arial" w:hAnsi="Arial" w:cs="Arial"/>
          <w:sz w:val="22"/>
          <w:szCs w:val="22"/>
          <w:lang w:val="en-US"/>
        </w:rPr>
        <w:t>CI: Confidence interval; FUO: Fever of unknown origin</w:t>
      </w:r>
      <w:r>
        <w:rPr>
          <w:rFonts w:ascii="Arial" w:hAnsi="Arial" w:cs="Arial"/>
          <w:sz w:val="22"/>
          <w:szCs w:val="22"/>
          <w:lang w:val="en-US"/>
        </w:rPr>
        <w:t xml:space="preserve">; </w:t>
      </w:r>
      <w:r w:rsidRPr="0055448C">
        <w:rPr>
          <w:rFonts w:ascii="Arial" w:hAnsi="Arial" w:cs="Arial"/>
          <w:sz w:val="22"/>
          <w:szCs w:val="22"/>
          <w:lang w:val="en-US"/>
        </w:rPr>
        <w:t>OR: Odds-ratio</w:t>
      </w:r>
    </w:p>
    <w:p w14:paraId="3CC3A48F" w14:textId="77777777" w:rsidR="00F01ACE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</w:p>
    <w:p w14:paraId="388CD4F8" w14:textId="77777777" w:rsidR="00F01ACE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</w:p>
    <w:p w14:paraId="0DD311D4" w14:textId="77777777" w:rsidR="00F01ACE" w:rsidRDefault="00F01ACE" w:rsidP="00F01ACE">
      <w:pPr>
        <w:spacing w:line="48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</w:p>
    <w:p w14:paraId="1490FA4A" w14:textId="7A2C254B" w:rsidR="00F01ACE" w:rsidRPr="008D2ED2" w:rsidRDefault="00F01ACE" w:rsidP="008D2ED2">
      <w:pPr>
        <w:spacing w:line="480" w:lineRule="auto"/>
        <w:contextualSpacing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br w:type="page"/>
      </w:r>
    </w:p>
    <w:p w14:paraId="18DE97DE" w14:textId="77777777" w:rsidR="009E068B" w:rsidRDefault="009E068B"/>
    <w:sectPr w:rsidR="009E068B" w:rsidSect="002D2FBC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1A11D" w14:textId="77777777" w:rsidR="002D2FBC" w:rsidRDefault="002D2FBC">
      <w:r>
        <w:separator/>
      </w:r>
    </w:p>
  </w:endnote>
  <w:endnote w:type="continuationSeparator" w:id="0">
    <w:p w14:paraId="320CD405" w14:textId="77777777" w:rsidR="002D2FBC" w:rsidRDefault="002D2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439456306"/>
      <w:docPartObj>
        <w:docPartGallery w:val="Page Numbers (Bottom of Page)"/>
        <w:docPartUnique/>
      </w:docPartObj>
    </w:sdtPr>
    <w:sdtContent>
      <w:p w14:paraId="6E999DDD" w14:textId="77777777" w:rsidR="00A2149D" w:rsidRDefault="00000000" w:rsidP="001E668F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164A289D" w14:textId="77777777" w:rsidR="00A2149D" w:rsidRDefault="00A2149D" w:rsidP="00FE1B6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CB1E" w14:textId="77777777" w:rsidR="00A2149D" w:rsidRDefault="00A2149D" w:rsidP="00FE1B6D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2ED5B" w14:textId="77777777" w:rsidR="002D2FBC" w:rsidRDefault="002D2FBC">
      <w:r>
        <w:separator/>
      </w:r>
    </w:p>
  </w:footnote>
  <w:footnote w:type="continuationSeparator" w:id="0">
    <w:p w14:paraId="7E6DF339" w14:textId="77777777" w:rsidR="002D2FBC" w:rsidRDefault="002D2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020668483"/>
      <w:docPartObj>
        <w:docPartGallery w:val="Page Numbers (Top of Page)"/>
        <w:docPartUnique/>
      </w:docPartObj>
    </w:sdtPr>
    <w:sdtContent>
      <w:p w14:paraId="2EE5F00E" w14:textId="77777777" w:rsidR="00A2149D" w:rsidRDefault="00000000" w:rsidP="005F5D5B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6370DF2" w14:textId="77777777" w:rsidR="00A2149D" w:rsidRDefault="00A2149D" w:rsidP="00A95854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72092" w14:textId="77777777" w:rsidR="00A2149D" w:rsidRDefault="00A2149D" w:rsidP="00A95854">
    <w:pPr>
      <w:pStyle w:val="En-tt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CE"/>
    <w:rsid w:val="00036B2E"/>
    <w:rsid w:val="001359C7"/>
    <w:rsid w:val="002D2FBC"/>
    <w:rsid w:val="002D7FF6"/>
    <w:rsid w:val="003B34F8"/>
    <w:rsid w:val="003F5E38"/>
    <w:rsid w:val="004050E2"/>
    <w:rsid w:val="004C437F"/>
    <w:rsid w:val="00663E19"/>
    <w:rsid w:val="006C56F3"/>
    <w:rsid w:val="006D2A6A"/>
    <w:rsid w:val="00753976"/>
    <w:rsid w:val="007E5657"/>
    <w:rsid w:val="0080333D"/>
    <w:rsid w:val="00861B26"/>
    <w:rsid w:val="00862BFE"/>
    <w:rsid w:val="00864DCB"/>
    <w:rsid w:val="008C1428"/>
    <w:rsid w:val="008D2ED2"/>
    <w:rsid w:val="00987BF0"/>
    <w:rsid w:val="009E068B"/>
    <w:rsid w:val="00A2149D"/>
    <w:rsid w:val="00A36D4D"/>
    <w:rsid w:val="00A73789"/>
    <w:rsid w:val="00A90928"/>
    <w:rsid w:val="00B71044"/>
    <w:rsid w:val="00D91F2B"/>
    <w:rsid w:val="00DC2218"/>
    <w:rsid w:val="00E47E7C"/>
    <w:rsid w:val="00F01ACE"/>
    <w:rsid w:val="00F530E9"/>
    <w:rsid w:val="00FE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61A578"/>
  <w15:chartTrackingRefBased/>
  <w15:docId w15:val="{E608EF66-0D38-824C-A541-510B6D11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ACE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01A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01A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01AC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fr-FR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F01AC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F01AC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F01A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01ACE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Numrodepage">
    <w:name w:val="page number"/>
    <w:basedOn w:val="Policepardfaut"/>
    <w:uiPriority w:val="99"/>
    <w:semiHidden/>
    <w:unhideWhenUsed/>
    <w:rsid w:val="00F01ACE"/>
  </w:style>
  <w:style w:type="paragraph" w:styleId="En-tte">
    <w:name w:val="header"/>
    <w:basedOn w:val="Normal"/>
    <w:link w:val="En-tteCar"/>
    <w:uiPriority w:val="99"/>
    <w:unhideWhenUsed/>
    <w:rsid w:val="00F01A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01ACE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Numrodeligne">
    <w:name w:val="line number"/>
    <w:basedOn w:val="Policepardfaut"/>
    <w:uiPriority w:val="99"/>
    <w:semiHidden/>
    <w:unhideWhenUsed/>
    <w:rsid w:val="00F01ACE"/>
  </w:style>
  <w:style w:type="paragraph" w:styleId="Rvision">
    <w:name w:val="Revision"/>
    <w:hidden/>
    <w:uiPriority w:val="99"/>
    <w:semiHidden/>
    <w:rsid w:val="00036B2E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A737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837</Words>
  <Characters>4607</Characters>
  <Application>Microsoft Office Word</Application>
  <DocSecurity>0</DocSecurity>
  <Lines>38</Lines>
  <Paragraphs>10</Paragraphs>
  <ScaleCrop>false</ScaleCrop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Durand</dc:creator>
  <cp:keywords/>
  <dc:description/>
  <cp:lastModifiedBy>Claire Durand</cp:lastModifiedBy>
  <cp:revision>8</cp:revision>
  <dcterms:created xsi:type="dcterms:W3CDTF">2023-12-17T20:51:00Z</dcterms:created>
  <dcterms:modified xsi:type="dcterms:W3CDTF">2023-12-17T20:57:00Z</dcterms:modified>
</cp:coreProperties>
</file>