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hint="default" w:ascii="Times New Roman" w:hAnsi="Times New Roman" w:cs="Times New Roman"/>
          <w:b/>
          <w:bCs/>
          <w:sz w:val="28"/>
          <w:szCs w:val="28"/>
        </w:rPr>
      </w:pPr>
    </w:p>
    <w:p>
      <w:pPr>
        <w:spacing w:line="360" w:lineRule="auto"/>
        <w:jc w:val="center"/>
        <w:rPr>
          <w:rFonts w:ascii="Times New Roman" w:hAnsi="Times New Roman"/>
          <w:b/>
          <w:sz w:val="24"/>
          <w:szCs w:val="24"/>
        </w:rPr>
      </w:pPr>
      <w:r>
        <w:rPr>
          <w:rFonts w:hint="default" w:ascii="Times New Roman" w:hAnsi="Times New Roman" w:cs="Times New Roman"/>
          <w:b/>
          <w:bCs/>
          <w:sz w:val="28"/>
          <w:szCs w:val="28"/>
        </w:rPr>
        <w:t>Development and application of a risk nomogram for the prediction of risk of</w:t>
      </w:r>
      <w:r>
        <w:rPr>
          <w:rFonts w:hint="default" w:ascii="Times New Roman" w:hAnsi="Times New Roman" w:cs="Times New Roman"/>
          <w:b/>
          <w:bCs/>
          <w:i/>
          <w:iCs/>
          <w:sz w:val="28"/>
          <w:szCs w:val="28"/>
        </w:rPr>
        <w:t xml:space="preserve"> </w:t>
      </w:r>
      <w:r>
        <w:rPr>
          <w:rFonts w:hint="default" w:ascii="Times New Roman" w:hAnsi="Times New Roman" w:cs="Times New Roman"/>
          <w:b/>
          <w:bCs/>
          <w:i w:val="0"/>
          <w:iCs w:val="0"/>
          <w:sz w:val="28"/>
          <w:szCs w:val="28"/>
        </w:rPr>
        <w:t xml:space="preserve">carbapenem-resistant </w:t>
      </w:r>
      <w:r>
        <w:rPr>
          <w:rFonts w:hint="default" w:ascii="Times New Roman" w:hAnsi="Times New Roman" w:cs="Times New Roman"/>
          <w:b/>
          <w:bCs/>
          <w:i/>
          <w:iCs/>
          <w:sz w:val="28"/>
          <w:szCs w:val="28"/>
        </w:rPr>
        <w:t>Acinetobacter baumannii</w:t>
      </w:r>
      <w:r>
        <w:rPr>
          <w:rFonts w:hint="default" w:ascii="Times New Roman" w:hAnsi="Times New Roman" w:cs="Times New Roman"/>
          <w:b/>
          <w:bCs/>
          <w:sz w:val="28"/>
          <w:szCs w:val="28"/>
        </w:rPr>
        <w:t xml:space="preserve"> infections in neuro-intensive care unit: a mixed method study</w:t>
      </w:r>
    </w:p>
    <w:p>
      <w:pPr>
        <w:spacing w:line="360" w:lineRule="auto"/>
        <w:jc w:val="center"/>
        <w:rPr>
          <w:rFonts w:ascii="Times New Roman" w:hAnsi="Times New Roman"/>
          <w:b/>
          <w:sz w:val="28"/>
          <w:szCs w:val="28"/>
        </w:rPr>
      </w:pPr>
      <w:r>
        <w:rPr>
          <w:rFonts w:ascii="Times New Roman" w:hAnsi="Times New Roman"/>
          <w:b/>
          <w:sz w:val="28"/>
          <w:szCs w:val="28"/>
        </w:rPr>
        <w:t>Supplementary material</w:t>
      </w:r>
    </w:p>
    <w:p>
      <w:pPr>
        <w:jc w:val="left"/>
        <w:rPr>
          <w:rFonts w:hint="eastAsia" w:ascii="Times New Roman" w:hAnsi="Times New Roman"/>
          <w:b/>
          <w:sz w:val="24"/>
          <w:szCs w:val="24"/>
        </w:rPr>
      </w:pPr>
    </w:p>
    <w:p>
      <w:pPr>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sz w:val="24"/>
          <w:szCs w:val="24"/>
        </w:rPr>
      </w:pPr>
    </w:p>
    <w:p>
      <w:pPr>
        <w:ind w:firstLine="964" w:firstLineChars="400"/>
        <w:jc w:val="left"/>
        <w:rPr>
          <w:rFonts w:hint="eastAsia" w:ascii="Times New Roman" w:hAnsi="Times New Roman"/>
          <w:b w:val="0"/>
          <w:bCs/>
          <w:sz w:val="24"/>
          <w:szCs w:val="24"/>
        </w:rPr>
      </w:pPr>
      <w:r>
        <w:rPr>
          <w:rFonts w:hint="eastAsia" w:ascii="Times New Roman" w:hAnsi="Times New Roman"/>
          <w:b/>
          <w:sz w:val="24"/>
          <w:szCs w:val="24"/>
        </w:rPr>
        <w:t>Table S1.</w:t>
      </w:r>
      <w:r>
        <w:rPr>
          <w:rFonts w:hint="eastAsia" w:ascii="Times New Roman" w:hAnsi="Times New Roman"/>
          <w:b/>
          <w:sz w:val="24"/>
          <w:szCs w:val="24"/>
          <w:lang w:val="en-US" w:eastAsia="zh-CN"/>
        </w:rPr>
        <w:t xml:space="preserve"> </w:t>
      </w:r>
      <w:r>
        <w:rPr>
          <w:rFonts w:hint="eastAsia" w:ascii="Times New Roman" w:hAnsi="Times New Roman"/>
          <w:b w:val="0"/>
          <w:bCs/>
          <w:sz w:val="24"/>
          <w:szCs w:val="24"/>
        </w:rPr>
        <w:t xml:space="preserve">The </w:t>
      </w:r>
      <w:r>
        <w:rPr>
          <w:rFonts w:hint="eastAsia" w:ascii="Times New Roman" w:hAnsi="Times New Roman"/>
          <w:b w:val="0"/>
          <w:bCs/>
          <w:sz w:val="24"/>
          <w:szCs w:val="24"/>
          <w:lang w:val="en-US" w:eastAsia="zh-CN"/>
        </w:rPr>
        <w:t>d</w:t>
      </w:r>
      <w:r>
        <w:rPr>
          <w:rFonts w:hint="eastAsia" w:ascii="Times New Roman" w:hAnsi="Times New Roman"/>
          <w:b w:val="0"/>
          <w:bCs/>
          <w:sz w:val="24"/>
          <w:szCs w:val="24"/>
        </w:rPr>
        <w:t xml:space="preserve">efinition of the </w:t>
      </w:r>
      <w:r>
        <w:rPr>
          <w:rFonts w:hint="eastAsia" w:ascii="Times New Roman" w:hAnsi="Times New Roman"/>
          <w:b w:val="0"/>
          <w:bCs/>
          <w:sz w:val="24"/>
          <w:szCs w:val="24"/>
          <w:lang w:val="en-US" w:eastAsia="zh-CN"/>
        </w:rPr>
        <w:t>v</w:t>
      </w:r>
      <w:r>
        <w:rPr>
          <w:rFonts w:hint="eastAsia" w:ascii="Times New Roman" w:hAnsi="Times New Roman"/>
          <w:b w:val="0"/>
          <w:bCs/>
          <w:sz w:val="24"/>
          <w:szCs w:val="24"/>
        </w:rPr>
        <w:t xml:space="preserve">ariables </w:t>
      </w:r>
      <w:r>
        <w:rPr>
          <w:rFonts w:hint="eastAsia" w:ascii="Times New Roman" w:hAnsi="Times New Roman"/>
          <w:b w:val="0"/>
          <w:bCs/>
          <w:sz w:val="24"/>
          <w:szCs w:val="24"/>
          <w:lang w:val="en-US" w:eastAsia="zh-CN"/>
        </w:rPr>
        <w:t>u</w:t>
      </w:r>
      <w:r>
        <w:rPr>
          <w:rFonts w:hint="eastAsia" w:ascii="Times New Roman" w:hAnsi="Times New Roman"/>
          <w:b w:val="0"/>
          <w:bCs/>
          <w:sz w:val="24"/>
          <w:szCs w:val="24"/>
        </w:rPr>
        <w:t xml:space="preserve">sed in this </w:t>
      </w:r>
      <w:r>
        <w:rPr>
          <w:rFonts w:hint="eastAsia" w:ascii="Times New Roman" w:hAnsi="Times New Roman"/>
          <w:b w:val="0"/>
          <w:bCs/>
          <w:sz w:val="24"/>
          <w:szCs w:val="24"/>
          <w:lang w:val="en-US" w:eastAsia="zh-CN"/>
        </w:rPr>
        <w:t>s</w:t>
      </w:r>
      <w:r>
        <w:rPr>
          <w:rFonts w:hint="eastAsia" w:ascii="Times New Roman" w:hAnsi="Times New Roman"/>
          <w:b w:val="0"/>
          <w:bCs/>
          <w:sz w:val="24"/>
          <w:szCs w:val="24"/>
        </w:rPr>
        <w:t>tudy</w:t>
      </w:r>
    </w:p>
    <w:tbl>
      <w:tblPr>
        <w:tblStyle w:val="4"/>
        <w:tblpPr w:leftFromText="180" w:rightFromText="180" w:vertAnchor="text" w:horzAnchor="page" w:tblpXSpec="center" w:tblpY="119"/>
        <w:tblOverlap w:val="never"/>
        <w:tblW w:w="11298" w:type="dxa"/>
        <w:jc w:val="center"/>
        <w:tblBorders>
          <w:top w:val="single" w:color="000000" w:sz="12" w:space="0"/>
          <w:left w:val="none" w:color="auto" w:sz="0" w:space="0"/>
          <w:bottom w:val="single" w:color="000000" w:sz="8"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89"/>
        <w:gridCol w:w="4651"/>
        <w:gridCol w:w="2858"/>
      </w:tblGrid>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789" w:type="dxa"/>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bCs/>
                <w:i w:val="0"/>
                <w:iCs w:val="0"/>
                <w:color w:val="212121"/>
                <w:sz w:val="24"/>
                <w:szCs w:val="24"/>
                <w:u w:val="none"/>
              </w:rPr>
            </w:pPr>
            <w:r>
              <w:rPr>
                <w:rFonts w:hint="default" w:ascii="Times New Roman" w:hAnsi="Times New Roman" w:eastAsia="宋体" w:cs="Times New Roman"/>
                <w:b/>
                <w:bCs/>
                <w:i w:val="0"/>
                <w:iCs w:val="0"/>
                <w:color w:val="212121"/>
                <w:kern w:val="0"/>
                <w:sz w:val="24"/>
                <w:szCs w:val="24"/>
                <w:u w:val="none"/>
                <w:lang w:val="en-US" w:eastAsia="zh-CN" w:bidi="ar"/>
              </w:rPr>
              <w:t>Variables</w:t>
            </w:r>
          </w:p>
        </w:tc>
        <w:tc>
          <w:tcPr>
            <w:tcW w:w="4651" w:type="dxa"/>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 definition</w:t>
            </w:r>
          </w:p>
        </w:tc>
        <w:tc>
          <w:tcPr>
            <w:tcW w:w="2858" w:type="dxa"/>
            <w:tcBorders>
              <w:bottom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The assignment</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3789" w:type="dxa"/>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(years)</w:t>
            </w:r>
          </w:p>
        </w:tc>
        <w:tc>
          <w:tcPr>
            <w:tcW w:w="4651" w:type="dxa"/>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Age of the patient</w:t>
            </w:r>
          </w:p>
        </w:tc>
        <w:tc>
          <w:tcPr>
            <w:tcW w:w="2858" w:type="dxa"/>
            <w:tcBorders>
              <w:top w:val="single" w:color="000000" w:sz="8"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Gender</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bookmarkStart w:id="0" w:name="OLE_LINK2"/>
            <w:r>
              <w:rPr>
                <w:rFonts w:hint="default" w:ascii="Times New Roman" w:hAnsi="Times New Roman" w:eastAsia="宋体" w:cs="Times New Roman"/>
                <w:i w:val="0"/>
                <w:iCs w:val="0"/>
                <w:color w:val="000000"/>
                <w:kern w:val="0"/>
                <w:sz w:val="24"/>
                <w:szCs w:val="24"/>
                <w:u w:val="none"/>
                <w:lang w:val="en-US" w:eastAsia="zh-CN" w:bidi="ar"/>
              </w:rPr>
              <w:t>Patient sex</w:t>
            </w:r>
            <w:bookmarkEnd w:id="0"/>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Female = 0; Male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Length of stay in neuro-ICU (days)</w:t>
            </w:r>
          </w:p>
        </w:tc>
        <w:tc>
          <w:tcPr>
            <w:tcW w:w="465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Duration from neuro-ICU admission to discharge</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Diabetes</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History of diabetes</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 0; Yes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Hypertension</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History of hypertension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 0; Yes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Heart disease</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History of heart disease</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 0; Yes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Cerebral infarction</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History of cerebral infarction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 0; Yes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Admission season</w:t>
            </w:r>
          </w:p>
        </w:tc>
        <w:tc>
          <w:tcPr>
            <w:tcW w:w="465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Spring (March 1st to May 31st); </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 xml:space="preserve">Summer (June 1st to August 31st); </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 xml:space="preserve">Autumn (September 1st to November 30th); </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Winter (December 1st to February 28th)</w:t>
            </w:r>
          </w:p>
        </w:tc>
        <w:tc>
          <w:tcPr>
            <w:tcW w:w="28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Spring = 1; Summer = 2; Autumn = 3; Winter = 4</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GCS</w:t>
            </w:r>
            <w:r>
              <w:rPr>
                <w:rFonts w:hint="default" w:ascii="Times New Roman" w:hAnsi="Times New Roman" w:eastAsia="宋体" w:cs="Times New Roman"/>
                <w:b w:val="0"/>
                <w:bCs w:val="0"/>
                <w:sz w:val="22"/>
                <w:szCs w:val="22"/>
                <w:vertAlign w:val="superscript"/>
                <w:lang w:val="en-US" w:eastAsia="zh-CN"/>
              </w:rPr>
              <w:t>1</w:t>
            </w:r>
            <w:r>
              <w:rPr>
                <w:rFonts w:hint="default" w:ascii="Times New Roman" w:hAnsi="Times New Roman" w:eastAsia="宋体" w:cs="Times New Roman"/>
                <w:b w:val="0"/>
                <w:bCs w:val="0"/>
                <w:sz w:val="22"/>
                <w:szCs w:val="22"/>
                <w:vertAlign w:val="baseline"/>
                <w:lang w:val="en-US" w:eastAsia="zh-CN"/>
              </w:rPr>
              <w:t xml:space="preserve"> </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GCS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 (kg/m</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BMI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Albumin, (g/L)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Albumin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RBC</w:t>
            </w:r>
            <w:r>
              <w:rPr>
                <w:rFonts w:hint="default" w:ascii="Times New Roman" w:hAnsi="Times New Roman" w:eastAsia="宋体" w:cs="Times New Roman"/>
                <w:i w:val="0"/>
                <w:iCs w:val="0"/>
                <w:color w:val="000000"/>
                <w:kern w:val="0"/>
                <w:sz w:val="24"/>
                <w:szCs w:val="24"/>
                <w:u w:val="none"/>
                <w:vertAlign w:val="superscript"/>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 (10^12/L)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RBC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WBC</w:t>
            </w:r>
            <w:r>
              <w:rPr>
                <w:rFonts w:hint="default" w:ascii="Times New Roman" w:hAnsi="Times New Roman" w:eastAsia="宋体" w:cs="Times New Roman"/>
                <w:i w:val="0"/>
                <w:iCs w:val="0"/>
                <w:color w:val="000000"/>
                <w:kern w:val="0"/>
                <w:sz w:val="24"/>
                <w:szCs w:val="24"/>
                <w:u w:val="none"/>
                <w:vertAlign w:val="superscript"/>
                <w:lang w:val="en-US" w:eastAsia="zh-CN" w:bidi="ar"/>
              </w:rPr>
              <w:t>4</w:t>
            </w:r>
            <w:r>
              <w:rPr>
                <w:rFonts w:hint="default" w:ascii="Times New Roman" w:hAnsi="Times New Roman" w:eastAsia="宋体" w:cs="Times New Roman"/>
                <w:i w:val="0"/>
                <w:iCs w:val="0"/>
                <w:color w:val="000000"/>
                <w:kern w:val="0"/>
                <w:sz w:val="24"/>
                <w:szCs w:val="24"/>
                <w:u w:val="none"/>
                <w:lang w:val="en-US" w:eastAsia="zh-CN" w:bidi="ar"/>
              </w:rPr>
              <w:t>, (10^9/L)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WBC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Platelets, (10^9/L)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Platelets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Procalcitonin, (ng/ml)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bookmarkStart w:id="1" w:name="OLE_LINK3"/>
            <w:r>
              <w:rPr>
                <w:rFonts w:hint="default" w:ascii="Times New Roman" w:hAnsi="Times New Roman" w:eastAsia="宋体" w:cs="Times New Roman"/>
                <w:i w:val="0"/>
                <w:iCs w:val="0"/>
                <w:color w:val="000000"/>
                <w:kern w:val="0"/>
                <w:sz w:val="24"/>
                <w:szCs w:val="24"/>
                <w:u w:val="none"/>
                <w:lang w:val="en-US" w:eastAsia="zh-CN" w:bidi="ar"/>
              </w:rPr>
              <w:t>Procalcitonin</w:t>
            </w:r>
            <w:bookmarkEnd w:id="1"/>
            <w:r>
              <w:rPr>
                <w:rFonts w:hint="default" w:ascii="Times New Roman" w:hAnsi="Times New Roman" w:eastAsia="宋体" w:cs="Times New Roman"/>
                <w:i w:val="0"/>
                <w:iCs w:val="0"/>
                <w:color w:val="000000"/>
                <w:kern w:val="0"/>
                <w:sz w:val="24"/>
                <w:szCs w:val="24"/>
                <w:u w:val="none"/>
                <w:lang w:val="en-US" w:eastAsia="zh-CN" w:bidi="ar"/>
              </w:rPr>
              <w:t xml:space="preserve">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ALT</w:t>
            </w:r>
            <w:r>
              <w:rPr>
                <w:rFonts w:hint="default" w:ascii="Times New Roman" w:hAnsi="Times New Roman" w:eastAsia="宋体" w:cs="Times New Roman"/>
                <w:i w:val="0"/>
                <w:iCs w:val="0"/>
                <w:color w:val="000000"/>
                <w:kern w:val="0"/>
                <w:sz w:val="24"/>
                <w:szCs w:val="24"/>
                <w:u w:val="none"/>
                <w:vertAlign w:val="superscript"/>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 (U/L)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ALT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AST</w:t>
            </w:r>
            <w:r>
              <w:rPr>
                <w:rFonts w:hint="default" w:ascii="Times New Roman" w:hAnsi="Times New Roman" w:eastAsia="宋体" w:cs="Times New Roman"/>
                <w:i w:val="0"/>
                <w:iCs w:val="0"/>
                <w:color w:val="000000"/>
                <w:kern w:val="0"/>
                <w:sz w:val="24"/>
                <w:szCs w:val="24"/>
                <w:u w:val="none"/>
                <w:vertAlign w:val="superscript"/>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 (U/L)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AST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bookmarkStart w:id="2" w:name="OLE_LINK4"/>
            <w:r>
              <w:rPr>
                <w:rFonts w:hint="default" w:ascii="Times New Roman" w:hAnsi="Times New Roman" w:eastAsia="宋体" w:cs="Times New Roman"/>
                <w:i w:val="0"/>
                <w:iCs w:val="0"/>
                <w:color w:val="000000"/>
                <w:kern w:val="0"/>
                <w:sz w:val="24"/>
                <w:szCs w:val="24"/>
                <w:u w:val="none"/>
                <w:lang w:val="en-US" w:eastAsia="zh-CN" w:bidi="ar"/>
              </w:rPr>
              <w:t>Uric Acid</w:t>
            </w:r>
            <w:bookmarkEnd w:id="2"/>
            <w:r>
              <w:rPr>
                <w:rFonts w:hint="default" w:ascii="Times New Roman" w:hAnsi="Times New Roman" w:eastAsia="宋体" w:cs="Times New Roman"/>
                <w:i w:val="0"/>
                <w:iCs w:val="0"/>
                <w:color w:val="000000"/>
                <w:kern w:val="0"/>
                <w:sz w:val="24"/>
                <w:szCs w:val="24"/>
                <w:u w:val="none"/>
                <w:lang w:val="en-US" w:eastAsia="zh-CN" w:bidi="ar"/>
              </w:rPr>
              <w:t>, (umol/L)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Uric Acid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Urea, (mmol/L)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Urea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Glucose, (mmol/L)</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Glucose within 48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INR</w:t>
            </w:r>
            <w:r>
              <w:rPr>
                <w:rFonts w:hint="default" w:ascii="Times New Roman" w:hAnsi="Times New Roman" w:eastAsia="宋体" w:cs="Times New Roman"/>
                <w:i w:val="0"/>
                <w:iCs w:val="0"/>
                <w:color w:val="000000"/>
                <w:kern w:val="0"/>
                <w:sz w:val="24"/>
                <w:szCs w:val="24"/>
                <w:u w:val="none"/>
                <w:vertAlign w:val="superscript"/>
                <w:lang w:val="en-US" w:eastAsia="zh-CN" w:bidi="ar"/>
              </w:rPr>
              <w:t>7</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color w:val="000000"/>
                <w:sz w:val="24"/>
                <w:szCs w:val="24"/>
              </w:rPr>
              <w:t>INR</w:t>
            </w:r>
            <w:r>
              <w:rPr>
                <w:rFonts w:hint="default" w:ascii="Times New Roman" w:hAnsi="Times New Roman" w:eastAsia="宋体" w:cs="Times New Roman"/>
                <w:sz w:val="22"/>
                <w:szCs w:val="22"/>
              </w:rPr>
              <w:t xml:space="preserve"> within </w:t>
            </w:r>
            <w:r>
              <w:rPr>
                <w:rFonts w:hint="default" w:ascii="Times New Roman" w:hAnsi="Times New Roman" w:eastAsia="宋体" w:cs="Times New Roman"/>
                <w:sz w:val="22"/>
                <w:szCs w:val="22"/>
                <w:lang w:eastAsia="zh-CN"/>
              </w:rPr>
              <w:t>48</w:t>
            </w:r>
            <w:r>
              <w:rPr>
                <w:rFonts w:hint="default" w:ascii="Times New Roman" w:hAnsi="Times New Roman" w:eastAsia="宋体" w:cs="Times New Roman"/>
                <w:sz w:val="22"/>
                <w:szCs w:val="22"/>
              </w:rPr>
              <w:t xml:space="preserve">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4"/>
                <w:szCs w:val="24"/>
                <w:u w:val="none"/>
                <w:vertAlign w:val="baseli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PH</w:t>
            </w:r>
            <w:r>
              <w:rPr>
                <w:rFonts w:hint="default" w:ascii="Times New Roman" w:hAnsi="Times New Roman" w:eastAsia="宋体" w:cs="Times New Roman"/>
                <w:i w:val="0"/>
                <w:iCs w:val="0"/>
                <w:color w:val="000000"/>
                <w:kern w:val="0"/>
                <w:sz w:val="24"/>
                <w:szCs w:val="24"/>
                <w:u w:val="none"/>
                <w:vertAlign w:val="superscript"/>
                <w:lang w:val="en-US" w:eastAsia="zh-CN" w:bidi="ar"/>
              </w:rPr>
              <w:t xml:space="preserve"> </w:t>
            </w:r>
            <w:r>
              <w:rPr>
                <w:rFonts w:hint="default" w:ascii="Times New Roman" w:hAnsi="Times New Roman" w:eastAsia="宋体" w:cs="Times New Roman"/>
                <w:i w:val="0"/>
                <w:iCs w:val="0"/>
                <w:color w:val="000000"/>
                <w:kern w:val="0"/>
                <w:sz w:val="24"/>
                <w:szCs w:val="24"/>
                <w:u w:val="none"/>
                <w:vertAlign w:val="baseline"/>
                <w:lang w:val="en-US" w:eastAsia="zh-CN" w:bidi="ar"/>
              </w:rPr>
              <w:t>value</w:t>
            </w:r>
          </w:p>
        </w:tc>
        <w:tc>
          <w:tcPr>
            <w:tcW w:w="465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color w:val="000000"/>
                <w:sz w:val="24"/>
                <w:szCs w:val="24"/>
              </w:rPr>
              <w:t>PH value</w:t>
            </w:r>
            <w:r>
              <w:rPr>
                <w:rFonts w:hint="default" w:ascii="Times New Roman" w:hAnsi="Times New Roman" w:cs="Times New Roman"/>
                <w:color w:val="000000"/>
                <w:sz w:val="24"/>
                <w:szCs w:val="24"/>
                <w:lang w:val="en-US" w:eastAsia="zh-CN"/>
              </w:rPr>
              <w:t xml:space="preserve"> </w:t>
            </w:r>
            <w:r>
              <w:rPr>
                <w:rFonts w:hint="default" w:ascii="Times New Roman" w:hAnsi="Times New Roman" w:eastAsia="宋体" w:cs="Times New Roman"/>
                <w:sz w:val="22"/>
                <w:szCs w:val="22"/>
              </w:rPr>
              <w:t xml:space="preserve">within </w:t>
            </w:r>
            <w:r>
              <w:rPr>
                <w:rFonts w:hint="default" w:ascii="Times New Roman" w:hAnsi="Times New Roman" w:eastAsia="宋体" w:cs="Times New Roman"/>
                <w:sz w:val="22"/>
                <w:szCs w:val="22"/>
                <w:lang w:eastAsia="zh-CN"/>
              </w:rPr>
              <w:t>48</w:t>
            </w:r>
            <w:r>
              <w:rPr>
                <w:rFonts w:hint="default" w:ascii="Times New Roman" w:hAnsi="Times New Roman" w:eastAsia="宋体" w:cs="Times New Roman"/>
                <w:sz w:val="22"/>
                <w:szCs w:val="22"/>
              </w:rPr>
              <w:t xml:space="preserve"> hours of admission</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Continuous variable</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789"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Surgery</w:t>
            </w:r>
          </w:p>
        </w:tc>
        <w:tc>
          <w:tcPr>
            <w:tcW w:w="465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Whether patients had surgery before CRAB infections occurred</w:t>
            </w:r>
          </w:p>
        </w:tc>
        <w:tc>
          <w:tcPr>
            <w:tcW w:w="285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 0; Yes = 1</w:t>
            </w:r>
          </w:p>
        </w:tc>
      </w:tr>
      <w:tr>
        <w:tblPrEx>
          <w:tblBorders>
            <w:top w:val="single" w:color="000000" w:sz="12"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789" w:type="dxa"/>
            <w:tcBorders>
              <w:bottom w:val="single" w:color="000000" w:sz="12"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4"/>
                <w:szCs w:val="24"/>
                <w:u w:val="none"/>
                <w:lang w:val="en-US"/>
              </w:rPr>
            </w:pPr>
            <w:bookmarkStart w:id="3" w:name="OLE_LINK1"/>
            <w:r>
              <w:rPr>
                <w:rFonts w:hint="default" w:ascii="Times New Roman" w:hAnsi="Times New Roman" w:cs="Times New Roman"/>
                <w:sz w:val="24"/>
                <w:szCs w:val="24"/>
                <w:lang w:val="en-US" w:eastAsia="zh-CN"/>
              </w:rPr>
              <w:t xml:space="preserve">Number </w:t>
            </w:r>
            <w:r>
              <w:rPr>
                <w:rFonts w:hint="default" w:ascii="Times New Roman" w:hAnsi="Times New Roman" w:eastAsia="宋体" w:cs="Times New Roman"/>
                <w:i w:val="0"/>
                <w:iCs w:val="0"/>
                <w:color w:val="000000"/>
                <w:kern w:val="0"/>
                <w:sz w:val="24"/>
                <w:szCs w:val="24"/>
                <w:u w:val="none"/>
                <w:lang w:val="en-US" w:eastAsia="zh-CN" w:bidi="ar"/>
              </w:rPr>
              <w:t>of antibiotics*</w:t>
            </w:r>
            <w:bookmarkEnd w:id="3"/>
          </w:p>
        </w:tc>
        <w:tc>
          <w:tcPr>
            <w:tcW w:w="4651" w:type="dxa"/>
            <w:tcBorders>
              <w:bottom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Number of antibiotic used by patients prior to the onset of CRAB infections</w:t>
            </w:r>
          </w:p>
        </w:tc>
        <w:tc>
          <w:tcPr>
            <w:tcW w:w="2858" w:type="dxa"/>
            <w:tcBorders>
              <w:bottom w:val="single" w:color="000000" w:sz="12"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4"/>
                <w:szCs w:val="24"/>
                <w:u w:val="none"/>
              </w:rPr>
            </w:pPr>
            <w:r>
              <w:rPr>
                <w:rStyle w:val="7"/>
                <w:rFonts w:hint="default" w:ascii="Times New Roman" w:hAnsi="Times New Roman" w:cs="Times New Roman"/>
                <w:lang w:val="en-US" w:eastAsia="zh-CN" w:bidi="ar"/>
              </w:rPr>
              <w:t>&lt;</w:t>
            </w:r>
            <w:r>
              <w:rPr>
                <w:rStyle w:val="6"/>
                <w:rFonts w:hint="default" w:ascii="Times New Roman" w:hAnsi="Times New Roman" w:eastAsia="宋体" w:cs="Times New Roman"/>
                <w:lang w:val="en-US" w:eastAsia="zh-CN" w:bidi="ar"/>
              </w:rPr>
              <w:t xml:space="preserve">2 = 0; </w:t>
            </w:r>
            <w:r>
              <w:rPr>
                <w:rFonts w:hint="default" w:ascii="Times New Roman" w:hAnsi="Times New Roman" w:eastAsia="宋体" w:cs="Times New Roman"/>
                <w:i w:val="0"/>
                <w:iCs w:val="0"/>
                <w:color w:val="000000"/>
                <w:kern w:val="0"/>
                <w:sz w:val="24"/>
                <w:szCs w:val="24"/>
                <w:u w:val="none"/>
                <w:lang w:val="en-US" w:eastAsia="zh-CN" w:bidi="ar"/>
              </w:rPr>
              <w:t>≥</w:t>
            </w:r>
            <w:r>
              <w:rPr>
                <w:rStyle w:val="6"/>
                <w:rFonts w:hint="default" w:ascii="Times New Roman" w:hAnsi="Times New Roman" w:eastAsia="宋体" w:cs="Times New Roman"/>
                <w:lang w:val="en-US" w:eastAsia="zh-CN" w:bidi="ar"/>
              </w:rPr>
              <w:t>2 = 1</w:t>
            </w:r>
          </w:p>
        </w:tc>
      </w:tr>
    </w:tbl>
    <w:p>
      <w:pPr>
        <w:ind w:firstLine="960" w:firstLineChars="400"/>
        <w:jc w:val="left"/>
        <w:rPr>
          <w:rFonts w:hint="eastAsia" w:ascii="Times New Roman" w:hAnsi="Times New Roman"/>
          <w:b w:val="0"/>
          <w:bCs/>
          <w:sz w:val="24"/>
          <w:szCs w:val="24"/>
        </w:rPr>
      </w:pPr>
    </w:p>
    <w:p>
      <w:pPr>
        <w:jc w:val="left"/>
        <w:rPr>
          <w:rFonts w:hint="eastAsia" w:ascii="Times New Roman" w:hAnsi="Times New Roman"/>
          <w:b/>
          <w:sz w:val="24"/>
          <w:szCs w:val="24"/>
        </w:rPr>
      </w:pPr>
    </w:p>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913"/>
        </w:tabs>
        <w:bidi w:val="0"/>
        <w:jc w:val="left"/>
        <w:rPr>
          <w:rFonts w:hint="default" w:ascii="Times New Roman" w:hAnsi="Times New Roman" w:cs="Times New Roman"/>
          <w:sz w:val="24"/>
          <w:szCs w:val="24"/>
          <w:lang w:val="en-US"/>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bookmarkStart w:id="5" w:name="_GoBack"/>
      <w:bookmarkEnd w:id="5"/>
      <w:r>
        <w:rPr>
          <w:rFonts w:hint="default" w:ascii="Times New Roman" w:hAnsi="Times New Roman" w:cs="Times New Roman"/>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564515</wp:posOffset>
                </wp:positionH>
                <wp:positionV relativeFrom="paragraph">
                  <wp:posOffset>37465</wp:posOffset>
                </wp:positionV>
                <wp:extent cx="7268210" cy="3255010"/>
                <wp:effectExtent l="0" t="0" r="0" b="0"/>
                <wp:wrapNone/>
                <wp:docPr id="1" name="文本框 1"/>
                <wp:cNvGraphicFramePr/>
                <a:graphic xmlns:a="http://schemas.openxmlformats.org/drawingml/2006/main">
                  <a:graphicData uri="http://schemas.microsoft.com/office/word/2010/wordprocessingShape">
                    <wps:wsp>
                      <wps:cNvSpPr txBox="1"/>
                      <wps:spPr>
                        <a:xfrm>
                          <a:off x="1113155" y="11983720"/>
                          <a:ext cx="7268210" cy="3255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textAlignment w:val="auto"/>
                              <w:rPr>
                                <w:rFonts w:hint="eastAsia" w:ascii="Times New Roman" w:hAnsi="Times New Roman" w:cs="Times New Roman"/>
                                <w:sz w:val="20"/>
                                <w:szCs w:val="20"/>
                                <w:lang w:val="en-US" w:eastAsia="zh-CN"/>
                              </w:rPr>
                            </w:pPr>
                            <w:r>
                              <w:rPr>
                                <w:rFonts w:hint="default" w:ascii="Times New Roman" w:hAnsi="Times New Roman" w:cs="Times New Roman"/>
                                <w:sz w:val="20"/>
                                <w:szCs w:val="20"/>
                              </w:rPr>
                              <w:t>Note: 1:GCS: Glasgow coma score;</w:t>
                            </w:r>
                            <w:r>
                              <w:rPr>
                                <w:rFonts w:hint="eastAsia" w:ascii="Times New Roman" w:hAnsi="Times New Roman" w:cs="Times New Roman"/>
                                <w:sz w:val="20"/>
                                <w:szCs w:val="20"/>
                                <w:lang w:val="en-US" w:eastAsia="zh-CN"/>
                              </w:rPr>
                              <w:t xml:space="preserve"> 2:</w:t>
                            </w:r>
                            <w:r>
                              <w:rPr>
                                <w:rFonts w:hint="default" w:ascii="Times New Roman" w:hAnsi="Times New Roman" w:cs="Times New Roman"/>
                                <w:sz w:val="20"/>
                                <w:szCs w:val="20"/>
                              </w:rPr>
                              <w:t>BMI: Body mass index;</w:t>
                            </w:r>
                            <w:r>
                              <w:rPr>
                                <w:rFonts w:hint="eastAsia" w:ascii="Times New Roman" w:hAnsi="Times New Roman" w:cs="Times New Roman"/>
                                <w:sz w:val="20"/>
                                <w:szCs w:val="20"/>
                                <w:lang w:val="en-US" w:eastAsia="zh-CN"/>
                              </w:rPr>
                              <w:t xml:space="preserve"> 3:</w:t>
                            </w:r>
                            <w:r>
                              <w:rPr>
                                <w:rFonts w:hint="default" w:ascii="Times New Roman" w:hAnsi="Times New Roman" w:cs="Times New Roman"/>
                                <w:sz w:val="20"/>
                                <w:szCs w:val="20"/>
                              </w:rPr>
                              <w:t xml:space="preserve">RBC, red blood cell; </w:t>
                            </w:r>
                            <w:r>
                              <w:rPr>
                                <w:rFonts w:hint="eastAsia" w:ascii="Times New Roman" w:hAnsi="Times New Roman" w:cs="Times New Roman"/>
                                <w:sz w:val="20"/>
                                <w:szCs w:val="20"/>
                                <w:lang w:val="en-US" w:eastAsia="zh-CN"/>
                              </w:rPr>
                              <w:t>4:</w:t>
                            </w:r>
                            <w:r>
                              <w:rPr>
                                <w:rFonts w:hint="default" w:ascii="Times New Roman" w:hAnsi="Times New Roman" w:cs="Times New Roman"/>
                                <w:sz w:val="20"/>
                                <w:szCs w:val="20"/>
                              </w:rPr>
                              <w:t xml:space="preserve">WBC, white blood cell; </w:t>
                            </w:r>
                            <w:r>
                              <w:rPr>
                                <w:rFonts w:hint="eastAsia" w:ascii="Times New Roman" w:hAnsi="Times New Roman" w:cs="Times New Roman"/>
                                <w:sz w:val="20"/>
                                <w:szCs w:val="20"/>
                                <w:lang w:val="en-US" w:eastAsia="zh-CN"/>
                              </w:rPr>
                              <w:t>5:</w:t>
                            </w:r>
                            <w:r>
                              <w:rPr>
                                <w:rFonts w:hint="default" w:ascii="Times New Roman" w:hAnsi="Times New Roman" w:cs="Times New Roman"/>
                                <w:sz w:val="20"/>
                                <w:szCs w:val="20"/>
                              </w:rPr>
                              <w:t>ALT,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Alanine transaminase; </w:t>
                            </w:r>
                            <w:r>
                              <w:rPr>
                                <w:rFonts w:hint="eastAsia" w:ascii="Times New Roman" w:hAnsi="Times New Roman" w:cs="Times New Roman"/>
                                <w:sz w:val="20"/>
                                <w:szCs w:val="20"/>
                                <w:lang w:val="en-US" w:eastAsia="zh-CN"/>
                              </w:rPr>
                              <w:t>6:</w:t>
                            </w:r>
                            <w:r>
                              <w:rPr>
                                <w:rFonts w:hint="default" w:ascii="Times New Roman" w:hAnsi="Times New Roman" w:cs="Times New Roman"/>
                                <w:sz w:val="20"/>
                                <w:szCs w:val="20"/>
                              </w:rPr>
                              <w:t>AST, Aspartate transaminase;</w:t>
                            </w:r>
                            <w:r>
                              <w:rPr>
                                <w:rFonts w:hint="eastAsia" w:ascii="Times New Roman" w:hAnsi="Times New Roman" w:cs="Times New Roman"/>
                                <w:sz w:val="20"/>
                                <w:szCs w:val="20"/>
                                <w:lang w:val="en-US" w:eastAsia="zh-CN"/>
                              </w:rPr>
                              <w:t xml:space="preserve"> 7:</w:t>
                            </w:r>
                            <w:r>
                              <w:rPr>
                                <w:rFonts w:hint="default" w:ascii="Times New Roman" w:hAnsi="Times New Roman" w:cs="Times New Roman"/>
                                <w:sz w:val="20"/>
                                <w:szCs w:val="20"/>
                              </w:rPr>
                              <w:t>INR, International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Normalized Ratio</w:t>
                            </w:r>
                            <w:r>
                              <w:rPr>
                                <w:rFonts w:hint="eastAsia" w:ascii="Times New Roman" w:hAnsi="Times New Roman" w:cs="Times New Roman"/>
                                <w:sz w:val="20"/>
                                <w:szCs w:val="20"/>
                                <w:lang w:val="en-US" w:eastAsia="zh-CN"/>
                              </w:rPr>
                              <w:t xml:space="preserve">. *:According to the Guiding Principles for the Clinical Application of Antibiotics, infections that can be effectively treated by a single drug do not require combined use of drugs (1). Severe infections that cannot be controlled by a single antibacterial drug and infections caused by multi-drug-resistant bacteria or pan-drug-resistant bacteria usually use a combination of two drugs (1). Moreover, we also realized previous studies have concluded that patients with multidrug-resistant infections with more than two risk factors were recommended to receive two or more antibiotic treatment regimens (2,3).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b w:val="0"/>
                                <w:bCs w:val="0"/>
                                <w:i w:val="0"/>
                                <w:iCs w:val="0"/>
                                <w:strike w:val="0"/>
                                <w:color w:val="auto"/>
                                <w:kern w:val="0"/>
                                <w:sz w:val="20"/>
                                <w:szCs w:val="20"/>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b w:val="0"/>
                                <w:bCs w:val="0"/>
                                <w:i w:val="0"/>
                                <w:iCs w:val="0"/>
                                <w:color w:val="auto"/>
                                <w:sz w:val="20"/>
                                <w:szCs w:val="20"/>
                                <w:lang w:val="en-US" w:eastAsia="zh-CN"/>
                              </w:rPr>
                            </w:pPr>
                            <w:r>
                              <w:rPr>
                                <w:rFonts w:ascii="Times New Roman" w:hAnsi="Times New Roman"/>
                                <w:b w:val="0"/>
                                <w:bCs w:val="0"/>
                                <w:i w:val="0"/>
                                <w:iCs w:val="0"/>
                                <w:strike w:val="0"/>
                                <w:color w:val="auto"/>
                                <w:kern w:val="0"/>
                                <w:sz w:val="20"/>
                                <w:szCs w:val="20"/>
                              </w:rPr>
                              <w:t>References</w:t>
                            </w:r>
                          </w:p>
                          <w:p>
                            <w:pPr>
                              <w:pStyle w:val="8"/>
                              <w:keepNext w:val="0"/>
                              <w:keepLines w:val="0"/>
                              <w:pageBreakBefore w:val="0"/>
                              <w:widowControl w:val="0"/>
                              <w:kinsoku/>
                              <w:wordWrap/>
                              <w:overflowPunct/>
                              <w:topLinePunct w:val="0"/>
                              <w:bidi w:val="0"/>
                              <w:adjustRightInd/>
                              <w:snapToGrid/>
                              <w:spacing w:line="240" w:lineRule="auto"/>
                              <w:ind w:left="720" w:hanging="720"/>
                              <w:textAlignment w:val="auto"/>
                              <w:rPr>
                                <w:rFonts w:hint="default" w:ascii="Times New Roman" w:hAnsi="Times New Roman" w:cs="Times New Roman"/>
                                <w:i w:val="0"/>
                                <w:iCs w:val="0"/>
                                <w:color w:val="auto"/>
                                <w:highlight w:val="none"/>
                              </w:rPr>
                            </w:pPr>
                            <w:bookmarkStart w:id="4" w:name="OLE_LINK110"/>
                            <w:r>
                              <w:rPr>
                                <w:i w:val="0"/>
                                <w:iCs w:val="0"/>
                                <w:color w:val="auto"/>
                                <w:highlight w:val="none"/>
                              </w:rPr>
                              <w:t>1.</w:t>
                            </w:r>
                            <w:r>
                              <w:rPr>
                                <w:i w:val="0"/>
                                <w:iCs w:val="0"/>
                                <w:color w:val="auto"/>
                                <w:highlight w:val="none"/>
                              </w:rPr>
                              <w:tab/>
                            </w:r>
                            <w:r>
                              <w:rPr>
                                <w:rFonts w:hint="default" w:ascii="Times New Roman" w:hAnsi="Times New Roman" w:cs="Times New Roman"/>
                                <w:i w:val="0"/>
                                <w:iCs w:val="0"/>
                                <w:color w:val="auto"/>
                                <w:highlight w:val="none"/>
                              </w:rPr>
                              <w:t>The clinical application of antibacterial drugs guiding principles revised working group. Clinical application of antibacterial drugs guiding principles: 2015 edition. 6. Vol. 8. People’s Health Publishing House; 2015.</w:t>
                            </w:r>
                          </w:p>
                          <w:p>
                            <w:pPr>
                              <w:pStyle w:val="8"/>
                              <w:keepNext w:val="0"/>
                              <w:keepLines w:val="0"/>
                              <w:pageBreakBefore w:val="0"/>
                              <w:widowControl w:val="0"/>
                              <w:kinsoku/>
                              <w:wordWrap/>
                              <w:overflowPunct/>
                              <w:topLinePunct w:val="0"/>
                              <w:autoSpaceDE/>
                              <w:autoSpaceDN/>
                              <w:bidi w:val="0"/>
                              <w:adjustRightInd/>
                              <w:snapToGrid/>
                              <w:spacing w:line="240" w:lineRule="auto"/>
                              <w:ind w:left="720" w:hanging="720"/>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fldChar w:fldCharType="begin"/>
                            </w:r>
                            <w:r>
                              <w:rPr>
                                <w:rFonts w:hint="default" w:ascii="Times New Roman" w:hAnsi="Times New Roman" w:cs="Times New Roman"/>
                                <w:i w:val="0"/>
                                <w:iCs w:val="0"/>
                                <w:color w:val="auto"/>
                                <w:highlight w:val="none"/>
                              </w:rPr>
                              <w:instrText xml:space="preserve"> ADDIN EN.REFLIST </w:instrText>
                            </w:r>
                            <w:r>
                              <w:rPr>
                                <w:rFonts w:hint="default" w:ascii="Times New Roman" w:hAnsi="Times New Roman" w:cs="Times New Roman"/>
                                <w:i w:val="0"/>
                                <w:iCs w:val="0"/>
                                <w:color w:val="auto"/>
                                <w:highlight w:val="none"/>
                              </w:rPr>
                              <w:fldChar w:fldCharType="separate"/>
                            </w:r>
                            <w:r>
                              <w:rPr>
                                <w:rFonts w:hint="default" w:ascii="Times New Roman" w:hAnsi="Times New Roman" w:cs="Times New Roman"/>
                                <w:i w:val="0"/>
                                <w:iCs w:val="0"/>
                                <w:color w:val="auto"/>
                                <w:highlight w:val="none"/>
                              </w:rPr>
                              <w:t>2.</w:t>
                            </w:r>
                            <w:r>
                              <w:rPr>
                                <w:rFonts w:hint="default" w:ascii="Times New Roman" w:hAnsi="Times New Roman" w:cs="Times New Roman"/>
                                <w:i w:val="0"/>
                                <w:iCs w:val="0"/>
                                <w:color w:val="auto"/>
                                <w:highlight w:val="none"/>
                              </w:rPr>
                              <w:tab/>
                            </w:r>
                            <w:r>
                              <w:rPr>
                                <w:rFonts w:hint="default" w:ascii="Times New Roman" w:hAnsi="Times New Roman" w:cs="Times New Roman"/>
                                <w:i w:val="0"/>
                                <w:iCs w:val="0"/>
                                <w:color w:val="auto"/>
                                <w:highlight w:val="none"/>
                              </w:rPr>
                              <w:t>Cillóniz C, Torres A, Niederman MS.</w:t>
                            </w:r>
                            <w:r>
                              <w:rPr>
                                <w:rFonts w:hint="default" w:ascii="Times New Roman" w:hAnsi="Times New Roman" w:cs="Times New Roman"/>
                                <w:b/>
                                <w:i w:val="0"/>
                                <w:iCs w:val="0"/>
                                <w:color w:val="auto"/>
                                <w:highlight w:val="none"/>
                              </w:rPr>
                              <w:t xml:space="preserve"> </w:t>
                            </w:r>
                            <w:r>
                              <w:rPr>
                                <w:rFonts w:hint="default" w:ascii="Times New Roman" w:hAnsi="Times New Roman" w:cs="Times New Roman"/>
                                <w:i w:val="0"/>
                                <w:iCs w:val="0"/>
                                <w:color w:val="auto"/>
                                <w:highlight w:val="none"/>
                              </w:rPr>
                              <w:t>2021. Management of pneumonia in critically ill patients. Bmj 375:e065871.</w:t>
                            </w:r>
                          </w:p>
                          <w:p>
                            <w:pPr>
                              <w:pStyle w:val="8"/>
                              <w:keepNext w:val="0"/>
                              <w:keepLines w:val="0"/>
                              <w:pageBreakBefore w:val="0"/>
                              <w:widowControl w:val="0"/>
                              <w:kinsoku/>
                              <w:wordWrap/>
                              <w:overflowPunct/>
                              <w:topLinePunct w:val="0"/>
                              <w:bidi w:val="0"/>
                              <w:adjustRightInd/>
                              <w:snapToGrid/>
                              <w:spacing w:line="240" w:lineRule="auto"/>
                              <w:ind w:left="720" w:hanging="720"/>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fldChar w:fldCharType="end"/>
                            </w:r>
                            <w:r>
                              <w:rPr>
                                <w:rFonts w:hint="default" w:ascii="Times New Roman" w:hAnsi="Times New Roman" w:cs="Times New Roman"/>
                                <w:i w:val="0"/>
                                <w:iCs w:val="0"/>
                                <w:color w:val="auto"/>
                                <w:highlight w:val="none"/>
                              </w:rPr>
                              <w:fldChar w:fldCharType="begin"/>
                            </w:r>
                            <w:r>
                              <w:rPr>
                                <w:rFonts w:hint="default" w:ascii="Times New Roman" w:hAnsi="Times New Roman" w:cs="Times New Roman"/>
                                <w:i w:val="0"/>
                                <w:iCs w:val="0"/>
                                <w:color w:val="auto"/>
                                <w:highlight w:val="none"/>
                              </w:rPr>
                              <w:instrText xml:space="preserve"> ADDIN EN.REFLIST </w:instrText>
                            </w:r>
                            <w:r>
                              <w:rPr>
                                <w:rFonts w:hint="default" w:ascii="Times New Roman" w:hAnsi="Times New Roman" w:cs="Times New Roman"/>
                                <w:i w:val="0"/>
                                <w:iCs w:val="0"/>
                                <w:color w:val="auto"/>
                                <w:highlight w:val="none"/>
                              </w:rPr>
                              <w:fldChar w:fldCharType="separate"/>
                            </w:r>
                            <w:r>
                              <w:rPr>
                                <w:rFonts w:hint="default" w:ascii="Times New Roman" w:hAnsi="Times New Roman" w:cs="Times New Roman"/>
                                <w:i w:val="0"/>
                                <w:iCs w:val="0"/>
                                <w:color w:val="auto"/>
                                <w:highlight w:val="none"/>
                                <w:lang w:val="en-US" w:eastAsia="zh-CN"/>
                              </w:rPr>
                              <w:t>3</w:t>
                            </w:r>
                            <w:r>
                              <w:rPr>
                                <w:rFonts w:hint="default" w:ascii="Times New Roman" w:hAnsi="Times New Roman" w:cs="Times New Roman"/>
                                <w:i w:val="0"/>
                                <w:iCs w:val="0"/>
                                <w:color w:val="auto"/>
                                <w:highlight w:val="none"/>
                              </w:rPr>
                              <w:t>.</w:t>
                            </w:r>
                            <w:r>
                              <w:rPr>
                                <w:rFonts w:hint="default" w:ascii="Times New Roman" w:hAnsi="Times New Roman" w:cs="Times New Roman"/>
                                <w:i w:val="0"/>
                                <w:iCs w:val="0"/>
                                <w:color w:val="auto"/>
                                <w:highlight w:val="none"/>
                              </w:rPr>
                              <w:tab/>
                            </w:r>
                            <w:r>
                              <w:rPr>
                                <w:rFonts w:hint="default" w:ascii="Times New Roman" w:hAnsi="Times New Roman" w:cs="Times New Roman"/>
                                <w:i w:val="0"/>
                                <w:iCs w:val="0"/>
                                <w:color w:val="auto"/>
                                <w:highlight w:val="none"/>
                              </w:rPr>
                              <w:t>Maruyama T, Fujisawa T, Ishida T, Ito A, Oyamada Y, Fujimoto K, Yoshida M, Maeda H, Miyashita N, Nagai H, Imamura Y, Shime N, Suzuki S, Amishima M, Higa F, Kobayashi H, Suga S, Tsutsui K, Kohno S, Brito V, Niederman MS. 2019. A Therapeutic Strategy for All Pneumonia Patients: A 3-Year Prospective Multicenter Cohort Study Using Risk Factors for Multidrug-resistant Pathogens to Select Initial Empiric Therapy. Clin Infect Dis 68:1080-1088.</w:t>
                            </w:r>
                          </w:p>
                          <w:p>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i w:val="0"/>
                                <w:iCs w:val="0"/>
                                <w:color w:val="auto"/>
                                <w:sz w:val="20"/>
                                <w:szCs w:val="20"/>
                                <w:lang w:val="en-US" w:eastAsia="zh-CN"/>
                              </w:rPr>
                            </w:pPr>
                            <w:r>
                              <w:rPr>
                                <w:rFonts w:hint="default" w:ascii="Times New Roman" w:hAnsi="Times New Roman" w:cs="Times New Roman"/>
                                <w:i w:val="0"/>
                                <w:iCs w:val="0"/>
                                <w:color w:val="auto"/>
                                <w:highlight w:val="none"/>
                              </w:rPr>
                              <w:fldChar w:fldCharType="end"/>
                            </w:r>
                            <w:bookmarkEnd w:id="4"/>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5pt;margin-top:2.95pt;height:256.3pt;width:572.3pt;z-index:251659264;mso-width-relative:page;mso-height-relative:page;" filled="f" stroked="f" coordsize="21600,21600" o:gfxdata="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qSGPn2gAAAAkBAAAPAAAAAAAAAAEA&#10;IAAAACIAAABkcnMvZG93bnJldi54bWxQSwECFAAUAAAACACHTuJAq32yfUYCAAB0BAAADgAAAAAA&#10;AAABACAAAAAp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textAlignment w:val="auto"/>
                        <w:rPr>
                          <w:rFonts w:hint="eastAsia" w:ascii="Times New Roman" w:hAnsi="Times New Roman" w:cs="Times New Roman"/>
                          <w:sz w:val="20"/>
                          <w:szCs w:val="20"/>
                          <w:lang w:val="en-US" w:eastAsia="zh-CN"/>
                        </w:rPr>
                      </w:pPr>
                      <w:r>
                        <w:rPr>
                          <w:rFonts w:hint="default" w:ascii="Times New Roman" w:hAnsi="Times New Roman" w:cs="Times New Roman"/>
                          <w:sz w:val="20"/>
                          <w:szCs w:val="20"/>
                        </w:rPr>
                        <w:t>Note: 1:GCS: Glasgow coma score;</w:t>
                      </w:r>
                      <w:r>
                        <w:rPr>
                          <w:rFonts w:hint="eastAsia" w:ascii="Times New Roman" w:hAnsi="Times New Roman" w:cs="Times New Roman"/>
                          <w:sz w:val="20"/>
                          <w:szCs w:val="20"/>
                          <w:lang w:val="en-US" w:eastAsia="zh-CN"/>
                        </w:rPr>
                        <w:t xml:space="preserve"> 2:</w:t>
                      </w:r>
                      <w:r>
                        <w:rPr>
                          <w:rFonts w:hint="default" w:ascii="Times New Roman" w:hAnsi="Times New Roman" w:cs="Times New Roman"/>
                          <w:sz w:val="20"/>
                          <w:szCs w:val="20"/>
                        </w:rPr>
                        <w:t>BMI: Body mass index;</w:t>
                      </w:r>
                      <w:r>
                        <w:rPr>
                          <w:rFonts w:hint="eastAsia" w:ascii="Times New Roman" w:hAnsi="Times New Roman" w:cs="Times New Roman"/>
                          <w:sz w:val="20"/>
                          <w:szCs w:val="20"/>
                          <w:lang w:val="en-US" w:eastAsia="zh-CN"/>
                        </w:rPr>
                        <w:t xml:space="preserve"> 3:</w:t>
                      </w:r>
                      <w:r>
                        <w:rPr>
                          <w:rFonts w:hint="default" w:ascii="Times New Roman" w:hAnsi="Times New Roman" w:cs="Times New Roman"/>
                          <w:sz w:val="20"/>
                          <w:szCs w:val="20"/>
                        </w:rPr>
                        <w:t xml:space="preserve">RBC, red blood cell; </w:t>
                      </w:r>
                      <w:r>
                        <w:rPr>
                          <w:rFonts w:hint="eastAsia" w:ascii="Times New Roman" w:hAnsi="Times New Roman" w:cs="Times New Roman"/>
                          <w:sz w:val="20"/>
                          <w:szCs w:val="20"/>
                          <w:lang w:val="en-US" w:eastAsia="zh-CN"/>
                        </w:rPr>
                        <w:t>4:</w:t>
                      </w:r>
                      <w:r>
                        <w:rPr>
                          <w:rFonts w:hint="default" w:ascii="Times New Roman" w:hAnsi="Times New Roman" w:cs="Times New Roman"/>
                          <w:sz w:val="20"/>
                          <w:szCs w:val="20"/>
                        </w:rPr>
                        <w:t xml:space="preserve">WBC, white blood cell; </w:t>
                      </w:r>
                      <w:r>
                        <w:rPr>
                          <w:rFonts w:hint="eastAsia" w:ascii="Times New Roman" w:hAnsi="Times New Roman" w:cs="Times New Roman"/>
                          <w:sz w:val="20"/>
                          <w:szCs w:val="20"/>
                          <w:lang w:val="en-US" w:eastAsia="zh-CN"/>
                        </w:rPr>
                        <w:t>5:</w:t>
                      </w:r>
                      <w:r>
                        <w:rPr>
                          <w:rFonts w:hint="default" w:ascii="Times New Roman" w:hAnsi="Times New Roman" w:cs="Times New Roman"/>
                          <w:sz w:val="20"/>
                          <w:szCs w:val="20"/>
                        </w:rPr>
                        <w:t>ALT,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Alanine transaminase; </w:t>
                      </w:r>
                      <w:r>
                        <w:rPr>
                          <w:rFonts w:hint="eastAsia" w:ascii="Times New Roman" w:hAnsi="Times New Roman" w:cs="Times New Roman"/>
                          <w:sz w:val="20"/>
                          <w:szCs w:val="20"/>
                          <w:lang w:val="en-US" w:eastAsia="zh-CN"/>
                        </w:rPr>
                        <w:t>6:</w:t>
                      </w:r>
                      <w:r>
                        <w:rPr>
                          <w:rFonts w:hint="default" w:ascii="Times New Roman" w:hAnsi="Times New Roman" w:cs="Times New Roman"/>
                          <w:sz w:val="20"/>
                          <w:szCs w:val="20"/>
                        </w:rPr>
                        <w:t>AST, Aspartate transaminase;</w:t>
                      </w:r>
                      <w:r>
                        <w:rPr>
                          <w:rFonts w:hint="eastAsia" w:ascii="Times New Roman" w:hAnsi="Times New Roman" w:cs="Times New Roman"/>
                          <w:sz w:val="20"/>
                          <w:szCs w:val="20"/>
                          <w:lang w:val="en-US" w:eastAsia="zh-CN"/>
                        </w:rPr>
                        <w:t xml:space="preserve"> 7:</w:t>
                      </w:r>
                      <w:r>
                        <w:rPr>
                          <w:rFonts w:hint="default" w:ascii="Times New Roman" w:hAnsi="Times New Roman" w:cs="Times New Roman"/>
                          <w:sz w:val="20"/>
                          <w:szCs w:val="20"/>
                        </w:rPr>
                        <w:t>INR, International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Normalized Ratio</w:t>
                      </w:r>
                      <w:r>
                        <w:rPr>
                          <w:rFonts w:hint="eastAsia" w:ascii="Times New Roman" w:hAnsi="Times New Roman" w:cs="Times New Roman"/>
                          <w:sz w:val="20"/>
                          <w:szCs w:val="20"/>
                          <w:lang w:val="en-US" w:eastAsia="zh-CN"/>
                        </w:rPr>
                        <w:t xml:space="preserve">. *:According to the Guiding Principles for the Clinical Application of Antibiotics, infections that can be effectively treated by a single drug do not require combined use of drugs (1). Severe infections that cannot be controlled by a single antibacterial drug and infections caused by multi-drug-resistant bacteria or pan-drug-resistant bacteria usually use a combination of two drugs (1). Moreover, we also realized previous studies have concluded that patients with multidrug-resistant infections with more than two risk factors were recommended to receive two or more antibiotic treatment regimens (2,3).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Times New Roman" w:hAnsi="Times New Roman"/>
                          <w:b w:val="0"/>
                          <w:bCs w:val="0"/>
                          <w:i w:val="0"/>
                          <w:iCs w:val="0"/>
                          <w:strike w:val="0"/>
                          <w:color w:val="auto"/>
                          <w:kern w:val="0"/>
                          <w:sz w:val="20"/>
                          <w:szCs w:val="20"/>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b w:val="0"/>
                          <w:bCs w:val="0"/>
                          <w:i w:val="0"/>
                          <w:iCs w:val="0"/>
                          <w:color w:val="auto"/>
                          <w:sz w:val="20"/>
                          <w:szCs w:val="20"/>
                          <w:lang w:val="en-US" w:eastAsia="zh-CN"/>
                        </w:rPr>
                      </w:pPr>
                      <w:r>
                        <w:rPr>
                          <w:rFonts w:ascii="Times New Roman" w:hAnsi="Times New Roman"/>
                          <w:b w:val="0"/>
                          <w:bCs w:val="0"/>
                          <w:i w:val="0"/>
                          <w:iCs w:val="0"/>
                          <w:strike w:val="0"/>
                          <w:color w:val="auto"/>
                          <w:kern w:val="0"/>
                          <w:sz w:val="20"/>
                          <w:szCs w:val="20"/>
                        </w:rPr>
                        <w:t>References</w:t>
                      </w:r>
                    </w:p>
                    <w:p>
                      <w:pPr>
                        <w:pStyle w:val="8"/>
                        <w:keepNext w:val="0"/>
                        <w:keepLines w:val="0"/>
                        <w:pageBreakBefore w:val="0"/>
                        <w:widowControl w:val="0"/>
                        <w:kinsoku/>
                        <w:wordWrap/>
                        <w:overflowPunct/>
                        <w:topLinePunct w:val="0"/>
                        <w:bidi w:val="0"/>
                        <w:adjustRightInd/>
                        <w:snapToGrid/>
                        <w:spacing w:line="240" w:lineRule="auto"/>
                        <w:ind w:left="720" w:hanging="720"/>
                        <w:textAlignment w:val="auto"/>
                        <w:rPr>
                          <w:rFonts w:hint="default" w:ascii="Times New Roman" w:hAnsi="Times New Roman" w:cs="Times New Roman"/>
                          <w:i w:val="0"/>
                          <w:iCs w:val="0"/>
                          <w:color w:val="auto"/>
                          <w:highlight w:val="none"/>
                        </w:rPr>
                      </w:pPr>
                      <w:bookmarkStart w:id="4" w:name="OLE_LINK110"/>
                      <w:r>
                        <w:rPr>
                          <w:i w:val="0"/>
                          <w:iCs w:val="0"/>
                          <w:color w:val="auto"/>
                          <w:highlight w:val="none"/>
                        </w:rPr>
                        <w:t>1.</w:t>
                      </w:r>
                      <w:r>
                        <w:rPr>
                          <w:i w:val="0"/>
                          <w:iCs w:val="0"/>
                          <w:color w:val="auto"/>
                          <w:highlight w:val="none"/>
                        </w:rPr>
                        <w:tab/>
                      </w:r>
                      <w:r>
                        <w:rPr>
                          <w:rFonts w:hint="default" w:ascii="Times New Roman" w:hAnsi="Times New Roman" w:cs="Times New Roman"/>
                          <w:i w:val="0"/>
                          <w:iCs w:val="0"/>
                          <w:color w:val="auto"/>
                          <w:highlight w:val="none"/>
                        </w:rPr>
                        <w:t>The clinical application of antibacterial drugs guiding principles revised working group. Clinical application of antibacterial drugs guiding principles: 2015 edition. 6. Vol. 8. People’s Health Publishing House; 2015.</w:t>
                      </w:r>
                    </w:p>
                    <w:p>
                      <w:pPr>
                        <w:pStyle w:val="8"/>
                        <w:keepNext w:val="0"/>
                        <w:keepLines w:val="0"/>
                        <w:pageBreakBefore w:val="0"/>
                        <w:widowControl w:val="0"/>
                        <w:kinsoku/>
                        <w:wordWrap/>
                        <w:overflowPunct/>
                        <w:topLinePunct w:val="0"/>
                        <w:autoSpaceDE/>
                        <w:autoSpaceDN/>
                        <w:bidi w:val="0"/>
                        <w:adjustRightInd/>
                        <w:snapToGrid/>
                        <w:spacing w:line="240" w:lineRule="auto"/>
                        <w:ind w:left="720" w:hanging="720"/>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fldChar w:fldCharType="begin"/>
                      </w:r>
                      <w:r>
                        <w:rPr>
                          <w:rFonts w:hint="default" w:ascii="Times New Roman" w:hAnsi="Times New Roman" w:cs="Times New Roman"/>
                          <w:i w:val="0"/>
                          <w:iCs w:val="0"/>
                          <w:color w:val="auto"/>
                          <w:highlight w:val="none"/>
                        </w:rPr>
                        <w:instrText xml:space="preserve"> ADDIN EN.REFLIST </w:instrText>
                      </w:r>
                      <w:r>
                        <w:rPr>
                          <w:rFonts w:hint="default" w:ascii="Times New Roman" w:hAnsi="Times New Roman" w:cs="Times New Roman"/>
                          <w:i w:val="0"/>
                          <w:iCs w:val="0"/>
                          <w:color w:val="auto"/>
                          <w:highlight w:val="none"/>
                        </w:rPr>
                        <w:fldChar w:fldCharType="separate"/>
                      </w:r>
                      <w:r>
                        <w:rPr>
                          <w:rFonts w:hint="default" w:ascii="Times New Roman" w:hAnsi="Times New Roman" w:cs="Times New Roman"/>
                          <w:i w:val="0"/>
                          <w:iCs w:val="0"/>
                          <w:color w:val="auto"/>
                          <w:highlight w:val="none"/>
                        </w:rPr>
                        <w:t>2.</w:t>
                      </w:r>
                      <w:r>
                        <w:rPr>
                          <w:rFonts w:hint="default" w:ascii="Times New Roman" w:hAnsi="Times New Roman" w:cs="Times New Roman"/>
                          <w:i w:val="0"/>
                          <w:iCs w:val="0"/>
                          <w:color w:val="auto"/>
                          <w:highlight w:val="none"/>
                        </w:rPr>
                        <w:tab/>
                      </w:r>
                      <w:r>
                        <w:rPr>
                          <w:rFonts w:hint="default" w:ascii="Times New Roman" w:hAnsi="Times New Roman" w:cs="Times New Roman"/>
                          <w:i w:val="0"/>
                          <w:iCs w:val="0"/>
                          <w:color w:val="auto"/>
                          <w:highlight w:val="none"/>
                        </w:rPr>
                        <w:t>Cillóniz C, Torres A, Niederman MS.</w:t>
                      </w:r>
                      <w:r>
                        <w:rPr>
                          <w:rFonts w:hint="default" w:ascii="Times New Roman" w:hAnsi="Times New Roman" w:cs="Times New Roman"/>
                          <w:b/>
                          <w:i w:val="0"/>
                          <w:iCs w:val="0"/>
                          <w:color w:val="auto"/>
                          <w:highlight w:val="none"/>
                        </w:rPr>
                        <w:t xml:space="preserve"> </w:t>
                      </w:r>
                      <w:r>
                        <w:rPr>
                          <w:rFonts w:hint="default" w:ascii="Times New Roman" w:hAnsi="Times New Roman" w:cs="Times New Roman"/>
                          <w:i w:val="0"/>
                          <w:iCs w:val="0"/>
                          <w:color w:val="auto"/>
                          <w:highlight w:val="none"/>
                        </w:rPr>
                        <w:t>2021. Management of pneumonia in critically ill patients. Bmj 375:e065871.</w:t>
                      </w:r>
                    </w:p>
                    <w:p>
                      <w:pPr>
                        <w:pStyle w:val="8"/>
                        <w:keepNext w:val="0"/>
                        <w:keepLines w:val="0"/>
                        <w:pageBreakBefore w:val="0"/>
                        <w:widowControl w:val="0"/>
                        <w:kinsoku/>
                        <w:wordWrap/>
                        <w:overflowPunct/>
                        <w:topLinePunct w:val="0"/>
                        <w:bidi w:val="0"/>
                        <w:adjustRightInd/>
                        <w:snapToGrid/>
                        <w:spacing w:line="240" w:lineRule="auto"/>
                        <w:ind w:left="720" w:hanging="720"/>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fldChar w:fldCharType="end"/>
                      </w:r>
                      <w:r>
                        <w:rPr>
                          <w:rFonts w:hint="default" w:ascii="Times New Roman" w:hAnsi="Times New Roman" w:cs="Times New Roman"/>
                          <w:i w:val="0"/>
                          <w:iCs w:val="0"/>
                          <w:color w:val="auto"/>
                          <w:highlight w:val="none"/>
                        </w:rPr>
                        <w:fldChar w:fldCharType="begin"/>
                      </w:r>
                      <w:r>
                        <w:rPr>
                          <w:rFonts w:hint="default" w:ascii="Times New Roman" w:hAnsi="Times New Roman" w:cs="Times New Roman"/>
                          <w:i w:val="0"/>
                          <w:iCs w:val="0"/>
                          <w:color w:val="auto"/>
                          <w:highlight w:val="none"/>
                        </w:rPr>
                        <w:instrText xml:space="preserve"> ADDIN EN.REFLIST </w:instrText>
                      </w:r>
                      <w:r>
                        <w:rPr>
                          <w:rFonts w:hint="default" w:ascii="Times New Roman" w:hAnsi="Times New Roman" w:cs="Times New Roman"/>
                          <w:i w:val="0"/>
                          <w:iCs w:val="0"/>
                          <w:color w:val="auto"/>
                          <w:highlight w:val="none"/>
                        </w:rPr>
                        <w:fldChar w:fldCharType="separate"/>
                      </w:r>
                      <w:r>
                        <w:rPr>
                          <w:rFonts w:hint="default" w:ascii="Times New Roman" w:hAnsi="Times New Roman" w:cs="Times New Roman"/>
                          <w:i w:val="0"/>
                          <w:iCs w:val="0"/>
                          <w:color w:val="auto"/>
                          <w:highlight w:val="none"/>
                          <w:lang w:val="en-US" w:eastAsia="zh-CN"/>
                        </w:rPr>
                        <w:t>3</w:t>
                      </w:r>
                      <w:r>
                        <w:rPr>
                          <w:rFonts w:hint="default" w:ascii="Times New Roman" w:hAnsi="Times New Roman" w:cs="Times New Roman"/>
                          <w:i w:val="0"/>
                          <w:iCs w:val="0"/>
                          <w:color w:val="auto"/>
                          <w:highlight w:val="none"/>
                        </w:rPr>
                        <w:t>.</w:t>
                      </w:r>
                      <w:r>
                        <w:rPr>
                          <w:rFonts w:hint="default" w:ascii="Times New Roman" w:hAnsi="Times New Roman" w:cs="Times New Roman"/>
                          <w:i w:val="0"/>
                          <w:iCs w:val="0"/>
                          <w:color w:val="auto"/>
                          <w:highlight w:val="none"/>
                        </w:rPr>
                        <w:tab/>
                      </w:r>
                      <w:r>
                        <w:rPr>
                          <w:rFonts w:hint="default" w:ascii="Times New Roman" w:hAnsi="Times New Roman" w:cs="Times New Roman"/>
                          <w:i w:val="0"/>
                          <w:iCs w:val="0"/>
                          <w:color w:val="auto"/>
                          <w:highlight w:val="none"/>
                        </w:rPr>
                        <w:t>Maruyama T, Fujisawa T, Ishida T, Ito A, Oyamada Y, Fujimoto K, Yoshida M, Maeda H, Miyashita N, Nagai H, Imamura Y, Shime N, Suzuki S, Amishima M, Higa F, Kobayashi H, Suga S, Tsutsui K, Kohno S, Brito V, Niederman MS. 2019. A Therapeutic Strategy for All Pneumonia Patients: A 3-Year Prospective Multicenter Cohort Study Using Risk Factors for Multidrug-resistant Pathogens to Select Initial Empiric Therapy. Clin Infect Dis 68:1080-1088.</w:t>
                      </w:r>
                    </w:p>
                    <w:p>
                      <w:pPr>
                        <w:keepNext w:val="0"/>
                        <w:keepLines w:val="0"/>
                        <w:pageBreakBefore w:val="0"/>
                        <w:widowControl w:val="0"/>
                        <w:kinsoku/>
                        <w:wordWrap/>
                        <w:overflowPunct/>
                        <w:topLinePunct w:val="0"/>
                        <w:bidi w:val="0"/>
                        <w:adjustRightInd/>
                        <w:snapToGrid/>
                        <w:spacing w:line="240" w:lineRule="auto"/>
                        <w:textAlignment w:val="auto"/>
                        <w:rPr>
                          <w:rFonts w:hint="default" w:ascii="Times New Roman" w:hAnsi="Times New Roman" w:cs="Times New Roman"/>
                          <w:i w:val="0"/>
                          <w:iCs w:val="0"/>
                          <w:color w:val="auto"/>
                          <w:sz w:val="20"/>
                          <w:szCs w:val="20"/>
                          <w:lang w:val="en-US" w:eastAsia="zh-CN"/>
                        </w:rPr>
                      </w:pPr>
                      <w:r>
                        <w:rPr>
                          <w:rFonts w:hint="default" w:ascii="Times New Roman" w:hAnsi="Times New Roman" w:cs="Times New Roman"/>
                          <w:i w:val="0"/>
                          <w:iCs w:val="0"/>
                          <w:color w:val="auto"/>
                          <w:highlight w:val="none"/>
                        </w:rPr>
                        <w:fldChar w:fldCharType="end"/>
                      </w:r>
                      <w:bookmarkEnd w:id="4"/>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1334"/>
        </w:tabs>
        <w:bidi w:val="0"/>
        <w:jc w:val="left"/>
        <w:rPr>
          <w:rFonts w:hint="default"/>
          <w:lang w:val="en-US" w:eastAsia="zh-CN"/>
        </w:rPr>
      </w:pPr>
    </w:p>
    <w:sectPr>
      <w:pgSz w:w="16838" w:h="23811"/>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NDFmZDQ3ZTJiMTZiZGRhNDg1OTQzZjU5OGY3ZWQifQ=="/>
  </w:docVars>
  <w:rsids>
    <w:rsidRoot w:val="00000000"/>
    <w:rsid w:val="008C0079"/>
    <w:rsid w:val="02821EB4"/>
    <w:rsid w:val="03906A9D"/>
    <w:rsid w:val="0414575D"/>
    <w:rsid w:val="04EE7F1F"/>
    <w:rsid w:val="051536FE"/>
    <w:rsid w:val="0A951569"/>
    <w:rsid w:val="100B407B"/>
    <w:rsid w:val="19650358"/>
    <w:rsid w:val="1B4A1EFB"/>
    <w:rsid w:val="251F4F25"/>
    <w:rsid w:val="28063D45"/>
    <w:rsid w:val="2A481CFC"/>
    <w:rsid w:val="2DFF7141"/>
    <w:rsid w:val="31017BC1"/>
    <w:rsid w:val="34F4706D"/>
    <w:rsid w:val="35523A2F"/>
    <w:rsid w:val="3AFD268F"/>
    <w:rsid w:val="3F5973C1"/>
    <w:rsid w:val="3F9B2DCE"/>
    <w:rsid w:val="43505311"/>
    <w:rsid w:val="45BD754F"/>
    <w:rsid w:val="4DFF1CD5"/>
    <w:rsid w:val="4E284065"/>
    <w:rsid w:val="596F675D"/>
    <w:rsid w:val="638E5CCA"/>
    <w:rsid w:val="6E197134"/>
    <w:rsid w:val="6F62442C"/>
    <w:rsid w:val="70A577F7"/>
    <w:rsid w:val="723F1A3A"/>
    <w:rsid w:val="799F3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default" w:ascii="Times New Roman" w:hAnsi="Times New Roman" w:cs="Times New Roman"/>
      <w:color w:val="000000"/>
      <w:sz w:val="24"/>
      <w:szCs w:val="24"/>
      <w:u w:val="none"/>
    </w:rPr>
  </w:style>
  <w:style w:type="character" w:customStyle="1" w:styleId="7">
    <w:name w:val="font71"/>
    <w:basedOn w:val="5"/>
    <w:qFormat/>
    <w:uiPriority w:val="0"/>
    <w:rPr>
      <w:rFonts w:ascii="微软雅黑" w:hAnsi="微软雅黑" w:eastAsia="微软雅黑" w:cs="微软雅黑"/>
      <w:color w:val="000000"/>
      <w:sz w:val="24"/>
      <w:szCs w:val="24"/>
      <w:u w:val="none"/>
    </w:rPr>
  </w:style>
  <w:style w:type="paragraph" w:customStyle="1" w:styleId="8">
    <w:name w:val="EndNote Bibliography"/>
    <w:basedOn w:val="1"/>
    <w:qFormat/>
    <w:uiPriority w:val="0"/>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2023-10-23T20:24:00Z</dcterms:created>
  <dc:creator>zjy</dc:creator>
  <cp:lastModifiedBy>高先茹</cp:lastModifiedBy>
  <dcterms:modified xsi:type="dcterms:W3CDTF">2023-12-16T17:47:54Z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42602CF8380840E59E151E5AE65EECAB_13</vt:lpwstr>
  </property>
</Properties>
</file>