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01182" w14:textId="77777777" w:rsidR="00B10CE5" w:rsidRPr="004E1BD1" w:rsidRDefault="005B3366" w:rsidP="00A121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1BD1">
        <w:rPr>
          <w:rFonts w:ascii="Times New Roman" w:hAnsi="Times New Roman" w:cs="Times New Roman"/>
          <w:sz w:val="24"/>
          <w:szCs w:val="24"/>
        </w:rPr>
        <w:t>Supplementary materials for</w:t>
      </w:r>
    </w:p>
    <w:p w14:paraId="563CAEDF" w14:textId="77777777" w:rsidR="005B3366" w:rsidRDefault="005B3366" w:rsidP="00A12142">
      <w:pPr>
        <w:spacing w:line="240" w:lineRule="auto"/>
      </w:pPr>
    </w:p>
    <w:p w14:paraId="1393B30D" w14:textId="77777777" w:rsidR="00B9512F" w:rsidRPr="00B9512F" w:rsidRDefault="00B9512F" w:rsidP="00A12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512F">
        <w:rPr>
          <w:rFonts w:ascii="Times New Roman" w:hAnsi="Times New Roman" w:cs="Times New Roman"/>
          <w:b/>
          <w:bCs/>
          <w:sz w:val="24"/>
          <w:szCs w:val="24"/>
        </w:rPr>
        <w:t xml:space="preserve">Temporal trends of skin and soft tissue infections caused by methicillin-resistant </w:t>
      </w:r>
      <w:r w:rsidRPr="00B9512F">
        <w:rPr>
          <w:rFonts w:ascii="Times New Roman" w:hAnsi="Times New Roman" w:cs="Times New Roman"/>
          <w:b/>
          <w:bCs/>
          <w:i/>
          <w:sz w:val="24"/>
          <w:szCs w:val="24"/>
        </w:rPr>
        <w:t>Staphylococcus aureus</w:t>
      </w:r>
      <w:r w:rsidRPr="00B9512F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gramStart"/>
      <w:r w:rsidRPr="00B9512F">
        <w:rPr>
          <w:rFonts w:ascii="Times New Roman" w:hAnsi="Times New Roman" w:cs="Times New Roman"/>
          <w:b/>
          <w:bCs/>
          <w:sz w:val="24"/>
          <w:szCs w:val="24"/>
        </w:rPr>
        <w:t>Gabon</w:t>
      </w:r>
      <w:proofErr w:type="gramEnd"/>
    </w:p>
    <w:p w14:paraId="2F8A73B6" w14:textId="77777777" w:rsidR="005B3366" w:rsidRDefault="005B3366" w:rsidP="00A1214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179F7" w14:textId="77777777" w:rsidR="00A12142" w:rsidRPr="00B9512F" w:rsidRDefault="00A12142" w:rsidP="00A1214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C007B" w14:textId="77777777" w:rsidR="00B9512F" w:rsidRPr="00B9512F" w:rsidRDefault="00B9512F" w:rsidP="00A12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512F">
        <w:rPr>
          <w:rFonts w:ascii="Times New Roman" w:hAnsi="Times New Roman" w:cs="Times New Roman"/>
          <w:b/>
          <w:sz w:val="24"/>
          <w:szCs w:val="24"/>
        </w:rPr>
        <w:t>Authors:</w:t>
      </w:r>
    </w:p>
    <w:p w14:paraId="77F23082" w14:textId="5DF30401" w:rsidR="004E1BD1" w:rsidRPr="00A12142" w:rsidRDefault="00B9512F" w:rsidP="00A12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512F">
        <w:rPr>
          <w:rFonts w:ascii="Times New Roman" w:hAnsi="Times New Roman" w:cs="Times New Roman"/>
          <w:sz w:val="24"/>
          <w:szCs w:val="24"/>
        </w:rPr>
        <w:t>Christiane Sidonie Gouleu</w:t>
      </w:r>
      <w:r w:rsidRPr="00B9512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9512F">
        <w:rPr>
          <w:rFonts w:ascii="Times New Roman" w:hAnsi="Times New Roman" w:cs="Times New Roman"/>
          <w:sz w:val="24"/>
          <w:szCs w:val="24"/>
        </w:rPr>
        <w:t xml:space="preserve">, Maradona </w:t>
      </w:r>
      <w:proofErr w:type="spellStart"/>
      <w:r w:rsidRPr="00B9512F">
        <w:rPr>
          <w:rFonts w:ascii="Times New Roman" w:hAnsi="Times New Roman" w:cs="Times New Roman"/>
          <w:sz w:val="24"/>
          <w:szCs w:val="24"/>
        </w:rPr>
        <w:t>Agbanrin</w:t>
      </w:r>
      <w:proofErr w:type="spellEnd"/>
      <w:r w:rsidRPr="00B9512F">
        <w:rPr>
          <w:rFonts w:ascii="Times New Roman" w:hAnsi="Times New Roman" w:cs="Times New Roman"/>
          <w:sz w:val="24"/>
          <w:szCs w:val="24"/>
        </w:rPr>
        <w:t xml:space="preserve"> Daouda</w:t>
      </w:r>
      <w:r w:rsidRPr="00B9512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9512F">
        <w:rPr>
          <w:rFonts w:ascii="Times New Roman" w:hAnsi="Times New Roman" w:cs="Times New Roman"/>
          <w:sz w:val="24"/>
          <w:szCs w:val="24"/>
        </w:rPr>
        <w:t xml:space="preserve">, Sam </w:t>
      </w:r>
      <w:proofErr w:type="spellStart"/>
      <w:r w:rsidRPr="00B9512F">
        <w:rPr>
          <w:rFonts w:ascii="Times New Roman" w:hAnsi="Times New Roman" w:cs="Times New Roman"/>
          <w:sz w:val="24"/>
          <w:szCs w:val="24"/>
        </w:rPr>
        <w:t>O’neilla</w:t>
      </w:r>
      <w:proofErr w:type="spellEnd"/>
      <w:r w:rsidRPr="00B951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12F">
        <w:rPr>
          <w:rFonts w:ascii="Times New Roman" w:hAnsi="Times New Roman" w:cs="Times New Roman"/>
          <w:sz w:val="24"/>
          <w:szCs w:val="24"/>
        </w:rPr>
        <w:t>Oye</w:t>
      </w:r>
      <w:proofErr w:type="spellEnd"/>
      <w:r w:rsidRPr="00B9512F">
        <w:rPr>
          <w:rFonts w:ascii="Times New Roman" w:hAnsi="Times New Roman" w:cs="Times New Roman"/>
          <w:sz w:val="24"/>
          <w:szCs w:val="24"/>
        </w:rPr>
        <w:t xml:space="preserve"> Bingono</w:t>
      </w:r>
      <w:r w:rsidRPr="00B9512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9512F">
        <w:rPr>
          <w:rFonts w:ascii="Times New Roman" w:hAnsi="Times New Roman" w:cs="Times New Roman"/>
          <w:sz w:val="24"/>
          <w:szCs w:val="24"/>
        </w:rPr>
        <w:t>, Matthew Benjamin Bransby McCall</w:t>
      </w:r>
      <w:r w:rsidRPr="00B9512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9512F">
        <w:rPr>
          <w:rFonts w:ascii="Times New Roman" w:hAnsi="Times New Roman" w:cs="Times New Roman"/>
          <w:sz w:val="24"/>
          <w:szCs w:val="24"/>
        </w:rPr>
        <w:t>, Abraham Sunday Alabi</w:t>
      </w:r>
      <w:r w:rsidRPr="00B9512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9512F">
        <w:rPr>
          <w:rFonts w:ascii="Times New Roman" w:hAnsi="Times New Roman" w:cs="Times New Roman"/>
          <w:sz w:val="24"/>
          <w:szCs w:val="24"/>
        </w:rPr>
        <w:t>, Ayola Akim Adegnika</w:t>
      </w:r>
      <w:r w:rsidRPr="00B9512F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B9512F">
        <w:rPr>
          <w:rFonts w:ascii="Times New Roman" w:hAnsi="Times New Roman" w:cs="Times New Roman"/>
          <w:sz w:val="24"/>
          <w:szCs w:val="24"/>
        </w:rPr>
        <w:t>, Frieder Schaumburg</w:t>
      </w:r>
      <w:r w:rsidRPr="00B9512F">
        <w:rPr>
          <w:rFonts w:ascii="Times New Roman" w:hAnsi="Times New Roman" w:cs="Times New Roman"/>
          <w:sz w:val="24"/>
          <w:szCs w:val="24"/>
          <w:vertAlign w:val="superscript"/>
        </w:rPr>
        <w:t>1,4</w:t>
      </w:r>
      <w:r w:rsidRPr="00B9512F">
        <w:rPr>
          <w:rFonts w:ascii="Times New Roman" w:hAnsi="Times New Roman" w:cs="Times New Roman"/>
          <w:sz w:val="24"/>
          <w:szCs w:val="24"/>
        </w:rPr>
        <w:t>, Tobias Grebe</w:t>
      </w:r>
      <w:r w:rsidRPr="00B9512F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0AEB0E63" w14:textId="77777777" w:rsidR="00A12142" w:rsidRDefault="00A12142" w:rsidP="004E1BD1">
      <w:pPr>
        <w:jc w:val="center"/>
      </w:pPr>
    </w:p>
    <w:p w14:paraId="4C08D7D6" w14:textId="77777777" w:rsidR="00A12142" w:rsidRDefault="00A12142" w:rsidP="004E1BD1">
      <w:pPr>
        <w:jc w:val="center"/>
      </w:pPr>
    </w:p>
    <w:p w14:paraId="1100E1E4" w14:textId="77777777" w:rsidR="00A12142" w:rsidRDefault="00A12142" w:rsidP="004E1BD1">
      <w:pPr>
        <w:jc w:val="center"/>
      </w:pPr>
    </w:p>
    <w:p w14:paraId="476CDA87" w14:textId="143A6D6F" w:rsidR="00A12142" w:rsidRDefault="00C16172" w:rsidP="00C16172">
      <w:pPr>
        <w:jc w:val="center"/>
      </w:pPr>
      <w:r>
        <w:rPr>
          <w:noProof/>
        </w:rPr>
        <w:drawing>
          <wp:inline distT="0" distB="0" distL="0" distR="0" wp14:anchorId="08D74B4B" wp14:editId="350F2AD7">
            <wp:extent cx="5940425" cy="3676015"/>
            <wp:effectExtent l="0" t="0" r="3175" b="635"/>
            <wp:docPr id="1559878614" name="Grafik 1" descr="Ein Bild, das Text, Diagramm, Reihe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878614" name="Grafik 1" descr="Ein Bild, das Text, Diagramm, Reihe, parall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58106" w14:textId="6916369F" w:rsidR="00B10CE5" w:rsidRDefault="00B10CE5" w:rsidP="004E1BD1">
      <w:pPr>
        <w:jc w:val="center"/>
      </w:pPr>
    </w:p>
    <w:p w14:paraId="6FF8B619" w14:textId="7735E2B2" w:rsidR="009133B0" w:rsidRPr="009551F5" w:rsidRDefault="00000000" w:rsidP="00A12142">
      <w:pPr>
        <w:jc w:val="both"/>
        <w:rPr>
          <w:rFonts w:ascii="Times New Roman" w:hAnsi="Times New Roman" w:cs="Times New Roman"/>
          <w:sz w:val="24"/>
          <w:szCs w:val="24"/>
        </w:rPr>
      </w:pPr>
      <w:r w:rsidRPr="004E1BD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631F1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4E1BD1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 w:rsidRPr="004E1BD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7901971"/>
      <w:r w:rsidR="006631F1" w:rsidRPr="006631F1">
        <w:rPr>
          <w:rFonts w:ascii="Times New Roman" w:hAnsi="Times New Roman" w:cs="Times New Roman"/>
          <w:b/>
          <w:bCs/>
          <w:sz w:val="24"/>
          <w:szCs w:val="24"/>
        </w:rPr>
        <w:t>Temporal trend</w:t>
      </w:r>
      <w:r w:rsidR="001C55B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631F1" w:rsidRPr="006631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55B8">
        <w:rPr>
          <w:rFonts w:ascii="Times New Roman" w:hAnsi="Times New Roman" w:cs="Times New Roman"/>
          <w:b/>
          <w:bCs/>
          <w:sz w:val="24"/>
          <w:szCs w:val="24"/>
        </w:rPr>
        <w:t>in the</w:t>
      </w:r>
      <w:r w:rsidR="006631F1" w:rsidRPr="006631F1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E1205A" w:rsidRPr="006631F1">
        <w:rPr>
          <w:rFonts w:ascii="Times New Roman" w:hAnsi="Times New Roman" w:cs="Times New Roman"/>
          <w:b/>
          <w:bCs/>
          <w:sz w:val="24"/>
          <w:szCs w:val="24"/>
        </w:rPr>
        <w:t>ntimicrobial</w:t>
      </w:r>
      <w:r w:rsidR="00E1205A">
        <w:rPr>
          <w:rFonts w:ascii="Times New Roman" w:hAnsi="Times New Roman" w:cs="Times New Roman"/>
          <w:b/>
          <w:bCs/>
          <w:sz w:val="24"/>
          <w:szCs w:val="24"/>
        </w:rPr>
        <w:t xml:space="preserve"> resistance profile of MRSA and MSSA</w:t>
      </w:r>
      <w:bookmarkEnd w:id="0"/>
      <w:r w:rsidRPr="004E1B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1BD1">
        <w:rPr>
          <w:rFonts w:ascii="Times New Roman" w:hAnsi="Times New Roman" w:cs="Times New Roman"/>
          <w:sz w:val="24"/>
          <w:szCs w:val="24"/>
        </w:rPr>
        <w:t xml:space="preserve"> </w:t>
      </w:r>
      <w:r w:rsidR="00E1205A">
        <w:rPr>
          <w:rFonts w:ascii="Times New Roman" w:hAnsi="Times New Roman" w:cs="Times New Roman"/>
          <w:sz w:val="24"/>
          <w:szCs w:val="24"/>
        </w:rPr>
        <w:t xml:space="preserve">Proportion of methicillin-resistant </w:t>
      </w:r>
      <w:r w:rsidR="00E1205A" w:rsidRPr="00E1205A">
        <w:rPr>
          <w:rFonts w:ascii="Times New Roman" w:hAnsi="Times New Roman" w:cs="Times New Roman"/>
          <w:i/>
          <w:iCs/>
          <w:sz w:val="24"/>
          <w:szCs w:val="24"/>
        </w:rPr>
        <w:t>Staphylococcus aureus</w:t>
      </w:r>
      <w:r w:rsidR="00E1205A">
        <w:rPr>
          <w:rFonts w:ascii="Times New Roman" w:hAnsi="Times New Roman" w:cs="Times New Roman"/>
          <w:sz w:val="24"/>
          <w:szCs w:val="24"/>
        </w:rPr>
        <w:t xml:space="preserve"> (MRSA) and methicillin-susceptible </w:t>
      </w:r>
      <w:r w:rsidR="00E1205A" w:rsidRPr="00E1205A">
        <w:rPr>
          <w:rFonts w:ascii="Times New Roman" w:hAnsi="Times New Roman" w:cs="Times New Roman"/>
          <w:i/>
          <w:iCs/>
          <w:sz w:val="24"/>
          <w:szCs w:val="24"/>
        </w:rPr>
        <w:t>Staphylococcus aureus</w:t>
      </w:r>
      <w:r w:rsidR="00E1205A">
        <w:rPr>
          <w:rFonts w:ascii="Times New Roman" w:hAnsi="Times New Roman" w:cs="Times New Roman"/>
          <w:sz w:val="24"/>
          <w:szCs w:val="24"/>
        </w:rPr>
        <w:t xml:space="preserve"> (MSSA) isolates resistant to </w:t>
      </w:r>
      <w:r w:rsidR="00BE7A38">
        <w:rPr>
          <w:rFonts w:ascii="Times New Roman" w:hAnsi="Times New Roman" w:cs="Times New Roman"/>
          <w:sz w:val="24"/>
          <w:szCs w:val="24"/>
        </w:rPr>
        <w:t>each</w:t>
      </w:r>
      <w:r w:rsidR="00E1205A">
        <w:rPr>
          <w:rFonts w:ascii="Times New Roman" w:hAnsi="Times New Roman" w:cs="Times New Roman"/>
          <w:sz w:val="24"/>
          <w:szCs w:val="24"/>
        </w:rPr>
        <w:t xml:space="preserve"> antimicrobial agent during</w:t>
      </w:r>
      <w:r w:rsidR="009133B0">
        <w:rPr>
          <w:rFonts w:ascii="Times New Roman" w:hAnsi="Times New Roman" w:cs="Times New Roman"/>
          <w:sz w:val="24"/>
          <w:szCs w:val="24"/>
        </w:rPr>
        <w:t xml:space="preserve"> </w:t>
      </w:r>
      <w:r w:rsidR="00E1205A">
        <w:rPr>
          <w:rFonts w:ascii="Times New Roman" w:hAnsi="Times New Roman" w:cs="Times New Roman"/>
          <w:sz w:val="24"/>
          <w:szCs w:val="24"/>
        </w:rPr>
        <w:t>the study period.</w:t>
      </w:r>
      <w:r w:rsidR="00BE7A38">
        <w:rPr>
          <w:rFonts w:ascii="Times New Roman" w:hAnsi="Times New Roman" w:cs="Times New Roman"/>
          <w:sz w:val="24"/>
          <w:szCs w:val="24"/>
        </w:rPr>
        <w:t xml:space="preserve"> </w:t>
      </w:r>
      <w:r w:rsidR="006631F1">
        <w:rPr>
          <w:rFonts w:ascii="Times New Roman" w:hAnsi="Times New Roman" w:cs="Times New Roman"/>
          <w:sz w:val="24"/>
          <w:szCs w:val="24"/>
        </w:rPr>
        <w:t xml:space="preserve">The time frame of the study was divided into four sections of 2-3 years to account for the low sample number in some individual years. </w:t>
      </w:r>
      <w:r w:rsidR="00BE7A38" w:rsidRPr="00BE7A38">
        <w:rPr>
          <w:rFonts w:ascii="Times New Roman" w:hAnsi="Times New Roman" w:cs="Times New Roman"/>
          <w:sz w:val="24"/>
          <w:szCs w:val="24"/>
        </w:rPr>
        <w:t>Clindamycin</w:t>
      </w:r>
      <w:r w:rsidR="00BE7A38">
        <w:rPr>
          <w:rFonts w:ascii="Times New Roman" w:hAnsi="Times New Roman" w:cs="Times New Roman"/>
          <w:sz w:val="24"/>
          <w:szCs w:val="24"/>
        </w:rPr>
        <w:t xml:space="preserve"> was excluded </w:t>
      </w:r>
      <w:r w:rsidR="00030BA7">
        <w:rPr>
          <w:rFonts w:ascii="Times New Roman" w:hAnsi="Times New Roman" w:cs="Times New Roman"/>
          <w:sz w:val="24"/>
          <w:szCs w:val="24"/>
        </w:rPr>
        <w:t>because there</w:t>
      </w:r>
      <w:r w:rsidR="00BE7A38">
        <w:rPr>
          <w:rFonts w:ascii="Times New Roman" w:hAnsi="Times New Roman" w:cs="Times New Roman"/>
          <w:sz w:val="24"/>
          <w:szCs w:val="24"/>
        </w:rPr>
        <w:t xml:space="preserve"> </w:t>
      </w:r>
      <w:r w:rsidR="00BE7A38" w:rsidRPr="00BE7A38">
        <w:rPr>
          <w:rFonts w:ascii="Times New Roman" w:hAnsi="Times New Roman" w:cs="Times New Roman"/>
          <w:sz w:val="24"/>
          <w:szCs w:val="24"/>
        </w:rPr>
        <w:t>was only one resistant isolate in our study.</w:t>
      </w:r>
      <w:r w:rsidR="00030BA7">
        <w:rPr>
          <w:rFonts w:ascii="Times New Roman" w:hAnsi="Times New Roman" w:cs="Times New Roman"/>
          <w:sz w:val="24"/>
          <w:szCs w:val="24"/>
        </w:rPr>
        <w:t xml:space="preserve"> </w:t>
      </w:r>
      <w:r w:rsidR="00030BA7" w:rsidRPr="00030BA7">
        <w:rPr>
          <w:rFonts w:ascii="Times New Roman" w:hAnsi="Times New Roman" w:cs="Times New Roman"/>
          <w:sz w:val="24"/>
          <w:szCs w:val="24"/>
        </w:rPr>
        <w:t>It should be noted that in some years sample numbers were low for some antibiotics, so proportions should be interpreted with caution</w:t>
      </w:r>
      <w:r w:rsidR="003A41B3">
        <w:rPr>
          <w:rFonts w:ascii="Times New Roman" w:hAnsi="Times New Roman" w:cs="Times New Roman"/>
          <w:sz w:val="24"/>
          <w:szCs w:val="24"/>
        </w:rPr>
        <w:t xml:space="preserve"> (see Table 2)</w:t>
      </w:r>
      <w:r w:rsidR="00030BA7" w:rsidRPr="00030BA7">
        <w:rPr>
          <w:rFonts w:ascii="Times New Roman" w:hAnsi="Times New Roman" w:cs="Times New Roman"/>
          <w:sz w:val="24"/>
          <w:szCs w:val="24"/>
        </w:rPr>
        <w:t>.</w:t>
      </w:r>
      <w:r w:rsidR="00C16172">
        <w:rPr>
          <w:rFonts w:ascii="Times New Roman" w:hAnsi="Times New Roman" w:cs="Times New Roman"/>
          <w:sz w:val="24"/>
          <w:szCs w:val="24"/>
        </w:rPr>
        <w:t xml:space="preserve"> Error bars represent 95% confidence intervals.</w:t>
      </w:r>
      <w:r w:rsidR="00030BA7">
        <w:rPr>
          <w:rFonts w:ascii="Times New Roman" w:hAnsi="Times New Roman" w:cs="Times New Roman"/>
          <w:sz w:val="24"/>
          <w:szCs w:val="24"/>
        </w:rPr>
        <w:t xml:space="preserve"> </w:t>
      </w:r>
      <w:r w:rsidR="00030BA7" w:rsidRPr="00030BA7">
        <w:rPr>
          <w:rFonts w:ascii="Times New Roman" w:hAnsi="Times New Roman" w:cs="Times New Roman"/>
          <w:sz w:val="24"/>
          <w:szCs w:val="24"/>
        </w:rPr>
        <w:t>Prior to 2012, susceptibility testing for tetracyclin</w:t>
      </w:r>
      <w:r w:rsidR="00030BA7">
        <w:rPr>
          <w:rFonts w:ascii="Times New Roman" w:hAnsi="Times New Roman" w:cs="Times New Roman"/>
          <w:sz w:val="24"/>
          <w:szCs w:val="24"/>
        </w:rPr>
        <w:t>e</w:t>
      </w:r>
      <w:r w:rsidR="00030BA7" w:rsidRPr="00030BA7">
        <w:rPr>
          <w:rFonts w:ascii="Times New Roman" w:hAnsi="Times New Roman" w:cs="Times New Roman"/>
          <w:sz w:val="24"/>
          <w:szCs w:val="24"/>
        </w:rPr>
        <w:t xml:space="preserve"> </w:t>
      </w:r>
      <w:r w:rsidR="00A12142">
        <w:rPr>
          <w:rFonts w:ascii="Times New Roman" w:hAnsi="Times New Roman" w:cs="Times New Roman"/>
          <w:sz w:val="24"/>
          <w:szCs w:val="24"/>
        </w:rPr>
        <w:t xml:space="preserve">and cotrimoxazole </w:t>
      </w:r>
      <w:r w:rsidR="00030BA7" w:rsidRPr="00030BA7">
        <w:rPr>
          <w:rFonts w:ascii="Times New Roman" w:hAnsi="Times New Roman" w:cs="Times New Roman"/>
          <w:sz w:val="24"/>
          <w:szCs w:val="24"/>
        </w:rPr>
        <w:t>was not performed.</w:t>
      </w:r>
      <w:r w:rsidR="00C1617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133B0" w:rsidRPr="009551F5">
      <w:pgSz w:w="11906" w:h="16838" w:orient="landscape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81754" w14:textId="77777777" w:rsidR="007C631C" w:rsidRDefault="007C631C">
      <w:pPr>
        <w:spacing w:after="0" w:line="240" w:lineRule="auto"/>
      </w:pPr>
      <w:r>
        <w:separator/>
      </w:r>
    </w:p>
  </w:endnote>
  <w:endnote w:type="continuationSeparator" w:id="0">
    <w:p w14:paraId="6E7EDEC7" w14:textId="77777777" w:rsidR="007C631C" w:rsidRDefault="007C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71757" w14:textId="77777777" w:rsidR="007C631C" w:rsidRDefault="007C631C">
      <w:pPr>
        <w:spacing w:after="0" w:line="240" w:lineRule="auto"/>
      </w:pPr>
      <w:r>
        <w:separator/>
      </w:r>
    </w:p>
  </w:footnote>
  <w:footnote w:type="continuationSeparator" w:id="0">
    <w:p w14:paraId="416D8C3D" w14:textId="77777777" w:rsidR="007C631C" w:rsidRDefault="007C63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CE5"/>
    <w:rsid w:val="00030BA7"/>
    <w:rsid w:val="001C55B8"/>
    <w:rsid w:val="00212885"/>
    <w:rsid w:val="002728A4"/>
    <w:rsid w:val="003A41B3"/>
    <w:rsid w:val="004C7F54"/>
    <w:rsid w:val="004E1BD1"/>
    <w:rsid w:val="00525E96"/>
    <w:rsid w:val="005B3366"/>
    <w:rsid w:val="006007CF"/>
    <w:rsid w:val="006631F1"/>
    <w:rsid w:val="007C631C"/>
    <w:rsid w:val="00813F24"/>
    <w:rsid w:val="008C4F89"/>
    <w:rsid w:val="009133B0"/>
    <w:rsid w:val="00A0259C"/>
    <w:rsid w:val="00A12142"/>
    <w:rsid w:val="00B10CE5"/>
    <w:rsid w:val="00B9512F"/>
    <w:rsid w:val="00BE7A38"/>
    <w:rsid w:val="00C16172"/>
    <w:rsid w:val="00D54057"/>
    <w:rsid w:val="00E1205A"/>
    <w:rsid w:val="00EE3175"/>
    <w:rsid w:val="00F6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4D448"/>
  <w15:docId w15:val="{BC9C6B96-12A0-42B1-B8C5-EFEC21DB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5B33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Tobias Grebe</cp:lastModifiedBy>
  <cp:revision>19</cp:revision>
  <dcterms:created xsi:type="dcterms:W3CDTF">2024-01-26T12:51:00Z</dcterms:created>
  <dcterms:modified xsi:type="dcterms:W3CDTF">2024-05-29T17:06:00Z</dcterms:modified>
</cp:coreProperties>
</file>