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E72273" w14:textId="77777777" w:rsidR="000365ED" w:rsidRPr="000365ED" w:rsidRDefault="000365ED" w:rsidP="000365ED">
      <w:pPr>
        <w:jc w:val="center"/>
        <w:rPr>
          <w:rFonts w:ascii="Times New Roman" w:hAnsi="Times New Roman" w:cs="Times New Roman"/>
          <w:b/>
          <w:bCs/>
        </w:rPr>
      </w:pPr>
      <w:r w:rsidRPr="000365ED">
        <w:rPr>
          <w:rFonts w:ascii="Times New Roman" w:hAnsi="Times New Roman" w:cs="Times New Roman"/>
          <w:b/>
          <w:bCs/>
        </w:rPr>
        <w:t>Supplementary Materials</w:t>
      </w:r>
    </w:p>
    <w:p w14:paraId="387EAE07" w14:textId="77777777" w:rsidR="000365ED" w:rsidRPr="000365ED" w:rsidRDefault="000365ED" w:rsidP="008751B6">
      <w:pPr>
        <w:jc w:val="both"/>
        <w:rPr>
          <w:rFonts w:ascii="Times New Roman" w:hAnsi="Times New Roman" w:cs="Times New Roman"/>
        </w:rPr>
      </w:pPr>
    </w:p>
    <w:p w14:paraId="761A3FE2" w14:textId="66F761D5" w:rsidR="0004239C" w:rsidRDefault="00710EB9" w:rsidP="008751B6">
      <w:pPr>
        <w:jc w:val="both"/>
        <w:rPr>
          <w:rFonts w:ascii="Times New Roman" w:hAnsi="Times New Roman" w:cs="Times New Roman"/>
        </w:rPr>
      </w:pPr>
      <w:r w:rsidRPr="00710EB9">
        <w:rPr>
          <w:rFonts w:ascii="Times New Roman" w:hAnsi="Times New Roman" w:cs="Times New Roman"/>
        </w:rPr>
        <w:t>Improving Antibiotic Utilization in West Africa: Enhancing Interventions through Systematic Review and Evidence Synthesis</w:t>
      </w:r>
    </w:p>
    <w:p w14:paraId="3B710C1C" w14:textId="77777777" w:rsidR="00710EB9" w:rsidRPr="000365ED" w:rsidRDefault="00710EB9" w:rsidP="008751B6">
      <w:pPr>
        <w:jc w:val="both"/>
        <w:rPr>
          <w:rFonts w:ascii="Times New Roman" w:hAnsi="Times New Roman" w:cs="Times New Roman"/>
        </w:rPr>
      </w:pPr>
    </w:p>
    <w:p w14:paraId="77B92AB1" w14:textId="77777777" w:rsidR="00710EB9" w:rsidRPr="00710EB9" w:rsidRDefault="00710EB9" w:rsidP="00710EB9">
      <w:pPr>
        <w:jc w:val="both"/>
        <w:rPr>
          <w:rFonts w:ascii="Times New Roman" w:hAnsi="Times New Roman" w:cs="Times New Roman"/>
          <w:vertAlign w:val="superscript"/>
          <w:lang w:val="en-ID"/>
        </w:rPr>
      </w:pPr>
      <w:r w:rsidRPr="00710EB9">
        <w:rPr>
          <w:rFonts w:ascii="Times New Roman" w:hAnsi="Times New Roman" w:cs="Times New Roman"/>
        </w:rPr>
        <w:t>Eric S. Donkor</w:t>
      </w:r>
      <w:r w:rsidRPr="00710EB9">
        <w:rPr>
          <w:rFonts w:ascii="Times New Roman" w:hAnsi="Times New Roman" w:cs="Times New Roman"/>
          <w:vertAlign w:val="superscript"/>
        </w:rPr>
        <w:t>1</w:t>
      </w:r>
      <w:r w:rsidRPr="00710EB9">
        <w:rPr>
          <w:rFonts w:ascii="Times New Roman" w:hAnsi="Times New Roman" w:cs="Times New Roman"/>
        </w:rPr>
        <w:t>* Abdul-Halim Osman</w:t>
      </w:r>
      <w:r w:rsidRPr="00710EB9">
        <w:rPr>
          <w:rFonts w:ascii="Times New Roman" w:hAnsi="Times New Roman" w:cs="Times New Roman"/>
          <w:vertAlign w:val="superscript"/>
        </w:rPr>
        <w:t>1</w:t>
      </w:r>
      <w:r w:rsidRPr="00710EB9">
        <w:rPr>
          <w:rFonts w:ascii="Times New Roman" w:hAnsi="Times New Roman" w:cs="Times New Roman"/>
        </w:rPr>
        <w:t xml:space="preserve"> Bill Clinton Aglomasa</w:t>
      </w:r>
      <w:r w:rsidRPr="00710EB9">
        <w:rPr>
          <w:rFonts w:ascii="Times New Roman" w:hAnsi="Times New Roman" w:cs="Times New Roman"/>
          <w:vertAlign w:val="superscript"/>
        </w:rPr>
        <w:t>1</w:t>
      </w:r>
      <w:r w:rsidRPr="00710EB9">
        <w:rPr>
          <w:rFonts w:ascii="Times New Roman" w:hAnsi="Times New Roman" w:cs="Times New Roman"/>
        </w:rPr>
        <w:t xml:space="preserve"> Aaron Awere-Duodu</w:t>
      </w:r>
      <w:r w:rsidRPr="00710EB9">
        <w:rPr>
          <w:rFonts w:ascii="Times New Roman" w:hAnsi="Times New Roman" w:cs="Times New Roman"/>
          <w:vertAlign w:val="superscript"/>
        </w:rPr>
        <w:t xml:space="preserve">1 </w:t>
      </w:r>
      <w:r w:rsidRPr="00710EB9">
        <w:rPr>
          <w:rFonts w:ascii="Times New Roman" w:hAnsi="Times New Roman" w:cs="Times New Roman"/>
        </w:rPr>
        <w:t>Alex Odoom</w:t>
      </w:r>
      <w:r w:rsidRPr="00710EB9">
        <w:rPr>
          <w:rFonts w:ascii="Times New Roman" w:hAnsi="Times New Roman" w:cs="Times New Roman"/>
          <w:vertAlign w:val="superscript"/>
        </w:rPr>
        <w:t>1</w:t>
      </w:r>
      <w:r w:rsidRPr="00710EB9">
        <w:rPr>
          <w:rFonts w:ascii="Times New Roman" w:hAnsi="Times New Roman" w:cs="Times New Roman"/>
        </w:rPr>
        <w:t xml:space="preserve"> Bismark Opoku-Asare</w:t>
      </w:r>
      <w:r w:rsidRPr="00710EB9">
        <w:rPr>
          <w:rFonts w:ascii="Times New Roman" w:hAnsi="Times New Roman" w:cs="Times New Roman"/>
          <w:vertAlign w:val="superscript"/>
        </w:rPr>
        <w:t xml:space="preserve">2 </w:t>
      </w:r>
      <w:r w:rsidRPr="00710EB9">
        <w:rPr>
          <w:rFonts w:ascii="Times New Roman" w:hAnsi="Times New Roman" w:cs="Times New Roman"/>
        </w:rPr>
        <w:t>Gilbert Lazarus</w:t>
      </w:r>
      <w:r w:rsidRPr="00710EB9">
        <w:rPr>
          <w:rFonts w:ascii="Times New Roman" w:hAnsi="Times New Roman" w:cs="Times New Roman"/>
          <w:vertAlign w:val="superscript"/>
        </w:rPr>
        <w:t>3,4</w:t>
      </w:r>
    </w:p>
    <w:p w14:paraId="15A7C07D" w14:textId="77777777" w:rsidR="00710EB9" w:rsidRPr="00710EB9" w:rsidRDefault="00710EB9" w:rsidP="00710EB9">
      <w:pPr>
        <w:jc w:val="both"/>
        <w:rPr>
          <w:rFonts w:ascii="Times New Roman" w:hAnsi="Times New Roman" w:cs="Times New Roman"/>
          <w:vertAlign w:val="superscript"/>
        </w:rPr>
      </w:pPr>
    </w:p>
    <w:p w14:paraId="5F903C5F" w14:textId="77777777" w:rsidR="00710EB9" w:rsidRPr="00710EB9" w:rsidRDefault="00710EB9" w:rsidP="00710EB9">
      <w:pPr>
        <w:jc w:val="both"/>
        <w:rPr>
          <w:rFonts w:ascii="Times New Roman" w:hAnsi="Times New Roman" w:cs="Times New Roman"/>
        </w:rPr>
      </w:pPr>
      <w:r w:rsidRPr="00710EB9">
        <w:rPr>
          <w:rFonts w:ascii="Times New Roman" w:hAnsi="Times New Roman" w:cs="Times New Roman"/>
          <w:b/>
          <w:bCs/>
          <w:vertAlign w:val="superscript"/>
        </w:rPr>
        <w:t>1</w:t>
      </w:r>
      <w:r w:rsidRPr="00710EB9">
        <w:rPr>
          <w:rFonts w:ascii="Times New Roman" w:hAnsi="Times New Roman" w:cs="Times New Roman"/>
        </w:rPr>
        <w:t>Department of Medical Microbiology, University of Ghana Medical School, Accra</w:t>
      </w:r>
    </w:p>
    <w:p w14:paraId="3B68F4DC" w14:textId="77777777" w:rsidR="00710EB9" w:rsidRPr="00710EB9" w:rsidRDefault="00710EB9" w:rsidP="00710EB9">
      <w:pPr>
        <w:jc w:val="both"/>
        <w:rPr>
          <w:rFonts w:ascii="Times New Roman" w:hAnsi="Times New Roman" w:cs="Times New Roman"/>
        </w:rPr>
      </w:pPr>
      <w:r w:rsidRPr="00710EB9">
        <w:rPr>
          <w:rFonts w:ascii="Times New Roman" w:hAnsi="Times New Roman" w:cs="Times New Roman"/>
          <w:vertAlign w:val="superscript"/>
        </w:rPr>
        <w:t>2</w:t>
      </w:r>
      <w:r w:rsidRPr="00710EB9">
        <w:rPr>
          <w:rFonts w:ascii="Times New Roman" w:hAnsi="Times New Roman" w:cs="Times New Roman"/>
        </w:rPr>
        <w:t>Department of Medicine and Therapeutics, University of Ghana Medical School, Accra</w:t>
      </w:r>
    </w:p>
    <w:p w14:paraId="4486686C" w14:textId="77777777" w:rsidR="00710EB9" w:rsidRPr="00710EB9" w:rsidRDefault="00710EB9" w:rsidP="00710EB9">
      <w:pPr>
        <w:jc w:val="both"/>
        <w:rPr>
          <w:rFonts w:ascii="Times New Roman" w:hAnsi="Times New Roman" w:cs="Times New Roman"/>
        </w:rPr>
      </w:pPr>
      <w:r w:rsidRPr="00710EB9">
        <w:rPr>
          <w:rFonts w:ascii="Times New Roman" w:hAnsi="Times New Roman" w:cs="Times New Roman"/>
          <w:vertAlign w:val="superscript"/>
        </w:rPr>
        <w:t>3</w:t>
      </w:r>
      <w:r w:rsidRPr="00710EB9">
        <w:rPr>
          <w:rFonts w:ascii="Times New Roman" w:hAnsi="Times New Roman" w:cs="Times New Roman"/>
        </w:rPr>
        <w:t>Oxford University Clinical Research Unit (OUCRU) Indonesia, Jakarta, Indonesia</w:t>
      </w:r>
    </w:p>
    <w:p w14:paraId="12075A87" w14:textId="7360E287" w:rsidR="008751B6" w:rsidRPr="000365ED" w:rsidRDefault="00710EB9" w:rsidP="00710EB9">
      <w:pPr>
        <w:jc w:val="both"/>
        <w:rPr>
          <w:rFonts w:ascii="Times New Roman" w:hAnsi="Times New Roman" w:cs="Times New Roman"/>
          <w:lang w:val="en-ID"/>
        </w:rPr>
      </w:pPr>
      <w:r w:rsidRPr="00710EB9">
        <w:rPr>
          <w:rFonts w:ascii="Times New Roman" w:hAnsi="Times New Roman" w:cs="Times New Roman"/>
          <w:vertAlign w:val="superscript"/>
        </w:rPr>
        <w:t>4</w:t>
      </w:r>
      <w:r w:rsidRPr="00710EB9">
        <w:rPr>
          <w:rFonts w:ascii="Times New Roman" w:hAnsi="Times New Roman" w:cs="Times New Roman"/>
        </w:rPr>
        <w:t>Faculty of Medicine, Universitas Indonesia, Jakarta, Indonesia</w:t>
      </w:r>
    </w:p>
    <w:p w14:paraId="3F289D13" w14:textId="77777777" w:rsidR="008751B6" w:rsidRPr="000365ED" w:rsidRDefault="008751B6" w:rsidP="008751B6">
      <w:pPr>
        <w:pBdr>
          <w:bottom w:val="single" w:sz="12" w:space="1" w:color="000000"/>
        </w:pBdr>
        <w:jc w:val="both"/>
        <w:rPr>
          <w:rFonts w:ascii="Times New Roman" w:hAnsi="Times New Roman" w:cs="Times New Roman"/>
        </w:rPr>
      </w:pPr>
    </w:p>
    <w:p w14:paraId="141EA5F1" w14:textId="77777777" w:rsidR="008751B6" w:rsidRPr="000365ED" w:rsidRDefault="008751B6" w:rsidP="008751B6">
      <w:pPr>
        <w:jc w:val="both"/>
        <w:rPr>
          <w:rFonts w:ascii="Times New Roman" w:hAnsi="Times New Roman" w:cs="Times New Roman"/>
        </w:rPr>
      </w:pPr>
    </w:p>
    <w:p w14:paraId="76D0BF53" w14:textId="77777777" w:rsidR="008751B6" w:rsidRPr="000365ED" w:rsidRDefault="008751B6" w:rsidP="008751B6">
      <w:pPr>
        <w:jc w:val="both"/>
        <w:rPr>
          <w:rFonts w:ascii="Times New Roman" w:hAnsi="Times New Roman" w:cs="Times New Roman"/>
          <w:lang w:val="en-ID"/>
        </w:rPr>
      </w:pPr>
      <w:r w:rsidRPr="000365ED">
        <w:rPr>
          <w:rFonts w:ascii="Times New Roman" w:hAnsi="Times New Roman" w:cs="Times New Roman"/>
        </w:rPr>
        <w:t xml:space="preserve">*Author to whom correspondence should be addressed; </w:t>
      </w:r>
      <w:hyperlink r:id="rId4" w:history="1">
        <w:r w:rsidRPr="000365ED">
          <w:rPr>
            <w:rStyle w:val="Hyperlink"/>
            <w:rFonts w:ascii="Times New Roman" w:hAnsi="Times New Roman" w:cs="Times New Roman"/>
          </w:rPr>
          <w:t>esampane-donkor@ug.edu.gh</w:t>
        </w:r>
      </w:hyperlink>
      <w:r w:rsidRPr="000365ED">
        <w:rPr>
          <w:rFonts w:ascii="Times New Roman" w:hAnsi="Times New Roman" w:cs="Times New Roman"/>
        </w:rPr>
        <w:t xml:space="preserve"> </w:t>
      </w:r>
    </w:p>
    <w:p w14:paraId="24314115" w14:textId="77777777" w:rsidR="008751B6" w:rsidRPr="000365ED" w:rsidRDefault="008751B6" w:rsidP="00397401">
      <w:pPr>
        <w:rPr>
          <w:rFonts w:ascii="Times New Roman" w:hAnsi="Times New Roman" w:cs="Times New Roman"/>
          <w:lang w:val="en-ID"/>
        </w:rPr>
      </w:pPr>
    </w:p>
    <w:p w14:paraId="21594DF4" w14:textId="77777777" w:rsidR="00EF5D6F" w:rsidRPr="000365ED" w:rsidRDefault="00EF5D6F" w:rsidP="00397401">
      <w:pPr>
        <w:rPr>
          <w:rFonts w:ascii="Times New Roman" w:hAnsi="Times New Roman" w:cs="Times New Roman"/>
        </w:rPr>
      </w:pPr>
    </w:p>
    <w:p w14:paraId="04A3B10B" w14:textId="77777777" w:rsidR="000365ED" w:rsidRPr="000365ED" w:rsidRDefault="000365ED" w:rsidP="00397401">
      <w:pPr>
        <w:rPr>
          <w:rFonts w:ascii="Times New Roman" w:hAnsi="Times New Roman" w:cs="Times New Roman"/>
        </w:rPr>
      </w:pPr>
    </w:p>
    <w:p w14:paraId="1BD8777D" w14:textId="36341AA2" w:rsidR="000365ED" w:rsidRPr="000365ED" w:rsidRDefault="000365ED" w:rsidP="00397401">
      <w:pPr>
        <w:rPr>
          <w:rFonts w:ascii="Times New Roman" w:hAnsi="Times New Roman" w:cs="Times New Roman"/>
          <w:b/>
          <w:bCs/>
        </w:rPr>
      </w:pPr>
      <w:r w:rsidRPr="000365ED">
        <w:rPr>
          <w:rFonts w:ascii="Times New Roman" w:hAnsi="Times New Roman" w:cs="Times New Roman"/>
          <w:b/>
          <w:bCs/>
        </w:rPr>
        <w:t>Table of Contents</w:t>
      </w:r>
    </w:p>
    <w:p w14:paraId="1FD1A493" w14:textId="6BFB8F41" w:rsidR="000365ED" w:rsidRPr="000365ED" w:rsidRDefault="000365ED" w:rsidP="000365ED">
      <w:pPr>
        <w:rPr>
          <w:rFonts w:ascii="Times New Roman" w:hAnsi="Times New Roman" w:cs="Times New Roman"/>
        </w:rPr>
      </w:pPr>
      <w:r w:rsidRPr="00471776">
        <w:rPr>
          <w:rFonts w:ascii="Times New Roman" w:hAnsi="Times New Roman" w:cs="Times New Roman"/>
          <w:b/>
          <w:bCs/>
        </w:rPr>
        <w:t>Table S</w:t>
      </w:r>
      <w:r w:rsidR="00EF5D6F">
        <w:rPr>
          <w:rFonts w:ascii="Times New Roman" w:hAnsi="Times New Roman" w:cs="Times New Roman"/>
          <w:b/>
          <w:bCs/>
        </w:rPr>
        <w:t>1:</w:t>
      </w:r>
      <w:r w:rsidRPr="000365ED">
        <w:rPr>
          <w:rFonts w:ascii="Times New Roman" w:hAnsi="Times New Roman" w:cs="Times New Roman"/>
        </w:rPr>
        <w:t xml:space="preserve"> A table containing search terms used on each Database (February 14, 2024)</w:t>
      </w:r>
    </w:p>
    <w:p w14:paraId="2F93082C" w14:textId="54959F11" w:rsidR="000365ED" w:rsidRPr="000365ED" w:rsidRDefault="000365ED" w:rsidP="000365ED">
      <w:pPr>
        <w:contextualSpacing/>
        <w:rPr>
          <w:rFonts w:ascii="Times New Roman" w:hAnsi="Times New Roman" w:cs="Times New Roman"/>
        </w:rPr>
      </w:pPr>
      <w:r w:rsidRPr="00471776">
        <w:rPr>
          <w:rFonts w:ascii="Times New Roman" w:hAnsi="Times New Roman" w:cs="Times New Roman"/>
          <w:b/>
          <w:bCs/>
        </w:rPr>
        <w:t>Table S</w:t>
      </w:r>
      <w:r w:rsidR="00EF5D6F">
        <w:rPr>
          <w:rFonts w:ascii="Times New Roman" w:hAnsi="Times New Roman" w:cs="Times New Roman"/>
          <w:b/>
          <w:bCs/>
          <w:lang w:val="en-GB"/>
        </w:rPr>
        <w:t>2:</w:t>
      </w:r>
      <w:r w:rsidRPr="000365ED">
        <w:rPr>
          <w:rFonts w:ascii="Times New Roman" w:hAnsi="Times New Roman" w:cs="Times New Roman"/>
        </w:rPr>
        <w:t xml:space="preserve"> Quality assessment criteria for study inclusion</w:t>
      </w:r>
    </w:p>
    <w:p w14:paraId="6ACB73D3" w14:textId="77777777" w:rsidR="000365ED" w:rsidRPr="000365ED" w:rsidRDefault="000365ED" w:rsidP="000365ED">
      <w:pPr>
        <w:rPr>
          <w:rFonts w:ascii="Times New Roman" w:hAnsi="Times New Roman" w:cs="Times New Roman"/>
          <w:lang w:val="en-GB"/>
        </w:rPr>
      </w:pPr>
      <w:r w:rsidRPr="000365ED">
        <w:rPr>
          <w:rFonts w:ascii="Times New Roman" w:hAnsi="Times New Roman" w:cs="Times New Roman"/>
        </w:rPr>
        <w:t>Antibiotic Appropriateness</w:t>
      </w:r>
      <w:r w:rsidRPr="000365ED">
        <w:rPr>
          <w:rFonts w:ascii="Times New Roman" w:hAnsi="Times New Roman" w:cs="Times New Roman"/>
          <w:lang w:val="en-GB"/>
        </w:rPr>
        <w:t xml:space="preserve"> Meta-Analysis Results</w:t>
      </w:r>
    </w:p>
    <w:p w14:paraId="0E98FCA9" w14:textId="489413C4" w:rsidR="003A69BE" w:rsidRPr="003A69BE" w:rsidRDefault="000365ED" w:rsidP="00397401">
      <w:pPr>
        <w:rPr>
          <w:rFonts w:ascii="Times New Roman" w:hAnsi="Times New Roman" w:cs="Times New Roman"/>
          <w:lang w:val="en-GB"/>
        </w:rPr>
      </w:pPr>
      <w:r w:rsidRPr="000365ED">
        <w:rPr>
          <w:rFonts w:ascii="Times New Roman" w:hAnsi="Times New Roman" w:cs="Times New Roman"/>
        </w:rPr>
        <w:t>Antibiotic Consumption</w:t>
      </w:r>
      <w:r w:rsidRPr="000365ED">
        <w:rPr>
          <w:rFonts w:ascii="Times New Roman" w:hAnsi="Times New Roman" w:cs="Times New Roman"/>
          <w:lang w:val="en-GB"/>
        </w:rPr>
        <w:t xml:space="preserve"> Meta-Analysis Results</w:t>
      </w:r>
      <w:r w:rsidR="003A69BE">
        <w:rPr>
          <w:rFonts w:ascii="Times New Roman" w:hAnsi="Times New Roman" w:cs="Times New Roman"/>
          <w:lang w:val="en-GB"/>
        </w:rPr>
        <w:t xml:space="preserve">  </w:t>
      </w:r>
    </w:p>
    <w:p w14:paraId="19E1C3D7" w14:textId="493823A8" w:rsidR="000365ED" w:rsidRPr="000365ED" w:rsidRDefault="00471776" w:rsidP="00397401">
      <w:pPr>
        <w:rPr>
          <w:rFonts w:ascii="Times New Roman" w:hAnsi="Times New Roman" w:cs="Times New Roman"/>
        </w:rPr>
      </w:pPr>
      <w:r w:rsidRPr="00471776">
        <w:rPr>
          <w:rFonts w:ascii="Times New Roman" w:hAnsi="Times New Roman" w:cs="Times New Roman"/>
          <w:b/>
          <w:bCs/>
          <w:lang w:val="en-GB"/>
        </w:rPr>
        <w:t xml:space="preserve">Supplementary </w:t>
      </w:r>
      <w:r w:rsidR="000365ED" w:rsidRPr="00471776">
        <w:rPr>
          <w:rFonts w:ascii="Times New Roman" w:hAnsi="Times New Roman" w:cs="Times New Roman"/>
          <w:b/>
          <w:bCs/>
        </w:rPr>
        <w:t>Figure 1:</w:t>
      </w:r>
      <w:r w:rsidR="000365ED" w:rsidRPr="000365ED">
        <w:rPr>
          <w:rFonts w:ascii="Times New Roman" w:hAnsi="Times New Roman" w:cs="Times New Roman"/>
        </w:rPr>
        <w:t xml:space="preserve"> Sensitivity analysis on antibiotic consumption</w:t>
      </w:r>
    </w:p>
    <w:p w14:paraId="212B0454" w14:textId="1A4BE413" w:rsidR="000365ED" w:rsidRDefault="00471776" w:rsidP="00397401">
      <w:pPr>
        <w:rPr>
          <w:rFonts w:ascii="Times New Roman" w:hAnsi="Times New Roman" w:cs="Times New Roman"/>
          <w:lang w:val="en-GB"/>
        </w:rPr>
      </w:pPr>
      <w:r w:rsidRPr="00471776">
        <w:rPr>
          <w:rFonts w:ascii="Times New Roman" w:hAnsi="Times New Roman" w:cs="Times New Roman"/>
          <w:b/>
          <w:bCs/>
          <w:lang w:val="en-GB"/>
        </w:rPr>
        <w:t>Supplementary</w:t>
      </w:r>
      <w:r w:rsidRPr="00471776">
        <w:rPr>
          <w:rFonts w:ascii="Times New Roman" w:hAnsi="Times New Roman" w:cs="Times New Roman"/>
          <w:b/>
          <w:bCs/>
        </w:rPr>
        <w:t xml:space="preserve"> Figure 2:</w:t>
      </w:r>
      <w:r w:rsidRPr="000365ED">
        <w:rPr>
          <w:rFonts w:ascii="Times New Roman" w:hAnsi="Times New Roman" w:cs="Times New Roman"/>
        </w:rPr>
        <w:t xml:space="preserve"> Antibiotic consumption subgroup analysis on duration of study</w:t>
      </w:r>
    </w:p>
    <w:p w14:paraId="07F774F7" w14:textId="5E1BC8D2" w:rsidR="00471776" w:rsidRPr="00471776" w:rsidRDefault="00471776" w:rsidP="00397401">
      <w:pPr>
        <w:rPr>
          <w:rFonts w:ascii="Times New Roman" w:hAnsi="Times New Roman" w:cs="Times New Roman"/>
          <w:lang w:val="en-GB"/>
        </w:rPr>
      </w:pPr>
      <w:r w:rsidRPr="00471776">
        <w:rPr>
          <w:rFonts w:ascii="Times New Roman" w:hAnsi="Times New Roman" w:cs="Times New Roman"/>
          <w:b/>
          <w:bCs/>
          <w:lang w:val="en-GB"/>
        </w:rPr>
        <w:t>Supplementary</w:t>
      </w:r>
      <w:r w:rsidRPr="00471776">
        <w:rPr>
          <w:rFonts w:ascii="Times New Roman" w:hAnsi="Times New Roman" w:cs="Times New Roman"/>
          <w:b/>
          <w:bCs/>
        </w:rPr>
        <w:t xml:space="preserve"> Figure 3:</w:t>
      </w:r>
      <w:r w:rsidRPr="000365ED">
        <w:rPr>
          <w:rFonts w:ascii="Times New Roman" w:hAnsi="Times New Roman" w:cs="Times New Roman"/>
        </w:rPr>
        <w:t xml:space="preserve"> Antibiotic consumption subgroup analysis on healthcare level</w:t>
      </w:r>
    </w:p>
    <w:p w14:paraId="013F796B" w14:textId="1CD7F574" w:rsidR="000365ED" w:rsidRDefault="00471776" w:rsidP="00397401">
      <w:pPr>
        <w:rPr>
          <w:rFonts w:ascii="Times New Roman" w:hAnsi="Times New Roman" w:cs="Times New Roman"/>
          <w:lang w:val="en-GB"/>
        </w:rPr>
      </w:pPr>
      <w:r w:rsidRPr="00471776">
        <w:rPr>
          <w:rFonts w:ascii="Times New Roman" w:hAnsi="Times New Roman" w:cs="Times New Roman"/>
          <w:b/>
          <w:bCs/>
          <w:lang w:val="en-GB"/>
        </w:rPr>
        <w:t>Supplementary</w:t>
      </w:r>
      <w:r w:rsidRPr="00471776">
        <w:rPr>
          <w:rFonts w:ascii="Times New Roman" w:hAnsi="Times New Roman" w:cs="Times New Roman"/>
          <w:b/>
          <w:bCs/>
        </w:rPr>
        <w:t xml:space="preserve"> Figure 4:</w:t>
      </w:r>
      <w:r w:rsidRPr="000365ED">
        <w:rPr>
          <w:rFonts w:ascii="Times New Roman" w:hAnsi="Times New Roman" w:cs="Times New Roman"/>
        </w:rPr>
        <w:t xml:space="preserve"> Antibiotic consumption subgroup analysis on location of study</w:t>
      </w:r>
    </w:p>
    <w:p w14:paraId="37ACB393" w14:textId="3E948F7F" w:rsidR="00471776" w:rsidRDefault="00471776" w:rsidP="00471776">
      <w:pPr>
        <w:rPr>
          <w:rFonts w:ascii="Times New Roman" w:hAnsi="Times New Roman" w:cs="Times New Roman"/>
          <w:lang w:val="en-GB"/>
        </w:rPr>
      </w:pPr>
      <w:r w:rsidRPr="00471776">
        <w:rPr>
          <w:rFonts w:ascii="Times New Roman" w:hAnsi="Times New Roman" w:cs="Times New Roman"/>
          <w:b/>
          <w:bCs/>
          <w:lang w:val="en-GB"/>
        </w:rPr>
        <w:t>Supplementary</w:t>
      </w:r>
      <w:r w:rsidRPr="00471776">
        <w:rPr>
          <w:rFonts w:ascii="Times New Roman" w:hAnsi="Times New Roman" w:cs="Times New Roman"/>
          <w:b/>
          <w:bCs/>
        </w:rPr>
        <w:t xml:space="preserve"> Figure 5:</w:t>
      </w:r>
      <w:r w:rsidRPr="000365ED">
        <w:rPr>
          <w:rFonts w:ascii="Times New Roman" w:hAnsi="Times New Roman" w:cs="Times New Roman"/>
        </w:rPr>
        <w:t xml:space="preserve"> Antibiotic consumption sensitivity analysis without outliers</w:t>
      </w:r>
    </w:p>
    <w:p w14:paraId="68916D8C" w14:textId="336700DB" w:rsidR="00471776" w:rsidRPr="000365ED" w:rsidRDefault="00471776" w:rsidP="00471776">
      <w:pPr>
        <w:rPr>
          <w:rFonts w:ascii="Times New Roman" w:hAnsi="Times New Roman" w:cs="Times New Roman"/>
        </w:rPr>
      </w:pPr>
      <w:r w:rsidRPr="00471776">
        <w:rPr>
          <w:rFonts w:ascii="Times New Roman" w:hAnsi="Times New Roman" w:cs="Times New Roman"/>
          <w:b/>
          <w:bCs/>
          <w:lang w:val="en-GB"/>
        </w:rPr>
        <w:t>Supplementary</w:t>
      </w:r>
      <w:r w:rsidRPr="00471776">
        <w:rPr>
          <w:rFonts w:ascii="Times New Roman" w:hAnsi="Times New Roman" w:cs="Times New Roman"/>
          <w:b/>
          <w:bCs/>
        </w:rPr>
        <w:t xml:space="preserve"> Figure 6:</w:t>
      </w:r>
      <w:r w:rsidRPr="000365ED">
        <w:rPr>
          <w:rFonts w:ascii="Times New Roman" w:hAnsi="Times New Roman" w:cs="Times New Roman"/>
        </w:rPr>
        <w:t xml:space="preserve"> Antibiotic consumption sensitivity analysis with outliers</w:t>
      </w:r>
    </w:p>
    <w:p w14:paraId="64FFB3EB" w14:textId="250BE6BC" w:rsidR="00471776" w:rsidRPr="00471776" w:rsidRDefault="00471776" w:rsidP="00471776">
      <w:pPr>
        <w:rPr>
          <w:rFonts w:ascii="Times New Roman" w:hAnsi="Times New Roman" w:cs="Times New Roman"/>
        </w:rPr>
      </w:pPr>
      <w:r w:rsidRPr="00471776">
        <w:rPr>
          <w:rFonts w:ascii="Times New Roman" w:hAnsi="Times New Roman" w:cs="Times New Roman"/>
          <w:b/>
          <w:bCs/>
          <w:lang w:val="en-GB"/>
        </w:rPr>
        <w:t>Supplementary</w:t>
      </w:r>
      <w:r w:rsidRPr="00471776">
        <w:rPr>
          <w:rFonts w:ascii="Times New Roman" w:hAnsi="Times New Roman" w:cs="Times New Roman"/>
          <w:b/>
          <w:bCs/>
        </w:rPr>
        <w:t xml:space="preserve"> Figure 7:</w:t>
      </w:r>
      <w:r w:rsidRPr="000365ED">
        <w:rPr>
          <w:rFonts w:ascii="Times New Roman" w:hAnsi="Times New Roman" w:cs="Times New Roman"/>
        </w:rPr>
        <w:t xml:space="preserve"> Antibiotic appropriateness sensitivity analysis</w:t>
      </w:r>
    </w:p>
    <w:p w14:paraId="15031A81" w14:textId="77777777" w:rsidR="00471776" w:rsidRPr="000365ED" w:rsidRDefault="00471776" w:rsidP="00471776">
      <w:pPr>
        <w:rPr>
          <w:rFonts w:ascii="Times New Roman" w:hAnsi="Times New Roman" w:cs="Times New Roman"/>
        </w:rPr>
      </w:pPr>
      <w:r w:rsidRPr="00471776">
        <w:rPr>
          <w:rFonts w:ascii="Times New Roman" w:hAnsi="Times New Roman" w:cs="Times New Roman"/>
          <w:b/>
          <w:bCs/>
          <w:lang w:val="en-GB"/>
        </w:rPr>
        <w:t>Supplementary</w:t>
      </w:r>
      <w:r w:rsidRPr="00471776">
        <w:rPr>
          <w:rFonts w:ascii="Times New Roman" w:hAnsi="Times New Roman" w:cs="Times New Roman"/>
          <w:b/>
          <w:bCs/>
        </w:rPr>
        <w:t xml:space="preserve"> Figure 8:</w:t>
      </w:r>
      <w:r w:rsidRPr="000365ED">
        <w:rPr>
          <w:rFonts w:ascii="Times New Roman" w:hAnsi="Times New Roman" w:cs="Times New Roman"/>
        </w:rPr>
        <w:t xml:space="preserve"> Antibiotic appropriateness subgroup analysis on country/location</w:t>
      </w:r>
    </w:p>
    <w:p w14:paraId="57FFB254" w14:textId="77777777" w:rsidR="00471776" w:rsidRPr="000365ED" w:rsidRDefault="00471776" w:rsidP="00471776">
      <w:pPr>
        <w:rPr>
          <w:rFonts w:ascii="Times New Roman" w:hAnsi="Times New Roman" w:cs="Times New Roman"/>
        </w:rPr>
      </w:pPr>
      <w:r w:rsidRPr="00471776">
        <w:rPr>
          <w:rFonts w:ascii="Times New Roman" w:hAnsi="Times New Roman" w:cs="Times New Roman"/>
          <w:b/>
          <w:bCs/>
          <w:lang w:val="en-GB"/>
        </w:rPr>
        <w:t>Supplementary</w:t>
      </w:r>
      <w:r w:rsidRPr="00471776">
        <w:rPr>
          <w:rFonts w:ascii="Times New Roman" w:hAnsi="Times New Roman" w:cs="Times New Roman"/>
          <w:b/>
          <w:bCs/>
        </w:rPr>
        <w:t xml:space="preserve"> Figure 9:</w:t>
      </w:r>
      <w:r w:rsidRPr="000365ED">
        <w:rPr>
          <w:rFonts w:ascii="Times New Roman" w:hAnsi="Times New Roman" w:cs="Times New Roman"/>
        </w:rPr>
        <w:t xml:space="preserve"> Antibiotic appropriateness subgroup analysis on guidelines used in Ghana</w:t>
      </w:r>
    </w:p>
    <w:p w14:paraId="0B791D8D" w14:textId="22D8ADB2" w:rsidR="00471776" w:rsidRDefault="00471776" w:rsidP="00471776">
      <w:pPr>
        <w:rPr>
          <w:rFonts w:ascii="Times New Roman" w:hAnsi="Times New Roman" w:cs="Times New Roman"/>
          <w:lang w:val="en-GB"/>
        </w:rPr>
      </w:pPr>
      <w:r w:rsidRPr="00471776">
        <w:rPr>
          <w:rFonts w:ascii="Times New Roman" w:hAnsi="Times New Roman" w:cs="Times New Roman"/>
          <w:b/>
          <w:bCs/>
          <w:lang w:val="en-GB"/>
        </w:rPr>
        <w:t>Supplementary</w:t>
      </w:r>
      <w:r w:rsidRPr="00471776">
        <w:rPr>
          <w:rFonts w:ascii="Times New Roman" w:hAnsi="Times New Roman" w:cs="Times New Roman"/>
          <w:b/>
          <w:bCs/>
        </w:rPr>
        <w:t xml:space="preserve"> Figure 10:</w:t>
      </w:r>
      <w:r w:rsidRPr="000365ED">
        <w:rPr>
          <w:rFonts w:ascii="Times New Roman" w:hAnsi="Times New Roman" w:cs="Times New Roman"/>
        </w:rPr>
        <w:t xml:space="preserve"> Antibiotic appropriateness subgroup analysis on healthcare level</w:t>
      </w:r>
    </w:p>
    <w:p w14:paraId="4D331679" w14:textId="3998334F" w:rsidR="00471776" w:rsidRDefault="00471776" w:rsidP="00397401">
      <w:pPr>
        <w:rPr>
          <w:rFonts w:ascii="Times New Roman" w:hAnsi="Times New Roman" w:cs="Times New Roman"/>
        </w:rPr>
      </w:pPr>
      <w:r w:rsidRPr="00471776">
        <w:rPr>
          <w:rFonts w:ascii="Times New Roman" w:hAnsi="Times New Roman" w:cs="Times New Roman"/>
          <w:b/>
          <w:bCs/>
          <w:lang w:val="en-GB"/>
        </w:rPr>
        <w:t>Supplementary</w:t>
      </w:r>
      <w:r w:rsidRPr="00471776">
        <w:rPr>
          <w:rFonts w:ascii="Times New Roman" w:hAnsi="Times New Roman" w:cs="Times New Roman"/>
          <w:b/>
          <w:bCs/>
        </w:rPr>
        <w:t xml:space="preserve"> Figure 11:</w:t>
      </w:r>
      <w:r w:rsidRPr="000365ED">
        <w:rPr>
          <w:rFonts w:ascii="Times New Roman" w:hAnsi="Times New Roman" w:cs="Times New Roman"/>
        </w:rPr>
        <w:t xml:space="preserve"> Antibiotic appropriateness subgroup analysis on year of study</w:t>
      </w:r>
    </w:p>
    <w:p w14:paraId="3A6FA8CC" w14:textId="74DB5310" w:rsidR="003A69BE" w:rsidRPr="00471776" w:rsidRDefault="003A69BE" w:rsidP="00397401">
      <w:pPr>
        <w:rPr>
          <w:rFonts w:ascii="Times New Roman" w:hAnsi="Times New Roman" w:cs="Times New Roman"/>
          <w:lang w:val="en-GB"/>
        </w:rPr>
      </w:pPr>
      <w:r w:rsidRPr="003A69BE">
        <w:rPr>
          <w:rFonts w:ascii="Times New Roman" w:hAnsi="Times New Roman" w:cs="Times New Roman"/>
          <w:b/>
          <w:bCs/>
        </w:rPr>
        <w:t>Table S3:</w:t>
      </w:r>
      <w:r>
        <w:rPr>
          <w:rFonts w:ascii="Times New Roman" w:hAnsi="Times New Roman" w:cs="Times New Roman"/>
        </w:rPr>
        <w:t xml:space="preserve"> </w:t>
      </w:r>
      <w:r>
        <w:t>Summary of findings of the knowledge, attitudes, and practice surveys</w:t>
      </w:r>
    </w:p>
    <w:p w14:paraId="7180EB04" w14:textId="523C0483" w:rsidR="00471776" w:rsidRPr="000365ED" w:rsidRDefault="00471776" w:rsidP="00471776">
      <w:pPr>
        <w:rPr>
          <w:rFonts w:ascii="Times New Roman" w:hAnsi="Times New Roman" w:cs="Times New Roman"/>
        </w:rPr>
      </w:pPr>
      <w:r w:rsidRPr="00471776">
        <w:rPr>
          <w:rFonts w:ascii="Times New Roman" w:hAnsi="Times New Roman" w:cs="Times New Roman"/>
          <w:b/>
          <w:bCs/>
        </w:rPr>
        <w:t>Table S</w:t>
      </w:r>
      <w:r w:rsidR="003A69BE">
        <w:rPr>
          <w:rFonts w:ascii="Times New Roman" w:hAnsi="Times New Roman" w:cs="Times New Roman"/>
          <w:b/>
          <w:bCs/>
        </w:rPr>
        <w:t>4</w:t>
      </w:r>
      <w:r w:rsidR="00EF5D6F">
        <w:rPr>
          <w:rFonts w:ascii="Times New Roman" w:hAnsi="Times New Roman" w:cs="Times New Roman"/>
          <w:b/>
          <w:bCs/>
        </w:rPr>
        <w:t>:</w:t>
      </w:r>
      <w:r w:rsidRPr="000365ED">
        <w:rPr>
          <w:rFonts w:ascii="Times New Roman" w:hAnsi="Times New Roman" w:cs="Times New Roman"/>
        </w:rPr>
        <w:t xml:space="preserve"> List of the studies excluded at full-text screening stage</w:t>
      </w:r>
    </w:p>
    <w:p w14:paraId="55BA5F39" w14:textId="77777777" w:rsidR="000365ED" w:rsidRPr="000365ED" w:rsidRDefault="000365ED" w:rsidP="00397401">
      <w:pPr>
        <w:rPr>
          <w:rFonts w:ascii="Times New Roman" w:hAnsi="Times New Roman" w:cs="Times New Roman"/>
        </w:rPr>
      </w:pPr>
    </w:p>
    <w:p w14:paraId="65EF0646" w14:textId="77777777" w:rsidR="000365ED" w:rsidRPr="000365ED" w:rsidRDefault="000365ED" w:rsidP="00397401">
      <w:pPr>
        <w:rPr>
          <w:rFonts w:ascii="Times New Roman" w:hAnsi="Times New Roman" w:cs="Times New Roman"/>
        </w:rPr>
      </w:pPr>
    </w:p>
    <w:p w14:paraId="64EE6A38" w14:textId="77777777" w:rsidR="000365ED" w:rsidRPr="000365ED" w:rsidRDefault="000365ED" w:rsidP="00397401">
      <w:pPr>
        <w:rPr>
          <w:rFonts w:ascii="Times New Roman" w:hAnsi="Times New Roman" w:cs="Times New Roman"/>
        </w:rPr>
      </w:pPr>
    </w:p>
    <w:p w14:paraId="73025647" w14:textId="77777777" w:rsidR="000365ED" w:rsidRPr="000365ED" w:rsidRDefault="000365ED" w:rsidP="00397401">
      <w:pPr>
        <w:rPr>
          <w:rFonts w:ascii="Times New Roman" w:hAnsi="Times New Roman" w:cs="Times New Roman"/>
        </w:rPr>
      </w:pPr>
    </w:p>
    <w:p w14:paraId="231B5EBC" w14:textId="77777777" w:rsidR="000365ED" w:rsidRPr="000365ED" w:rsidRDefault="000365ED" w:rsidP="00397401">
      <w:pPr>
        <w:rPr>
          <w:rFonts w:ascii="Times New Roman" w:hAnsi="Times New Roman" w:cs="Times New Roman"/>
        </w:rPr>
      </w:pPr>
    </w:p>
    <w:p w14:paraId="724ADFBA" w14:textId="77777777" w:rsidR="000365ED" w:rsidRPr="000365ED" w:rsidRDefault="000365ED" w:rsidP="00397401">
      <w:pPr>
        <w:rPr>
          <w:rFonts w:ascii="Times New Roman" w:hAnsi="Times New Roman" w:cs="Times New Roman"/>
        </w:rPr>
      </w:pPr>
    </w:p>
    <w:p w14:paraId="6C72EFBB" w14:textId="77777777" w:rsidR="000365ED" w:rsidRPr="000365ED" w:rsidRDefault="000365ED" w:rsidP="00397401">
      <w:pPr>
        <w:rPr>
          <w:rFonts w:ascii="Times New Roman" w:hAnsi="Times New Roman" w:cs="Times New Roman"/>
        </w:rPr>
      </w:pPr>
    </w:p>
    <w:p w14:paraId="5CAB7DA4" w14:textId="77777777" w:rsidR="000365ED" w:rsidRPr="000365ED" w:rsidRDefault="000365ED" w:rsidP="00397401">
      <w:pPr>
        <w:rPr>
          <w:rFonts w:ascii="Times New Roman" w:hAnsi="Times New Roman" w:cs="Times New Roman"/>
        </w:rPr>
      </w:pPr>
    </w:p>
    <w:p w14:paraId="2AF08915" w14:textId="77777777" w:rsidR="000365ED" w:rsidRPr="000365ED" w:rsidRDefault="000365ED" w:rsidP="00397401">
      <w:pPr>
        <w:rPr>
          <w:rFonts w:ascii="Times New Roman" w:hAnsi="Times New Roman" w:cs="Times New Roman"/>
        </w:rPr>
      </w:pPr>
    </w:p>
    <w:p w14:paraId="5047FE1B" w14:textId="77777777" w:rsidR="000365ED" w:rsidRPr="000365ED" w:rsidRDefault="000365ED" w:rsidP="00397401">
      <w:pPr>
        <w:rPr>
          <w:rFonts w:ascii="Times New Roman" w:hAnsi="Times New Roman" w:cs="Times New Roman"/>
        </w:rPr>
      </w:pPr>
    </w:p>
    <w:p w14:paraId="22FFF4BB" w14:textId="77777777" w:rsidR="000365ED" w:rsidRPr="000365ED" w:rsidRDefault="000365ED" w:rsidP="00397401">
      <w:pPr>
        <w:rPr>
          <w:rFonts w:ascii="Times New Roman" w:hAnsi="Times New Roman" w:cs="Times New Roman"/>
        </w:rPr>
      </w:pPr>
    </w:p>
    <w:p w14:paraId="03138FD6" w14:textId="77777777" w:rsidR="000365ED" w:rsidRPr="000365ED" w:rsidRDefault="000365ED" w:rsidP="00397401">
      <w:pPr>
        <w:rPr>
          <w:rFonts w:ascii="Times New Roman" w:hAnsi="Times New Roman" w:cs="Times New Roman"/>
        </w:rPr>
      </w:pPr>
    </w:p>
    <w:p w14:paraId="2C99019B" w14:textId="77777777" w:rsidR="000365ED" w:rsidRPr="000365ED" w:rsidRDefault="000365ED" w:rsidP="00397401">
      <w:pPr>
        <w:rPr>
          <w:rFonts w:ascii="Times New Roman" w:hAnsi="Times New Roman" w:cs="Times New Roman"/>
        </w:rPr>
      </w:pPr>
    </w:p>
    <w:p w14:paraId="06DA2076" w14:textId="77777777" w:rsidR="000365ED" w:rsidRPr="000365ED" w:rsidRDefault="000365ED" w:rsidP="00397401">
      <w:pPr>
        <w:rPr>
          <w:rFonts w:ascii="Times New Roman" w:hAnsi="Times New Roman" w:cs="Times New Roman"/>
        </w:rPr>
      </w:pPr>
    </w:p>
    <w:p w14:paraId="41A9E61E" w14:textId="77777777" w:rsidR="000365ED" w:rsidRPr="000365ED" w:rsidRDefault="000365ED" w:rsidP="00397401">
      <w:pPr>
        <w:rPr>
          <w:rFonts w:ascii="Times New Roman" w:hAnsi="Times New Roman" w:cs="Times New Roman"/>
        </w:rPr>
      </w:pPr>
    </w:p>
    <w:p w14:paraId="18F386C5" w14:textId="77777777" w:rsidR="000365ED" w:rsidRPr="000365ED" w:rsidRDefault="000365ED" w:rsidP="00397401">
      <w:pPr>
        <w:rPr>
          <w:rFonts w:ascii="Times New Roman" w:hAnsi="Times New Roman" w:cs="Times New Roman"/>
        </w:rPr>
      </w:pPr>
    </w:p>
    <w:p w14:paraId="602A2EE1" w14:textId="6E56394E" w:rsidR="00D55E9E" w:rsidRPr="000365ED" w:rsidRDefault="00D55E9E" w:rsidP="00397401">
      <w:pPr>
        <w:rPr>
          <w:rFonts w:ascii="Times New Roman" w:hAnsi="Times New Roman" w:cs="Times New Roman"/>
        </w:rPr>
      </w:pPr>
      <w:r w:rsidRPr="000365ED">
        <w:rPr>
          <w:rFonts w:ascii="Times New Roman" w:hAnsi="Times New Roman" w:cs="Times New Roman"/>
        </w:rPr>
        <w:t xml:space="preserve">Table </w:t>
      </w:r>
      <w:r w:rsidR="00397401" w:rsidRPr="000365ED">
        <w:rPr>
          <w:rFonts w:ascii="Times New Roman" w:hAnsi="Times New Roman" w:cs="Times New Roman"/>
        </w:rPr>
        <w:t>S</w:t>
      </w:r>
      <w:r w:rsidRPr="000365ED">
        <w:rPr>
          <w:rFonts w:ascii="Times New Roman" w:hAnsi="Times New Roman" w:cs="Times New Roman"/>
        </w:rPr>
        <w:t>1. A table containing search terms used on each Database</w:t>
      </w:r>
      <w:r w:rsidR="008869C5" w:rsidRPr="000365ED">
        <w:rPr>
          <w:rFonts w:ascii="Times New Roman" w:hAnsi="Times New Roman" w:cs="Times New Roman"/>
        </w:rPr>
        <w:t xml:space="preserve"> (February 14, 2024)</w:t>
      </w:r>
    </w:p>
    <w:tbl>
      <w:tblPr>
        <w:tblStyle w:val="TableGrid"/>
        <w:tblW w:w="9493" w:type="dxa"/>
        <w:tblLook w:val="04A0" w:firstRow="1" w:lastRow="0" w:firstColumn="1" w:lastColumn="0" w:noHBand="0" w:noVBand="1"/>
      </w:tblPr>
      <w:tblGrid>
        <w:gridCol w:w="1043"/>
        <w:gridCol w:w="5214"/>
        <w:gridCol w:w="1676"/>
        <w:gridCol w:w="1560"/>
      </w:tblGrid>
      <w:tr w:rsidR="00D55E9E" w:rsidRPr="000365ED" w14:paraId="38C76E15" w14:textId="77777777" w:rsidTr="002215C1">
        <w:tc>
          <w:tcPr>
            <w:tcW w:w="1043" w:type="dxa"/>
          </w:tcPr>
          <w:p w14:paraId="4D555224" w14:textId="77777777" w:rsidR="00D55E9E" w:rsidRPr="000365ED" w:rsidRDefault="00D55E9E" w:rsidP="00397401">
            <w:pPr>
              <w:rPr>
                <w:rFonts w:ascii="Times New Roman" w:hAnsi="Times New Roman" w:cs="Times New Roman"/>
              </w:rPr>
            </w:pPr>
            <w:r w:rsidRPr="000365ED">
              <w:rPr>
                <w:rFonts w:ascii="Times New Roman" w:hAnsi="Times New Roman" w:cs="Times New Roman"/>
              </w:rPr>
              <w:t>Data Base</w:t>
            </w:r>
          </w:p>
        </w:tc>
        <w:tc>
          <w:tcPr>
            <w:tcW w:w="5214" w:type="dxa"/>
          </w:tcPr>
          <w:p w14:paraId="5D3D1833" w14:textId="77777777" w:rsidR="00D55E9E" w:rsidRPr="000365ED" w:rsidRDefault="00D55E9E" w:rsidP="00397401">
            <w:pPr>
              <w:rPr>
                <w:rFonts w:ascii="Times New Roman" w:hAnsi="Times New Roman" w:cs="Times New Roman"/>
              </w:rPr>
            </w:pPr>
            <w:r w:rsidRPr="000365ED">
              <w:rPr>
                <w:rFonts w:ascii="Times New Roman" w:hAnsi="Times New Roman" w:cs="Times New Roman"/>
              </w:rPr>
              <w:t>Search Terms</w:t>
            </w:r>
          </w:p>
        </w:tc>
        <w:tc>
          <w:tcPr>
            <w:tcW w:w="1676" w:type="dxa"/>
          </w:tcPr>
          <w:p w14:paraId="1B7AA696" w14:textId="4F77105D" w:rsidR="00D55E9E" w:rsidRPr="000365ED" w:rsidRDefault="00D55E9E" w:rsidP="00397401">
            <w:pPr>
              <w:rPr>
                <w:rFonts w:ascii="Times New Roman" w:hAnsi="Times New Roman" w:cs="Times New Roman"/>
              </w:rPr>
            </w:pPr>
            <w:r w:rsidRPr="000365ED">
              <w:rPr>
                <w:rFonts w:ascii="Times New Roman" w:hAnsi="Times New Roman" w:cs="Times New Roman"/>
              </w:rPr>
              <w:t>Comment</w:t>
            </w:r>
          </w:p>
        </w:tc>
        <w:tc>
          <w:tcPr>
            <w:tcW w:w="1560" w:type="dxa"/>
          </w:tcPr>
          <w:p w14:paraId="0BD656AA" w14:textId="01B86EAD" w:rsidR="00D55E9E" w:rsidRPr="000365ED" w:rsidRDefault="00D55E9E" w:rsidP="00397401">
            <w:pPr>
              <w:rPr>
                <w:rFonts w:ascii="Times New Roman" w:hAnsi="Times New Roman" w:cs="Times New Roman"/>
              </w:rPr>
            </w:pPr>
            <w:r w:rsidRPr="000365ED">
              <w:rPr>
                <w:rFonts w:ascii="Times New Roman" w:hAnsi="Times New Roman" w:cs="Times New Roman"/>
              </w:rPr>
              <w:t>Date Searched</w:t>
            </w:r>
          </w:p>
        </w:tc>
      </w:tr>
      <w:tr w:rsidR="00D55E9E" w:rsidRPr="000365ED" w14:paraId="58A7F6B4" w14:textId="77777777" w:rsidTr="002215C1">
        <w:tc>
          <w:tcPr>
            <w:tcW w:w="1043" w:type="dxa"/>
          </w:tcPr>
          <w:p w14:paraId="55D6E98E" w14:textId="77777777" w:rsidR="00D55E9E" w:rsidRPr="000365ED" w:rsidRDefault="00D55E9E" w:rsidP="00397401">
            <w:pPr>
              <w:rPr>
                <w:rFonts w:ascii="Times New Roman" w:hAnsi="Times New Roman" w:cs="Times New Roman"/>
              </w:rPr>
            </w:pPr>
            <w:r w:rsidRPr="000365ED">
              <w:rPr>
                <w:rFonts w:ascii="Times New Roman" w:hAnsi="Times New Roman" w:cs="Times New Roman"/>
              </w:rPr>
              <w:t>PubMed</w:t>
            </w:r>
          </w:p>
        </w:tc>
        <w:tc>
          <w:tcPr>
            <w:tcW w:w="5214" w:type="dxa"/>
          </w:tcPr>
          <w:p w14:paraId="30CAC2D4" w14:textId="77777777" w:rsidR="00D55E9E" w:rsidRPr="000365ED" w:rsidRDefault="00D55E9E" w:rsidP="00397401">
            <w:pPr>
              <w:rPr>
                <w:rFonts w:ascii="Times New Roman" w:hAnsi="Times New Roman" w:cs="Times New Roman"/>
              </w:rPr>
            </w:pPr>
            <w:r w:rsidRPr="000365ED">
              <w:rPr>
                <w:rFonts w:ascii="Times New Roman" w:hAnsi="Times New Roman" w:cs="Times New Roman"/>
                <w:lang w:val="en-ID"/>
              </w:rPr>
              <w:t>("Anti-Bacterial Agents"[Mesh] OR "Antibiotic Prophylaxis"[Mesh]) OR (("anti-bacterial"[</w:t>
            </w:r>
            <w:proofErr w:type="spellStart"/>
            <w:r w:rsidRPr="000365ED">
              <w:rPr>
                <w:rFonts w:ascii="Times New Roman" w:hAnsi="Times New Roman" w:cs="Times New Roman"/>
                <w:lang w:val="en-ID"/>
              </w:rPr>
              <w:t>tiab</w:t>
            </w:r>
            <w:proofErr w:type="spellEnd"/>
            <w:r w:rsidRPr="000365ED">
              <w:rPr>
                <w:rFonts w:ascii="Times New Roman" w:hAnsi="Times New Roman" w:cs="Times New Roman"/>
                <w:lang w:val="en-ID"/>
              </w:rPr>
              <w:t>] OR "antibiotic"[</w:t>
            </w:r>
            <w:proofErr w:type="spellStart"/>
            <w:r w:rsidRPr="000365ED">
              <w:rPr>
                <w:rFonts w:ascii="Times New Roman" w:hAnsi="Times New Roman" w:cs="Times New Roman"/>
                <w:lang w:val="en-ID"/>
              </w:rPr>
              <w:t>tiab</w:t>
            </w:r>
            <w:proofErr w:type="spellEnd"/>
            <w:r w:rsidRPr="000365ED">
              <w:rPr>
                <w:rFonts w:ascii="Times New Roman" w:hAnsi="Times New Roman" w:cs="Times New Roman"/>
                <w:lang w:val="en-ID"/>
              </w:rPr>
              <w:t>] OR "antimicrobial"[</w:t>
            </w:r>
            <w:proofErr w:type="spellStart"/>
            <w:r w:rsidRPr="000365ED">
              <w:rPr>
                <w:rFonts w:ascii="Times New Roman" w:hAnsi="Times New Roman" w:cs="Times New Roman"/>
                <w:lang w:val="en-ID"/>
              </w:rPr>
              <w:t>tiab</w:t>
            </w:r>
            <w:proofErr w:type="spellEnd"/>
            <w:r w:rsidRPr="000365ED">
              <w:rPr>
                <w:rFonts w:ascii="Times New Roman" w:hAnsi="Times New Roman" w:cs="Times New Roman"/>
                <w:lang w:val="en-ID"/>
              </w:rPr>
              <w:t>]) AND ("use"[</w:t>
            </w:r>
            <w:proofErr w:type="spellStart"/>
            <w:r w:rsidRPr="000365ED">
              <w:rPr>
                <w:rFonts w:ascii="Times New Roman" w:hAnsi="Times New Roman" w:cs="Times New Roman"/>
                <w:lang w:val="en-ID"/>
              </w:rPr>
              <w:t>tiab</w:t>
            </w:r>
            <w:proofErr w:type="spellEnd"/>
            <w:r w:rsidRPr="000365ED">
              <w:rPr>
                <w:rFonts w:ascii="Times New Roman" w:hAnsi="Times New Roman" w:cs="Times New Roman"/>
                <w:lang w:val="en-ID"/>
              </w:rPr>
              <w:t>] OR "usage"[</w:t>
            </w:r>
            <w:proofErr w:type="spellStart"/>
            <w:r w:rsidRPr="000365ED">
              <w:rPr>
                <w:rFonts w:ascii="Times New Roman" w:hAnsi="Times New Roman" w:cs="Times New Roman"/>
                <w:lang w:val="en-ID"/>
              </w:rPr>
              <w:t>tiab</w:t>
            </w:r>
            <w:proofErr w:type="spellEnd"/>
            <w:r w:rsidRPr="000365ED">
              <w:rPr>
                <w:rFonts w:ascii="Times New Roman" w:hAnsi="Times New Roman" w:cs="Times New Roman"/>
                <w:lang w:val="en-ID"/>
              </w:rPr>
              <w:t>] OR "prescription*"[</w:t>
            </w:r>
            <w:proofErr w:type="spellStart"/>
            <w:r w:rsidRPr="000365ED">
              <w:rPr>
                <w:rFonts w:ascii="Times New Roman" w:hAnsi="Times New Roman" w:cs="Times New Roman"/>
                <w:lang w:val="en-ID"/>
              </w:rPr>
              <w:t>tiab</w:t>
            </w:r>
            <w:proofErr w:type="spellEnd"/>
            <w:r w:rsidRPr="000365ED">
              <w:rPr>
                <w:rFonts w:ascii="Times New Roman" w:hAnsi="Times New Roman" w:cs="Times New Roman"/>
                <w:lang w:val="en-ID"/>
              </w:rPr>
              <w:t>] OR "prescribing"[</w:t>
            </w:r>
            <w:proofErr w:type="spellStart"/>
            <w:r w:rsidRPr="000365ED">
              <w:rPr>
                <w:rFonts w:ascii="Times New Roman" w:hAnsi="Times New Roman" w:cs="Times New Roman"/>
                <w:lang w:val="en-ID"/>
              </w:rPr>
              <w:t>tiab</w:t>
            </w:r>
            <w:proofErr w:type="spellEnd"/>
            <w:r w:rsidRPr="000365ED">
              <w:rPr>
                <w:rFonts w:ascii="Times New Roman" w:hAnsi="Times New Roman" w:cs="Times New Roman"/>
                <w:lang w:val="en-ID"/>
              </w:rPr>
              <w:t>] OR "consumption"[</w:t>
            </w:r>
            <w:proofErr w:type="spellStart"/>
            <w:r w:rsidRPr="000365ED">
              <w:rPr>
                <w:rFonts w:ascii="Times New Roman" w:hAnsi="Times New Roman" w:cs="Times New Roman"/>
                <w:lang w:val="en-ID"/>
              </w:rPr>
              <w:t>tiab</w:t>
            </w:r>
            <w:proofErr w:type="spellEnd"/>
            <w:r w:rsidRPr="000365ED">
              <w:rPr>
                <w:rFonts w:ascii="Times New Roman" w:hAnsi="Times New Roman" w:cs="Times New Roman"/>
                <w:lang w:val="en-ID"/>
              </w:rPr>
              <w:t>] OR "dispensing"[</w:t>
            </w:r>
            <w:proofErr w:type="spellStart"/>
            <w:r w:rsidRPr="000365ED">
              <w:rPr>
                <w:rFonts w:ascii="Times New Roman" w:hAnsi="Times New Roman" w:cs="Times New Roman"/>
                <w:lang w:val="en-ID"/>
              </w:rPr>
              <w:t>tiab</w:t>
            </w:r>
            <w:proofErr w:type="spellEnd"/>
            <w:r w:rsidRPr="000365ED">
              <w:rPr>
                <w:rFonts w:ascii="Times New Roman" w:hAnsi="Times New Roman" w:cs="Times New Roman"/>
                <w:lang w:val="en-ID"/>
              </w:rPr>
              <w:t>] OR "stewardship"[</w:t>
            </w:r>
            <w:proofErr w:type="spellStart"/>
            <w:r w:rsidRPr="000365ED">
              <w:rPr>
                <w:rFonts w:ascii="Times New Roman" w:hAnsi="Times New Roman" w:cs="Times New Roman"/>
                <w:lang w:val="en-ID"/>
              </w:rPr>
              <w:t>tiab</w:t>
            </w:r>
            <w:proofErr w:type="spellEnd"/>
            <w:r w:rsidRPr="000365ED">
              <w:rPr>
                <w:rFonts w:ascii="Times New Roman" w:hAnsi="Times New Roman" w:cs="Times New Roman"/>
                <w:lang w:val="en-ID"/>
              </w:rPr>
              <w:t>])) AND ("Benin"[</w:t>
            </w:r>
            <w:proofErr w:type="spellStart"/>
            <w:r w:rsidRPr="000365ED">
              <w:rPr>
                <w:rFonts w:ascii="Times New Roman" w:hAnsi="Times New Roman" w:cs="Times New Roman"/>
                <w:lang w:val="en-ID"/>
              </w:rPr>
              <w:t>tiab</w:t>
            </w:r>
            <w:proofErr w:type="spellEnd"/>
            <w:r w:rsidRPr="000365ED">
              <w:rPr>
                <w:rFonts w:ascii="Times New Roman" w:hAnsi="Times New Roman" w:cs="Times New Roman"/>
                <w:lang w:val="en-ID"/>
              </w:rPr>
              <w:t>] OR "Benin"[</w:t>
            </w:r>
            <w:proofErr w:type="spellStart"/>
            <w:r w:rsidRPr="000365ED">
              <w:rPr>
                <w:rFonts w:ascii="Times New Roman" w:hAnsi="Times New Roman" w:cs="Times New Roman"/>
                <w:lang w:val="en-ID"/>
              </w:rPr>
              <w:t>MeSH</w:t>
            </w:r>
            <w:proofErr w:type="spellEnd"/>
            <w:r w:rsidRPr="000365ED">
              <w:rPr>
                <w:rFonts w:ascii="Times New Roman" w:hAnsi="Times New Roman" w:cs="Times New Roman"/>
                <w:lang w:val="en-ID"/>
              </w:rPr>
              <w:t>]) NOT Review [Publication Type]</w:t>
            </w:r>
          </w:p>
        </w:tc>
        <w:tc>
          <w:tcPr>
            <w:tcW w:w="1676" w:type="dxa"/>
          </w:tcPr>
          <w:p w14:paraId="2AACB452" w14:textId="4036822F" w:rsidR="00D55E9E" w:rsidRPr="000365ED" w:rsidRDefault="00D55E9E" w:rsidP="00397401">
            <w:pPr>
              <w:rPr>
                <w:rFonts w:ascii="Times New Roman" w:hAnsi="Times New Roman" w:cs="Times New Roman"/>
              </w:rPr>
            </w:pPr>
            <w:r w:rsidRPr="000365ED">
              <w:rPr>
                <w:rFonts w:ascii="Times New Roman" w:hAnsi="Times New Roman" w:cs="Times New Roman"/>
              </w:rPr>
              <w:t>All the remaining 15 West African Countries were replaced at “Benin”, one after the other</w:t>
            </w:r>
          </w:p>
        </w:tc>
        <w:tc>
          <w:tcPr>
            <w:tcW w:w="1560" w:type="dxa"/>
          </w:tcPr>
          <w:p w14:paraId="6DA11B7A" w14:textId="4B5583C3" w:rsidR="00D55E9E" w:rsidRPr="000365ED" w:rsidRDefault="00D55E9E" w:rsidP="00397401">
            <w:pPr>
              <w:rPr>
                <w:rFonts w:ascii="Times New Roman" w:hAnsi="Times New Roman" w:cs="Times New Roman"/>
              </w:rPr>
            </w:pPr>
            <w:r w:rsidRPr="000365ED">
              <w:rPr>
                <w:rFonts w:ascii="Times New Roman" w:hAnsi="Times New Roman" w:cs="Times New Roman"/>
              </w:rPr>
              <w:t>February 14, 2024</w:t>
            </w:r>
          </w:p>
        </w:tc>
      </w:tr>
      <w:tr w:rsidR="00D55E9E" w:rsidRPr="000365ED" w14:paraId="12E241AF" w14:textId="77777777" w:rsidTr="002215C1">
        <w:tc>
          <w:tcPr>
            <w:tcW w:w="1043" w:type="dxa"/>
          </w:tcPr>
          <w:p w14:paraId="3EB03A12" w14:textId="77777777" w:rsidR="00D55E9E" w:rsidRPr="000365ED" w:rsidRDefault="00D55E9E" w:rsidP="00397401">
            <w:pPr>
              <w:rPr>
                <w:rFonts w:ascii="Times New Roman" w:hAnsi="Times New Roman" w:cs="Times New Roman"/>
              </w:rPr>
            </w:pPr>
            <w:r w:rsidRPr="000365ED">
              <w:rPr>
                <w:rFonts w:ascii="Times New Roman" w:hAnsi="Times New Roman" w:cs="Times New Roman"/>
              </w:rPr>
              <w:t>Scopus</w:t>
            </w:r>
          </w:p>
        </w:tc>
        <w:tc>
          <w:tcPr>
            <w:tcW w:w="5214" w:type="dxa"/>
          </w:tcPr>
          <w:p w14:paraId="09B0A6D9" w14:textId="77777777" w:rsidR="00D55E9E" w:rsidRPr="000365ED" w:rsidRDefault="00D55E9E" w:rsidP="00397401">
            <w:pPr>
              <w:rPr>
                <w:rFonts w:ascii="Times New Roman" w:hAnsi="Times New Roman" w:cs="Times New Roman"/>
              </w:rPr>
            </w:pPr>
            <w:r w:rsidRPr="000365ED">
              <w:rPr>
                <w:rFonts w:ascii="Times New Roman" w:hAnsi="Times New Roman" w:cs="Times New Roman"/>
              </w:rPr>
              <w:t>("Anti-Bacterial Agents" OR "Antibiotic Prophylaxis") OR (("anti-bacterial" OR "antibiotic" OR "antimicrobial") AND ("use" OR "usage" OR "prescription*" OR "prescribing" OR "consumption" OR "dispensing" OR "stewardship")) AND ("Benin" OR "Burkina Faso" OR "Cape Verde" OR "Côte D'Ivoire" OR "Gambia" OR "Ghana" OR "Guinea" OR "Guinea-Bissau" OR "Liberia" OR "Mali" OR "Mauritania" OR "Niger" OR "Nigeria" OR "Senegal" OR "Sierra Leone" OR "Togo")</w:t>
            </w:r>
          </w:p>
        </w:tc>
        <w:tc>
          <w:tcPr>
            <w:tcW w:w="1676" w:type="dxa"/>
          </w:tcPr>
          <w:p w14:paraId="7A8BF8F6" w14:textId="470751CA" w:rsidR="00D55E9E" w:rsidRPr="000365ED" w:rsidRDefault="00D55E9E" w:rsidP="00397401">
            <w:pPr>
              <w:rPr>
                <w:rFonts w:ascii="Times New Roman" w:hAnsi="Times New Roman" w:cs="Times New Roman"/>
              </w:rPr>
            </w:pPr>
            <w:r w:rsidRPr="000365ED">
              <w:rPr>
                <w:rFonts w:ascii="Times New Roman" w:hAnsi="Times New Roman" w:cs="Times New Roman"/>
              </w:rPr>
              <w:t xml:space="preserve">All the West African countries were selected </w:t>
            </w:r>
          </w:p>
        </w:tc>
        <w:tc>
          <w:tcPr>
            <w:tcW w:w="1560" w:type="dxa"/>
          </w:tcPr>
          <w:p w14:paraId="58FD924C" w14:textId="3E8E7785" w:rsidR="00D55E9E" w:rsidRPr="000365ED" w:rsidRDefault="00D55E9E" w:rsidP="00397401">
            <w:pPr>
              <w:rPr>
                <w:rFonts w:ascii="Times New Roman" w:hAnsi="Times New Roman" w:cs="Times New Roman"/>
              </w:rPr>
            </w:pPr>
            <w:r w:rsidRPr="000365ED">
              <w:rPr>
                <w:rFonts w:ascii="Times New Roman" w:hAnsi="Times New Roman" w:cs="Times New Roman"/>
              </w:rPr>
              <w:t>February 14, 2024</w:t>
            </w:r>
          </w:p>
        </w:tc>
      </w:tr>
    </w:tbl>
    <w:p w14:paraId="00CF277F" w14:textId="262AD6A8" w:rsidR="00F3600C" w:rsidRPr="000365ED" w:rsidRDefault="00F3600C" w:rsidP="00397401">
      <w:pPr>
        <w:rPr>
          <w:rFonts w:ascii="Times New Roman" w:hAnsi="Times New Roman" w:cs="Times New Roman"/>
        </w:rPr>
      </w:pPr>
    </w:p>
    <w:p w14:paraId="5479A241" w14:textId="595277EF" w:rsidR="00F3600C" w:rsidRPr="000365ED" w:rsidRDefault="00F3600C" w:rsidP="00397401">
      <w:pPr>
        <w:rPr>
          <w:rFonts w:ascii="Times New Roman" w:hAnsi="Times New Roman" w:cs="Times New Roman"/>
        </w:rPr>
      </w:pPr>
    </w:p>
    <w:p w14:paraId="4BCFE597" w14:textId="006E2B6E" w:rsidR="00F3600C" w:rsidRPr="000365ED" w:rsidRDefault="00F3600C" w:rsidP="00397401">
      <w:pPr>
        <w:rPr>
          <w:rFonts w:ascii="Times New Roman" w:hAnsi="Times New Roman" w:cs="Times New Roman"/>
        </w:rPr>
      </w:pPr>
    </w:p>
    <w:p w14:paraId="305A95F8" w14:textId="77777777" w:rsidR="007E321D" w:rsidRPr="000365ED" w:rsidRDefault="007E321D" w:rsidP="00397401">
      <w:pPr>
        <w:rPr>
          <w:rFonts w:ascii="Times New Roman" w:hAnsi="Times New Roman" w:cs="Times New Roman"/>
        </w:rPr>
      </w:pPr>
    </w:p>
    <w:p w14:paraId="5763A4CB" w14:textId="77777777" w:rsidR="00B955BD" w:rsidRPr="000365ED" w:rsidRDefault="00B955BD" w:rsidP="00397401">
      <w:pPr>
        <w:contextualSpacing/>
        <w:rPr>
          <w:rFonts w:ascii="Times New Roman" w:hAnsi="Times New Roman" w:cs="Times New Roman"/>
        </w:rPr>
        <w:sectPr w:rsidR="00B955BD" w:rsidRPr="000365ED" w:rsidSect="00605DAC">
          <w:pgSz w:w="11906" w:h="16838"/>
          <w:pgMar w:top="1440" w:right="1440" w:bottom="1440" w:left="1440" w:header="708" w:footer="708" w:gutter="0"/>
          <w:cols w:space="708"/>
          <w:docGrid w:linePitch="360"/>
        </w:sectPr>
      </w:pPr>
    </w:p>
    <w:p w14:paraId="365B64AB" w14:textId="4334B07E" w:rsidR="00F3600C" w:rsidRPr="000365ED" w:rsidRDefault="00F3600C" w:rsidP="00397401">
      <w:pPr>
        <w:contextualSpacing/>
        <w:rPr>
          <w:rFonts w:ascii="Times New Roman" w:hAnsi="Times New Roman" w:cs="Times New Roman"/>
        </w:rPr>
      </w:pPr>
      <w:r w:rsidRPr="000365ED">
        <w:rPr>
          <w:rFonts w:ascii="Times New Roman" w:hAnsi="Times New Roman" w:cs="Times New Roman"/>
        </w:rPr>
        <w:lastRenderedPageBreak/>
        <w:t>Table S2. Quality assessment criteria for study inclusion</w:t>
      </w:r>
    </w:p>
    <w:tbl>
      <w:tblPr>
        <w:tblW w:w="11563"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CellMar>
          <w:left w:w="113" w:type="dxa"/>
          <w:right w:w="85" w:type="dxa"/>
        </w:tblCellMar>
        <w:tblLook w:val="04A0" w:firstRow="1" w:lastRow="0" w:firstColumn="1" w:lastColumn="0" w:noHBand="0" w:noVBand="1"/>
      </w:tblPr>
      <w:tblGrid>
        <w:gridCol w:w="574"/>
        <w:gridCol w:w="3092"/>
        <w:gridCol w:w="1655"/>
        <w:gridCol w:w="1369"/>
        <w:gridCol w:w="1675"/>
        <w:gridCol w:w="1675"/>
        <w:gridCol w:w="1523"/>
      </w:tblGrid>
      <w:tr w:rsidR="00F3600C" w:rsidRPr="000365ED" w14:paraId="45D1D7FD" w14:textId="77777777" w:rsidTr="008751B6">
        <w:trPr>
          <w:trHeight w:val="1097"/>
          <w:tblHeader/>
        </w:trPr>
        <w:tc>
          <w:tcPr>
            <w:tcW w:w="574" w:type="dxa"/>
            <w:tcBorders>
              <w:top w:val="single" w:sz="4" w:space="0" w:color="D0CECE"/>
              <w:left w:val="single" w:sz="4" w:space="0" w:color="D0CECE"/>
              <w:bottom w:val="single" w:sz="4" w:space="0" w:color="D0CECE"/>
              <w:right w:val="single" w:sz="4" w:space="0" w:color="D0CECE"/>
            </w:tcBorders>
            <w:shd w:val="clear" w:color="auto" w:fill="E7E6E6"/>
            <w:hideMark/>
          </w:tcPr>
          <w:p w14:paraId="6B31C3D8" w14:textId="77777777" w:rsidR="00F3600C" w:rsidRPr="000365ED" w:rsidRDefault="00F3600C" w:rsidP="00397401">
            <w:pPr>
              <w:ind w:left="-16" w:right="57"/>
              <w:rPr>
                <w:rFonts w:ascii="Times New Roman" w:eastAsia="Arial" w:hAnsi="Times New Roman" w:cs="Times New Roman"/>
                <w:lang w:val="en-ID"/>
              </w:rPr>
            </w:pPr>
            <w:bookmarkStart w:id="0" w:name="_Hlk93615988"/>
            <w:r w:rsidRPr="000365ED">
              <w:rPr>
                <w:rFonts w:ascii="Times New Roman" w:eastAsia="Arial" w:hAnsi="Times New Roman" w:cs="Times New Roman"/>
                <w:color w:val="000000"/>
                <w:lang w:val="en-ID"/>
              </w:rPr>
              <w:t>No</w:t>
            </w:r>
          </w:p>
        </w:tc>
        <w:tc>
          <w:tcPr>
            <w:tcW w:w="3092" w:type="dxa"/>
            <w:tcBorders>
              <w:top w:val="single" w:sz="4" w:space="0" w:color="D0CECE"/>
              <w:left w:val="single" w:sz="4" w:space="0" w:color="D0CECE"/>
              <w:bottom w:val="single" w:sz="4" w:space="0" w:color="D0CECE"/>
              <w:right w:val="single" w:sz="4" w:space="0" w:color="D0CECE"/>
            </w:tcBorders>
            <w:shd w:val="clear" w:color="auto" w:fill="E7E6E6"/>
            <w:hideMark/>
          </w:tcPr>
          <w:p w14:paraId="6F33197F" w14:textId="77777777" w:rsidR="00F3600C" w:rsidRPr="000365ED" w:rsidRDefault="00F3600C" w:rsidP="00397401">
            <w:pPr>
              <w:ind w:right="57"/>
              <w:rPr>
                <w:rFonts w:ascii="Times New Roman" w:eastAsia="Arial" w:hAnsi="Times New Roman" w:cs="Times New Roman"/>
                <w:lang w:val="en-ID"/>
              </w:rPr>
            </w:pPr>
            <w:r w:rsidRPr="000365ED">
              <w:rPr>
                <w:rFonts w:ascii="Times New Roman" w:eastAsia="Arial" w:hAnsi="Times New Roman" w:cs="Times New Roman"/>
                <w:color w:val="000000"/>
                <w:lang w:val="en-ID"/>
              </w:rPr>
              <w:t>Items</w:t>
            </w:r>
          </w:p>
        </w:tc>
        <w:tc>
          <w:tcPr>
            <w:tcW w:w="1655" w:type="dxa"/>
            <w:tcBorders>
              <w:top w:val="single" w:sz="4" w:space="0" w:color="D0CECE"/>
              <w:left w:val="single" w:sz="4" w:space="0" w:color="D0CECE"/>
              <w:bottom w:val="single" w:sz="4" w:space="0" w:color="D0CECE"/>
              <w:right w:val="single" w:sz="4" w:space="0" w:color="D0CECE"/>
            </w:tcBorders>
            <w:shd w:val="clear" w:color="auto" w:fill="E7E6E6"/>
            <w:hideMark/>
          </w:tcPr>
          <w:p w14:paraId="166609DC" w14:textId="77777777" w:rsidR="00F3600C" w:rsidRPr="000365ED" w:rsidRDefault="00F3600C" w:rsidP="00397401">
            <w:pPr>
              <w:ind w:left="57" w:right="57"/>
              <w:jc w:val="center"/>
              <w:rPr>
                <w:rFonts w:ascii="Times New Roman" w:eastAsia="Arial" w:hAnsi="Times New Roman" w:cs="Times New Roman"/>
                <w:lang w:val="en-ID"/>
              </w:rPr>
            </w:pPr>
            <w:r w:rsidRPr="000365ED">
              <w:rPr>
                <w:rFonts w:ascii="Times New Roman" w:eastAsia="Arial" w:hAnsi="Times New Roman" w:cs="Times New Roman"/>
                <w:color w:val="000000"/>
                <w:lang w:val="en-ID"/>
              </w:rPr>
              <w:t>Antibiotic consumption</w:t>
            </w:r>
          </w:p>
        </w:tc>
        <w:tc>
          <w:tcPr>
            <w:tcW w:w="1369" w:type="dxa"/>
            <w:tcBorders>
              <w:top w:val="single" w:sz="4" w:space="0" w:color="D0CECE"/>
              <w:left w:val="single" w:sz="4" w:space="0" w:color="D0CECE"/>
              <w:bottom w:val="single" w:sz="4" w:space="0" w:color="D0CECE"/>
              <w:right w:val="single" w:sz="4" w:space="0" w:color="D0CECE"/>
            </w:tcBorders>
            <w:shd w:val="clear" w:color="auto" w:fill="E7E6E6"/>
            <w:hideMark/>
          </w:tcPr>
          <w:p w14:paraId="639505FA" w14:textId="77777777" w:rsidR="00F3600C" w:rsidRPr="000365ED" w:rsidRDefault="00F3600C" w:rsidP="00397401">
            <w:pPr>
              <w:ind w:left="57" w:right="57"/>
              <w:jc w:val="center"/>
              <w:rPr>
                <w:rFonts w:ascii="Times New Roman" w:eastAsia="Arial" w:hAnsi="Times New Roman" w:cs="Times New Roman"/>
                <w:lang w:val="en-ID"/>
              </w:rPr>
            </w:pPr>
            <w:r w:rsidRPr="000365ED">
              <w:rPr>
                <w:rFonts w:ascii="Times New Roman" w:eastAsia="Arial" w:hAnsi="Times New Roman" w:cs="Times New Roman"/>
                <w:color w:val="000000"/>
                <w:lang w:val="en-ID"/>
              </w:rPr>
              <w:t>Antibiotic appropriateness</w:t>
            </w:r>
          </w:p>
        </w:tc>
        <w:tc>
          <w:tcPr>
            <w:tcW w:w="1675" w:type="dxa"/>
            <w:tcBorders>
              <w:top w:val="single" w:sz="4" w:space="0" w:color="D0CECE"/>
              <w:left w:val="single" w:sz="4" w:space="0" w:color="D0CECE"/>
              <w:bottom w:val="single" w:sz="4" w:space="0" w:color="D0CECE"/>
              <w:right w:val="single" w:sz="4" w:space="0" w:color="D0CECE"/>
            </w:tcBorders>
            <w:shd w:val="clear" w:color="auto" w:fill="E7E6E6"/>
          </w:tcPr>
          <w:p w14:paraId="5D1412C3" w14:textId="02FEE263" w:rsidR="00F3600C" w:rsidRPr="000365ED" w:rsidRDefault="00AD3209" w:rsidP="00397401">
            <w:pPr>
              <w:ind w:left="57" w:right="57"/>
              <w:jc w:val="center"/>
              <w:rPr>
                <w:rFonts w:ascii="Times New Roman" w:eastAsia="Arial" w:hAnsi="Times New Roman" w:cs="Times New Roman"/>
                <w:color w:val="000000"/>
                <w:lang w:val="en-ID"/>
              </w:rPr>
            </w:pPr>
            <w:r w:rsidRPr="000365ED">
              <w:rPr>
                <w:rFonts w:ascii="Times New Roman" w:eastAsia="Arial" w:hAnsi="Times New Roman" w:cs="Times New Roman"/>
                <w:color w:val="000000"/>
                <w:lang w:val="en-ID"/>
              </w:rPr>
              <w:t>Indicators of antibiotic use</w:t>
            </w:r>
          </w:p>
        </w:tc>
        <w:tc>
          <w:tcPr>
            <w:tcW w:w="1675" w:type="dxa"/>
            <w:tcBorders>
              <w:top w:val="single" w:sz="4" w:space="0" w:color="D0CECE"/>
              <w:left w:val="single" w:sz="4" w:space="0" w:color="D0CECE"/>
              <w:bottom w:val="single" w:sz="4" w:space="0" w:color="D0CECE"/>
              <w:right w:val="single" w:sz="4" w:space="0" w:color="D0CECE"/>
            </w:tcBorders>
            <w:shd w:val="clear" w:color="auto" w:fill="E7E6E6"/>
            <w:hideMark/>
          </w:tcPr>
          <w:p w14:paraId="6713257B" w14:textId="48902624" w:rsidR="00F3600C" w:rsidRPr="000365ED" w:rsidRDefault="00F3600C" w:rsidP="00397401">
            <w:pPr>
              <w:ind w:left="57" w:right="57"/>
              <w:jc w:val="center"/>
              <w:rPr>
                <w:rFonts w:ascii="Times New Roman" w:eastAsia="Arial" w:hAnsi="Times New Roman" w:cs="Times New Roman"/>
                <w:lang w:val="en-ID"/>
              </w:rPr>
            </w:pPr>
            <w:r w:rsidRPr="000365ED">
              <w:rPr>
                <w:rFonts w:ascii="Times New Roman" w:eastAsia="Arial" w:hAnsi="Times New Roman" w:cs="Times New Roman"/>
                <w:color w:val="000000"/>
                <w:lang w:val="en-ID"/>
              </w:rPr>
              <w:t>Antimicrobial stewardship</w:t>
            </w:r>
          </w:p>
        </w:tc>
        <w:tc>
          <w:tcPr>
            <w:tcW w:w="1521" w:type="dxa"/>
            <w:tcBorders>
              <w:top w:val="single" w:sz="4" w:space="0" w:color="D0CECE"/>
              <w:left w:val="single" w:sz="4" w:space="0" w:color="D0CECE"/>
              <w:bottom w:val="single" w:sz="4" w:space="0" w:color="D0CECE"/>
              <w:right w:val="single" w:sz="4" w:space="0" w:color="D0CECE"/>
            </w:tcBorders>
            <w:shd w:val="clear" w:color="auto" w:fill="E7E6E6"/>
            <w:hideMark/>
          </w:tcPr>
          <w:p w14:paraId="6491BB78" w14:textId="77777777" w:rsidR="00F3600C" w:rsidRPr="000365ED" w:rsidRDefault="00F3600C" w:rsidP="00397401">
            <w:pPr>
              <w:ind w:left="57" w:right="57"/>
              <w:jc w:val="center"/>
              <w:rPr>
                <w:rFonts w:ascii="Times New Roman" w:eastAsia="Arial" w:hAnsi="Times New Roman" w:cs="Times New Roman"/>
                <w:lang w:val="en-ID"/>
              </w:rPr>
            </w:pPr>
            <w:r w:rsidRPr="000365ED">
              <w:rPr>
                <w:rFonts w:ascii="Times New Roman" w:eastAsia="Arial" w:hAnsi="Times New Roman" w:cs="Times New Roman"/>
                <w:color w:val="000000"/>
                <w:lang w:val="en-ID"/>
              </w:rPr>
              <w:t>Knowledge, attitudes, practices</w:t>
            </w:r>
          </w:p>
        </w:tc>
      </w:tr>
      <w:tr w:rsidR="00F3600C" w:rsidRPr="000365ED" w14:paraId="2D28B07E" w14:textId="77777777" w:rsidTr="008751B6">
        <w:trPr>
          <w:trHeight w:val="270"/>
        </w:trPr>
        <w:tc>
          <w:tcPr>
            <w:tcW w:w="11563" w:type="dxa"/>
            <w:gridSpan w:val="7"/>
            <w:tcBorders>
              <w:top w:val="single" w:sz="4" w:space="0" w:color="D0CECE"/>
              <w:left w:val="single" w:sz="4" w:space="0" w:color="D0CECE"/>
              <w:bottom w:val="single" w:sz="4" w:space="0" w:color="D0CECE"/>
              <w:right w:val="single" w:sz="4" w:space="0" w:color="D0CECE"/>
            </w:tcBorders>
            <w:shd w:val="clear" w:color="auto" w:fill="F2F2F2" w:themeFill="background1" w:themeFillShade="F2"/>
          </w:tcPr>
          <w:p w14:paraId="1E57E63F" w14:textId="66209AF4" w:rsidR="00F3600C" w:rsidRPr="000365ED" w:rsidRDefault="00F3600C" w:rsidP="00397401">
            <w:pPr>
              <w:ind w:right="57"/>
              <w:rPr>
                <w:rFonts w:ascii="Times New Roman" w:eastAsia="Arial" w:hAnsi="Times New Roman" w:cs="Times New Roman"/>
                <w:lang w:val="en-ID"/>
              </w:rPr>
            </w:pPr>
            <w:r w:rsidRPr="000365ED">
              <w:rPr>
                <w:rFonts w:ascii="Times New Roman" w:eastAsia="Arial" w:hAnsi="Times New Roman" w:cs="Times New Roman"/>
                <w:color w:val="000000"/>
                <w:lang w:val="en-ID"/>
              </w:rPr>
              <w:t>STROBE checklist core items</w:t>
            </w:r>
          </w:p>
        </w:tc>
      </w:tr>
      <w:tr w:rsidR="00AD3209" w:rsidRPr="000365ED" w14:paraId="426960D0" w14:textId="77777777" w:rsidTr="008751B6">
        <w:trPr>
          <w:trHeight w:val="1157"/>
        </w:trPr>
        <w:tc>
          <w:tcPr>
            <w:tcW w:w="574" w:type="dxa"/>
            <w:tcBorders>
              <w:top w:val="single" w:sz="4" w:space="0" w:color="D0CECE"/>
              <w:left w:val="single" w:sz="4" w:space="0" w:color="D0CECE"/>
              <w:bottom w:val="single" w:sz="4" w:space="0" w:color="D0CECE"/>
              <w:right w:val="single" w:sz="4" w:space="0" w:color="D0CECE"/>
            </w:tcBorders>
          </w:tcPr>
          <w:p w14:paraId="5CF6161F" w14:textId="5FB3D72A" w:rsidR="00AD3209" w:rsidRPr="000365ED" w:rsidRDefault="00AD3209" w:rsidP="00397401">
            <w:pPr>
              <w:ind w:right="57"/>
              <w:rPr>
                <w:rFonts w:ascii="Times New Roman" w:eastAsia="Arial" w:hAnsi="Times New Roman" w:cs="Times New Roman"/>
                <w:color w:val="000000"/>
                <w:lang w:val="en-ID"/>
              </w:rPr>
            </w:pPr>
            <w:r w:rsidRPr="000365ED">
              <w:rPr>
                <w:rFonts w:ascii="Times New Roman" w:eastAsia="Arial" w:hAnsi="Times New Roman" w:cs="Times New Roman"/>
                <w:color w:val="000000"/>
                <w:lang w:val="en-ID"/>
              </w:rPr>
              <w:t>1</w:t>
            </w:r>
          </w:p>
        </w:tc>
        <w:tc>
          <w:tcPr>
            <w:tcW w:w="3092" w:type="dxa"/>
            <w:tcBorders>
              <w:top w:val="single" w:sz="4" w:space="0" w:color="D0CECE"/>
              <w:left w:val="single" w:sz="4" w:space="0" w:color="D0CECE"/>
              <w:bottom w:val="single" w:sz="4" w:space="0" w:color="D0CECE"/>
              <w:right w:val="single" w:sz="4" w:space="0" w:color="D0CECE"/>
            </w:tcBorders>
          </w:tcPr>
          <w:p w14:paraId="17E481F6" w14:textId="51396EB1" w:rsidR="00AD3209" w:rsidRPr="000365ED" w:rsidRDefault="00AD3209" w:rsidP="00AD3209">
            <w:pPr>
              <w:rPr>
                <w:rFonts w:ascii="Times New Roman" w:hAnsi="Times New Roman" w:cs="Times New Roman"/>
              </w:rPr>
            </w:pPr>
            <w:r w:rsidRPr="000365ED">
              <w:rPr>
                <w:rFonts w:ascii="Times New Roman" w:hAnsi="Times New Roman" w:cs="Times New Roman"/>
              </w:rPr>
              <w:t>State specific objectives, including any prespecified hypotheses (item 3)</w:t>
            </w:r>
          </w:p>
          <w:p w14:paraId="67BB9CA5" w14:textId="77777777" w:rsidR="00AD3209" w:rsidRPr="000365ED" w:rsidRDefault="00AD3209" w:rsidP="00397401">
            <w:pPr>
              <w:ind w:right="57"/>
              <w:rPr>
                <w:rFonts w:ascii="Times New Roman" w:eastAsia="Arial" w:hAnsi="Times New Roman" w:cs="Times New Roman"/>
                <w:color w:val="000000"/>
                <w:lang w:val="en-ID"/>
              </w:rPr>
            </w:pPr>
          </w:p>
        </w:tc>
        <w:tc>
          <w:tcPr>
            <w:tcW w:w="1655" w:type="dxa"/>
            <w:tcBorders>
              <w:top w:val="single" w:sz="4" w:space="0" w:color="D0CECE"/>
              <w:left w:val="single" w:sz="4" w:space="0" w:color="D0CECE"/>
              <w:bottom w:val="single" w:sz="4" w:space="0" w:color="D0CECE"/>
              <w:right w:val="single" w:sz="4" w:space="0" w:color="D0CECE"/>
            </w:tcBorders>
          </w:tcPr>
          <w:p w14:paraId="237549AC" w14:textId="0D60C69A" w:rsidR="00AD3209" w:rsidRPr="000365ED" w:rsidRDefault="00AD3209" w:rsidP="00397401">
            <w:pPr>
              <w:ind w:left="57" w:right="57"/>
              <w:jc w:val="center"/>
              <w:rPr>
                <w:rFonts w:ascii="Times New Roman" w:eastAsia="Noto Sans Symbols" w:hAnsi="Times New Roman" w:cs="Times New Roman"/>
                <w:lang w:val="en-ID"/>
              </w:rPr>
            </w:pPr>
            <w:r w:rsidRPr="000365ED">
              <w:rPr>
                <w:rFonts w:ascii="Times New Roman" w:eastAsia="Noto Sans Symbols" w:hAnsi="Times New Roman" w:cs="Times New Roman"/>
                <w:lang w:val="en-ID"/>
              </w:rPr>
              <w:t>●</w:t>
            </w:r>
          </w:p>
        </w:tc>
        <w:tc>
          <w:tcPr>
            <w:tcW w:w="1369" w:type="dxa"/>
            <w:tcBorders>
              <w:top w:val="single" w:sz="4" w:space="0" w:color="D0CECE"/>
              <w:left w:val="single" w:sz="4" w:space="0" w:color="D0CECE"/>
              <w:bottom w:val="single" w:sz="4" w:space="0" w:color="D0CECE"/>
              <w:right w:val="single" w:sz="4" w:space="0" w:color="D0CECE"/>
            </w:tcBorders>
          </w:tcPr>
          <w:p w14:paraId="65981C41" w14:textId="54AFAE3A" w:rsidR="00AD3209" w:rsidRPr="000365ED" w:rsidRDefault="00AD3209" w:rsidP="00397401">
            <w:pPr>
              <w:ind w:left="57" w:right="57"/>
              <w:jc w:val="center"/>
              <w:rPr>
                <w:rFonts w:ascii="Times New Roman" w:eastAsia="Noto Sans Symbols" w:hAnsi="Times New Roman" w:cs="Times New Roman"/>
                <w:lang w:val="en-ID"/>
              </w:rPr>
            </w:pPr>
            <w:r w:rsidRPr="000365ED">
              <w:rPr>
                <w:rFonts w:ascii="Times New Roman" w:eastAsia="Noto Sans Symbols" w:hAnsi="Times New Roman" w:cs="Times New Roman"/>
                <w:lang w:val="en-ID"/>
              </w:rPr>
              <w:t>●</w:t>
            </w:r>
          </w:p>
        </w:tc>
        <w:tc>
          <w:tcPr>
            <w:tcW w:w="1675" w:type="dxa"/>
            <w:tcBorders>
              <w:top w:val="single" w:sz="4" w:space="0" w:color="D0CECE"/>
              <w:left w:val="single" w:sz="4" w:space="0" w:color="D0CECE"/>
              <w:bottom w:val="single" w:sz="4" w:space="0" w:color="D0CECE"/>
              <w:right w:val="single" w:sz="4" w:space="0" w:color="D0CECE"/>
            </w:tcBorders>
          </w:tcPr>
          <w:p w14:paraId="1780E27A" w14:textId="073FA58B" w:rsidR="00AD3209" w:rsidRPr="000365ED" w:rsidRDefault="00AD3209" w:rsidP="00397401">
            <w:pPr>
              <w:ind w:left="57" w:right="57"/>
              <w:jc w:val="center"/>
              <w:rPr>
                <w:rFonts w:ascii="Times New Roman" w:eastAsia="Noto Sans Symbols" w:hAnsi="Times New Roman" w:cs="Times New Roman"/>
                <w:lang w:val="en-ID"/>
              </w:rPr>
            </w:pPr>
            <w:r w:rsidRPr="000365ED">
              <w:rPr>
                <w:rFonts w:ascii="Times New Roman" w:eastAsia="Noto Sans Symbols" w:hAnsi="Times New Roman" w:cs="Times New Roman"/>
                <w:lang w:val="en-ID"/>
              </w:rPr>
              <w:t>●</w:t>
            </w:r>
          </w:p>
        </w:tc>
        <w:tc>
          <w:tcPr>
            <w:tcW w:w="1675" w:type="dxa"/>
            <w:tcBorders>
              <w:top w:val="single" w:sz="4" w:space="0" w:color="D0CECE"/>
              <w:left w:val="single" w:sz="4" w:space="0" w:color="D0CECE"/>
              <w:bottom w:val="single" w:sz="4" w:space="0" w:color="D0CECE"/>
              <w:right w:val="single" w:sz="4" w:space="0" w:color="D0CECE"/>
            </w:tcBorders>
          </w:tcPr>
          <w:p w14:paraId="467D1546" w14:textId="72BBCE52" w:rsidR="00AD3209" w:rsidRPr="000365ED" w:rsidRDefault="00AD3209" w:rsidP="00397401">
            <w:pPr>
              <w:ind w:left="57" w:right="57"/>
              <w:jc w:val="center"/>
              <w:rPr>
                <w:rFonts w:ascii="Times New Roman" w:eastAsia="Noto Sans Symbols" w:hAnsi="Times New Roman" w:cs="Times New Roman"/>
                <w:lang w:val="en-ID"/>
              </w:rPr>
            </w:pPr>
            <w:r w:rsidRPr="000365ED">
              <w:rPr>
                <w:rFonts w:ascii="Times New Roman" w:eastAsia="Noto Sans Symbols" w:hAnsi="Times New Roman" w:cs="Times New Roman"/>
                <w:lang w:val="en-ID"/>
              </w:rPr>
              <w:t>●</w:t>
            </w:r>
          </w:p>
        </w:tc>
        <w:tc>
          <w:tcPr>
            <w:tcW w:w="1521" w:type="dxa"/>
            <w:tcBorders>
              <w:top w:val="single" w:sz="4" w:space="0" w:color="D0CECE"/>
              <w:left w:val="single" w:sz="4" w:space="0" w:color="D0CECE"/>
              <w:bottom w:val="single" w:sz="4" w:space="0" w:color="D0CECE"/>
              <w:right w:val="single" w:sz="4" w:space="0" w:color="D0CECE"/>
            </w:tcBorders>
          </w:tcPr>
          <w:p w14:paraId="47A5E5B0" w14:textId="29E7052B" w:rsidR="00AD3209" w:rsidRPr="000365ED" w:rsidRDefault="00AD3209" w:rsidP="00397401">
            <w:pPr>
              <w:ind w:left="57" w:right="57"/>
              <w:jc w:val="center"/>
              <w:rPr>
                <w:rFonts w:ascii="Times New Roman" w:eastAsia="Noto Sans Symbols" w:hAnsi="Times New Roman" w:cs="Times New Roman"/>
                <w:lang w:val="en-ID"/>
              </w:rPr>
            </w:pPr>
            <w:r w:rsidRPr="000365ED">
              <w:rPr>
                <w:rFonts w:ascii="Times New Roman" w:eastAsia="Noto Sans Symbols" w:hAnsi="Times New Roman" w:cs="Times New Roman"/>
                <w:lang w:val="en-ID"/>
              </w:rPr>
              <w:t>●</w:t>
            </w:r>
          </w:p>
        </w:tc>
      </w:tr>
      <w:tr w:rsidR="00F3600C" w:rsidRPr="000365ED" w14:paraId="5F95EF29" w14:textId="77777777" w:rsidTr="008751B6">
        <w:trPr>
          <w:trHeight w:val="826"/>
        </w:trPr>
        <w:tc>
          <w:tcPr>
            <w:tcW w:w="574" w:type="dxa"/>
            <w:tcBorders>
              <w:top w:val="single" w:sz="4" w:space="0" w:color="D0CECE"/>
              <w:left w:val="single" w:sz="4" w:space="0" w:color="D0CECE"/>
              <w:bottom w:val="single" w:sz="4" w:space="0" w:color="D0CECE"/>
              <w:right w:val="single" w:sz="4" w:space="0" w:color="D0CECE"/>
            </w:tcBorders>
            <w:hideMark/>
          </w:tcPr>
          <w:p w14:paraId="0D078EB2" w14:textId="2205EB43" w:rsidR="00F3600C" w:rsidRPr="000365ED" w:rsidRDefault="004946BE" w:rsidP="00397401">
            <w:pPr>
              <w:ind w:right="57"/>
              <w:rPr>
                <w:rFonts w:ascii="Times New Roman" w:eastAsia="Arial" w:hAnsi="Times New Roman" w:cs="Times New Roman"/>
                <w:b/>
                <w:bCs/>
                <w:color w:val="000000"/>
                <w:lang w:val="en-ID"/>
              </w:rPr>
            </w:pPr>
            <w:r w:rsidRPr="000365ED">
              <w:rPr>
                <w:rFonts w:ascii="Times New Roman" w:eastAsia="Arial" w:hAnsi="Times New Roman" w:cs="Times New Roman"/>
                <w:color w:val="000000"/>
                <w:lang w:val="en-ID"/>
              </w:rPr>
              <w:t>2</w:t>
            </w:r>
          </w:p>
        </w:tc>
        <w:tc>
          <w:tcPr>
            <w:tcW w:w="3092" w:type="dxa"/>
            <w:tcBorders>
              <w:top w:val="single" w:sz="4" w:space="0" w:color="D0CECE"/>
              <w:left w:val="single" w:sz="4" w:space="0" w:color="D0CECE"/>
              <w:bottom w:val="single" w:sz="4" w:space="0" w:color="D0CECE"/>
              <w:right w:val="single" w:sz="4" w:space="0" w:color="D0CECE"/>
            </w:tcBorders>
            <w:hideMark/>
          </w:tcPr>
          <w:p w14:paraId="75F9E9A0" w14:textId="77777777" w:rsidR="00F3600C" w:rsidRPr="000365ED" w:rsidRDefault="00F3600C" w:rsidP="00397401">
            <w:pPr>
              <w:ind w:right="57"/>
              <w:rPr>
                <w:rFonts w:ascii="Times New Roman" w:eastAsia="Arial" w:hAnsi="Times New Roman" w:cs="Times New Roman"/>
                <w:b/>
                <w:bCs/>
                <w:lang w:val="en-ID"/>
              </w:rPr>
            </w:pPr>
            <w:r w:rsidRPr="000365ED">
              <w:rPr>
                <w:rFonts w:ascii="Times New Roman" w:eastAsia="Arial" w:hAnsi="Times New Roman" w:cs="Times New Roman"/>
                <w:color w:val="000000"/>
                <w:lang w:val="en-ID"/>
              </w:rPr>
              <w:t>Presents key elements of study design early in the paper (item 4)</w:t>
            </w:r>
          </w:p>
        </w:tc>
        <w:tc>
          <w:tcPr>
            <w:tcW w:w="1655" w:type="dxa"/>
            <w:tcBorders>
              <w:top w:val="single" w:sz="4" w:space="0" w:color="D0CECE"/>
              <w:left w:val="single" w:sz="4" w:space="0" w:color="D0CECE"/>
              <w:bottom w:val="single" w:sz="4" w:space="0" w:color="D0CECE"/>
              <w:right w:val="single" w:sz="4" w:space="0" w:color="D0CECE"/>
            </w:tcBorders>
            <w:hideMark/>
          </w:tcPr>
          <w:p w14:paraId="0F848A5A" w14:textId="77777777" w:rsidR="00F3600C" w:rsidRPr="000365ED" w:rsidRDefault="00F3600C" w:rsidP="00397401">
            <w:pPr>
              <w:ind w:left="57" w:right="57"/>
              <w:jc w:val="center"/>
              <w:rPr>
                <w:rFonts w:ascii="Times New Roman" w:eastAsia="Arial" w:hAnsi="Times New Roman" w:cs="Times New Roman"/>
                <w:b/>
                <w:bCs/>
                <w:lang w:val="en-ID"/>
              </w:rPr>
            </w:pPr>
            <w:r w:rsidRPr="000365ED">
              <w:rPr>
                <w:rFonts w:ascii="Times New Roman" w:eastAsia="Noto Sans Symbols" w:hAnsi="Times New Roman" w:cs="Times New Roman"/>
                <w:lang w:val="en-ID"/>
              </w:rPr>
              <w:t>●</w:t>
            </w:r>
          </w:p>
        </w:tc>
        <w:tc>
          <w:tcPr>
            <w:tcW w:w="1369" w:type="dxa"/>
            <w:tcBorders>
              <w:top w:val="single" w:sz="4" w:space="0" w:color="D0CECE"/>
              <w:left w:val="single" w:sz="4" w:space="0" w:color="D0CECE"/>
              <w:bottom w:val="single" w:sz="4" w:space="0" w:color="D0CECE"/>
              <w:right w:val="single" w:sz="4" w:space="0" w:color="D0CECE"/>
            </w:tcBorders>
            <w:hideMark/>
          </w:tcPr>
          <w:p w14:paraId="6ABC4F79" w14:textId="77777777" w:rsidR="00F3600C" w:rsidRPr="000365ED" w:rsidRDefault="00F3600C" w:rsidP="00397401">
            <w:pPr>
              <w:ind w:left="57" w:right="57"/>
              <w:jc w:val="center"/>
              <w:rPr>
                <w:rFonts w:ascii="Times New Roman" w:eastAsia="Arial" w:hAnsi="Times New Roman" w:cs="Times New Roman"/>
                <w:b/>
                <w:bCs/>
                <w:lang w:val="en-ID"/>
              </w:rPr>
            </w:pPr>
            <w:r w:rsidRPr="000365ED">
              <w:rPr>
                <w:rFonts w:ascii="Times New Roman" w:eastAsia="Noto Sans Symbols" w:hAnsi="Times New Roman" w:cs="Times New Roman"/>
                <w:lang w:val="en-ID"/>
              </w:rPr>
              <w:t>●</w:t>
            </w:r>
          </w:p>
        </w:tc>
        <w:tc>
          <w:tcPr>
            <w:tcW w:w="1675" w:type="dxa"/>
            <w:tcBorders>
              <w:top w:val="single" w:sz="4" w:space="0" w:color="D0CECE"/>
              <w:left w:val="single" w:sz="4" w:space="0" w:color="D0CECE"/>
              <w:bottom w:val="single" w:sz="4" w:space="0" w:color="D0CECE"/>
              <w:right w:val="single" w:sz="4" w:space="0" w:color="D0CECE"/>
            </w:tcBorders>
          </w:tcPr>
          <w:p w14:paraId="4EC70656" w14:textId="2FBE741B" w:rsidR="00F3600C" w:rsidRPr="000365ED" w:rsidRDefault="00AD3209" w:rsidP="00397401">
            <w:pPr>
              <w:ind w:left="57" w:right="57"/>
              <w:jc w:val="center"/>
              <w:rPr>
                <w:rFonts w:ascii="Times New Roman" w:eastAsia="Noto Sans Symbols" w:hAnsi="Times New Roman" w:cs="Times New Roman"/>
                <w:lang w:val="en-ID"/>
              </w:rPr>
            </w:pPr>
            <w:r w:rsidRPr="000365ED">
              <w:rPr>
                <w:rFonts w:ascii="Times New Roman" w:eastAsia="Noto Sans Symbols" w:hAnsi="Times New Roman" w:cs="Times New Roman"/>
                <w:lang w:val="en-ID"/>
              </w:rPr>
              <w:t>●</w:t>
            </w:r>
          </w:p>
        </w:tc>
        <w:tc>
          <w:tcPr>
            <w:tcW w:w="1675" w:type="dxa"/>
            <w:tcBorders>
              <w:top w:val="single" w:sz="4" w:space="0" w:color="D0CECE"/>
              <w:left w:val="single" w:sz="4" w:space="0" w:color="D0CECE"/>
              <w:bottom w:val="single" w:sz="4" w:space="0" w:color="D0CECE"/>
              <w:right w:val="single" w:sz="4" w:space="0" w:color="D0CECE"/>
            </w:tcBorders>
            <w:hideMark/>
          </w:tcPr>
          <w:p w14:paraId="5541B850" w14:textId="7C9A8401" w:rsidR="00F3600C" w:rsidRPr="000365ED" w:rsidRDefault="00F3600C" w:rsidP="00397401">
            <w:pPr>
              <w:ind w:left="57" w:right="57"/>
              <w:jc w:val="center"/>
              <w:rPr>
                <w:rFonts w:ascii="Times New Roman" w:eastAsia="Arial" w:hAnsi="Times New Roman" w:cs="Times New Roman"/>
                <w:b/>
                <w:bCs/>
                <w:lang w:val="en-ID"/>
              </w:rPr>
            </w:pPr>
            <w:r w:rsidRPr="000365ED">
              <w:rPr>
                <w:rFonts w:ascii="Times New Roman" w:eastAsia="Noto Sans Symbols" w:hAnsi="Times New Roman" w:cs="Times New Roman"/>
                <w:lang w:val="en-ID"/>
              </w:rPr>
              <w:t>●</w:t>
            </w:r>
          </w:p>
        </w:tc>
        <w:tc>
          <w:tcPr>
            <w:tcW w:w="1521" w:type="dxa"/>
            <w:tcBorders>
              <w:top w:val="single" w:sz="4" w:space="0" w:color="D0CECE"/>
              <w:left w:val="single" w:sz="4" w:space="0" w:color="D0CECE"/>
              <w:bottom w:val="single" w:sz="4" w:space="0" w:color="D0CECE"/>
              <w:right w:val="single" w:sz="4" w:space="0" w:color="D0CECE"/>
            </w:tcBorders>
            <w:hideMark/>
          </w:tcPr>
          <w:p w14:paraId="5548A95B" w14:textId="77777777" w:rsidR="00F3600C" w:rsidRPr="000365ED" w:rsidRDefault="00F3600C" w:rsidP="00397401">
            <w:pPr>
              <w:ind w:left="57" w:right="57"/>
              <w:jc w:val="center"/>
              <w:rPr>
                <w:rFonts w:ascii="Times New Roman" w:eastAsia="Arial" w:hAnsi="Times New Roman" w:cs="Times New Roman"/>
                <w:b/>
                <w:bCs/>
                <w:lang w:val="en-ID"/>
              </w:rPr>
            </w:pPr>
            <w:r w:rsidRPr="000365ED">
              <w:rPr>
                <w:rFonts w:ascii="Times New Roman" w:eastAsia="Noto Sans Symbols" w:hAnsi="Times New Roman" w:cs="Times New Roman"/>
                <w:lang w:val="en-ID"/>
              </w:rPr>
              <w:t>●</w:t>
            </w:r>
          </w:p>
        </w:tc>
      </w:tr>
      <w:tr w:rsidR="00F3600C" w:rsidRPr="000365ED" w14:paraId="20C83ED0" w14:textId="77777777" w:rsidTr="008751B6">
        <w:trPr>
          <w:trHeight w:val="1653"/>
        </w:trPr>
        <w:tc>
          <w:tcPr>
            <w:tcW w:w="574"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1604CF57" w14:textId="4058C4CB" w:rsidR="00F3600C" w:rsidRPr="000365ED" w:rsidRDefault="004946BE" w:rsidP="00397401">
            <w:pPr>
              <w:ind w:right="57"/>
              <w:rPr>
                <w:rFonts w:ascii="Times New Roman" w:eastAsia="Arial" w:hAnsi="Times New Roman" w:cs="Times New Roman"/>
                <w:b/>
                <w:bCs/>
                <w:color w:val="000000"/>
                <w:lang w:val="en-ID"/>
              </w:rPr>
            </w:pPr>
            <w:r w:rsidRPr="000365ED">
              <w:rPr>
                <w:rFonts w:ascii="Times New Roman" w:eastAsia="Arial" w:hAnsi="Times New Roman" w:cs="Times New Roman"/>
                <w:color w:val="000000"/>
                <w:lang w:val="en-ID"/>
              </w:rPr>
              <w:t>3</w:t>
            </w:r>
          </w:p>
        </w:tc>
        <w:tc>
          <w:tcPr>
            <w:tcW w:w="3092"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5192EF1B" w14:textId="77777777" w:rsidR="00F3600C" w:rsidRPr="000365ED" w:rsidRDefault="00F3600C" w:rsidP="00397401">
            <w:pPr>
              <w:ind w:right="57"/>
              <w:rPr>
                <w:rFonts w:ascii="Times New Roman" w:eastAsia="Arial" w:hAnsi="Times New Roman" w:cs="Times New Roman"/>
                <w:b/>
                <w:bCs/>
                <w:lang w:val="en-ID"/>
              </w:rPr>
            </w:pPr>
            <w:r w:rsidRPr="000365ED">
              <w:rPr>
                <w:rFonts w:ascii="Times New Roman" w:eastAsia="Arial" w:hAnsi="Times New Roman" w:cs="Times New Roman"/>
                <w:lang w:val="en-ID"/>
              </w:rPr>
              <w:t>Describe the setting, locations, and relevant dates, including periods of recruitment, exposure, follow-up, and data collection (item 5)</w:t>
            </w:r>
          </w:p>
        </w:tc>
        <w:tc>
          <w:tcPr>
            <w:tcW w:w="1655"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0CEBC8FC" w14:textId="77777777" w:rsidR="00F3600C" w:rsidRPr="000365ED" w:rsidRDefault="00F3600C" w:rsidP="00397401">
            <w:pPr>
              <w:ind w:left="57" w:right="57"/>
              <w:jc w:val="center"/>
              <w:rPr>
                <w:rFonts w:ascii="Times New Roman" w:eastAsia="Arial" w:hAnsi="Times New Roman" w:cs="Times New Roman"/>
                <w:bCs/>
                <w:lang w:val="en-ID"/>
              </w:rPr>
            </w:pPr>
            <w:r w:rsidRPr="000365ED">
              <w:rPr>
                <w:rFonts w:ascii="Times New Roman" w:eastAsia="Noto Sans Symbols" w:hAnsi="Times New Roman" w:cs="Times New Roman"/>
                <w:lang w:val="en-ID"/>
              </w:rPr>
              <w:t>●</w:t>
            </w:r>
          </w:p>
        </w:tc>
        <w:tc>
          <w:tcPr>
            <w:tcW w:w="1369"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4C8A2DC8" w14:textId="77777777" w:rsidR="00F3600C" w:rsidRPr="000365ED" w:rsidRDefault="00F3600C" w:rsidP="00397401">
            <w:pPr>
              <w:ind w:left="57" w:right="57"/>
              <w:jc w:val="center"/>
              <w:rPr>
                <w:rFonts w:ascii="Times New Roman" w:eastAsia="Arial" w:hAnsi="Times New Roman" w:cs="Times New Roman"/>
                <w:bCs/>
                <w:lang w:val="en-ID"/>
              </w:rPr>
            </w:pPr>
            <w:r w:rsidRPr="000365ED">
              <w:rPr>
                <w:rFonts w:ascii="Times New Roman" w:eastAsia="Noto Sans Symbols" w:hAnsi="Times New Roman" w:cs="Times New Roman"/>
                <w:lang w:val="en-ID"/>
              </w:rPr>
              <w:t>●</w:t>
            </w:r>
          </w:p>
        </w:tc>
        <w:tc>
          <w:tcPr>
            <w:tcW w:w="1675"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tcPr>
          <w:p w14:paraId="07B3A71E" w14:textId="3878F988" w:rsidR="00F3600C" w:rsidRPr="000365ED" w:rsidRDefault="00AD3209" w:rsidP="00397401">
            <w:pPr>
              <w:ind w:left="57" w:right="57"/>
              <w:jc w:val="center"/>
              <w:rPr>
                <w:rFonts w:ascii="Times New Roman" w:eastAsia="Noto Sans Symbols" w:hAnsi="Times New Roman" w:cs="Times New Roman"/>
                <w:lang w:val="en-ID"/>
              </w:rPr>
            </w:pPr>
            <w:r w:rsidRPr="000365ED">
              <w:rPr>
                <w:rFonts w:ascii="Times New Roman" w:eastAsia="Noto Sans Symbols" w:hAnsi="Times New Roman" w:cs="Times New Roman"/>
                <w:lang w:val="en-ID"/>
              </w:rPr>
              <w:t>●</w:t>
            </w:r>
          </w:p>
        </w:tc>
        <w:tc>
          <w:tcPr>
            <w:tcW w:w="1675"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6C0B415F" w14:textId="444AE157" w:rsidR="00F3600C" w:rsidRPr="000365ED" w:rsidRDefault="00F3600C" w:rsidP="00397401">
            <w:pPr>
              <w:ind w:left="57" w:right="57"/>
              <w:jc w:val="center"/>
              <w:rPr>
                <w:rFonts w:ascii="Times New Roman" w:eastAsia="Arial" w:hAnsi="Times New Roman" w:cs="Times New Roman"/>
                <w:bCs/>
                <w:lang w:val="en-ID"/>
              </w:rPr>
            </w:pPr>
            <w:r w:rsidRPr="000365ED">
              <w:rPr>
                <w:rFonts w:ascii="Times New Roman" w:eastAsia="Noto Sans Symbols" w:hAnsi="Times New Roman" w:cs="Times New Roman"/>
                <w:lang w:val="en-ID"/>
              </w:rPr>
              <w:t>●</w:t>
            </w:r>
          </w:p>
        </w:tc>
        <w:tc>
          <w:tcPr>
            <w:tcW w:w="1521"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06D7D30D" w14:textId="77777777" w:rsidR="00F3600C" w:rsidRPr="000365ED" w:rsidRDefault="00F3600C" w:rsidP="00397401">
            <w:pPr>
              <w:ind w:left="57" w:right="57"/>
              <w:jc w:val="center"/>
              <w:rPr>
                <w:rFonts w:ascii="Times New Roman" w:eastAsia="Arial" w:hAnsi="Times New Roman" w:cs="Times New Roman"/>
                <w:bCs/>
                <w:lang w:val="en-ID"/>
              </w:rPr>
            </w:pPr>
            <w:r w:rsidRPr="000365ED">
              <w:rPr>
                <w:rFonts w:ascii="Times New Roman" w:eastAsia="Noto Sans Symbols" w:hAnsi="Times New Roman" w:cs="Times New Roman"/>
                <w:lang w:val="en-ID"/>
              </w:rPr>
              <w:t>●</w:t>
            </w:r>
          </w:p>
        </w:tc>
      </w:tr>
      <w:tr w:rsidR="00F3600C" w:rsidRPr="000365ED" w14:paraId="5661AACA" w14:textId="77777777" w:rsidTr="008751B6">
        <w:trPr>
          <w:trHeight w:val="1097"/>
        </w:trPr>
        <w:tc>
          <w:tcPr>
            <w:tcW w:w="574" w:type="dxa"/>
            <w:tcBorders>
              <w:top w:val="single" w:sz="4" w:space="0" w:color="D0CECE"/>
              <w:left w:val="single" w:sz="4" w:space="0" w:color="D0CECE"/>
              <w:bottom w:val="single" w:sz="4" w:space="0" w:color="D0CECE"/>
              <w:right w:val="single" w:sz="4" w:space="0" w:color="D0CECE"/>
            </w:tcBorders>
            <w:hideMark/>
          </w:tcPr>
          <w:p w14:paraId="3D1E8808" w14:textId="2D3AC6CD" w:rsidR="00F3600C" w:rsidRPr="000365ED" w:rsidRDefault="004946BE" w:rsidP="00397401">
            <w:pPr>
              <w:ind w:right="57"/>
              <w:rPr>
                <w:rFonts w:ascii="Times New Roman" w:eastAsia="Arial" w:hAnsi="Times New Roman" w:cs="Times New Roman"/>
                <w:b/>
                <w:bCs/>
                <w:color w:val="000000"/>
                <w:lang w:val="en-ID"/>
              </w:rPr>
            </w:pPr>
            <w:r w:rsidRPr="000365ED">
              <w:rPr>
                <w:rFonts w:ascii="Times New Roman" w:eastAsia="Arial" w:hAnsi="Times New Roman" w:cs="Times New Roman"/>
                <w:color w:val="000000"/>
                <w:lang w:val="en-ID"/>
              </w:rPr>
              <w:t>4</w:t>
            </w:r>
          </w:p>
        </w:tc>
        <w:tc>
          <w:tcPr>
            <w:tcW w:w="3092" w:type="dxa"/>
            <w:tcBorders>
              <w:top w:val="single" w:sz="4" w:space="0" w:color="D0CECE"/>
              <w:left w:val="single" w:sz="4" w:space="0" w:color="D0CECE"/>
              <w:bottom w:val="single" w:sz="4" w:space="0" w:color="D0CECE"/>
              <w:right w:val="single" w:sz="4" w:space="0" w:color="D0CECE"/>
            </w:tcBorders>
            <w:hideMark/>
          </w:tcPr>
          <w:p w14:paraId="575565E9" w14:textId="77777777" w:rsidR="00F3600C" w:rsidRPr="000365ED" w:rsidRDefault="00F3600C" w:rsidP="00397401">
            <w:pPr>
              <w:ind w:right="57"/>
              <w:rPr>
                <w:rFonts w:ascii="Times New Roman" w:eastAsia="Arial" w:hAnsi="Times New Roman" w:cs="Times New Roman"/>
                <w:b/>
                <w:bCs/>
                <w:lang w:val="en-ID"/>
              </w:rPr>
            </w:pPr>
            <w:r w:rsidRPr="000365ED">
              <w:rPr>
                <w:rFonts w:ascii="Times New Roman" w:eastAsia="Arial" w:hAnsi="Times New Roman" w:cs="Times New Roman"/>
                <w:color w:val="000000"/>
                <w:lang w:val="en-ID"/>
              </w:rPr>
              <w:t>Give the eligibility criteria, and the sources and methods of selection of participants (item 6)</w:t>
            </w:r>
          </w:p>
        </w:tc>
        <w:tc>
          <w:tcPr>
            <w:tcW w:w="1655" w:type="dxa"/>
            <w:tcBorders>
              <w:top w:val="single" w:sz="4" w:space="0" w:color="D0CECE"/>
              <w:left w:val="single" w:sz="4" w:space="0" w:color="D0CECE"/>
              <w:bottom w:val="single" w:sz="4" w:space="0" w:color="D0CECE"/>
              <w:right w:val="single" w:sz="4" w:space="0" w:color="D0CECE"/>
            </w:tcBorders>
            <w:hideMark/>
          </w:tcPr>
          <w:p w14:paraId="02336EAB" w14:textId="77777777" w:rsidR="00F3600C" w:rsidRPr="000365ED" w:rsidRDefault="00F3600C" w:rsidP="00397401">
            <w:pPr>
              <w:ind w:left="57" w:right="57"/>
              <w:jc w:val="center"/>
              <w:rPr>
                <w:rFonts w:ascii="Times New Roman" w:eastAsia="Arial" w:hAnsi="Times New Roman" w:cs="Times New Roman"/>
                <w:bCs/>
                <w:lang w:val="en-ID"/>
              </w:rPr>
            </w:pPr>
            <w:r w:rsidRPr="000365ED">
              <w:rPr>
                <w:rFonts w:ascii="Times New Roman" w:eastAsia="Noto Sans Symbols" w:hAnsi="Times New Roman" w:cs="Times New Roman"/>
                <w:lang w:val="en-ID"/>
              </w:rPr>
              <w:t>●</w:t>
            </w:r>
          </w:p>
        </w:tc>
        <w:tc>
          <w:tcPr>
            <w:tcW w:w="1369" w:type="dxa"/>
            <w:tcBorders>
              <w:top w:val="single" w:sz="4" w:space="0" w:color="D0CECE"/>
              <w:left w:val="single" w:sz="4" w:space="0" w:color="D0CECE"/>
              <w:bottom w:val="single" w:sz="4" w:space="0" w:color="D0CECE"/>
              <w:right w:val="single" w:sz="4" w:space="0" w:color="D0CECE"/>
            </w:tcBorders>
            <w:hideMark/>
          </w:tcPr>
          <w:p w14:paraId="0A29537E" w14:textId="77777777" w:rsidR="00F3600C" w:rsidRPr="000365ED" w:rsidRDefault="00F3600C" w:rsidP="00397401">
            <w:pPr>
              <w:ind w:left="57" w:right="57"/>
              <w:jc w:val="center"/>
              <w:rPr>
                <w:rFonts w:ascii="Times New Roman" w:eastAsia="Arial" w:hAnsi="Times New Roman" w:cs="Times New Roman"/>
                <w:bCs/>
                <w:lang w:val="en-ID"/>
              </w:rPr>
            </w:pPr>
            <w:r w:rsidRPr="000365ED">
              <w:rPr>
                <w:rFonts w:ascii="Times New Roman" w:eastAsia="Noto Sans Symbols" w:hAnsi="Times New Roman" w:cs="Times New Roman"/>
                <w:lang w:val="en-ID"/>
              </w:rPr>
              <w:t>●</w:t>
            </w:r>
          </w:p>
        </w:tc>
        <w:tc>
          <w:tcPr>
            <w:tcW w:w="1675" w:type="dxa"/>
            <w:tcBorders>
              <w:top w:val="single" w:sz="4" w:space="0" w:color="D0CECE"/>
              <w:left w:val="single" w:sz="4" w:space="0" w:color="D0CECE"/>
              <w:bottom w:val="single" w:sz="4" w:space="0" w:color="D0CECE"/>
              <w:right w:val="single" w:sz="4" w:space="0" w:color="D0CECE"/>
            </w:tcBorders>
          </w:tcPr>
          <w:p w14:paraId="44DA80A7" w14:textId="140996CF" w:rsidR="00F3600C" w:rsidRPr="000365ED" w:rsidRDefault="00AD3209" w:rsidP="00397401">
            <w:pPr>
              <w:ind w:left="57" w:right="57"/>
              <w:jc w:val="center"/>
              <w:rPr>
                <w:rFonts w:ascii="Times New Roman" w:eastAsia="Noto Sans Symbols" w:hAnsi="Times New Roman" w:cs="Times New Roman"/>
                <w:lang w:val="en-ID"/>
              </w:rPr>
            </w:pPr>
            <w:r w:rsidRPr="000365ED">
              <w:rPr>
                <w:rFonts w:ascii="Times New Roman" w:eastAsia="Noto Sans Symbols" w:hAnsi="Times New Roman" w:cs="Times New Roman"/>
                <w:lang w:val="en-ID"/>
              </w:rPr>
              <w:t>●</w:t>
            </w:r>
          </w:p>
        </w:tc>
        <w:tc>
          <w:tcPr>
            <w:tcW w:w="1675" w:type="dxa"/>
            <w:tcBorders>
              <w:top w:val="single" w:sz="4" w:space="0" w:color="D0CECE"/>
              <w:left w:val="single" w:sz="4" w:space="0" w:color="D0CECE"/>
              <w:bottom w:val="single" w:sz="4" w:space="0" w:color="D0CECE"/>
              <w:right w:val="single" w:sz="4" w:space="0" w:color="D0CECE"/>
            </w:tcBorders>
            <w:hideMark/>
          </w:tcPr>
          <w:p w14:paraId="6E74B32F" w14:textId="121EDB94" w:rsidR="00F3600C" w:rsidRPr="000365ED" w:rsidRDefault="00F3600C" w:rsidP="00397401">
            <w:pPr>
              <w:ind w:left="57" w:right="57"/>
              <w:jc w:val="center"/>
              <w:rPr>
                <w:rFonts w:ascii="Times New Roman" w:eastAsia="Arial" w:hAnsi="Times New Roman" w:cs="Times New Roman"/>
                <w:bCs/>
                <w:lang w:val="en-ID"/>
              </w:rPr>
            </w:pPr>
            <w:r w:rsidRPr="000365ED">
              <w:rPr>
                <w:rFonts w:ascii="Times New Roman" w:eastAsia="Noto Sans Symbols" w:hAnsi="Times New Roman" w:cs="Times New Roman"/>
                <w:lang w:val="en-ID"/>
              </w:rPr>
              <w:t>●</w:t>
            </w:r>
          </w:p>
        </w:tc>
        <w:tc>
          <w:tcPr>
            <w:tcW w:w="1521" w:type="dxa"/>
            <w:tcBorders>
              <w:top w:val="single" w:sz="4" w:space="0" w:color="D0CECE"/>
              <w:left w:val="single" w:sz="4" w:space="0" w:color="D0CECE"/>
              <w:bottom w:val="single" w:sz="4" w:space="0" w:color="D0CECE"/>
              <w:right w:val="single" w:sz="4" w:space="0" w:color="D0CECE"/>
            </w:tcBorders>
            <w:hideMark/>
          </w:tcPr>
          <w:p w14:paraId="0E0AFB91" w14:textId="77777777" w:rsidR="00F3600C" w:rsidRPr="000365ED" w:rsidRDefault="00F3600C" w:rsidP="00397401">
            <w:pPr>
              <w:ind w:left="57" w:right="57"/>
              <w:jc w:val="center"/>
              <w:rPr>
                <w:rFonts w:ascii="Times New Roman" w:eastAsia="Arial" w:hAnsi="Times New Roman" w:cs="Times New Roman"/>
                <w:bCs/>
                <w:lang w:val="en-ID"/>
              </w:rPr>
            </w:pPr>
            <w:r w:rsidRPr="000365ED">
              <w:rPr>
                <w:rFonts w:ascii="Times New Roman" w:eastAsia="Noto Sans Symbols" w:hAnsi="Times New Roman" w:cs="Times New Roman"/>
                <w:lang w:val="en-ID"/>
              </w:rPr>
              <w:t>●</w:t>
            </w:r>
          </w:p>
        </w:tc>
      </w:tr>
      <w:tr w:rsidR="00F3600C" w:rsidRPr="000365ED" w14:paraId="2243CCC4" w14:textId="77777777" w:rsidTr="008751B6">
        <w:trPr>
          <w:trHeight w:val="1383"/>
        </w:trPr>
        <w:tc>
          <w:tcPr>
            <w:tcW w:w="574"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7BE1DB4D" w14:textId="0E99A087" w:rsidR="00F3600C" w:rsidRPr="000365ED" w:rsidRDefault="004946BE" w:rsidP="00397401">
            <w:pPr>
              <w:ind w:right="57"/>
              <w:rPr>
                <w:rFonts w:ascii="Times New Roman" w:eastAsia="Arial" w:hAnsi="Times New Roman" w:cs="Times New Roman"/>
                <w:b/>
                <w:bCs/>
                <w:color w:val="000000"/>
                <w:lang w:val="en-ID"/>
              </w:rPr>
            </w:pPr>
            <w:r w:rsidRPr="000365ED">
              <w:rPr>
                <w:rFonts w:ascii="Times New Roman" w:eastAsia="Arial" w:hAnsi="Times New Roman" w:cs="Times New Roman"/>
                <w:color w:val="000000"/>
                <w:lang w:val="en-ID"/>
              </w:rPr>
              <w:t>5</w:t>
            </w:r>
          </w:p>
        </w:tc>
        <w:tc>
          <w:tcPr>
            <w:tcW w:w="3092"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22A70399" w14:textId="77777777" w:rsidR="00F3600C" w:rsidRPr="000365ED" w:rsidRDefault="00F3600C" w:rsidP="00397401">
            <w:pPr>
              <w:ind w:right="57"/>
              <w:rPr>
                <w:rFonts w:ascii="Times New Roman" w:eastAsia="Arial" w:hAnsi="Times New Roman" w:cs="Times New Roman"/>
                <w:b/>
                <w:bCs/>
                <w:lang w:val="en-ID"/>
              </w:rPr>
            </w:pPr>
            <w:r w:rsidRPr="000365ED">
              <w:rPr>
                <w:rFonts w:ascii="Times New Roman" w:eastAsia="Arial" w:hAnsi="Times New Roman" w:cs="Times New Roman"/>
                <w:lang w:val="en-ID"/>
              </w:rPr>
              <w:t>For each variable of interest, give sources of data and details of methods of assessment (measurement) (item 8)</w:t>
            </w:r>
          </w:p>
        </w:tc>
        <w:tc>
          <w:tcPr>
            <w:tcW w:w="1655"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7C41CA56" w14:textId="77777777" w:rsidR="00F3600C" w:rsidRPr="000365ED" w:rsidRDefault="00F3600C" w:rsidP="00397401">
            <w:pPr>
              <w:ind w:left="57" w:right="57"/>
              <w:jc w:val="center"/>
              <w:rPr>
                <w:rFonts w:ascii="Times New Roman" w:eastAsia="Arial" w:hAnsi="Times New Roman" w:cs="Times New Roman"/>
                <w:bCs/>
                <w:lang w:val="en-ID"/>
              </w:rPr>
            </w:pPr>
            <w:r w:rsidRPr="000365ED">
              <w:rPr>
                <w:rFonts w:ascii="Times New Roman" w:eastAsia="Noto Sans Symbols" w:hAnsi="Times New Roman" w:cs="Times New Roman"/>
                <w:lang w:val="en-ID"/>
              </w:rPr>
              <w:t>●</w:t>
            </w:r>
          </w:p>
        </w:tc>
        <w:tc>
          <w:tcPr>
            <w:tcW w:w="1369"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02FC4992" w14:textId="77777777" w:rsidR="00F3600C" w:rsidRPr="000365ED" w:rsidRDefault="00F3600C" w:rsidP="00397401">
            <w:pPr>
              <w:ind w:left="57" w:right="57"/>
              <w:jc w:val="center"/>
              <w:rPr>
                <w:rFonts w:ascii="Times New Roman" w:eastAsia="Arial" w:hAnsi="Times New Roman" w:cs="Times New Roman"/>
                <w:bCs/>
                <w:lang w:val="en-ID"/>
              </w:rPr>
            </w:pPr>
            <w:r w:rsidRPr="000365ED">
              <w:rPr>
                <w:rFonts w:ascii="Times New Roman" w:eastAsia="Noto Sans Symbols" w:hAnsi="Times New Roman" w:cs="Times New Roman"/>
                <w:lang w:val="en-ID"/>
              </w:rPr>
              <w:t>●</w:t>
            </w:r>
          </w:p>
        </w:tc>
        <w:tc>
          <w:tcPr>
            <w:tcW w:w="1675"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tcPr>
          <w:p w14:paraId="74B3099B" w14:textId="4EEB4E6D" w:rsidR="00F3600C" w:rsidRPr="000365ED" w:rsidRDefault="00AD3209" w:rsidP="00397401">
            <w:pPr>
              <w:ind w:left="57" w:right="57"/>
              <w:jc w:val="center"/>
              <w:rPr>
                <w:rFonts w:ascii="Times New Roman" w:eastAsia="Noto Sans Symbols" w:hAnsi="Times New Roman" w:cs="Times New Roman"/>
                <w:lang w:val="en-ID"/>
              </w:rPr>
            </w:pPr>
            <w:r w:rsidRPr="000365ED">
              <w:rPr>
                <w:rFonts w:ascii="Times New Roman" w:eastAsia="Noto Sans Symbols" w:hAnsi="Times New Roman" w:cs="Times New Roman"/>
                <w:lang w:val="en-ID"/>
              </w:rPr>
              <w:t>●</w:t>
            </w:r>
          </w:p>
        </w:tc>
        <w:tc>
          <w:tcPr>
            <w:tcW w:w="1675"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239F1120" w14:textId="0D864FE0" w:rsidR="00F3600C" w:rsidRPr="000365ED" w:rsidRDefault="00F3600C" w:rsidP="00397401">
            <w:pPr>
              <w:ind w:left="57" w:right="57"/>
              <w:jc w:val="center"/>
              <w:rPr>
                <w:rFonts w:ascii="Times New Roman" w:eastAsia="Arial" w:hAnsi="Times New Roman" w:cs="Times New Roman"/>
                <w:bCs/>
                <w:lang w:val="en-ID"/>
              </w:rPr>
            </w:pPr>
            <w:r w:rsidRPr="000365ED">
              <w:rPr>
                <w:rFonts w:ascii="Times New Roman" w:eastAsia="Noto Sans Symbols" w:hAnsi="Times New Roman" w:cs="Times New Roman"/>
                <w:lang w:val="en-ID"/>
              </w:rPr>
              <w:t>●</w:t>
            </w:r>
          </w:p>
        </w:tc>
        <w:tc>
          <w:tcPr>
            <w:tcW w:w="1521"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2860BD1D" w14:textId="77777777" w:rsidR="00F3600C" w:rsidRPr="000365ED" w:rsidRDefault="00F3600C" w:rsidP="00397401">
            <w:pPr>
              <w:ind w:left="57" w:right="57"/>
              <w:jc w:val="center"/>
              <w:rPr>
                <w:rFonts w:ascii="Times New Roman" w:eastAsia="Arial" w:hAnsi="Times New Roman" w:cs="Times New Roman"/>
                <w:bCs/>
                <w:lang w:val="en-ID"/>
              </w:rPr>
            </w:pPr>
            <w:r w:rsidRPr="000365ED">
              <w:rPr>
                <w:rFonts w:ascii="Times New Roman" w:eastAsia="Noto Sans Symbols" w:hAnsi="Times New Roman" w:cs="Times New Roman"/>
                <w:lang w:val="en-ID"/>
              </w:rPr>
              <w:t>●</w:t>
            </w:r>
          </w:p>
        </w:tc>
      </w:tr>
      <w:tr w:rsidR="00F3600C" w:rsidRPr="000365ED" w14:paraId="5AAC3ADA" w14:textId="77777777" w:rsidTr="008751B6">
        <w:trPr>
          <w:trHeight w:val="1097"/>
        </w:trPr>
        <w:tc>
          <w:tcPr>
            <w:tcW w:w="574"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7FB41B1C" w14:textId="77777777" w:rsidR="00F3600C" w:rsidRPr="000365ED" w:rsidRDefault="00F3600C" w:rsidP="00397401">
            <w:pPr>
              <w:ind w:right="57"/>
              <w:rPr>
                <w:rFonts w:ascii="Times New Roman" w:eastAsia="Arial" w:hAnsi="Times New Roman" w:cs="Times New Roman"/>
                <w:b/>
                <w:bCs/>
                <w:color w:val="000000"/>
                <w:lang w:val="en-ID"/>
              </w:rPr>
            </w:pPr>
            <w:r w:rsidRPr="000365ED">
              <w:rPr>
                <w:rFonts w:ascii="Times New Roman" w:eastAsia="Arial" w:hAnsi="Times New Roman" w:cs="Times New Roman"/>
                <w:color w:val="000000"/>
                <w:lang w:val="en-ID"/>
              </w:rPr>
              <w:t>6</w:t>
            </w:r>
          </w:p>
        </w:tc>
        <w:tc>
          <w:tcPr>
            <w:tcW w:w="3092"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3B810220" w14:textId="77777777" w:rsidR="00F3600C" w:rsidRPr="000365ED" w:rsidRDefault="00F3600C" w:rsidP="00397401">
            <w:pPr>
              <w:ind w:right="57"/>
              <w:rPr>
                <w:rFonts w:ascii="Times New Roman" w:eastAsia="Arial" w:hAnsi="Times New Roman" w:cs="Times New Roman"/>
                <w:b/>
                <w:bCs/>
                <w:lang w:val="en-ID"/>
              </w:rPr>
            </w:pPr>
            <w:r w:rsidRPr="000365ED">
              <w:rPr>
                <w:rFonts w:ascii="Times New Roman" w:eastAsia="Arial" w:hAnsi="Times New Roman" w:cs="Times New Roman"/>
                <w:lang w:val="en-ID"/>
              </w:rPr>
              <w:t xml:space="preserve">Report numbers of individuals at each stage of study—e.g., numbers potentially eligible, </w:t>
            </w:r>
            <w:r w:rsidRPr="000365ED">
              <w:rPr>
                <w:rFonts w:ascii="Times New Roman" w:eastAsia="Arial" w:hAnsi="Times New Roman" w:cs="Times New Roman"/>
                <w:lang w:val="en-ID"/>
              </w:rPr>
              <w:lastRenderedPageBreak/>
              <w:t>examined for eligibility, confirmed eligible, included in the study, completing follow-up, and analysed (item 13)</w:t>
            </w:r>
          </w:p>
        </w:tc>
        <w:tc>
          <w:tcPr>
            <w:tcW w:w="1655"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5F3B5054" w14:textId="77777777" w:rsidR="00F3600C" w:rsidRPr="000365ED" w:rsidRDefault="00F3600C" w:rsidP="00397401">
            <w:pPr>
              <w:ind w:left="57" w:right="57"/>
              <w:jc w:val="center"/>
              <w:rPr>
                <w:rFonts w:ascii="Times New Roman" w:eastAsia="Arial" w:hAnsi="Times New Roman" w:cs="Times New Roman"/>
                <w:bCs/>
                <w:lang w:val="en-ID"/>
              </w:rPr>
            </w:pPr>
            <w:r w:rsidRPr="000365ED">
              <w:rPr>
                <w:rFonts w:ascii="Times New Roman" w:eastAsia="Noto Sans Symbols" w:hAnsi="Times New Roman" w:cs="Times New Roman"/>
                <w:lang w:val="en-ID"/>
              </w:rPr>
              <w:lastRenderedPageBreak/>
              <w:t>●</w:t>
            </w:r>
          </w:p>
        </w:tc>
        <w:tc>
          <w:tcPr>
            <w:tcW w:w="1369"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01858408" w14:textId="77777777" w:rsidR="00F3600C" w:rsidRPr="000365ED" w:rsidRDefault="00F3600C" w:rsidP="00397401">
            <w:pPr>
              <w:ind w:left="57" w:right="57"/>
              <w:jc w:val="center"/>
              <w:rPr>
                <w:rFonts w:ascii="Times New Roman" w:eastAsia="Arial" w:hAnsi="Times New Roman" w:cs="Times New Roman"/>
                <w:bCs/>
                <w:lang w:val="en-ID"/>
              </w:rPr>
            </w:pPr>
            <w:r w:rsidRPr="000365ED">
              <w:rPr>
                <w:rFonts w:ascii="Times New Roman" w:eastAsia="Noto Sans Symbols" w:hAnsi="Times New Roman" w:cs="Times New Roman"/>
                <w:lang w:val="en-ID"/>
              </w:rPr>
              <w:t>●</w:t>
            </w:r>
          </w:p>
        </w:tc>
        <w:tc>
          <w:tcPr>
            <w:tcW w:w="1675"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tcPr>
          <w:p w14:paraId="51972A04" w14:textId="1ECE9CFA" w:rsidR="00F3600C" w:rsidRPr="000365ED" w:rsidRDefault="004946BE" w:rsidP="00397401">
            <w:pPr>
              <w:ind w:left="57" w:right="57"/>
              <w:jc w:val="center"/>
              <w:rPr>
                <w:rFonts w:ascii="Times New Roman" w:eastAsia="Noto Sans Symbols" w:hAnsi="Times New Roman" w:cs="Times New Roman"/>
                <w:lang w:val="en-ID"/>
              </w:rPr>
            </w:pPr>
            <w:r w:rsidRPr="000365ED">
              <w:rPr>
                <w:rFonts w:ascii="Times New Roman" w:eastAsia="Noto Sans Symbols" w:hAnsi="Times New Roman" w:cs="Times New Roman"/>
                <w:lang w:val="en-ID"/>
              </w:rPr>
              <w:t>●</w:t>
            </w:r>
          </w:p>
        </w:tc>
        <w:tc>
          <w:tcPr>
            <w:tcW w:w="1675"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7A26CE64" w14:textId="7DA582C8" w:rsidR="00F3600C" w:rsidRPr="000365ED" w:rsidRDefault="00F3600C" w:rsidP="00397401">
            <w:pPr>
              <w:ind w:left="57" w:right="57"/>
              <w:jc w:val="center"/>
              <w:rPr>
                <w:rFonts w:ascii="Times New Roman" w:eastAsia="Arial" w:hAnsi="Times New Roman" w:cs="Times New Roman"/>
                <w:bCs/>
                <w:lang w:val="en-ID"/>
              </w:rPr>
            </w:pPr>
            <w:r w:rsidRPr="000365ED">
              <w:rPr>
                <w:rFonts w:ascii="Times New Roman" w:eastAsia="Noto Sans Symbols" w:hAnsi="Times New Roman" w:cs="Times New Roman"/>
                <w:lang w:val="en-ID"/>
              </w:rPr>
              <w:t>●</w:t>
            </w:r>
          </w:p>
        </w:tc>
        <w:tc>
          <w:tcPr>
            <w:tcW w:w="1521"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3DC8C7F8" w14:textId="77777777" w:rsidR="00F3600C" w:rsidRPr="000365ED" w:rsidRDefault="00F3600C" w:rsidP="00397401">
            <w:pPr>
              <w:ind w:left="57" w:right="57"/>
              <w:jc w:val="center"/>
              <w:rPr>
                <w:rFonts w:ascii="Times New Roman" w:eastAsia="Arial" w:hAnsi="Times New Roman" w:cs="Times New Roman"/>
                <w:bCs/>
                <w:lang w:val="en-ID"/>
              </w:rPr>
            </w:pPr>
            <w:r w:rsidRPr="000365ED">
              <w:rPr>
                <w:rFonts w:ascii="Times New Roman" w:eastAsia="Noto Sans Symbols" w:hAnsi="Times New Roman" w:cs="Times New Roman"/>
                <w:lang w:val="en-ID"/>
              </w:rPr>
              <w:t>●</w:t>
            </w:r>
          </w:p>
        </w:tc>
      </w:tr>
      <w:tr w:rsidR="00F3600C" w:rsidRPr="000365ED" w14:paraId="2085609F" w14:textId="77777777" w:rsidTr="008751B6">
        <w:trPr>
          <w:trHeight w:val="144"/>
        </w:trPr>
        <w:tc>
          <w:tcPr>
            <w:tcW w:w="574" w:type="dxa"/>
            <w:tcBorders>
              <w:top w:val="single" w:sz="4" w:space="0" w:color="D0CECE"/>
              <w:left w:val="single" w:sz="4" w:space="0" w:color="D0CECE"/>
              <w:bottom w:val="single" w:sz="4" w:space="0" w:color="D0CECE"/>
              <w:right w:val="single" w:sz="4" w:space="0" w:color="D0CECE"/>
            </w:tcBorders>
            <w:hideMark/>
          </w:tcPr>
          <w:p w14:paraId="1C5A9B28" w14:textId="77777777" w:rsidR="00F3600C" w:rsidRPr="000365ED" w:rsidRDefault="00F3600C" w:rsidP="00397401">
            <w:pPr>
              <w:ind w:right="57"/>
              <w:rPr>
                <w:rFonts w:ascii="Times New Roman" w:eastAsia="Arial" w:hAnsi="Times New Roman" w:cs="Times New Roman"/>
                <w:b/>
                <w:bCs/>
                <w:color w:val="000000"/>
                <w:lang w:val="en-ID"/>
              </w:rPr>
            </w:pPr>
            <w:r w:rsidRPr="000365ED">
              <w:rPr>
                <w:rFonts w:ascii="Times New Roman" w:eastAsia="Arial" w:hAnsi="Times New Roman" w:cs="Times New Roman"/>
                <w:color w:val="000000"/>
                <w:lang w:val="en-ID"/>
              </w:rPr>
              <w:t>7</w:t>
            </w:r>
          </w:p>
        </w:tc>
        <w:tc>
          <w:tcPr>
            <w:tcW w:w="3092" w:type="dxa"/>
            <w:tcBorders>
              <w:top w:val="single" w:sz="4" w:space="0" w:color="D0CECE"/>
              <w:left w:val="single" w:sz="4" w:space="0" w:color="D0CECE"/>
              <w:bottom w:val="single" w:sz="4" w:space="0" w:color="D0CECE"/>
              <w:right w:val="single" w:sz="4" w:space="0" w:color="D0CECE"/>
            </w:tcBorders>
            <w:hideMark/>
          </w:tcPr>
          <w:p w14:paraId="5AFF1ED4" w14:textId="77777777" w:rsidR="00F3600C" w:rsidRPr="000365ED" w:rsidRDefault="00F3600C" w:rsidP="00397401">
            <w:pPr>
              <w:ind w:right="57"/>
              <w:rPr>
                <w:rFonts w:ascii="Times New Roman" w:eastAsia="Arial" w:hAnsi="Times New Roman" w:cs="Times New Roman"/>
                <w:b/>
                <w:bCs/>
                <w:lang w:val="en-ID"/>
              </w:rPr>
            </w:pPr>
            <w:r w:rsidRPr="000365ED">
              <w:rPr>
                <w:rFonts w:ascii="Times New Roman" w:eastAsia="Arial" w:hAnsi="Times New Roman" w:cs="Times New Roman"/>
                <w:lang w:val="en-ID"/>
              </w:rPr>
              <w:t>Give characteristics of study participants (e.g., demographic, clinical, social) and information on exposures and potential confounders (item 14)</w:t>
            </w:r>
          </w:p>
        </w:tc>
        <w:tc>
          <w:tcPr>
            <w:tcW w:w="1655" w:type="dxa"/>
            <w:tcBorders>
              <w:top w:val="single" w:sz="4" w:space="0" w:color="D0CECE"/>
              <w:left w:val="single" w:sz="4" w:space="0" w:color="D0CECE"/>
              <w:bottom w:val="single" w:sz="4" w:space="0" w:color="D0CECE"/>
              <w:right w:val="single" w:sz="4" w:space="0" w:color="D0CECE"/>
            </w:tcBorders>
            <w:hideMark/>
          </w:tcPr>
          <w:p w14:paraId="084E87EE" w14:textId="77777777" w:rsidR="00F3600C" w:rsidRPr="000365ED" w:rsidRDefault="00F3600C" w:rsidP="00397401">
            <w:pPr>
              <w:ind w:left="57" w:right="57"/>
              <w:jc w:val="center"/>
              <w:rPr>
                <w:rFonts w:ascii="Times New Roman" w:eastAsia="Arial" w:hAnsi="Times New Roman" w:cs="Times New Roman"/>
                <w:bCs/>
                <w:lang w:val="en-ID"/>
              </w:rPr>
            </w:pPr>
            <w:r w:rsidRPr="000365ED">
              <w:rPr>
                <w:rFonts w:ascii="Times New Roman" w:eastAsia="Noto Sans Symbols" w:hAnsi="Times New Roman" w:cs="Times New Roman"/>
                <w:lang w:val="en-ID"/>
              </w:rPr>
              <w:t>●</w:t>
            </w:r>
          </w:p>
        </w:tc>
        <w:tc>
          <w:tcPr>
            <w:tcW w:w="1369" w:type="dxa"/>
            <w:tcBorders>
              <w:top w:val="single" w:sz="4" w:space="0" w:color="D0CECE"/>
              <w:left w:val="single" w:sz="4" w:space="0" w:color="D0CECE"/>
              <w:bottom w:val="single" w:sz="4" w:space="0" w:color="D0CECE"/>
              <w:right w:val="single" w:sz="4" w:space="0" w:color="D0CECE"/>
            </w:tcBorders>
            <w:hideMark/>
          </w:tcPr>
          <w:p w14:paraId="47C171EE" w14:textId="77777777" w:rsidR="00F3600C" w:rsidRPr="000365ED" w:rsidRDefault="00F3600C" w:rsidP="00397401">
            <w:pPr>
              <w:ind w:left="57" w:right="57"/>
              <w:jc w:val="center"/>
              <w:rPr>
                <w:rFonts w:ascii="Times New Roman" w:eastAsia="Arial" w:hAnsi="Times New Roman" w:cs="Times New Roman"/>
                <w:bCs/>
                <w:lang w:val="en-ID"/>
              </w:rPr>
            </w:pPr>
            <w:r w:rsidRPr="000365ED">
              <w:rPr>
                <w:rFonts w:ascii="Times New Roman" w:eastAsia="Noto Sans Symbols" w:hAnsi="Times New Roman" w:cs="Times New Roman"/>
                <w:lang w:val="en-ID"/>
              </w:rPr>
              <w:t>●</w:t>
            </w:r>
          </w:p>
        </w:tc>
        <w:tc>
          <w:tcPr>
            <w:tcW w:w="1675" w:type="dxa"/>
            <w:tcBorders>
              <w:top w:val="single" w:sz="4" w:space="0" w:color="D0CECE"/>
              <w:left w:val="single" w:sz="4" w:space="0" w:color="D0CECE"/>
              <w:bottom w:val="single" w:sz="4" w:space="0" w:color="D0CECE"/>
              <w:right w:val="single" w:sz="4" w:space="0" w:color="D0CECE"/>
            </w:tcBorders>
          </w:tcPr>
          <w:p w14:paraId="6FC9F861" w14:textId="7768EF78" w:rsidR="00F3600C" w:rsidRPr="000365ED" w:rsidRDefault="004946BE" w:rsidP="00397401">
            <w:pPr>
              <w:ind w:left="57" w:right="57"/>
              <w:jc w:val="center"/>
              <w:rPr>
                <w:rFonts w:ascii="Times New Roman" w:eastAsia="Noto Sans Symbols" w:hAnsi="Times New Roman" w:cs="Times New Roman"/>
                <w:lang w:val="en-ID"/>
              </w:rPr>
            </w:pPr>
            <w:r w:rsidRPr="000365ED">
              <w:rPr>
                <w:rFonts w:ascii="Times New Roman" w:eastAsia="Noto Sans Symbols" w:hAnsi="Times New Roman" w:cs="Times New Roman"/>
                <w:lang w:val="en-ID"/>
              </w:rPr>
              <w:t>●</w:t>
            </w:r>
          </w:p>
        </w:tc>
        <w:tc>
          <w:tcPr>
            <w:tcW w:w="1675" w:type="dxa"/>
            <w:tcBorders>
              <w:top w:val="single" w:sz="4" w:space="0" w:color="D0CECE"/>
              <w:left w:val="single" w:sz="4" w:space="0" w:color="D0CECE"/>
              <w:bottom w:val="single" w:sz="4" w:space="0" w:color="D0CECE"/>
              <w:right w:val="single" w:sz="4" w:space="0" w:color="D0CECE"/>
            </w:tcBorders>
            <w:hideMark/>
          </w:tcPr>
          <w:p w14:paraId="633C8157" w14:textId="2F33C2EE" w:rsidR="00F3600C" w:rsidRPr="000365ED" w:rsidRDefault="00F3600C" w:rsidP="00397401">
            <w:pPr>
              <w:ind w:left="57" w:right="57"/>
              <w:jc w:val="center"/>
              <w:rPr>
                <w:rFonts w:ascii="Times New Roman" w:eastAsia="Arial" w:hAnsi="Times New Roman" w:cs="Times New Roman"/>
                <w:bCs/>
                <w:lang w:val="en-ID"/>
              </w:rPr>
            </w:pPr>
            <w:r w:rsidRPr="000365ED">
              <w:rPr>
                <w:rFonts w:ascii="Times New Roman" w:eastAsia="Noto Sans Symbols" w:hAnsi="Times New Roman" w:cs="Times New Roman"/>
                <w:lang w:val="en-ID"/>
              </w:rPr>
              <w:t>●</w:t>
            </w:r>
          </w:p>
        </w:tc>
        <w:tc>
          <w:tcPr>
            <w:tcW w:w="1521" w:type="dxa"/>
            <w:tcBorders>
              <w:top w:val="single" w:sz="4" w:space="0" w:color="D0CECE"/>
              <w:left w:val="single" w:sz="4" w:space="0" w:color="D0CECE"/>
              <w:bottom w:val="single" w:sz="4" w:space="0" w:color="D0CECE"/>
              <w:right w:val="single" w:sz="4" w:space="0" w:color="D0CECE"/>
            </w:tcBorders>
            <w:hideMark/>
          </w:tcPr>
          <w:p w14:paraId="233AC431" w14:textId="77777777" w:rsidR="00F3600C" w:rsidRPr="000365ED" w:rsidRDefault="00F3600C" w:rsidP="00397401">
            <w:pPr>
              <w:ind w:left="57" w:right="57"/>
              <w:jc w:val="center"/>
              <w:rPr>
                <w:rFonts w:ascii="Times New Roman" w:eastAsia="Arial" w:hAnsi="Times New Roman" w:cs="Times New Roman"/>
                <w:bCs/>
                <w:lang w:val="en-ID"/>
              </w:rPr>
            </w:pPr>
            <w:r w:rsidRPr="000365ED">
              <w:rPr>
                <w:rFonts w:ascii="Times New Roman" w:eastAsia="Noto Sans Symbols" w:hAnsi="Times New Roman" w:cs="Times New Roman"/>
                <w:lang w:val="en-ID"/>
              </w:rPr>
              <w:t>●</w:t>
            </w:r>
          </w:p>
        </w:tc>
      </w:tr>
      <w:tr w:rsidR="00F3600C" w:rsidRPr="000365ED" w14:paraId="0789B7F8" w14:textId="77777777" w:rsidTr="008751B6">
        <w:trPr>
          <w:trHeight w:val="144"/>
        </w:trPr>
        <w:tc>
          <w:tcPr>
            <w:tcW w:w="11563" w:type="dxa"/>
            <w:gridSpan w:val="7"/>
            <w:tcBorders>
              <w:top w:val="single" w:sz="4" w:space="0" w:color="D0CECE"/>
              <w:left w:val="single" w:sz="4" w:space="0" w:color="D0CECE"/>
              <w:bottom w:val="single" w:sz="4" w:space="0" w:color="D0CECE"/>
              <w:right w:val="single" w:sz="4" w:space="0" w:color="D0CECE"/>
            </w:tcBorders>
            <w:shd w:val="clear" w:color="auto" w:fill="F2F2F2" w:themeFill="background1" w:themeFillShade="F2"/>
          </w:tcPr>
          <w:p w14:paraId="37D87EEA" w14:textId="1879E5F6" w:rsidR="00F3600C" w:rsidRPr="000365ED" w:rsidRDefault="00F3600C" w:rsidP="00397401">
            <w:pPr>
              <w:ind w:right="57"/>
              <w:rPr>
                <w:rFonts w:ascii="Times New Roman" w:eastAsia="Arial" w:hAnsi="Times New Roman" w:cs="Times New Roman"/>
                <w:color w:val="000000"/>
                <w:lang w:val="en-ID"/>
              </w:rPr>
            </w:pPr>
            <w:r w:rsidRPr="000365ED">
              <w:rPr>
                <w:rFonts w:ascii="Times New Roman" w:eastAsia="Arial" w:hAnsi="Times New Roman" w:cs="Times New Roman"/>
                <w:color w:val="000000"/>
                <w:lang w:val="en-ID"/>
              </w:rPr>
              <w:t>Theme</w:t>
            </w:r>
            <w:r w:rsidR="004946BE" w:rsidRPr="000365ED">
              <w:rPr>
                <w:rFonts w:ascii="Times New Roman" w:eastAsia="Arial" w:hAnsi="Times New Roman" w:cs="Times New Roman"/>
                <w:color w:val="000000"/>
                <w:lang w:val="en-ID"/>
              </w:rPr>
              <w:t>s</w:t>
            </w:r>
            <w:r w:rsidRPr="000365ED">
              <w:rPr>
                <w:rFonts w:ascii="Times New Roman" w:eastAsia="Arial" w:hAnsi="Times New Roman" w:cs="Times New Roman"/>
                <w:color w:val="000000"/>
                <w:lang w:val="en-ID"/>
              </w:rPr>
              <w:t xml:space="preserve"> specific to this manuscript</w:t>
            </w:r>
          </w:p>
        </w:tc>
      </w:tr>
      <w:tr w:rsidR="00F3600C" w:rsidRPr="000365ED" w14:paraId="7E120E8A" w14:textId="77777777" w:rsidTr="008751B6">
        <w:trPr>
          <w:trHeight w:val="144"/>
        </w:trPr>
        <w:tc>
          <w:tcPr>
            <w:tcW w:w="574"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2936D3FD" w14:textId="1D269F1A" w:rsidR="00F3600C" w:rsidRPr="000365ED" w:rsidRDefault="004946BE" w:rsidP="00397401">
            <w:pPr>
              <w:ind w:right="57"/>
              <w:rPr>
                <w:rFonts w:ascii="Times New Roman" w:eastAsia="Arial" w:hAnsi="Times New Roman" w:cs="Times New Roman"/>
                <w:b/>
                <w:bCs/>
                <w:color w:val="000000"/>
                <w:lang w:val="en-ID"/>
              </w:rPr>
            </w:pPr>
            <w:r w:rsidRPr="000365ED">
              <w:rPr>
                <w:rFonts w:ascii="Times New Roman" w:eastAsia="Arial" w:hAnsi="Times New Roman" w:cs="Times New Roman"/>
                <w:color w:val="000000"/>
                <w:lang w:val="en-ID"/>
              </w:rPr>
              <w:t>8</w:t>
            </w:r>
          </w:p>
        </w:tc>
        <w:tc>
          <w:tcPr>
            <w:tcW w:w="3092"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376F644E" w14:textId="2F1921F9" w:rsidR="00F3600C" w:rsidRPr="000365ED" w:rsidRDefault="00884659" w:rsidP="00397401">
            <w:pPr>
              <w:ind w:right="57"/>
              <w:rPr>
                <w:rFonts w:ascii="Times New Roman" w:eastAsia="Arial" w:hAnsi="Times New Roman" w:cs="Times New Roman"/>
                <w:b/>
                <w:bCs/>
                <w:lang w:val="en-ID"/>
              </w:rPr>
            </w:pPr>
            <w:r w:rsidRPr="000365ED">
              <w:rPr>
                <w:rFonts w:ascii="Times New Roman" w:eastAsia="Arial" w:hAnsi="Times New Roman" w:cs="Times New Roman"/>
                <w:color w:val="000000"/>
                <w:lang w:val="en-ID"/>
              </w:rPr>
              <w:t>Consumption rep</w:t>
            </w:r>
            <w:r w:rsidR="00590B64" w:rsidRPr="000365ED">
              <w:rPr>
                <w:rFonts w:ascii="Times New Roman" w:eastAsia="Arial" w:hAnsi="Times New Roman" w:cs="Times New Roman"/>
                <w:color w:val="000000"/>
                <w:lang w:val="en-ID"/>
              </w:rPr>
              <w:t>o</w:t>
            </w:r>
            <w:r w:rsidRPr="000365ED">
              <w:rPr>
                <w:rFonts w:ascii="Times New Roman" w:eastAsia="Arial" w:hAnsi="Times New Roman" w:cs="Times New Roman"/>
                <w:color w:val="000000"/>
                <w:lang w:val="en-ID"/>
              </w:rPr>
              <w:t>rted in DDD/100</w:t>
            </w:r>
          </w:p>
        </w:tc>
        <w:tc>
          <w:tcPr>
            <w:tcW w:w="1655"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4767E48B" w14:textId="77777777" w:rsidR="00F3600C" w:rsidRPr="000365ED" w:rsidRDefault="00F3600C" w:rsidP="00397401">
            <w:pPr>
              <w:ind w:left="57" w:right="57"/>
              <w:jc w:val="center"/>
              <w:rPr>
                <w:rFonts w:ascii="Times New Roman" w:eastAsia="Arial" w:hAnsi="Times New Roman" w:cs="Times New Roman"/>
                <w:b/>
                <w:bCs/>
                <w:color w:val="000000"/>
                <w:lang w:val="en-ID"/>
              </w:rPr>
            </w:pPr>
            <w:r w:rsidRPr="000365ED">
              <w:rPr>
                <w:rFonts w:ascii="Times New Roman" w:eastAsia="Noto Sans Symbols" w:hAnsi="Times New Roman" w:cs="Times New Roman"/>
                <w:lang w:val="en-ID"/>
              </w:rPr>
              <w:t>●</w:t>
            </w:r>
          </w:p>
        </w:tc>
        <w:tc>
          <w:tcPr>
            <w:tcW w:w="1369"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tcPr>
          <w:p w14:paraId="77B78B06" w14:textId="77777777" w:rsidR="00F3600C" w:rsidRPr="000365ED" w:rsidRDefault="00F3600C" w:rsidP="00397401">
            <w:pPr>
              <w:ind w:left="57" w:right="57"/>
              <w:jc w:val="center"/>
              <w:rPr>
                <w:rFonts w:ascii="Times New Roman" w:eastAsia="Arial" w:hAnsi="Times New Roman" w:cs="Times New Roman"/>
                <w:b/>
                <w:bCs/>
                <w:color w:val="000000"/>
                <w:lang w:val="en-ID"/>
              </w:rPr>
            </w:pPr>
          </w:p>
        </w:tc>
        <w:tc>
          <w:tcPr>
            <w:tcW w:w="1675"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tcPr>
          <w:p w14:paraId="16F2CCB7" w14:textId="77777777" w:rsidR="00F3600C" w:rsidRPr="000365ED" w:rsidRDefault="00F3600C" w:rsidP="00397401">
            <w:pPr>
              <w:ind w:left="57" w:right="57"/>
              <w:jc w:val="center"/>
              <w:rPr>
                <w:rFonts w:ascii="Times New Roman" w:eastAsia="Arial" w:hAnsi="Times New Roman" w:cs="Times New Roman"/>
                <w:b/>
                <w:bCs/>
                <w:color w:val="000000"/>
                <w:lang w:val="en-ID"/>
              </w:rPr>
            </w:pPr>
          </w:p>
        </w:tc>
        <w:tc>
          <w:tcPr>
            <w:tcW w:w="1675"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tcPr>
          <w:p w14:paraId="575D5FE9" w14:textId="433658A0" w:rsidR="00F3600C" w:rsidRPr="000365ED" w:rsidRDefault="00F3600C" w:rsidP="00397401">
            <w:pPr>
              <w:ind w:left="57" w:right="57"/>
              <w:jc w:val="center"/>
              <w:rPr>
                <w:rFonts w:ascii="Times New Roman" w:eastAsia="Arial" w:hAnsi="Times New Roman" w:cs="Times New Roman"/>
                <w:b/>
                <w:bCs/>
                <w:color w:val="000000"/>
                <w:lang w:val="en-ID"/>
              </w:rPr>
            </w:pPr>
          </w:p>
        </w:tc>
        <w:tc>
          <w:tcPr>
            <w:tcW w:w="1521"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tcPr>
          <w:p w14:paraId="34355BDD" w14:textId="77777777" w:rsidR="00F3600C" w:rsidRPr="000365ED" w:rsidRDefault="00F3600C" w:rsidP="00397401">
            <w:pPr>
              <w:ind w:left="57" w:right="57"/>
              <w:jc w:val="center"/>
              <w:rPr>
                <w:rFonts w:ascii="Times New Roman" w:eastAsia="Arial" w:hAnsi="Times New Roman" w:cs="Times New Roman"/>
                <w:b/>
                <w:bCs/>
                <w:color w:val="000000"/>
                <w:lang w:val="en-ID"/>
              </w:rPr>
            </w:pPr>
          </w:p>
        </w:tc>
      </w:tr>
      <w:tr w:rsidR="00F3600C" w:rsidRPr="000365ED" w14:paraId="4113C553" w14:textId="77777777" w:rsidTr="008751B6">
        <w:trPr>
          <w:trHeight w:val="144"/>
        </w:trPr>
        <w:tc>
          <w:tcPr>
            <w:tcW w:w="574" w:type="dxa"/>
            <w:tcBorders>
              <w:top w:val="single" w:sz="4" w:space="0" w:color="D0CECE"/>
              <w:left w:val="single" w:sz="4" w:space="0" w:color="D0CECE"/>
              <w:bottom w:val="single" w:sz="4" w:space="0" w:color="D0CECE"/>
              <w:right w:val="single" w:sz="4" w:space="0" w:color="D0CECE"/>
            </w:tcBorders>
            <w:hideMark/>
          </w:tcPr>
          <w:p w14:paraId="15C4BB7F" w14:textId="3C3C94AB" w:rsidR="00F3600C" w:rsidRPr="000365ED" w:rsidRDefault="004946BE" w:rsidP="00397401">
            <w:pPr>
              <w:ind w:right="57"/>
              <w:rPr>
                <w:rFonts w:ascii="Times New Roman" w:eastAsia="Arial" w:hAnsi="Times New Roman" w:cs="Times New Roman"/>
                <w:b/>
                <w:bCs/>
                <w:color w:val="000000"/>
                <w:lang w:val="en-ID"/>
              </w:rPr>
            </w:pPr>
            <w:r w:rsidRPr="000365ED">
              <w:rPr>
                <w:rFonts w:ascii="Times New Roman" w:eastAsia="Arial" w:hAnsi="Times New Roman" w:cs="Times New Roman"/>
                <w:color w:val="000000"/>
                <w:lang w:val="en-ID"/>
              </w:rPr>
              <w:t>9</w:t>
            </w:r>
          </w:p>
        </w:tc>
        <w:tc>
          <w:tcPr>
            <w:tcW w:w="3092" w:type="dxa"/>
            <w:tcBorders>
              <w:top w:val="single" w:sz="4" w:space="0" w:color="D0CECE"/>
              <w:left w:val="single" w:sz="4" w:space="0" w:color="D0CECE"/>
              <w:bottom w:val="single" w:sz="4" w:space="0" w:color="D0CECE"/>
              <w:right w:val="single" w:sz="4" w:space="0" w:color="D0CECE"/>
            </w:tcBorders>
            <w:hideMark/>
          </w:tcPr>
          <w:p w14:paraId="3759B840" w14:textId="6486D028" w:rsidR="00F3600C" w:rsidRPr="000365ED" w:rsidRDefault="00F3600C" w:rsidP="00397401">
            <w:pPr>
              <w:ind w:right="57"/>
              <w:rPr>
                <w:rFonts w:ascii="Times New Roman" w:eastAsia="Arial" w:hAnsi="Times New Roman" w:cs="Times New Roman"/>
                <w:b/>
                <w:bCs/>
                <w:lang w:val="en-ID"/>
              </w:rPr>
            </w:pPr>
            <w:proofErr w:type="spellStart"/>
            <w:r w:rsidRPr="000365ED">
              <w:rPr>
                <w:rFonts w:ascii="Times New Roman" w:eastAsia="Arial" w:hAnsi="Times New Roman" w:cs="Times New Roman"/>
                <w:color w:val="000000"/>
                <w:lang w:val="en-ID"/>
              </w:rPr>
              <w:t>Gyssens</w:t>
            </w:r>
            <w:proofErr w:type="spellEnd"/>
            <w:r w:rsidRPr="000365ED">
              <w:rPr>
                <w:rFonts w:ascii="Times New Roman" w:eastAsia="Arial" w:hAnsi="Times New Roman" w:cs="Times New Roman"/>
                <w:color w:val="000000"/>
                <w:lang w:val="en-ID"/>
              </w:rPr>
              <w:t xml:space="preserve"> method applied </w:t>
            </w:r>
          </w:p>
        </w:tc>
        <w:tc>
          <w:tcPr>
            <w:tcW w:w="1655" w:type="dxa"/>
            <w:tcBorders>
              <w:top w:val="single" w:sz="4" w:space="0" w:color="D0CECE"/>
              <w:left w:val="single" w:sz="4" w:space="0" w:color="D0CECE"/>
              <w:bottom w:val="single" w:sz="4" w:space="0" w:color="D0CECE"/>
              <w:right w:val="single" w:sz="4" w:space="0" w:color="D0CECE"/>
            </w:tcBorders>
          </w:tcPr>
          <w:p w14:paraId="07FE432C" w14:textId="77777777" w:rsidR="00F3600C" w:rsidRPr="000365ED" w:rsidRDefault="00F3600C" w:rsidP="00397401">
            <w:pPr>
              <w:ind w:left="57" w:right="57"/>
              <w:jc w:val="center"/>
              <w:rPr>
                <w:rFonts w:ascii="Times New Roman" w:eastAsia="Arial" w:hAnsi="Times New Roman" w:cs="Times New Roman"/>
                <w:b/>
                <w:bCs/>
                <w:color w:val="000000"/>
                <w:lang w:val="en-ID"/>
              </w:rPr>
            </w:pPr>
          </w:p>
        </w:tc>
        <w:tc>
          <w:tcPr>
            <w:tcW w:w="1369" w:type="dxa"/>
            <w:tcBorders>
              <w:top w:val="single" w:sz="4" w:space="0" w:color="D0CECE"/>
              <w:left w:val="single" w:sz="4" w:space="0" w:color="D0CECE"/>
              <w:bottom w:val="single" w:sz="4" w:space="0" w:color="D0CECE"/>
              <w:right w:val="single" w:sz="4" w:space="0" w:color="D0CECE"/>
            </w:tcBorders>
            <w:hideMark/>
          </w:tcPr>
          <w:p w14:paraId="4063B33F" w14:textId="77777777" w:rsidR="00F3600C" w:rsidRPr="000365ED" w:rsidRDefault="00F3600C" w:rsidP="00397401">
            <w:pPr>
              <w:ind w:left="57" w:right="57"/>
              <w:jc w:val="center"/>
              <w:rPr>
                <w:rFonts w:ascii="Times New Roman" w:eastAsia="Arial" w:hAnsi="Times New Roman" w:cs="Times New Roman"/>
                <w:b/>
                <w:bCs/>
                <w:color w:val="000000"/>
                <w:lang w:val="en-ID"/>
              </w:rPr>
            </w:pPr>
            <w:r w:rsidRPr="000365ED">
              <w:rPr>
                <w:rFonts w:ascii="Times New Roman" w:eastAsia="Noto Sans Symbols" w:hAnsi="Times New Roman" w:cs="Times New Roman"/>
                <w:lang w:val="en-ID"/>
              </w:rPr>
              <w:t>●</w:t>
            </w:r>
          </w:p>
        </w:tc>
        <w:tc>
          <w:tcPr>
            <w:tcW w:w="1675" w:type="dxa"/>
            <w:tcBorders>
              <w:top w:val="single" w:sz="4" w:space="0" w:color="D0CECE"/>
              <w:left w:val="single" w:sz="4" w:space="0" w:color="D0CECE"/>
              <w:bottom w:val="single" w:sz="4" w:space="0" w:color="D0CECE"/>
              <w:right w:val="single" w:sz="4" w:space="0" w:color="D0CECE"/>
            </w:tcBorders>
          </w:tcPr>
          <w:p w14:paraId="6A152FB6" w14:textId="77777777" w:rsidR="00F3600C" w:rsidRPr="000365ED" w:rsidRDefault="00F3600C" w:rsidP="00397401">
            <w:pPr>
              <w:ind w:left="57" w:right="57"/>
              <w:jc w:val="center"/>
              <w:rPr>
                <w:rFonts w:ascii="Times New Roman" w:eastAsia="Arial" w:hAnsi="Times New Roman" w:cs="Times New Roman"/>
                <w:b/>
                <w:bCs/>
                <w:color w:val="000000"/>
                <w:lang w:val="en-ID"/>
              </w:rPr>
            </w:pPr>
          </w:p>
        </w:tc>
        <w:tc>
          <w:tcPr>
            <w:tcW w:w="1675" w:type="dxa"/>
            <w:tcBorders>
              <w:top w:val="single" w:sz="4" w:space="0" w:color="D0CECE"/>
              <w:left w:val="single" w:sz="4" w:space="0" w:color="D0CECE"/>
              <w:bottom w:val="single" w:sz="4" w:space="0" w:color="D0CECE"/>
              <w:right w:val="single" w:sz="4" w:space="0" w:color="D0CECE"/>
            </w:tcBorders>
          </w:tcPr>
          <w:p w14:paraId="4BE03D92" w14:textId="7BA4531B" w:rsidR="00F3600C" w:rsidRPr="000365ED" w:rsidRDefault="00F3600C" w:rsidP="00397401">
            <w:pPr>
              <w:ind w:left="57" w:right="57"/>
              <w:jc w:val="center"/>
              <w:rPr>
                <w:rFonts w:ascii="Times New Roman" w:eastAsia="Arial" w:hAnsi="Times New Roman" w:cs="Times New Roman"/>
                <w:b/>
                <w:bCs/>
                <w:color w:val="000000"/>
                <w:lang w:val="en-ID"/>
              </w:rPr>
            </w:pPr>
          </w:p>
        </w:tc>
        <w:tc>
          <w:tcPr>
            <w:tcW w:w="1521" w:type="dxa"/>
            <w:tcBorders>
              <w:top w:val="single" w:sz="4" w:space="0" w:color="D0CECE"/>
              <w:left w:val="single" w:sz="4" w:space="0" w:color="D0CECE"/>
              <w:bottom w:val="single" w:sz="4" w:space="0" w:color="D0CECE"/>
              <w:right w:val="single" w:sz="4" w:space="0" w:color="D0CECE"/>
            </w:tcBorders>
          </w:tcPr>
          <w:p w14:paraId="74A6E107" w14:textId="77777777" w:rsidR="00F3600C" w:rsidRPr="000365ED" w:rsidRDefault="00F3600C" w:rsidP="00397401">
            <w:pPr>
              <w:ind w:left="57" w:right="57"/>
              <w:jc w:val="center"/>
              <w:rPr>
                <w:rFonts w:ascii="Times New Roman" w:eastAsia="Arial" w:hAnsi="Times New Roman" w:cs="Times New Roman"/>
                <w:b/>
                <w:bCs/>
                <w:color w:val="000000"/>
                <w:lang w:val="en-ID"/>
              </w:rPr>
            </w:pPr>
          </w:p>
        </w:tc>
      </w:tr>
      <w:tr w:rsidR="00F3600C" w:rsidRPr="000365ED" w14:paraId="75B4D09C" w14:textId="77777777" w:rsidTr="008751B6">
        <w:trPr>
          <w:trHeight w:val="144"/>
        </w:trPr>
        <w:tc>
          <w:tcPr>
            <w:tcW w:w="574"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2E85DDB1" w14:textId="1D8BA856" w:rsidR="00F3600C" w:rsidRPr="000365ED" w:rsidRDefault="00F3600C" w:rsidP="00397401">
            <w:pPr>
              <w:ind w:right="57"/>
              <w:rPr>
                <w:rFonts w:ascii="Times New Roman" w:eastAsia="Arial" w:hAnsi="Times New Roman" w:cs="Times New Roman"/>
                <w:b/>
                <w:bCs/>
                <w:color w:val="000000"/>
                <w:lang w:val="en-ID"/>
              </w:rPr>
            </w:pPr>
            <w:r w:rsidRPr="000365ED">
              <w:rPr>
                <w:rFonts w:ascii="Times New Roman" w:eastAsia="Arial" w:hAnsi="Times New Roman" w:cs="Times New Roman"/>
                <w:color w:val="000000"/>
                <w:lang w:val="en-ID"/>
              </w:rPr>
              <w:t>1</w:t>
            </w:r>
            <w:r w:rsidR="004946BE" w:rsidRPr="000365ED">
              <w:rPr>
                <w:rFonts w:ascii="Times New Roman" w:eastAsia="Arial" w:hAnsi="Times New Roman" w:cs="Times New Roman"/>
                <w:color w:val="000000"/>
                <w:lang w:val="en-ID"/>
              </w:rPr>
              <w:t>0</w:t>
            </w:r>
          </w:p>
        </w:tc>
        <w:tc>
          <w:tcPr>
            <w:tcW w:w="3092"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60968F4A" w14:textId="5EF31929" w:rsidR="00F3600C" w:rsidRPr="000365ED" w:rsidRDefault="00590B64" w:rsidP="00397401">
            <w:pPr>
              <w:ind w:right="57"/>
              <w:rPr>
                <w:rFonts w:ascii="Times New Roman" w:eastAsia="Arial" w:hAnsi="Times New Roman" w:cs="Times New Roman"/>
                <w:b/>
                <w:bCs/>
                <w:lang w:val="en-ID"/>
              </w:rPr>
            </w:pPr>
            <w:r w:rsidRPr="000365ED">
              <w:rPr>
                <w:rFonts w:ascii="Times New Roman" w:eastAsia="Arial" w:hAnsi="Times New Roman" w:cs="Times New Roman"/>
                <w:color w:val="000000"/>
                <w:lang w:val="en-ID"/>
              </w:rPr>
              <w:t>Indicated the use of r</w:t>
            </w:r>
            <w:r w:rsidR="00F3600C" w:rsidRPr="000365ED">
              <w:rPr>
                <w:rFonts w:ascii="Times New Roman" w:eastAsia="Arial" w:hAnsi="Times New Roman" w:cs="Times New Roman"/>
                <w:color w:val="000000"/>
                <w:lang w:val="en-ID"/>
              </w:rPr>
              <w:t>eference prescribing guidelines</w:t>
            </w:r>
          </w:p>
        </w:tc>
        <w:tc>
          <w:tcPr>
            <w:tcW w:w="1655"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tcPr>
          <w:p w14:paraId="0B03E85F" w14:textId="77777777" w:rsidR="00F3600C" w:rsidRPr="000365ED" w:rsidRDefault="00F3600C" w:rsidP="00397401">
            <w:pPr>
              <w:ind w:left="57" w:right="57"/>
              <w:jc w:val="center"/>
              <w:rPr>
                <w:rFonts w:ascii="Times New Roman" w:eastAsia="Arial" w:hAnsi="Times New Roman" w:cs="Times New Roman"/>
                <w:b/>
                <w:bCs/>
                <w:color w:val="000000"/>
                <w:lang w:val="en-ID"/>
              </w:rPr>
            </w:pPr>
          </w:p>
        </w:tc>
        <w:tc>
          <w:tcPr>
            <w:tcW w:w="1369"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2FF639DD" w14:textId="77777777" w:rsidR="00F3600C" w:rsidRPr="000365ED" w:rsidRDefault="00F3600C" w:rsidP="00397401">
            <w:pPr>
              <w:ind w:left="57" w:right="57"/>
              <w:jc w:val="center"/>
              <w:rPr>
                <w:rFonts w:ascii="Times New Roman" w:eastAsia="Arial" w:hAnsi="Times New Roman" w:cs="Times New Roman"/>
                <w:b/>
                <w:bCs/>
                <w:color w:val="000000"/>
                <w:lang w:val="en-ID"/>
              </w:rPr>
            </w:pPr>
            <w:r w:rsidRPr="000365ED">
              <w:rPr>
                <w:rFonts w:ascii="Times New Roman" w:eastAsia="Noto Sans Symbols" w:hAnsi="Times New Roman" w:cs="Times New Roman"/>
                <w:lang w:val="en-ID"/>
              </w:rPr>
              <w:t>●</w:t>
            </w:r>
          </w:p>
        </w:tc>
        <w:tc>
          <w:tcPr>
            <w:tcW w:w="1675"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tcPr>
          <w:p w14:paraId="71487DE8" w14:textId="77777777" w:rsidR="00F3600C" w:rsidRPr="000365ED" w:rsidRDefault="00F3600C" w:rsidP="00397401">
            <w:pPr>
              <w:ind w:left="57" w:right="57"/>
              <w:jc w:val="center"/>
              <w:rPr>
                <w:rFonts w:ascii="Times New Roman" w:eastAsia="Arial" w:hAnsi="Times New Roman" w:cs="Times New Roman"/>
                <w:b/>
                <w:bCs/>
                <w:color w:val="000000"/>
                <w:lang w:val="en-ID"/>
              </w:rPr>
            </w:pPr>
          </w:p>
        </w:tc>
        <w:tc>
          <w:tcPr>
            <w:tcW w:w="1675"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tcPr>
          <w:p w14:paraId="1416935A" w14:textId="49D45187" w:rsidR="00F3600C" w:rsidRPr="000365ED" w:rsidRDefault="00F3600C" w:rsidP="00397401">
            <w:pPr>
              <w:ind w:left="57" w:right="57"/>
              <w:jc w:val="center"/>
              <w:rPr>
                <w:rFonts w:ascii="Times New Roman" w:eastAsia="Arial" w:hAnsi="Times New Roman" w:cs="Times New Roman"/>
                <w:b/>
                <w:bCs/>
                <w:color w:val="000000"/>
                <w:lang w:val="en-ID"/>
              </w:rPr>
            </w:pPr>
          </w:p>
        </w:tc>
        <w:tc>
          <w:tcPr>
            <w:tcW w:w="1521"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tcPr>
          <w:p w14:paraId="411FA2C9" w14:textId="77777777" w:rsidR="00F3600C" w:rsidRPr="000365ED" w:rsidRDefault="00F3600C" w:rsidP="00397401">
            <w:pPr>
              <w:ind w:left="57" w:right="57"/>
              <w:jc w:val="center"/>
              <w:rPr>
                <w:rFonts w:ascii="Times New Roman" w:eastAsia="Arial" w:hAnsi="Times New Roman" w:cs="Times New Roman"/>
                <w:b/>
                <w:bCs/>
                <w:color w:val="000000"/>
                <w:lang w:val="en-ID"/>
              </w:rPr>
            </w:pPr>
          </w:p>
        </w:tc>
      </w:tr>
      <w:tr w:rsidR="00F3600C" w:rsidRPr="000365ED" w14:paraId="3399BA2B" w14:textId="77777777" w:rsidTr="008751B6">
        <w:trPr>
          <w:trHeight w:val="144"/>
        </w:trPr>
        <w:tc>
          <w:tcPr>
            <w:tcW w:w="574" w:type="dxa"/>
            <w:tcBorders>
              <w:top w:val="single" w:sz="4" w:space="0" w:color="D0CECE"/>
              <w:left w:val="single" w:sz="4" w:space="0" w:color="D0CECE"/>
              <w:bottom w:val="single" w:sz="4" w:space="0" w:color="D0CECE"/>
              <w:right w:val="single" w:sz="4" w:space="0" w:color="D0CECE"/>
            </w:tcBorders>
            <w:hideMark/>
          </w:tcPr>
          <w:p w14:paraId="34B3D779" w14:textId="686927DB" w:rsidR="00F3600C" w:rsidRPr="000365ED" w:rsidRDefault="00F3600C" w:rsidP="00397401">
            <w:pPr>
              <w:ind w:right="57"/>
              <w:rPr>
                <w:rFonts w:ascii="Times New Roman" w:eastAsia="Arial" w:hAnsi="Times New Roman" w:cs="Times New Roman"/>
                <w:b/>
                <w:bCs/>
                <w:color w:val="000000"/>
                <w:lang w:val="en-ID"/>
              </w:rPr>
            </w:pPr>
            <w:r w:rsidRPr="000365ED">
              <w:rPr>
                <w:rFonts w:ascii="Times New Roman" w:eastAsia="Arial" w:hAnsi="Times New Roman" w:cs="Times New Roman"/>
                <w:color w:val="000000"/>
                <w:lang w:val="en-ID"/>
              </w:rPr>
              <w:t>1</w:t>
            </w:r>
            <w:r w:rsidR="004946BE" w:rsidRPr="000365ED">
              <w:rPr>
                <w:rFonts w:ascii="Times New Roman" w:eastAsia="Arial" w:hAnsi="Times New Roman" w:cs="Times New Roman"/>
                <w:color w:val="000000"/>
                <w:lang w:val="en-ID"/>
              </w:rPr>
              <w:t>1</w:t>
            </w:r>
          </w:p>
        </w:tc>
        <w:tc>
          <w:tcPr>
            <w:tcW w:w="3092" w:type="dxa"/>
            <w:tcBorders>
              <w:top w:val="single" w:sz="4" w:space="0" w:color="D0CECE"/>
              <w:left w:val="single" w:sz="4" w:space="0" w:color="D0CECE"/>
              <w:bottom w:val="single" w:sz="4" w:space="0" w:color="D0CECE"/>
              <w:right w:val="single" w:sz="4" w:space="0" w:color="D0CECE"/>
            </w:tcBorders>
            <w:hideMark/>
          </w:tcPr>
          <w:p w14:paraId="725E1EE3" w14:textId="18CC3EF3" w:rsidR="00F3600C" w:rsidRPr="000365ED" w:rsidRDefault="00590B64" w:rsidP="00397401">
            <w:pPr>
              <w:ind w:right="57"/>
              <w:rPr>
                <w:rFonts w:ascii="Times New Roman" w:eastAsia="Arial" w:hAnsi="Times New Roman" w:cs="Times New Roman"/>
                <w:b/>
                <w:bCs/>
                <w:lang w:val="en-ID"/>
              </w:rPr>
            </w:pPr>
            <w:r w:rsidRPr="000365ED">
              <w:rPr>
                <w:rFonts w:ascii="Times New Roman" w:eastAsia="Arial" w:hAnsi="Times New Roman" w:cs="Times New Roman"/>
                <w:color w:val="000000"/>
                <w:lang w:val="en-ID"/>
              </w:rPr>
              <w:t xml:space="preserve">Over </w:t>
            </w:r>
            <w:r w:rsidR="00A378B8" w:rsidRPr="000365ED">
              <w:rPr>
                <w:rFonts w:ascii="Times New Roman" w:eastAsia="Arial" w:hAnsi="Times New Roman" w:cs="Times New Roman"/>
                <w:color w:val="000000"/>
                <w:lang w:val="en-ID"/>
              </w:rPr>
              <w:t>35</w:t>
            </w:r>
            <w:r w:rsidRPr="000365ED">
              <w:rPr>
                <w:rFonts w:ascii="Times New Roman" w:eastAsia="Arial" w:hAnsi="Times New Roman" w:cs="Times New Roman"/>
                <w:color w:val="000000"/>
                <w:lang w:val="en-ID"/>
              </w:rPr>
              <w:t xml:space="preserve"> study participants responding to questionnaire </w:t>
            </w:r>
          </w:p>
        </w:tc>
        <w:tc>
          <w:tcPr>
            <w:tcW w:w="1655" w:type="dxa"/>
            <w:tcBorders>
              <w:top w:val="single" w:sz="4" w:space="0" w:color="D0CECE"/>
              <w:left w:val="single" w:sz="4" w:space="0" w:color="D0CECE"/>
              <w:bottom w:val="single" w:sz="4" w:space="0" w:color="D0CECE"/>
              <w:right w:val="single" w:sz="4" w:space="0" w:color="D0CECE"/>
            </w:tcBorders>
          </w:tcPr>
          <w:p w14:paraId="1FD3D3D1" w14:textId="77777777" w:rsidR="00F3600C" w:rsidRPr="000365ED" w:rsidRDefault="00F3600C" w:rsidP="00397401">
            <w:pPr>
              <w:ind w:left="57" w:right="57"/>
              <w:jc w:val="center"/>
              <w:rPr>
                <w:rFonts w:ascii="Times New Roman" w:eastAsia="Arial" w:hAnsi="Times New Roman" w:cs="Times New Roman"/>
                <w:b/>
                <w:bCs/>
                <w:color w:val="000000"/>
                <w:lang w:val="en-ID"/>
              </w:rPr>
            </w:pPr>
          </w:p>
        </w:tc>
        <w:tc>
          <w:tcPr>
            <w:tcW w:w="1369" w:type="dxa"/>
            <w:tcBorders>
              <w:top w:val="single" w:sz="4" w:space="0" w:color="D0CECE"/>
              <w:left w:val="single" w:sz="4" w:space="0" w:color="D0CECE"/>
              <w:bottom w:val="single" w:sz="4" w:space="0" w:color="D0CECE"/>
              <w:right w:val="single" w:sz="4" w:space="0" w:color="D0CECE"/>
            </w:tcBorders>
            <w:hideMark/>
          </w:tcPr>
          <w:p w14:paraId="1C71BB64" w14:textId="77777777" w:rsidR="00F3600C" w:rsidRPr="000365ED" w:rsidRDefault="00F3600C" w:rsidP="00397401">
            <w:pPr>
              <w:ind w:left="57" w:right="57"/>
              <w:jc w:val="center"/>
              <w:rPr>
                <w:rFonts w:ascii="Times New Roman" w:eastAsia="Arial" w:hAnsi="Times New Roman" w:cs="Times New Roman"/>
                <w:b/>
                <w:bCs/>
                <w:color w:val="000000"/>
                <w:lang w:val="en-ID"/>
              </w:rPr>
            </w:pPr>
          </w:p>
        </w:tc>
        <w:tc>
          <w:tcPr>
            <w:tcW w:w="1675" w:type="dxa"/>
            <w:tcBorders>
              <w:top w:val="single" w:sz="4" w:space="0" w:color="D0CECE"/>
              <w:left w:val="single" w:sz="4" w:space="0" w:color="D0CECE"/>
              <w:bottom w:val="single" w:sz="4" w:space="0" w:color="D0CECE"/>
              <w:right w:val="single" w:sz="4" w:space="0" w:color="D0CECE"/>
            </w:tcBorders>
          </w:tcPr>
          <w:p w14:paraId="4CB07530" w14:textId="77777777" w:rsidR="00F3600C" w:rsidRPr="000365ED" w:rsidRDefault="00F3600C" w:rsidP="00397401">
            <w:pPr>
              <w:ind w:left="57" w:right="57"/>
              <w:jc w:val="center"/>
              <w:rPr>
                <w:rFonts w:ascii="Times New Roman" w:eastAsia="Arial" w:hAnsi="Times New Roman" w:cs="Times New Roman"/>
                <w:b/>
                <w:bCs/>
                <w:color w:val="000000"/>
                <w:lang w:val="en-ID"/>
              </w:rPr>
            </w:pPr>
          </w:p>
        </w:tc>
        <w:tc>
          <w:tcPr>
            <w:tcW w:w="1675" w:type="dxa"/>
            <w:tcBorders>
              <w:top w:val="single" w:sz="4" w:space="0" w:color="D0CECE"/>
              <w:left w:val="single" w:sz="4" w:space="0" w:color="D0CECE"/>
              <w:bottom w:val="single" w:sz="4" w:space="0" w:color="D0CECE"/>
              <w:right w:val="single" w:sz="4" w:space="0" w:color="D0CECE"/>
            </w:tcBorders>
          </w:tcPr>
          <w:p w14:paraId="522EA339" w14:textId="051333A2" w:rsidR="00F3600C" w:rsidRPr="000365ED" w:rsidRDefault="00F3600C" w:rsidP="00397401">
            <w:pPr>
              <w:ind w:left="57" w:right="57"/>
              <w:jc w:val="center"/>
              <w:rPr>
                <w:rFonts w:ascii="Times New Roman" w:eastAsia="Arial" w:hAnsi="Times New Roman" w:cs="Times New Roman"/>
                <w:b/>
                <w:bCs/>
                <w:color w:val="000000"/>
                <w:lang w:val="en-ID"/>
              </w:rPr>
            </w:pPr>
          </w:p>
        </w:tc>
        <w:tc>
          <w:tcPr>
            <w:tcW w:w="1521" w:type="dxa"/>
            <w:tcBorders>
              <w:top w:val="single" w:sz="4" w:space="0" w:color="D0CECE"/>
              <w:left w:val="single" w:sz="4" w:space="0" w:color="D0CECE"/>
              <w:bottom w:val="single" w:sz="4" w:space="0" w:color="D0CECE"/>
              <w:right w:val="single" w:sz="4" w:space="0" w:color="D0CECE"/>
            </w:tcBorders>
            <w:hideMark/>
          </w:tcPr>
          <w:p w14:paraId="6238AEE0" w14:textId="77777777" w:rsidR="00F3600C" w:rsidRPr="000365ED" w:rsidRDefault="00F3600C" w:rsidP="00397401">
            <w:pPr>
              <w:ind w:left="57" w:right="57"/>
              <w:jc w:val="center"/>
              <w:rPr>
                <w:rFonts w:ascii="Times New Roman" w:eastAsia="Arial" w:hAnsi="Times New Roman" w:cs="Times New Roman"/>
                <w:b/>
                <w:bCs/>
                <w:color w:val="000000"/>
                <w:lang w:val="en-ID"/>
              </w:rPr>
            </w:pPr>
            <w:r w:rsidRPr="000365ED">
              <w:rPr>
                <w:rFonts w:ascii="Times New Roman" w:eastAsia="Noto Sans Symbols" w:hAnsi="Times New Roman" w:cs="Times New Roman"/>
                <w:lang w:val="en-ID"/>
              </w:rPr>
              <w:t>●</w:t>
            </w:r>
          </w:p>
        </w:tc>
      </w:tr>
      <w:tr w:rsidR="00F3600C" w:rsidRPr="000365ED" w14:paraId="0C2E4F50" w14:textId="77777777" w:rsidTr="008751B6">
        <w:trPr>
          <w:trHeight w:val="144"/>
        </w:trPr>
        <w:tc>
          <w:tcPr>
            <w:tcW w:w="574"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2B87C197" w14:textId="78950B88" w:rsidR="00F3600C" w:rsidRPr="000365ED" w:rsidRDefault="00F3600C" w:rsidP="00397401">
            <w:pPr>
              <w:ind w:right="57"/>
              <w:rPr>
                <w:rFonts w:ascii="Times New Roman" w:eastAsia="Arial" w:hAnsi="Times New Roman" w:cs="Times New Roman"/>
                <w:b/>
                <w:bCs/>
                <w:color w:val="000000"/>
                <w:lang w:val="en-ID"/>
              </w:rPr>
            </w:pPr>
            <w:r w:rsidRPr="000365ED">
              <w:rPr>
                <w:rFonts w:ascii="Times New Roman" w:eastAsia="Arial" w:hAnsi="Times New Roman" w:cs="Times New Roman"/>
                <w:color w:val="000000"/>
                <w:lang w:val="en-ID"/>
              </w:rPr>
              <w:t>1</w:t>
            </w:r>
            <w:r w:rsidR="004946BE" w:rsidRPr="000365ED">
              <w:rPr>
                <w:rFonts w:ascii="Times New Roman" w:eastAsia="Arial" w:hAnsi="Times New Roman" w:cs="Times New Roman"/>
                <w:color w:val="000000"/>
                <w:lang w:val="en-ID"/>
              </w:rPr>
              <w:t>2</w:t>
            </w:r>
          </w:p>
        </w:tc>
        <w:tc>
          <w:tcPr>
            <w:tcW w:w="3092"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121A79A7" w14:textId="012AE2CE" w:rsidR="00F3600C" w:rsidRPr="000365ED" w:rsidRDefault="00590B64" w:rsidP="00397401">
            <w:pPr>
              <w:ind w:right="57"/>
              <w:rPr>
                <w:rFonts w:ascii="Times New Roman" w:eastAsia="Arial" w:hAnsi="Times New Roman" w:cs="Times New Roman"/>
                <w:b/>
                <w:bCs/>
                <w:color w:val="000000"/>
                <w:lang w:val="en-ID"/>
              </w:rPr>
            </w:pPr>
            <w:r w:rsidRPr="000365ED">
              <w:rPr>
                <w:rFonts w:ascii="Times New Roman" w:eastAsia="Arial" w:hAnsi="Times New Roman" w:cs="Times New Roman"/>
                <w:color w:val="000000"/>
                <w:lang w:val="en-ID"/>
              </w:rPr>
              <w:t xml:space="preserve">Overall quality of paper and </w:t>
            </w:r>
            <w:r w:rsidR="00C73927" w:rsidRPr="000365ED">
              <w:rPr>
                <w:rFonts w:ascii="Times New Roman" w:eastAsia="Arial" w:hAnsi="Times New Roman" w:cs="Times New Roman"/>
                <w:color w:val="000000"/>
                <w:lang w:val="en-ID"/>
              </w:rPr>
              <w:t>results interpretation</w:t>
            </w:r>
          </w:p>
        </w:tc>
        <w:tc>
          <w:tcPr>
            <w:tcW w:w="1655"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1CB9AD33" w14:textId="77777777" w:rsidR="00F3600C" w:rsidRPr="000365ED" w:rsidRDefault="00F3600C" w:rsidP="00397401">
            <w:pPr>
              <w:ind w:left="57" w:right="57"/>
              <w:jc w:val="center"/>
              <w:rPr>
                <w:rFonts w:ascii="Times New Roman" w:eastAsia="Arial" w:hAnsi="Times New Roman" w:cs="Times New Roman"/>
                <w:b/>
                <w:bCs/>
                <w:color w:val="000000"/>
                <w:lang w:val="en-ID"/>
              </w:rPr>
            </w:pPr>
            <w:r w:rsidRPr="000365ED">
              <w:rPr>
                <w:rFonts w:ascii="Times New Roman" w:eastAsia="Noto Sans Symbols" w:hAnsi="Times New Roman" w:cs="Times New Roman"/>
                <w:lang w:val="en-ID"/>
              </w:rPr>
              <w:t>●</w:t>
            </w:r>
          </w:p>
        </w:tc>
        <w:tc>
          <w:tcPr>
            <w:tcW w:w="1369"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1A36337A" w14:textId="77777777" w:rsidR="00F3600C" w:rsidRPr="000365ED" w:rsidRDefault="00F3600C" w:rsidP="00397401">
            <w:pPr>
              <w:ind w:left="57" w:right="57"/>
              <w:jc w:val="center"/>
              <w:rPr>
                <w:rFonts w:ascii="Times New Roman" w:eastAsia="Arial" w:hAnsi="Times New Roman" w:cs="Times New Roman"/>
                <w:b/>
                <w:bCs/>
                <w:color w:val="000000"/>
                <w:lang w:val="en-ID"/>
              </w:rPr>
            </w:pPr>
            <w:r w:rsidRPr="000365ED">
              <w:rPr>
                <w:rFonts w:ascii="Times New Roman" w:eastAsia="Noto Sans Symbols" w:hAnsi="Times New Roman" w:cs="Times New Roman"/>
                <w:lang w:val="en-ID"/>
              </w:rPr>
              <w:t>●</w:t>
            </w:r>
          </w:p>
        </w:tc>
        <w:tc>
          <w:tcPr>
            <w:tcW w:w="1675"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tcPr>
          <w:p w14:paraId="3502198A" w14:textId="1777CEF5" w:rsidR="00F3600C" w:rsidRPr="000365ED" w:rsidRDefault="004946BE" w:rsidP="00397401">
            <w:pPr>
              <w:ind w:left="57" w:right="57"/>
              <w:jc w:val="center"/>
              <w:rPr>
                <w:rFonts w:ascii="Times New Roman" w:eastAsia="Noto Sans Symbols" w:hAnsi="Times New Roman" w:cs="Times New Roman"/>
                <w:lang w:val="en-ID"/>
              </w:rPr>
            </w:pPr>
            <w:r w:rsidRPr="000365ED">
              <w:rPr>
                <w:rFonts w:ascii="Times New Roman" w:eastAsia="Noto Sans Symbols" w:hAnsi="Times New Roman" w:cs="Times New Roman"/>
                <w:lang w:val="en-ID"/>
              </w:rPr>
              <w:t>●</w:t>
            </w:r>
          </w:p>
        </w:tc>
        <w:tc>
          <w:tcPr>
            <w:tcW w:w="1675"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2C61A0C5" w14:textId="288C9A24" w:rsidR="00F3600C" w:rsidRPr="000365ED" w:rsidRDefault="00F3600C" w:rsidP="00397401">
            <w:pPr>
              <w:ind w:left="57" w:right="57"/>
              <w:jc w:val="center"/>
              <w:rPr>
                <w:rFonts w:ascii="Times New Roman" w:eastAsia="Arial" w:hAnsi="Times New Roman" w:cs="Times New Roman"/>
                <w:b/>
                <w:bCs/>
                <w:color w:val="000000"/>
                <w:lang w:val="en-ID"/>
              </w:rPr>
            </w:pPr>
            <w:r w:rsidRPr="000365ED">
              <w:rPr>
                <w:rFonts w:ascii="Times New Roman" w:eastAsia="Noto Sans Symbols" w:hAnsi="Times New Roman" w:cs="Times New Roman"/>
                <w:lang w:val="en-ID"/>
              </w:rPr>
              <w:t>●</w:t>
            </w:r>
          </w:p>
        </w:tc>
        <w:tc>
          <w:tcPr>
            <w:tcW w:w="1521"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hideMark/>
          </w:tcPr>
          <w:p w14:paraId="38616A0D" w14:textId="77777777" w:rsidR="00F3600C" w:rsidRPr="000365ED" w:rsidRDefault="00F3600C" w:rsidP="00397401">
            <w:pPr>
              <w:ind w:left="57" w:right="57"/>
              <w:jc w:val="center"/>
              <w:rPr>
                <w:rFonts w:ascii="Times New Roman" w:eastAsia="Arial" w:hAnsi="Times New Roman" w:cs="Times New Roman"/>
                <w:b/>
                <w:bCs/>
                <w:color w:val="000000"/>
                <w:lang w:val="en-ID"/>
              </w:rPr>
            </w:pPr>
            <w:r w:rsidRPr="000365ED">
              <w:rPr>
                <w:rFonts w:ascii="Times New Roman" w:eastAsia="Noto Sans Symbols" w:hAnsi="Times New Roman" w:cs="Times New Roman"/>
                <w:lang w:val="en-ID"/>
              </w:rPr>
              <w:t>●</w:t>
            </w:r>
          </w:p>
        </w:tc>
        <w:bookmarkEnd w:id="0"/>
      </w:tr>
      <w:tr w:rsidR="004946BE" w:rsidRPr="000365ED" w14:paraId="38B02C7A" w14:textId="77777777" w:rsidTr="008751B6">
        <w:trPr>
          <w:trHeight w:val="556"/>
        </w:trPr>
        <w:tc>
          <w:tcPr>
            <w:tcW w:w="574"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tcPr>
          <w:p w14:paraId="57984D29" w14:textId="574C0710" w:rsidR="004946BE" w:rsidRPr="000365ED" w:rsidRDefault="004946BE" w:rsidP="00397401">
            <w:pPr>
              <w:ind w:right="57"/>
              <w:rPr>
                <w:rFonts w:ascii="Times New Roman" w:eastAsia="Arial" w:hAnsi="Times New Roman" w:cs="Times New Roman"/>
                <w:color w:val="000000"/>
                <w:lang w:val="en-ID"/>
              </w:rPr>
            </w:pPr>
            <w:r w:rsidRPr="000365ED">
              <w:rPr>
                <w:rFonts w:ascii="Times New Roman" w:eastAsia="Arial" w:hAnsi="Times New Roman" w:cs="Times New Roman"/>
                <w:color w:val="000000"/>
                <w:lang w:val="en-ID"/>
              </w:rPr>
              <w:t>13</w:t>
            </w:r>
          </w:p>
        </w:tc>
        <w:tc>
          <w:tcPr>
            <w:tcW w:w="3092"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tcPr>
          <w:p w14:paraId="08D4F15E" w14:textId="742091D9" w:rsidR="004946BE" w:rsidRPr="000365ED" w:rsidRDefault="004946BE" w:rsidP="00397401">
            <w:pPr>
              <w:ind w:right="57"/>
              <w:rPr>
                <w:rFonts w:ascii="Times New Roman" w:eastAsia="Arial" w:hAnsi="Times New Roman" w:cs="Times New Roman"/>
                <w:color w:val="000000"/>
                <w:lang w:val="en-ID"/>
              </w:rPr>
            </w:pPr>
            <w:r w:rsidRPr="000365ED">
              <w:rPr>
                <w:rFonts w:ascii="Times New Roman" w:eastAsia="Arial" w:hAnsi="Times New Roman" w:cs="Times New Roman"/>
                <w:color w:val="000000"/>
                <w:lang w:val="en-ID"/>
              </w:rPr>
              <w:t>Indicators or drivers of antibiotic use</w:t>
            </w:r>
          </w:p>
        </w:tc>
        <w:tc>
          <w:tcPr>
            <w:tcW w:w="1655"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tcPr>
          <w:p w14:paraId="6C3C63F6" w14:textId="77777777" w:rsidR="004946BE" w:rsidRPr="000365ED" w:rsidRDefault="004946BE" w:rsidP="00397401">
            <w:pPr>
              <w:ind w:left="57" w:right="57"/>
              <w:jc w:val="center"/>
              <w:rPr>
                <w:rFonts w:ascii="Times New Roman" w:eastAsia="Noto Sans Symbols" w:hAnsi="Times New Roman" w:cs="Times New Roman"/>
                <w:lang w:val="en-ID"/>
              </w:rPr>
            </w:pPr>
          </w:p>
        </w:tc>
        <w:tc>
          <w:tcPr>
            <w:tcW w:w="1369"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tcPr>
          <w:p w14:paraId="63D3B2C6" w14:textId="77777777" w:rsidR="004946BE" w:rsidRPr="000365ED" w:rsidRDefault="004946BE" w:rsidP="00397401">
            <w:pPr>
              <w:ind w:left="57" w:right="57"/>
              <w:jc w:val="center"/>
              <w:rPr>
                <w:rFonts w:ascii="Times New Roman" w:eastAsia="Noto Sans Symbols" w:hAnsi="Times New Roman" w:cs="Times New Roman"/>
                <w:lang w:val="en-ID"/>
              </w:rPr>
            </w:pPr>
          </w:p>
        </w:tc>
        <w:tc>
          <w:tcPr>
            <w:tcW w:w="1675"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tcPr>
          <w:p w14:paraId="4B7E5109" w14:textId="59A7195D" w:rsidR="004946BE" w:rsidRPr="000365ED" w:rsidRDefault="004946BE" w:rsidP="00397401">
            <w:pPr>
              <w:ind w:left="57" w:right="57"/>
              <w:jc w:val="center"/>
              <w:rPr>
                <w:rFonts w:ascii="Times New Roman" w:eastAsia="Noto Sans Symbols" w:hAnsi="Times New Roman" w:cs="Times New Roman"/>
                <w:lang w:val="en-ID"/>
              </w:rPr>
            </w:pPr>
            <w:r w:rsidRPr="000365ED">
              <w:rPr>
                <w:rFonts w:ascii="Times New Roman" w:eastAsia="Noto Sans Symbols" w:hAnsi="Times New Roman" w:cs="Times New Roman"/>
                <w:lang w:val="en-ID"/>
              </w:rPr>
              <w:t>●</w:t>
            </w:r>
          </w:p>
        </w:tc>
        <w:tc>
          <w:tcPr>
            <w:tcW w:w="1675"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tcPr>
          <w:p w14:paraId="47F7B0D1" w14:textId="77777777" w:rsidR="004946BE" w:rsidRPr="000365ED" w:rsidRDefault="004946BE" w:rsidP="00397401">
            <w:pPr>
              <w:ind w:left="57" w:right="57"/>
              <w:jc w:val="center"/>
              <w:rPr>
                <w:rFonts w:ascii="Times New Roman" w:eastAsia="Noto Sans Symbols" w:hAnsi="Times New Roman" w:cs="Times New Roman"/>
                <w:lang w:val="en-ID"/>
              </w:rPr>
            </w:pPr>
          </w:p>
        </w:tc>
        <w:tc>
          <w:tcPr>
            <w:tcW w:w="1521" w:type="dxa"/>
            <w:tcBorders>
              <w:top w:val="single" w:sz="4" w:space="0" w:color="D0CECE"/>
              <w:left w:val="single" w:sz="4" w:space="0" w:color="D0CECE"/>
              <w:bottom w:val="single" w:sz="4" w:space="0" w:color="D0CECE"/>
              <w:right w:val="single" w:sz="4" w:space="0" w:color="D0CECE"/>
            </w:tcBorders>
            <w:shd w:val="clear" w:color="auto" w:fill="F2F2F2" w:themeFill="background1" w:themeFillShade="F2"/>
          </w:tcPr>
          <w:p w14:paraId="04472702" w14:textId="77777777" w:rsidR="004946BE" w:rsidRPr="000365ED" w:rsidRDefault="004946BE" w:rsidP="00397401">
            <w:pPr>
              <w:ind w:left="57" w:right="57"/>
              <w:jc w:val="center"/>
              <w:rPr>
                <w:rFonts w:ascii="Times New Roman" w:eastAsia="Noto Sans Symbols" w:hAnsi="Times New Roman" w:cs="Times New Roman"/>
                <w:lang w:val="en-ID"/>
              </w:rPr>
            </w:pPr>
          </w:p>
        </w:tc>
      </w:tr>
    </w:tbl>
    <w:p w14:paraId="1E15689F" w14:textId="5CB707C9" w:rsidR="00F3600C" w:rsidRPr="000365ED" w:rsidRDefault="00F3600C" w:rsidP="00397401">
      <w:pPr>
        <w:rPr>
          <w:rFonts w:ascii="Times New Roman" w:eastAsia="Arial" w:hAnsi="Times New Roman" w:cs="Times New Roman"/>
        </w:rPr>
      </w:pPr>
      <w:r w:rsidRPr="000365ED">
        <w:rPr>
          <w:rFonts w:ascii="Times New Roman" w:eastAsia="Arial" w:hAnsi="Times New Roman" w:cs="Times New Roman"/>
        </w:rPr>
        <w:t>Abbreviations: DDD, defined daily dose</w:t>
      </w:r>
    </w:p>
    <w:p w14:paraId="74B294DD" w14:textId="24B5E37A" w:rsidR="009B3D11" w:rsidRPr="000365ED" w:rsidRDefault="003E7A44" w:rsidP="00397401">
      <w:pPr>
        <w:rPr>
          <w:rFonts w:ascii="Times New Roman" w:hAnsi="Times New Roman" w:cs="Times New Roman"/>
        </w:rPr>
      </w:pPr>
      <w:r w:rsidRPr="000365ED">
        <w:rPr>
          <w:rFonts w:ascii="Times New Roman" w:eastAsia="Noto Sans Symbols" w:hAnsi="Times New Roman" w:cs="Times New Roman"/>
          <w:lang w:val="en-ID"/>
        </w:rPr>
        <w:t>●</w:t>
      </w:r>
      <w:r w:rsidRPr="000365ED">
        <w:rPr>
          <w:rFonts w:ascii="Times New Roman" w:hAnsi="Times New Roman" w:cs="Times New Roman"/>
        </w:rPr>
        <w:t xml:space="preserve"> signify ‘item’ applied on the ‘theme’</w:t>
      </w:r>
    </w:p>
    <w:p w14:paraId="06B651EF" w14:textId="77777777" w:rsidR="00B955BD" w:rsidRPr="000365ED" w:rsidRDefault="00B955BD" w:rsidP="00397401">
      <w:pPr>
        <w:rPr>
          <w:rFonts w:ascii="Times New Roman" w:hAnsi="Times New Roman" w:cs="Times New Roman"/>
        </w:rPr>
        <w:sectPr w:rsidR="00B955BD" w:rsidRPr="000365ED" w:rsidSect="00B955BD">
          <w:pgSz w:w="16838" w:h="11906" w:orient="landscape"/>
          <w:pgMar w:top="1440" w:right="1440" w:bottom="1440" w:left="1440" w:header="708" w:footer="708" w:gutter="0"/>
          <w:cols w:space="708"/>
          <w:docGrid w:linePitch="360"/>
        </w:sectPr>
      </w:pPr>
    </w:p>
    <w:p w14:paraId="2275766A" w14:textId="77777777" w:rsidR="00B955BD" w:rsidRPr="000365ED" w:rsidRDefault="00B955BD" w:rsidP="00397401">
      <w:pPr>
        <w:rPr>
          <w:rFonts w:ascii="Times New Roman" w:hAnsi="Times New Roman" w:cs="Times New Roman"/>
        </w:rPr>
      </w:pPr>
    </w:p>
    <w:p w14:paraId="4843D0DD" w14:textId="2A8F2607" w:rsidR="00BE1880" w:rsidRPr="000365ED" w:rsidRDefault="00BE1880" w:rsidP="00BE1880">
      <w:pPr>
        <w:rPr>
          <w:rFonts w:ascii="Times New Roman" w:hAnsi="Times New Roman" w:cs="Times New Roman"/>
          <w:b/>
          <w:bCs/>
          <w:lang w:val="en-GB"/>
        </w:rPr>
      </w:pPr>
      <w:r w:rsidRPr="000365ED">
        <w:rPr>
          <w:rFonts w:ascii="Times New Roman" w:hAnsi="Times New Roman" w:cs="Times New Roman"/>
          <w:b/>
          <w:bCs/>
        </w:rPr>
        <w:t>Antibiotic Appropriateness</w:t>
      </w:r>
      <w:r w:rsidR="000365ED" w:rsidRPr="000365ED">
        <w:rPr>
          <w:rFonts w:ascii="Times New Roman" w:hAnsi="Times New Roman" w:cs="Times New Roman"/>
          <w:b/>
          <w:bCs/>
          <w:lang w:val="en-GB"/>
        </w:rPr>
        <w:t xml:space="preserve"> Meta-Analysis Results</w:t>
      </w:r>
    </w:p>
    <w:p w14:paraId="6CB09AB4" w14:textId="77777777" w:rsidR="00BE1880" w:rsidRPr="000365ED" w:rsidRDefault="00BE1880" w:rsidP="00BE1880">
      <w:pPr>
        <w:rPr>
          <w:rFonts w:ascii="Times New Roman" w:hAnsi="Times New Roman" w:cs="Times New Roman"/>
          <w:sz w:val="20"/>
          <w:szCs w:val="20"/>
        </w:rPr>
      </w:pPr>
      <w:r w:rsidRPr="000365ED">
        <w:rPr>
          <w:rFonts w:ascii="Times New Roman" w:hAnsi="Times New Roman" w:cs="Times New Roman"/>
          <w:sz w:val="20"/>
          <w:szCs w:val="20"/>
        </w:rPr>
        <w:t>Table 1: Antibiotic appropriateness random-effects model for pooled estimate</w:t>
      </w:r>
    </w:p>
    <w:tbl>
      <w:tblPr>
        <w:tblW w:w="7269" w:type="dxa"/>
        <w:tblLayout w:type="fixed"/>
        <w:tblCellMar>
          <w:top w:w="28" w:type="dxa"/>
          <w:left w:w="28" w:type="dxa"/>
          <w:bottom w:w="28" w:type="dxa"/>
          <w:right w:w="28" w:type="dxa"/>
        </w:tblCellMar>
        <w:tblLook w:val="04A0" w:firstRow="1" w:lastRow="0" w:firstColumn="1" w:lastColumn="0" w:noHBand="0" w:noVBand="1"/>
      </w:tblPr>
      <w:tblGrid>
        <w:gridCol w:w="2146"/>
        <w:gridCol w:w="886"/>
        <w:gridCol w:w="1940"/>
        <w:gridCol w:w="765"/>
        <w:gridCol w:w="766"/>
        <w:gridCol w:w="766"/>
      </w:tblGrid>
      <w:tr w:rsidR="00BE1880" w:rsidRPr="000365ED" w14:paraId="366942D9" w14:textId="77777777" w:rsidTr="00BE1880">
        <w:trPr>
          <w:tblHeader/>
        </w:trPr>
        <w:tc>
          <w:tcPr>
            <w:tcW w:w="2145" w:type="dxa"/>
            <w:vAlign w:val="center"/>
          </w:tcPr>
          <w:p w14:paraId="4E2BE539"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Study</w:t>
            </w:r>
          </w:p>
        </w:tc>
        <w:tc>
          <w:tcPr>
            <w:tcW w:w="886" w:type="dxa"/>
            <w:vAlign w:val="center"/>
          </w:tcPr>
          <w:p w14:paraId="0505A309"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Events</w:t>
            </w:r>
          </w:p>
        </w:tc>
        <w:tc>
          <w:tcPr>
            <w:tcW w:w="1940" w:type="dxa"/>
            <w:vAlign w:val="center"/>
          </w:tcPr>
          <w:p w14:paraId="444C5641"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95%-CI</w:t>
            </w:r>
          </w:p>
        </w:tc>
        <w:tc>
          <w:tcPr>
            <w:tcW w:w="765" w:type="dxa"/>
            <w:vAlign w:val="center"/>
          </w:tcPr>
          <w:p w14:paraId="3F95C81E"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tau^2</w:t>
            </w:r>
          </w:p>
        </w:tc>
        <w:tc>
          <w:tcPr>
            <w:tcW w:w="766" w:type="dxa"/>
            <w:vAlign w:val="center"/>
          </w:tcPr>
          <w:p w14:paraId="702AEBD4"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tau</w:t>
            </w:r>
          </w:p>
        </w:tc>
        <w:tc>
          <w:tcPr>
            <w:tcW w:w="766" w:type="dxa"/>
            <w:vAlign w:val="center"/>
          </w:tcPr>
          <w:p w14:paraId="39A6286A"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I^2</w:t>
            </w:r>
          </w:p>
        </w:tc>
      </w:tr>
      <w:tr w:rsidR="00BE1880" w:rsidRPr="000365ED" w14:paraId="6394747B" w14:textId="77777777" w:rsidTr="00BE1880">
        <w:tc>
          <w:tcPr>
            <w:tcW w:w="2145" w:type="dxa"/>
            <w:vAlign w:val="center"/>
          </w:tcPr>
          <w:p w14:paraId="7F365E9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Enriquez et al.</w:t>
            </w:r>
          </w:p>
        </w:tc>
        <w:tc>
          <w:tcPr>
            <w:tcW w:w="886" w:type="dxa"/>
            <w:vAlign w:val="center"/>
          </w:tcPr>
          <w:p w14:paraId="63D7A5F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20.2797</w:t>
            </w:r>
          </w:p>
        </w:tc>
        <w:tc>
          <w:tcPr>
            <w:tcW w:w="1940" w:type="dxa"/>
            <w:vAlign w:val="center"/>
          </w:tcPr>
          <w:p w14:paraId="6305D55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[14.0222; 27.8090]</w:t>
            </w:r>
          </w:p>
        </w:tc>
        <w:tc>
          <w:tcPr>
            <w:tcW w:w="765" w:type="dxa"/>
            <w:vAlign w:val="center"/>
          </w:tcPr>
          <w:p w14:paraId="71D6F6D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3.8602</w:t>
            </w:r>
          </w:p>
        </w:tc>
        <w:tc>
          <w:tcPr>
            <w:tcW w:w="766" w:type="dxa"/>
            <w:vAlign w:val="center"/>
          </w:tcPr>
          <w:p w14:paraId="5EC8C72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1.9647</w:t>
            </w:r>
          </w:p>
        </w:tc>
        <w:tc>
          <w:tcPr>
            <w:tcW w:w="766" w:type="dxa"/>
            <w:vAlign w:val="center"/>
          </w:tcPr>
          <w:p w14:paraId="578D522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99.5%</w:t>
            </w:r>
          </w:p>
        </w:tc>
      </w:tr>
      <w:tr w:rsidR="00BE1880" w:rsidRPr="000365ED" w14:paraId="46699D4B" w14:textId="77777777" w:rsidTr="00BE1880">
        <w:tc>
          <w:tcPr>
            <w:tcW w:w="2145" w:type="dxa"/>
            <w:vAlign w:val="center"/>
          </w:tcPr>
          <w:p w14:paraId="5145913D"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Ankrah et al.</w:t>
            </w:r>
          </w:p>
        </w:tc>
        <w:tc>
          <w:tcPr>
            <w:tcW w:w="886" w:type="dxa"/>
            <w:vAlign w:val="center"/>
          </w:tcPr>
          <w:p w14:paraId="74E1A2F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89.0383</w:t>
            </w:r>
          </w:p>
        </w:tc>
        <w:tc>
          <w:tcPr>
            <w:tcW w:w="1940" w:type="dxa"/>
            <w:vAlign w:val="center"/>
          </w:tcPr>
          <w:p w14:paraId="0F365E83"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[86.8974; 90.9378]</w:t>
            </w:r>
          </w:p>
        </w:tc>
        <w:tc>
          <w:tcPr>
            <w:tcW w:w="765" w:type="dxa"/>
            <w:vAlign w:val="center"/>
          </w:tcPr>
          <w:p w14:paraId="33D48DA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3.5081</w:t>
            </w:r>
          </w:p>
        </w:tc>
        <w:tc>
          <w:tcPr>
            <w:tcW w:w="766" w:type="dxa"/>
            <w:vAlign w:val="center"/>
          </w:tcPr>
          <w:p w14:paraId="7C4AECC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1.8730</w:t>
            </w:r>
          </w:p>
        </w:tc>
        <w:tc>
          <w:tcPr>
            <w:tcW w:w="766" w:type="dxa"/>
            <w:vAlign w:val="center"/>
          </w:tcPr>
          <w:p w14:paraId="616A4F1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99.3%</w:t>
            </w:r>
          </w:p>
        </w:tc>
      </w:tr>
      <w:tr w:rsidR="00BE1880" w:rsidRPr="000365ED" w14:paraId="54196EA9" w14:textId="77777777" w:rsidTr="00BE1880">
        <w:tc>
          <w:tcPr>
            <w:tcW w:w="2145" w:type="dxa"/>
            <w:vAlign w:val="center"/>
          </w:tcPr>
          <w:p w14:paraId="5CC421F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Sefah, Sneddon et al.</w:t>
            </w:r>
          </w:p>
        </w:tc>
        <w:tc>
          <w:tcPr>
            <w:tcW w:w="886" w:type="dxa"/>
            <w:vAlign w:val="center"/>
          </w:tcPr>
          <w:p w14:paraId="6B579A6E"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87.4704</w:t>
            </w:r>
          </w:p>
        </w:tc>
        <w:tc>
          <w:tcPr>
            <w:tcW w:w="1940" w:type="dxa"/>
            <w:vAlign w:val="center"/>
          </w:tcPr>
          <w:p w14:paraId="1ACC536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[85.5225; 89.2429]</w:t>
            </w:r>
          </w:p>
        </w:tc>
        <w:tc>
          <w:tcPr>
            <w:tcW w:w="765" w:type="dxa"/>
            <w:vAlign w:val="center"/>
          </w:tcPr>
          <w:p w14:paraId="2BA8E14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3.5960</w:t>
            </w:r>
          </w:p>
        </w:tc>
        <w:tc>
          <w:tcPr>
            <w:tcW w:w="766" w:type="dxa"/>
            <w:vAlign w:val="center"/>
          </w:tcPr>
          <w:p w14:paraId="08D622A1"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1.8963</w:t>
            </w:r>
          </w:p>
        </w:tc>
        <w:tc>
          <w:tcPr>
            <w:tcW w:w="766" w:type="dxa"/>
            <w:vAlign w:val="center"/>
          </w:tcPr>
          <w:p w14:paraId="19FB2DD1"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99.3%</w:t>
            </w:r>
          </w:p>
        </w:tc>
      </w:tr>
      <w:tr w:rsidR="00BE1880" w:rsidRPr="000365ED" w14:paraId="7431F7E7" w14:textId="77777777" w:rsidTr="00BE1880">
        <w:tc>
          <w:tcPr>
            <w:tcW w:w="2145" w:type="dxa"/>
            <w:vAlign w:val="center"/>
          </w:tcPr>
          <w:p w14:paraId="6EB72B0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 xml:space="preserve">Sefah, </w:t>
            </w:r>
            <w:proofErr w:type="spellStart"/>
            <w:r w:rsidRPr="000365ED">
              <w:rPr>
                <w:rFonts w:ascii="Times New Roman" w:hAnsi="Times New Roman" w:cs="Times New Roman"/>
                <w:sz w:val="20"/>
                <w:szCs w:val="20"/>
              </w:rPr>
              <w:t>Denoo</w:t>
            </w:r>
            <w:proofErr w:type="spellEnd"/>
            <w:r w:rsidRPr="000365ED">
              <w:rPr>
                <w:rFonts w:ascii="Times New Roman" w:hAnsi="Times New Roman" w:cs="Times New Roman"/>
                <w:sz w:val="20"/>
                <w:szCs w:val="20"/>
              </w:rPr>
              <w:t xml:space="preserve"> et al.</w:t>
            </w:r>
          </w:p>
        </w:tc>
        <w:tc>
          <w:tcPr>
            <w:tcW w:w="886" w:type="dxa"/>
            <w:vAlign w:val="center"/>
          </w:tcPr>
          <w:p w14:paraId="03FA790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2.5126</w:t>
            </w:r>
          </w:p>
        </w:tc>
        <w:tc>
          <w:tcPr>
            <w:tcW w:w="1940" w:type="dxa"/>
            <w:vAlign w:val="center"/>
          </w:tcPr>
          <w:p w14:paraId="3B0187C3"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[ 1.4129; 4.1103]</w:t>
            </w:r>
          </w:p>
        </w:tc>
        <w:tc>
          <w:tcPr>
            <w:tcW w:w="765" w:type="dxa"/>
            <w:vAlign w:val="center"/>
          </w:tcPr>
          <w:p w14:paraId="44C2209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2.2390</w:t>
            </w:r>
          </w:p>
        </w:tc>
        <w:tc>
          <w:tcPr>
            <w:tcW w:w="766" w:type="dxa"/>
            <w:vAlign w:val="center"/>
          </w:tcPr>
          <w:p w14:paraId="666988D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1.4963</w:t>
            </w:r>
          </w:p>
        </w:tc>
        <w:tc>
          <w:tcPr>
            <w:tcW w:w="766" w:type="dxa"/>
            <w:vAlign w:val="center"/>
          </w:tcPr>
          <w:p w14:paraId="79B3723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99.4%</w:t>
            </w:r>
          </w:p>
        </w:tc>
      </w:tr>
      <w:tr w:rsidR="00BE1880" w:rsidRPr="000365ED" w14:paraId="16A993A7" w14:textId="77777777" w:rsidTr="00BE1880">
        <w:tc>
          <w:tcPr>
            <w:tcW w:w="2145" w:type="dxa"/>
            <w:vAlign w:val="center"/>
          </w:tcPr>
          <w:p w14:paraId="3C005B38"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Hope et al.</w:t>
            </w:r>
          </w:p>
        </w:tc>
        <w:tc>
          <w:tcPr>
            <w:tcW w:w="886" w:type="dxa"/>
            <w:vAlign w:val="center"/>
          </w:tcPr>
          <w:p w14:paraId="74B84862"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71.1712</w:t>
            </w:r>
          </w:p>
        </w:tc>
        <w:tc>
          <w:tcPr>
            <w:tcW w:w="1940" w:type="dxa"/>
            <w:vAlign w:val="center"/>
          </w:tcPr>
          <w:p w14:paraId="5CBDDE0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[61.8043; 79.3738]</w:t>
            </w:r>
          </w:p>
        </w:tc>
        <w:tc>
          <w:tcPr>
            <w:tcW w:w="765" w:type="dxa"/>
            <w:vAlign w:val="center"/>
          </w:tcPr>
          <w:p w14:paraId="7AFB60E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4.0168</w:t>
            </w:r>
          </w:p>
        </w:tc>
        <w:tc>
          <w:tcPr>
            <w:tcW w:w="766" w:type="dxa"/>
            <w:vAlign w:val="center"/>
          </w:tcPr>
          <w:p w14:paraId="18C2284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2.0042</w:t>
            </w:r>
          </w:p>
        </w:tc>
        <w:tc>
          <w:tcPr>
            <w:tcW w:w="766" w:type="dxa"/>
            <w:vAlign w:val="center"/>
          </w:tcPr>
          <w:p w14:paraId="6B903762"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99.5%</w:t>
            </w:r>
          </w:p>
        </w:tc>
      </w:tr>
      <w:tr w:rsidR="00BE1880" w:rsidRPr="000365ED" w14:paraId="4758775D" w14:textId="77777777" w:rsidTr="00BE1880">
        <w:tc>
          <w:tcPr>
            <w:tcW w:w="2145" w:type="dxa"/>
            <w:vAlign w:val="center"/>
          </w:tcPr>
          <w:p w14:paraId="02923AA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Aboderin et al.</w:t>
            </w:r>
          </w:p>
        </w:tc>
        <w:tc>
          <w:tcPr>
            <w:tcW w:w="886" w:type="dxa"/>
            <w:vAlign w:val="center"/>
          </w:tcPr>
          <w:p w14:paraId="3EDFAE2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39.2523</w:t>
            </w:r>
          </w:p>
        </w:tc>
        <w:tc>
          <w:tcPr>
            <w:tcW w:w="1940" w:type="dxa"/>
            <w:vAlign w:val="center"/>
          </w:tcPr>
          <w:p w14:paraId="262886C1"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[33.8758; 44.8291]</w:t>
            </w:r>
          </w:p>
        </w:tc>
        <w:tc>
          <w:tcPr>
            <w:tcW w:w="765" w:type="dxa"/>
            <w:vAlign w:val="center"/>
          </w:tcPr>
          <w:p w14:paraId="7BC66543"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4.1076</w:t>
            </w:r>
          </w:p>
        </w:tc>
        <w:tc>
          <w:tcPr>
            <w:tcW w:w="766" w:type="dxa"/>
            <w:vAlign w:val="center"/>
          </w:tcPr>
          <w:p w14:paraId="0527C2A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2.0267</w:t>
            </w:r>
          </w:p>
        </w:tc>
        <w:tc>
          <w:tcPr>
            <w:tcW w:w="766" w:type="dxa"/>
            <w:vAlign w:val="center"/>
          </w:tcPr>
          <w:p w14:paraId="6163A908"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99.5%</w:t>
            </w:r>
          </w:p>
        </w:tc>
      </w:tr>
      <w:tr w:rsidR="00BE1880" w:rsidRPr="000365ED" w14:paraId="4FEFF016" w14:textId="77777777" w:rsidTr="00BE1880">
        <w:tc>
          <w:tcPr>
            <w:tcW w:w="2145" w:type="dxa"/>
            <w:vAlign w:val="center"/>
          </w:tcPr>
          <w:p w14:paraId="27E8145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Agyare et al.</w:t>
            </w:r>
          </w:p>
        </w:tc>
        <w:tc>
          <w:tcPr>
            <w:tcW w:w="886" w:type="dxa"/>
            <w:vAlign w:val="center"/>
          </w:tcPr>
          <w:p w14:paraId="0D61E4A4"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24.3902</w:t>
            </w:r>
          </w:p>
        </w:tc>
        <w:tc>
          <w:tcPr>
            <w:tcW w:w="1940" w:type="dxa"/>
            <w:vAlign w:val="center"/>
          </w:tcPr>
          <w:p w14:paraId="7F8D2B8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[15.5791; 35.1249]</w:t>
            </w:r>
          </w:p>
        </w:tc>
        <w:tc>
          <w:tcPr>
            <w:tcW w:w="765" w:type="dxa"/>
            <w:vAlign w:val="center"/>
          </w:tcPr>
          <w:p w14:paraId="65CC1D4E"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3.9435</w:t>
            </w:r>
          </w:p>
        </w:tc>
        <w:tc>
          <w:tcPr>
            <w:tcW w:w="766" w:type="dxa"/>
            <w:vAlign w:val="center"/>
          </w:tcPr>
          <w:p w14:paraId="628D20F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1.9858</w:t>
            </w:r>
          </w:p>
        </w:tc>
        <w:tc>
          <w:tcPr>
            <w:tcW w:w="766" w:type="dxa"/>
            <w:vAlign w:val="center"/>
          </w:tcPr>
          <w:p w14:paraId="5B365F3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99.5%</w:t>
            </w:r>
          </w:p>
        </w:tc>
      </w:tr>
      <w:tr w:rsidR="00BE1880" w:rsidRPr="000365ED" w14:paraId="100D6121" w14:textId="77777777" w:rsidTr="00BE1880">
        <w:tc>
          <w:tcPr>
            <w:tcW w:w="2145" w:type="dxa"/>
            <w:vAlign w:val="center"/>
          </w:tcPr>
          <w:p w14:paraId="42DA68C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Kamara et al.</w:t>
            </w:r>
          </w:p>
        </w:tc>
        <w:tc>
          <w:tcPr>
            <w:tcW w:w="886" w:type="dxa"/>
            <w:vAlign w:val="center"/>
          </w:tcPr>
          <w:p w14:paraId="4FF2DD5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28.9921</w:t>
            </w:r>
          </w:p>
        </w:tc>
        <w:tc>
          <w:tcPr>
            <w:tcW w:w="1940" w:type="dxa"/>
            <w:vAlign w:val="center"/>
          </w:tcPr>
          <w:p w14:paraId="3321D873"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[26.0170; 32.1080]</w:t>
            </w:r>
          </w:p>
        </w:tc>
        <w:tc>
          <w:tcPr>
            <w:tcW w:w="765" w:type="dxa"/>
            <w:vAlign w:val="center"/>
          </w:tcPr>
          <w:p w14:paraId="3479941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4.0193</w:t>
            </w:r>
          </w:p>
        </w:tc>
        <w:tc>
          <w:tcPr>
            <w:tcW w:w="766" w:type="dxa"/>
            <w:vAlign w:val="center"/>
          </w:tcPr>
          <w:p w14:paraId="3731ECF3"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2.0048</w:t>
            </w:r>
          </w:p>
        </w:tc>
        <w:tc>
          <w:tcPr>
            <w:tcW w:w="766" w:type="dxa"/>
            <w:vAlign w:val="center"/>
          </w:tcPr>
          <w:p w14:paraId="115BF687"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99.3%</w:t>
            </w:r>
          </w:p>
        </w:tc>
      </w:tr>
      <w:tr w:rsidR="00BE1880" w:rsidRPr="000365ED" w14:paraId="76FE2109" w14:textId="77777777" w:rsidTr="00BE1880">
        <w:tc>
          <w:tcPr>
            <w:tcW w:w="2145" w:type="dxa"/>
            <w:vAlign w:val="center"/>
          </w:tcPr>
          <w:p w14:paraId="6C53D86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Afriyie et al.</w:t>
            </w:r>
          </w:p>
        </w:tc>
        <w:tc>
          <w:tcPr>
            <w:tcW w:w="886" w:type="dxa"/>
            <w:vAlign w:val="center"/>
          </w:tcPr>
          <w:p w14:paraId="67A2923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92.8287</w:t>
            </w:r>
          </w:p>
        </w:tc>
        <w:tc>
          <w:tcPr>
            <w:tcW w:w="1940" w:type="dxa"/>
            <w:vAlign w:val="center"/>
          </w:tcPr>
          <w:p w14:paraId="62D0C9F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[88.9029; 95.6947]</w:t>
            </w:r>
          </w:p>
        </w:tc>
        <w:tc>
          <w:tcPr>
            <w:tcW w:w="765" w:type="dxa"/>
            <w:vAlign w:val="center"/>
          </w:tcPr>
          <w:p w14:paraId="7EE0A4C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3.2059</w:t>
            </w:r>
          </w:p>
        </w:tc>
        <w:tc>
          <w:tcPr>
            <w:tcW w:w="766" w:type="dxa"/>
            <w:vAlign w:val="center"/>
          </w:tcPr>
          <w:p w14:paraId="0B1D576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1.7905</w:t>
            </w:r>
          </w:p>
        </w:tc>
        <w:tc>
          <w:tcPr>
            <w:tcW w:w="766" w:type="dxa"/>
            <w:vAlign w:val="center"/>
          </w:tcPr>
          <w:p w14:paraId="7FAEFBC8"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99.5%</w:t>
            </w:r>
          </w:p>
        </w:tc>
      </w:tr>
      <w:tr w:rsidR="00BE1880" w:rsidRPr="000365ED" w14:paraId="4EEA215B" w14:textId="77777777" w:rsidTr="00BE1880">
        <w:trPr>
          <w:trHeight w:val="370"/>
        </w:trPr>
        <w:tc>
          <w:tcPr>
            <w:tcW w:w="2145" w:type="dxa"/>
            <w:vAlign w:val="center"/>
          </w:tcPr>
          <w:p w14:paraId="0E46605E" w14:textId="77777777" w:rsidR="00BE1880" w:rsidRPr="000365ED" w:rsidRDefault="00BE1880" w:rsidP="00BE1880">
            <w:pPr>
              <w:pStyle w:val="TableContents"/>
              <w:rPr>
                <w:rFonts w:ascii="Times New Roman" w:hAnsi="Times New Roman" w:cs="Times New Roman"/>
              </w:rPr>
            </w:pPr>
            <w:r w:rsidRPr="000365ED">
              <w:rPr>
                <w:rStyle w:val="StrongEmphasis"/>
                <w:rFonts w:ascii="Times New Roman" w:hAnsi="Times New Roman" w:cs="Times New Roman"/>
                <w:sz w:val="20"/>
                <w:szCs w:val="20"/>
              </w:rPr>
              <w:t>Pooled estimate</w:t>
            </w:r>
          </w:p>
        </w:tc>
        <w:tc>
          <w:tcPr>
            <w:tcW w:w="886" w:type="dxa"/>
            <w:vAlign w:val="center"/>
          </w:tcPr>
          <w:p w14:paraId="3CEBA0A2"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50.0921</w:t>
            </w:r>
          </w:p>
        </w:tc>
        <w:tc>
          <w:tcPr>
            <w:tcW w:w="1940" w:type="dxa"/>
            <w:vAlign w:val="center"/>
          </w:tcPr>
          <w:p w14:paraId="367E4051"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[22.2112; 77.9159]</w:t>
            </w:r>
          </w:p>
        </w:tc>
        <w:tc>
          <w:tcPr>
            <w:tcW w:w="765" w:type="dxa"/>
            <w:vAlign w:val="center"/>
          </w:tcPr>
          <w:p w14:paraId="2476389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3.6673</w:t>
            </w:r>
          </w:p>
        </w:tc>
        <w:tc>
          <w:tcPr>
            <w:tcW w:w="766" w:type="dxa"/>
            <w:vAlign w:val="center"/>
          </w:tcPr>
          <w:p w14:paraId="6666F364"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1.9150</w:t>
            </w:r>
          </w:p>
        </w:tc>
        <w:tc>
          <w:tcPr>
            <w:tcW w:w="766" w:type="dxa"/>
            <w:vAlign w:val="center"/>
          </w:tcPr>
          <w:p w14:paraId="1694360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99.4%</w:t>
            </w:r>
          </w:p>
        </w:tc>
      </w:tr>
      <w:tr w:rsidR="00BE1880" w:rsidRPr="000365ED" w14:paraId="0EACE1A6" w14:textId="77777777" w:rsidTr="00BE1880">
        <w:trPr>
          <w:trHeight w:val="370"/>
        </w:trPr>
        <w:tc>
          <w:tcPr>
            <w:tcW w:w="2145" w:type="dxa"/>
            <w:vAlign w:val="center"/>
          </w:tcPr>
          <w:p w14:paraId="070E8657" w14:textId="77777777" w:rsidR="00BE1880" w:rsidRPr="000365ED" w:rsidRDefault="00BE1880" w:rsidP="00BE1880">
            <w:pPr>
              <w:pStyle w:val="TableContents"/>
              <w:rPr>
                <w:rFonts w:ascii="Times New Roman" w:hAnsi="Times New Roman" w:cs="Times New Roman"/>
                <w:sz w:val="20"/>
                <w:szCs w:val="20"/>
              </w:rPr>
            </w:pPr>
          </w:p>
        </w:tc>
        <w:tc>
          <w:tcPr>
            <w:tcW w:w="886" w:type="dxa"/>
            <w:vAlign w:val="center"/>
          </w:tcPr>
          <w:p w14:paraId="534468C2" w14:textId="77777777" w:rsidR="00BE1880" w:rsidRPr="000365ED" w:rsidRDefault="00BE1880" w:rsidP="00BE1880">
            <w:pPr>
              <w:pStyle w:val="TableContents"/>
              <w:rPr>
                <w:rFonts w:ascii="Times New Roman" w:hAnsi="Times New Roman" w:cs="Times New Roman"/>
                <w:sz w:val="20"/>
                <w:szCs w:val="20"/>
              </w:rPr>
            </w:pPr>
          </w:p>
        </w:tc>
        <w:tc>
          <w:tcPr>
            <w:tcW w:w="1940" w:type="dxa"/>
            <w:vAlign w:val="center"/>
          </w:tcPr>
          <w:p w14:paraId="0273BA50" w14:textId="77777777" w:rsidR="00BE1880" w:rsidRPr="000365ED" w:rsidRDefault="00BE1880" w:rsidP="00BE1880">
            <w:pPr>
              <w:pStyle w:val="TableContents"/>
              <w:rPr>
                <w:rFonts w:ascii="Times New Roman" w:hAnsi="Times New Roman" w:cs="Times New Roman"/>
                <w:sz w:val="20"/>
                <w:szCs w:val="20"/>
              </w:rPr>
            </w:pPr>
          </w:p>
        </w:tc>
        <w:tc>
          <w:tcPr>
            <w:tcW w:w="765" w:type="dxa"/>
            <w:vAlign w:val="center"/>
          </w:tcPr>
          <w:p w14:paraId="2CBF4EC1" w14:textId="77777777" w:rsidR="00BE1880" w:rsidRPr="000365ED" w:rsidRDefault="00BE1880" w:rsidP="00BE1880">
            <w:pPr>
              <w:pStyle w:val="TableContents"/>
              <w:rPr>
                <w:rFonts w:ascii="Times New Roman" w:hAnsi="Times New Roman" w:cs="Times New Roman"/>
                <w:sz w:val="20"/>
                <w:szCs w:val="20"/>
              </w:rPr>
            </w:pPr>
          </w:p>
        </w:tc>
        <w:tc>
          <w:tcPr>
            <w:tcW w:w="766" w:type="dxa"/>
            <w:vAlign w:val="center"/>
          </w:tcPr>
          <w:p w14:paraId="423D04BA" w14:textId="77777777" w:rsidR="00BE1880" w:rsidRPr="000365ED" w:rsidRDefault="00BE1880" w:rsidP="00BE1880">
            <w:pPr>
              <w:pStyle w:val="TableContents"/>
              <w:rPr>
                <w:rFonts w:ascii="Times New Roman" w:hAnsi="Times New Roman" w:cs="Times New Roman"/>
                <w:sz w:val="20"/>
                <w:szCs w:val="20"/>
              </w:rPr>
            </w:pPr>
          </w:p>
        </w:tc>
        <w:tc>
          <w:tcPr>
            <w:tcW w:w="766" w:type="dxa"/>
            <w:vAlign w:val="center"/>
          </w:tcPr>
          <w:p w14:paraId="39EB3068"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1847D360" w14:textId="77777777" w:rsidTr="00BE1880">
        <w:trPr>
          <w:trHeight w:val="370"/>
        </w:trPr>
        <w:tc>
          <w:tcPr>
            <w:tcW w:w="2145" w:type="dxa"/>
            <w:vAlign w:val="center"/>
          </w:tcPr>
          <w:p w14:paraId="195944F2"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Random effects model</w:t>
            </w:r>
          </w:p>
        </w:tc>
        <w:tc>
          <w:tcPr>
            <w:tcW w:w="886" w:type="dxa"/>
            <w:vAlign w:val="center"/>
          </w:tcPr>
          <w:p w14:paraId="10B6AEC4"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50.0921</w:t>
            </w:r>
          </w:p>
        </w:tc>
        <w:tc>
          <w:tcPr>
            <w:tcW w:w="1940" w:type="dxa"/>
            <w:vAlign w:val="center"/>
          </w:tcPr>
          <w:p w14:paraId="4B5B472E"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[22.2112; 77.9159]</w:t>
            </w:r>
          </w:p>
        </w:tc>
        <w:tc>
          <w:tcPr>
            <w:tcW w:w="765" w:type="dxa"/>
            <w:vAlign w:val="center"/>
          </w:tcPr>
          <w:p w14:paraId="07C68F79" w14:textId="77777777" w:rsidR="00BE1880" w:rsidRPr="000365ED" w:rsidRDefault="00BE1880" w:rsidP="00BE1880">
            <w:pPr>
              <w:pStyle w:val="TableContents"/>
              <w:rPr>
                <w:rFonts w:ascii="Times New Roman" w:hAnsi="Times New Roman" w:cs="Times New Roman"/>
                <w:sz w:val="20"/>
                <w:szCs w:val="20"/>
              </w:rPr>
            </w:pPr>
          </w:p>
        </w:tc>
        <w:tc>
          <w:tcPr>
            <w:tcW w:w="766" w:type="dxa"/>
            <w:vAlign w:val="center"/>
          </w:tcPr>
          <w:p w14:paraId="677ACDAD" w14:textId="77777777" w:rsidR="00BE1880" w:rsidRPr="000365ED" w:rsidRDefault="00BE1880" w:rsidP="00BE1880">
            <w:pPr>
              <w:pStyle w:val="TableContents"/>
              <w:rPr>
                <w:rFonts w:ascii="Times New Roman" w:hAnsi="Times New Roman" w:cs="Times New Roman"/>
                <w:sz w:val="20"/>
                <w:szCs w:val="20"/>
              </w:rPr>
            </w:pPr>
          </w:p>
        </w:tc>
        <w:tc>
          <w:tcPr>
            <w:tcW w:w="766" w:type="dxa"/>
            <w:vAlign w:val="center"/>
          </w:tcPr>
          <w:p w14:paraId="6D3152F1"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7DDA7E66" w14:textId="77777777" w:rsidTr="00BE1880">
        <w:trPr>
          <w:trHeight w:val="370"/>
        </w:trPr>
        <w:tc>
          <w:tcPr>
            <w:tcW w:w="2145" w:type="dxa"/>
            <w:vAlign w:val="center"/>
          </w:tcPr>
          <w:p w14:paraId="1684CC0A" w14:textId="77777777" w:rsidR="00BE1880" w:rsidRPr="000365ED" w:rsidRDefault="00BE1880" w:rsidP="00BE1880">
            <w:pPr>
              <w:pStyle w:val="TableContents"/>
              <w:rPr>
                <w:rFonts w:ascii="Times New Roman" w:hAnsi="Times New Roman" w:cs="Times New Roman"/>
                <w:sz w:val="20"/>
                <w:szCs w:val="20"/>
              </w:rPr>
            </w:pPr>
          </w:p>
        </w:tc>
        <w:tc>
          <w:tcPr>
            <w:tcW w:w="886" w:type="dxa"/>
            <w:vAlign w:val="center"/>
          </w:tcPr>
          <w:p w14:paraId="7F945E04" w14:textId="77777777" w:rsidR="00BE1880" w:rsidRPr="000365ED" w:rsidRDefault="00BE1880" w:rsidP="00BE1880">
            <w:pPr>
              <w:pStyle w:val="TableContents"/>
              <w:rPr>
                <w:rFonts w:ascii="Times New Roman" w:hAnsi="Times New Roman" w:cs="Times New Roman"/>
                <w:sz w:val="20"/>
                <w:szCs w:val="20"/>
              </w:rPr>
            </w:pPr>
          </w:p>
        </w:tc>
        <w:tc>
          <w:tcPr>
            <w:tcW w:w="1940" w:type="dxa"/>
            <w:vAlign w:val="center"/>
          </w:tcPr>
          <w:p w14:paraId="79E7BD1B" w14:textId="77777777" w:rsidR="00BE1880" w:rsidRPr="000365ED" w:rsidRDefault="00BE1880" w:rsidP="00BE1880">
            <w:pPr>
              <w:pStyle w:val="TableContents"/>
              <w:rPr>
                <w:rFonts w:ascii="Times New Roman" w:hAnsi="Times New Roman" w:cs="Times New Roman"/>
                <w:sz w:val="20"/>
                <w:szCs w:val="20"/>
              </w:rPr>
            </w:pPr>
          </w:p>
        </w:tc>
        <w:tc>
          <w:tcPr>
            <w:tcW w:w="765" w:type="dxa"/>
            <w:vAlign w:val="center"/>
          </w:tcPr>
          <w:p w14:paraId="4A4EA62D" w14:textId="77777777" w:rsidR="00BE1880" w:rsidRPr="000365ED" w:rsidRDefault="00BE1880" w:rsidP="00BE1880">
            <w:pPr>
              <w:pStyle w:val="TableContents"/>
              <w:rPr>
                <w:rFonts w:ascii="Times New Roman" w:hAnsi="Times New Roman" w:cs="Times New Roman"/>
                <w:sz w:val="20"/>
                <w:szCs w:val="20"/>
              </w:rPr>
            </w:pPr>
          </w:p>
        </w:tc>
        <w:tc>
          <w:tcPr>
            <w:tcW w:w="766" w:type="dxa"/>
            <w:vAlign w:val="center"/>
          </w:tcPr>
          <w:p w14:paraId="4649DF71" w14:textId="77777777" w:rsidR="00BE1880" w:rsidRPr="000365ED" w:rsidRDefault="00BE1880" w:rsidP="00BE1880">
            <w:pPr>
              <w:pStyle w:val="TableContents"/>
              <w:rPr>
                <w:rFonts w:ascii="Times New Roman" w:hAnsi="Times New Roman" w:cs="Times New Roman"/>
                <w:sz w:val="20"/>
                <w:szCs w:val="20"/>
              </w:rPr>
            </w:pPr>
          </w:p>
        </w:tc>
        <w:tc>
          <w:tcPr>
            <w:tcW w:w="766" w:type="dxa"/>
            <w:vAlign w:val="center"/>
          </w:tcPr>
          <w:p w14:paraId="1B0DDCC0"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0E76F425" w14:textId="77777777" w:rsidTr="00BE1880">
        <w:trPr>
          <w:trHeight w:val="370"/>
        </w:trPr>
        <w:tc>
          <w:tcPr>
            <w:tcW w:w="2145" w:type="dxa"/>
            <w:vAlign w:val="center"/>
          </w:tcPr>
          <w:p w14:paraId="4230084A" w14:textId="77777777" w:rsidR="00BE1880" w:rsidRPr="000365ED" w:rsidRDefault="00BE1880" w:rsidP="00BE1880">
            <w:pPr>
              <w:pStyle w:val="Heading3"/>
              <w:widowControl w:val="0"/>
              <w:rPr>
                <w:rFonts w:ascii="Times New Roman" w:hAnsi="Times New Roman" w:cs="Times New Roman"/>
                <w:sz w:val="20"/>
                <w:szCs w:val="20"/>
              </w:rPr>
            </w:pPr>
            <w:r w:rsidRPr="000365ED">
              <w:rPr>
                <w:rFonts w:ascii="Times New Roman" w:hAnsi="Times New Roman" w:cs="Times New Roman"/>
                <w:sz w:val="20"/>
                <w:szCs w:val="20"/>
              </w:rPr>
              <w:t>Heterogeneity Statistics</w:t>
            </w:r>
          </w:p>
        </w:tc>
        <w:tc>
          <w:tcPr>
            <w:tcW w:w="886" w:type="dxa"/>
            <w:vAlign w:val="center"/>
          </w:tcPr>
          <w:p w14:paraId="47BAD4D3" w14:textId="77777777" w:rsidR="00BE1880" w:rsidRPr="000365ED" w:rsidRDefault="00BE1880" w:rsidP="00BE1880">
            <w:pPr>
              <w:pStyle w:val="TableContents"/>
              <w:rPr>
                <w:rFonts w:ascii="Times New Roman" w:hAnsi="Times New Roman" w:cs="Times New Roman"/>
                <w:sz w:val="20"/>
                <w:szCs w:val="20"/>
              </w:rPr>
            </w:pPr>
          </w:p>
        </w:tc>
        <w:tc>
          <w:tcPr>
            <w:tcW w:w="1940" w:type="dxa"/>
            <w:vAlign w:val="center"/>
          </w:tcPr>
          <w:p w14:paraId="6583899A" w14:textId="77777777" w:rsidR="00BE1880" w:rsidRPr="000365ED" w:rsidRDefault="00BE1880" w:rsidP="00BE1880">
            <w:pPr>
              <w:pStyle w:val="TableContents"/>
              <w:rPr>
                <w:rFonts w:ascii="Times New Roman" w:hAnsi="Times New Roman" w:cs="Times New Roman"/>
                <w:sz w:val="20"/>
                <w:szCs w:val="20"/>
              </w:rPr>
            </w:pPr>
          </w:p>
        </w:tc>
        <w:tc>
          <w:tcPr>
            <w:tcW w:w="765" w:type="dxa"/>
            <w:vAlign w:val="center"/>
          </w:tcPr>
          <w:p w14:paraId="0242C8D1" w14:textId="77777777" w:rsidR="00BE1880" w:rsidRPr="000365ED" w:rsidRDefault="00BE1880" w:rsidP="00BE1880">
            <w:pPr>
              <w:pStyle w:val="TableContents"/>
              <w:rPr>
                <w:rFonts w:ascii="Times New Roman" w:hAnsi="Times New Roman" w:cs="Times New Roman"/>
                <w:sz w:val="20"/>
                <w:szCs w:val="20"/>
              </w:rPr>
            </w:pPr>
          </w:p>
        </w:tc>
        <w:tc>
          <w:tcPr>
            <w:tcW w:w="766" w:type="dxa"/>
            <w:vAlign w:val="center"/>
          </w:tcPr>
          <w:p w14:paraId="571EB4AB" w14:textId="77777777" w:rsidR="00BE1880" w:rsidRPr="000365ED" w:rsidRDefault="00BE1880" w:rsidP="00BE1880">
            <w:pPr>
              <w:pStyle w:val="TableContents"/>
              <w:rPr>
                <w:rFonts w:ascii="Times New Roman" w:hAnsi="Times New Roman" w:cs="Times New Roman"/>
                <w:sz w:val="20"/>
                <w:szCs w:val="20"/>
              </w:rPr>
            </w:pPr>
          </w:p>
        </w:tc>
        <w:tc>
          <w:tcPr>
            <w:tcW w:w="766" w:type="dxa"/>
            <w:vAlign w:val="center"/>
          </w:tcPr>
          <w:p w14:paraId="5005ED8C"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67166B5D" w14:textId="77777777" w:rsidTr="00BE1880">
        <w:trPr>
          <w:trHeight w:val="370"/>
        </w:trPr>
        <w:tc>
          <w:tcPr>
            <w:tcW w:w="2145" w:type="dxa"/>
            <w:vAlign w:val="center"/>
          </w:tcPr>
          <w:p w14:paraId="0480F29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Statistic</w:t>
            </w:r>
          </w:p>
        </w:tc>
        <w:tc>
          <w:tcPr>
            <w:tcW w:w="886" w:type="dxa"/>
            <w:vAlign w:val="center"/>
          </w:tcPr>
          <w:p w14:paraId="61E6E803"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Value</w:t>
            </w:r>
          </w:p>
        </w:tc>
        <w:tc>
          <w:tcPr>
            <w:tcW w:w="1940" w:type="dxa"/>
            <w:vAlign w:val="center"/>
          </w:tcPr>
          <w:p w14:paraId="725FA988" w14:textId="77777777" w:rsidR="00BE1880" w:rsidRPr="000365ED" w:rsidRDefault="00BE1880" w:rsidP="00BE1880">
            <w:pPr>
              <w:pStyle w:val="TableContents"/>
              <w:rPr>
                <w:rFonts w:ascii="Times New Roman" w:hAnsi="Times New Roman" w:cs="Times New Roman"/>
                <w:sz w:val="20"/>
                <w:szCs w:val="20"/>
              </w:rPr>
            </w:pPr>
          </w:p>
        </w:tc>
        <w:tc>
          <w:tcPr>
            <w:tcW w:w="765" w:type="dxa"/>
            <w:vAlign w:val="center"/>
          </w:tcPr>
          <w:p w14:paraId="5AF7BC91" w14:textId="77777777" w:rsidR="00BE1880" w:rsidRPr="000365ED" w:rsidRDefault="00BE1880" w:rsidP="00BE1880">
            <w:pPr>
              <w:pStyle w:val="TableContents"/>
              <w:rPr>
                <w:rFonts w:ascii="Times New Roman" w:hAnsi="Times New Roman" w:cs="Times New Roman"/>
                <w:sz w:val="20"/>
                <w:szCs w:val="20"/>
              </w:rPr>
            </w:pPr>
          </w:p>
        </w:tc>
        <w:tc>
          <w:tcPr>
            <w:tcW w:w="766" w:type="dxa"/>
            <w:vAlign w:val="center"/>
          </w:tcPr>
          <w:p w14:paraId="6D09F1BF" w14:textId="77777777" w:rsidR="00BE1880" w:rsidRPr="000365ED" w:rsidRDefault="00BE1880" w:rsidP="00BE1880">
            <w:pPr>
              <w:pStyle w:val="TableContents"/>
              <w:rPr>
                <w:rFonts w:ascii="Times New Roman" w:hAnsi="Times New Roman" w:cs="Times New Roman"/>
                <w:sz w:val="20"/>
                <w:szCs w:val="20"/>
              </w:rPr>
            </w:pPr>
          </w:p>
        </w:tc>
        <w:tc>
          <w:tcPr>
            <w:tcW w:w="766" w:type="dxa"/>
            <w:vAlign w:val="center"/>
          </w:tcPr>
          <w:p w14:paraId="318C1BE2"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6D650A79" w14:textId="77777777" w:rsidTr="00BE1880">
        <w:trPr>
          <w:trHeight w:val="370"/>
        </w:trPr>
        <w:tc>
          <w:tcPr>
            <w:tcW w:w="2145" w:type="dxa"/>
            <w:vAlign w:val="center"/>
          </w:tcPr>
          <w:p w14:paraId="6221CCD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tau^2</w:t>
            </w:r>
          </w:p>
        </w:tc>
        <w:tc>
          <w:tcPr>
            <w:tcW w:w="886" w:type="dxa"/>
            <w:vAlign w:val="center"/>
          </w:tcPr>
          <w:p w14:paraId="45BB355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3.6673</w:t>
            </w:r>
          </w:p>
        </w:tc>
        <w:tc>
          <w:tcPr>
            <w:tcW w:w="1940" w:type="dxa"/>
            <w:vAlign w:val="center"/>
          </w:tcPr>
          <w:p w14:paraId="39F9DBB1" w14:textId="77777777" w:rsidR="00BE1880" w:rsidRPr="000365ED" w:rsidRDefault="00BE1880" w:rsidP="00BE1880">
            <w:pPr>
              <w:pStyle w:val="TableContents"/>
              <w:rPr>
                <w:rFonts w:ascii="Times New Roman" w:hAnsi="Times New Roman" w:cs="Times New Roman"/>
                <w:sz w:val="20"/>
                <w:szCs w:val="20"/>
              </w:rPr>
            </w:pPr>
          </w:p>
        </w:tc>
        <w:tc>
          <w:tcPr>
            <w:tcW w:w="765" w:type="dxa"/>
            <w:vAlign w:val="center"/>
          </w:tcPr>
          <w:p w14:paraId="416DD8A9" w14:textId="77777777" w:rsidR="00BE1880" w:rsidRPr="000365ED" w:rsidRDefault="00BE1880" w:rsidP="00BE1880">
            <w:pPr>
              <w:pStyle w:val="TableContents"/>
              <w:rPr>
                <w:rFonts w:ascii="Times New Roman" w:hAnsi="Times New Roman" w:cs="Times New Roman"/>
                <w:sz w:val="20"/>
                <w:szCs w:val="20"/>
              </w:rPr>
            </w:pPr>
          </w:p>
        </w:tc>
        <w:tc>
          <w:tcPr>
            <w:tcW w:w="766" w:type="dxa"/>
            <w:vAlign w:val="center"/>
          </w:tcPr>
          <w:p w14:paraId="2E1DB08D" w14:textId="77777777" w:rsidR="00BE1880" w:rsidRPr="000365ED" w:rsidRDefault="00BE1880" w:rsidP="00BE1880">
            <w:pPr>
              <w:pStyle w:val="TableContents"/>
              <w:rPr>
                <w:rFonts w:ascii="Times New Roman" w:hAnsi="Times New Roman" w:cs="Times New Roman"/>
                <w:sz w:val="20"/>
                <w:szCs w:val="20"/>
              </w:rPr>
            </w:pPr>
          </w:p>
        </w:tc>
        <w:tc>
          <w:tcPr>
            <w:tcW w:w="766" w:type="dxa"/>
            <w:vAlign w:val="center"/>
          </w:tcPr>
          <w:p w14:paraId="440ACCF1"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5CC75DF8" w14:textId="77777777" w:rsidTr="00BE1880">
        <w:trPr>
          <w:trHeight w:val="370"/>
        </w:trPr>
        <w:tc>
          <w:tcPr>
            <w:tcW w:w="2145" w:type="dxa"/>
            <w:vAlign w:val="center"/>
          </w:tcPr>
          <w:p w14:paraId="584FA463"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tau</w:t>
            </w:r>
          </w:p>
        </w:tc>
        <w:tc>
          <w:tcPr>
            <w:tcW w:w="886" w:type="dxa"/>
            <w:vAlign w:val="center"/>
          </w:tcPr>
          <w:p w14:paraId="0262617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1.9150</w:t>
            </w:r>
          </w:p>
        </w:tc>
        <w:tc>
          <w:tcPr>
            <w:tcW w:w="1940" w:type="dxa"/>
            <w:vAlign w:val="center"/>
          </w:tcPr>
          <w:p w14:paraId="1342544C" w14:textId="77777777" w:rsidR="00BE1880" w:rsidRPr="000365ED" w:rsidRDefault="00BE1880" w:rsidP="00BE1880">
            <w:pPr>
              <w:pStyle w:val="TableContents"/>
              <w:rPr>
                <w:rFonts w:ascii="Times New Roman" w:hAnsi="Times New Roman" w:cs="Times New Roman"/>
                <w:sz w:val="20"/>
                <w:szCs w:val="20"/>
              </w:rPr>
            </w:pPr>
          </w:p>
        </w:tc>
        <w:tc>
          <w:tcPr>
            <w:tcW w:w="765" w:type="dxa"/>
            <w:vAlign w:val="center"/>
          </w:tcPr>
          <w:p w14:paraId="72A8AC51" w14:textId="77777777" w:rsidR="00BE1880" w:rsidRPr="000365ED" w:rsidRDefault="00BE1880" w:rsidP="00BE1880">
            <w:pPr>
              <w:pStyle w:val="TableContents"/>
              <w:rPr>
                <w:rFonts w:ascii="Times New Roman" w:hAnsi="Times New Roman" w:cs="Times New Roman"/>
                <w:sz w:val="20"/>
                <w:szCs w:val="20"/>
              </w:rPr>
            </w:pPr>
          </w:p>
        </w:tc>
        <w:tc>
          <w:tcPr>
            <w:tcW w:w="766" w:type="dxa"/>
            <w:vAlign w:val="center"/>
          </w:tcPr>
          <w:p w14:paraId="4BE7A5EC" w14:textId="77777777" w:rsidR="00BE1880" w:rsidRPr="000365ED" w:rsidRDefault="00BE1880" w:rsidP="00BE1880">
            <w:pPr>
              <w:pStyle w:val="TableContents"/>
              <w:rPr>
                <w:rFonts w:ascii="Times New Roman" w:hAnsi="Times New Roman" w:cs="Times New Roman"/>
                <w:sz w:val="20"/>
                <w:szCs w:val="20"/>
              </w:rPr>
            </w:pPr>
          </w:p>
        </w:tc>
        <w:tc>
          <w:tcPr>
            <w:tcW w:w="766" w:type="dxa"/>
            <w:vAlign w:val="center"/>
          </w:tcPr>
          <w:p w14:paraId="10D52A60"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0F25DC06" w14:textId="77777777" w:rsidTr="00BE1880">
        <w:trPr>
          <w:trHeight w:val="370"/>
        </w:trPr>
        <w:tc>
          <w:tcPr>
            <w:tcW w:w="2145" w:type="dxa"/>
            <w:vAlign w:val="center"/>
          </w:tcPr>
          <w:p w14:paraId="676CDCA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I^2</w:t>
            </w:r>
          </w:p>
        </w:tc>
        <w:tc>
          <w:tcPr>
            <w:tcW w:w="886" w:type="dxa"/>
            <w:vAlign w:val="center"/>
          </w:tcPr>
          <w:p w14:paraId="565A635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99.4% [99.3%; 99.5%]</w:t>
            </w:r>
          </w:p>
        </w:tc>
        <w:tc>
          <w:tcPr>
            <w:tcW w:w="1940" w:type="dxa"/>
            <w:vAlign w:val="center"/>
          </w:tcPr>
          <w:p w14:paraId="64A1C490" w14:textId="77777777" w:rsidR="00BE1880" w:rsidRPr="000365ED" w:rsidRDefault="00BE1880" w:rsidP="00BE1880">
            <w:pPr>
              <w:pStyle w:val="TableContents"/>
              <w:rPr>
                <w:rFonts w:ascii="Times New Roman" w:hAnsi="Times New Roman" w:cs="Times New Roman"/>
                <w:sz w:val="20"/>
                <w:szCs w:val="20"/>
              </w:rPr>
            </w:pPr>
          </w:p>
        </w:tc>
        <w:tc>
          <w:tcPr>
            <w:tcW w:w="765" w:type="dxa"/>
            <w:vAlign w:val="center"/>
          </w:tcPr>
          <w:p w14:paraId="2CFEBEDA" w14:textId="77777777" w:rsidR="00BE1880" w:rsidRPr="000365ED" w:rsidRDefault="00BE1880" w:rsidP="00BE1880">
            <w:pPr>
              <w:pStyle w:val="TableContents"/>
              <w:rPr>
                <w:rFonts w:ascii="Times New Roman" w:hAnsi="Times New Roman" w:cs="Times New Roman"/>
                <w:sz w:val="20"/>
                <w:szCs w:val="20"/>
              </w:rPr>
            </w:pPr>
          </w:p>
        </w:tc>
        <w:tc>
          <w:tcPr>
            <w:tcW w:w="766" w:type="dxa"/>
            <w:vAlign w:val="center"/>
          </w:tcPr>
          <w:p w14:paraId="43EC724F" w14:textId="77777777" w:rsidR="00BE1880" w:rsidRPr="000365ED" w:rsidRDefault="00BE1880" w:rsidP="00BE1880">
            <w:pPr>
              <w:pStyle w:val="TableContents"/>
              <w:rPr>
                <w:rFonts w:ascii="Times New Roman" w:hAnsi="Times New Roman" w:cs="Times New Roman"/>
                <w:sz w:val="20"/>
                <w:szCs w:val="20"/>
              </w:rPr>
            </w:pPr>
          </w:p>
        </w:tc>
        <w:tc>
          <w:tcPr>
            <w:tcW w:w="766" w:type="dxa"/>
            <w:vAlign w:val="center"/>
          </w:tcPr>
          <w:p w14:paraId="60EA149E"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52F8FB2F" w14:textId="77777777" w:rsidTr="00BE1880">
        <w:trPr>
          <w:trHeight w:val="370"/>
        </w:trPr>
        <w:tc>
          <w:tcPr>
            <w:tcW w:w="2145" w:type="dxa"/>
            <w:vAlign w:val="center"/>
          </w:tcPr>
          <w:p w14:paraId="3A7697DD"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H</w:t>
            </w:r>
          </w:p>
        </w:tc>
        <w:tc>
          <w:tcPr>
            <w:tcW w:w="886" w:type="dxa"/>
            <w:vAlign w:val="center"/>
          </w:tcPr>
          <w:p w14:paraId="72ACD04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13.20 [11.90; 14.64]</w:t>
            </w:r>
          </w:p>
        </w:tc>
        <w:tc>
          <w:tcPr>
            <w:tcW w:w="1940" w:type="dxa"/>
            <w:vAlign w:val="center"/>
          </w:tcPr>
          <w:p w14:paraId="6ABF0935" w14:textId="77777777" w:rsidR="00BE1880" w:rsidRPr="000365ED" w:rsidRDefault="00BE1880" w:rsidP="00BE1880">
            <w:pPr>
              <w:pStyle w:val="TableContents"/>
              <w:rPr>
                <w:rFonts w:ascii="Times New Roman" w:hAnsi="Times New Roman" w:cs="Times New Roman"/>
                <w:sz w:val="20"/>
                <w:szCs w:val="20"/>
              </w:rPr>
            </w:pPr>
          </w:p>
        </w:tc>
        <w:tc>
          <w:tcPr>
            <w:tcW w:w="765" w:type="dxa"/>
            <w:vAlign w:val="center"/>
          </w:tcPr>
          <w:p w14:paraId="3DD13927" w14:textId="77777777" w:rsidR="00BE1880" w:rsidRPr="000365ED" w:rsidRDefault="00BE1880" w:rsidP="00BE1880">
            <w:pPr>
              <w:pStyle w:val="TableContents"/>
              <w:rPr>
                <w:rFonts w:ascii="Times New Roman" w:hAnsi="Times New Roman" w:cs="Times New Roman"/>
                <w:sz w:val="20"/>
                <w:szCs w:val="20"/>
              </w:rPr>
            </w:pPr>
          </w:p>
        </w:tc>
        <w:tc>
          <w:tcPr>
            <w:tcW w:w="766" w:type="dxa"/>
            <w:vAlign w:val="center"/>
          </w:tcPr>
          <w:p w14:paraId="1E8A7386" w14:textId="77777777" w:rsidR="00BE1880" w:rsidRPr="000365ED" w:rsidRDefault="00BE1880" w:rsidP="00BE1880">
            <w:pPr>
              <w:pStyle w:val="TableContents"/>
              <w:rPr>
                <w:rFonts w:ascii="Times New Roman" w:hAnsi="Times New Roman" w:cs="Times New Roman"/>
                <w:sz w:val="20"/>
                <w:szCs w:val="20"/>
              </w:rPr>
            </w:pPr>
          </w:p>
        </w:tc>
        <w:tc>
          <w:tcPr>
            <w:tcW w:w="766" w:type="dxa"/>
            <w:vAlign w:val="center"/>
          </w:tcPr>
          <w:p w14:paraId="407E93CD"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49D43F82" w14:textId="77777777" w:rsidTr="00BE1880">
        <w:trPr>
          <w:trHeight w:val="370"/>
        </w:trPr>
        <w:tc>
          <w:tcPr>
            <w:tcW w:w="2145" w:type="dxa"/>
            <w:vAlign w:val="center"/>
          </w:tcPr>
          <w:p w14:paraId="34C92081"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 xml:space="preserve"> </w:t>
            </w:r>
          </w:p>
        </w:tc>
        <w:tc>
          <w:tcPr>
            <w:tcW w:w="886" w:type="dxa"/>
            <w:vAlign w:val="center"/>
          </w:tcPr>
          <w:p w14:paraId="22F0B3F4" w14:textId="77777777" w:rsidR="00BE1880" w:rsidRPr="000365ED" w:rsidRDefault="00BE1880" w:rsidP="00BE1880">
            <w:pPr>
              <w:pStyle w:val="TableContents"/>
              <w:rPr>
                <w:rFonts w:ascii="Times New Roman" w:hAnsi="Times New Roman" w:cs="Times New Roman"/>
                <w:sz w:val="20"/>
                <w:szCs w:val="20"/>
              </w:rPr>
            </w:pPr>
          </w:p>
        </w:tc>
        <w:tc>
          <w:tcPr>
            <w:tcW w:w="1940" w:type="dxa"/>
            <w:vAlign w:val="center"/>
          </w:tcPr>
          <w:p w14:paraId="07346F3C" w14:textId="77777777" w:rsidR="00BE1880" w:rsidRPr="000365ED" w:rsidRDefault="00BE1880" w:rsidP="00BE1880">
            <w:pPr>
              <w:pStyle w:val="TableContents"/>
              <w:rPr>
                <w:rFonts w:ascii="Times New Roman" w:hAnsi="Times New Roman" w:cs="Times New Roman"/>
                <w:sz w:val="20"/>
                <w:szCs w:val="20"/>
              </w:rPr>
            </w:pPr>
          </w:p>
        </w:tc>
        <w:tc>
          <w:tcPr>
            <w:tcW w:w="765" w:type="dxa"/>
            <w:vAlign w:val="center"/>
          </w:tcPr>
          <w:p w14:paraId="019C113D" w14:textId="77777777" w:rsidR="00BE1880" w:rsidRPr="000365ED" w:rsidRDefault="00BE1880" w:rsidP="00BE1880">
            <w:pPr>
              <w:pStyle w:val="TableContents"/>
              <w:rPr>
                <w:rFonts w:ascii="Times New Roman" w:hAnsi="Times New Roman" w:cs="Times New Roman"/>
                <w:sz w:val="20"/>
                <w:szCs w:val="20"/>
              </w:rPr>
            </w:pPr>
          </w:p>
        </w:tc>
        <w:tc>
          <w:tcPr>
            <w:tcW w:w="766" w:type="dxa"/>
            <w:vAlign w:val="center"/>
          </w:tcPr>
          <w:p w14:paraId="5B4E0CBA" w14:textId="77777777" w:rsidR="00BE1880" w:rsidRPr="000365ED" w:rsidRDefault="00BE1880" w:rsidP="00BE1880">
            <w:pPr>
              <w:pStyle w:val="TableContents"/>
              <w:rPr>
                <w:rFonts w:ascii="Times New Roman" w:hAnsi="Times New Roman" w:cs="Times New Roman"/>
                <w:sz w:val="20"/>
                <w:szCs w:val="20"/>
              </w:rPr>
            </w:pPr>
          </w:p>
        </w:tc>
        <w:tc>
          <w:tcPr>
            <w:tcW w:w="766" w:type="dxa"/>
            <w:vAlign w:val="center"/>
          </w:tcPr>
          <w:p w14:paraId="5C4B24EB"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0E9D4D0D" w14:textId="77777777" w:rsidTr="00BE1880">
        <w:trPr>
          <w:trHeight w:val="370"/>
        </w:trPr>
        <w:tc>
          <w:tcPr>
            <w:tcW w:w="2145" w:type="dxa"/>
            <w:vAlign w:val="center"/>
          </w:tcPr>
          <w:p w14:paraId="6E954CE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Test</w:t>
            </w:r>
          </w:p>
        </w:tc>
        <w:tc>
          <w:tcPr>
            <w:tcW w:w="886" w:type="dxa"/>
            <w:vAlign w:val="center"/>
          </w:tcPr>
          <w:p w14:paraId="70B3D1E4"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Q</w:t>
            </w:r>
          </w:p>
        </w:tc>
        <w:tc>
          <w:tcPr>
            <w:tcW w:w="1940" w:type="dxa"/>
            <w:vAlign w:val="center"/>
          </w:tcPr>
          <w:p w14:paraId="3D881CD4" w14:textId="77777777" w:rsidR="00BE1880" w:rsidRPr="000365ED" w:rsidRDefault="00BE1880" w:rsidP="00BE1880">
            <w:pPr>
              <w:pStyle w:val="TableContents"/>
              <w:rPr>
                <w:rFonts w:ascii="Times New Roman" w:hAnsi="Times New Roman" w:cs="Times New Roman"/>
                <w:sz w:val="20"/>
                <w:szCs w:val="20"/>
              </w:rPr>
            </w:pPr>
            <w:proofErr w:type="spellStart"/>
            <w:r w:rsidRPr="000365ED">
              <w:rPr>
                <w:rFonts w:ascii="Times New Roman" w:hAnsi="Times New Roman" w:cs="Times New Roman"/>
                <w:sz w:val="20"/>
                <w:szCs w:val="20"/>
              </w:rPr>
              <w:t>d.f.</w:t>
            </w:r>
            <w:proofErr w:type="spellEnd"/>
          </w:p>
        </w:tc>
        <w:tc>
          <w:tcPr>
            <w:tcW w:w="765" w:type="dxa"/>
            <w:vAlign w:val="center"/>
          </w:tcPr>
          <w:p w14:paraId="29C6B461"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p-value</w:t>
            </w:r>
          </w:p>
        </w:tc>
        <w:tc>
          <w:tcPr>
            <w:tcW w:w="766" w:type="dxa"/>
            <w:vAlign w:val="center"/>
          </w:tcPr>
          <w:p w14:paraId="4702AC07" w14:textId="77777777" w:rsidR="00BE1880" w:rsidRPr="000365ED" w:rsidRDefault="00BE1880" w:rsidP="00BE1880">
            <w:pPr>
              <w:pStyle w:val="TableContents"/>
              <w:rPr>
                <w:rFonts w:ascii="Times New Roman" w:hAnsi="Times New Roman" w:cs="Times New Roman"/>
                <w:sz w:val="20"/>
                <w:szCs w:val="20"/>
              </w:rPr>
            </w:pPr>
          </w:p>
        </w:tc>
        <w:tc>
          <w:tcPr>
            <w:tcW w:w="766" w:type="dxa"/>
            <w:vAlign w:val="center"/>
          </w:tcPr>
          <w:p w14:paraId="4C8E6AA0"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409611F8" w14:textId="77777777" w:rsidTr="00BE1880">
        <w:trPr>
          <w:trHeight w:val="370"/>
        </w:trPr>
        <w:tc>
          <w:tcPr>
            <w:tcW w:w="2145" w:type="dxa"/>
            <w:vAlign w:val="center"/>
          </w:tcPr>
          <w:p w14:paraId="43A1A5C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Wald-type</w:t>
            </w:r>
          </w:p>
        </w:tc>
        <w:tc>
          <w:tcPr>
            <w:tcW w:w="886" w:type="dxa"/>
            <w:vAlign w:val="center"/>
          </w:tcPr>
          <w:p w14:paraId="2B622DD2"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1393.50</w:t>
            </w:r>
          </w:p>
        </w:tc>
        <w:tc>
          <w:tcPr>
            <w:tcW w:w="1940" w:type="dxa"/>
            <w:vAlign w:val="center"/>
          </w:tcPr>
          <w:p w14:paraId="7084994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8</w:t>
            </w:r>
          </w:p>
        </w:tc>
        <w:tc>
          <w:tcPr>
            <w:tcW w:w="765" w:type="dxa"/>
            <w:vAlign w:val="center"/>
          </w:tcPr>
          <w:p w14:paraId="29F9C171"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&lt; 0.0001</w:t>
            </w:r>
          </w:p>
        </w:tc>
        <w:tc>
          <w:tcPr>
            <w:tcW w:w="766" w:type="dxa"/>
            <w:vAlign w:val="center"/>
          </w:tcPr>
          <w:p w14:paraId="6D7ED4CE" w14:textId="77777777" w:rsidR="00BE1880" w:rsidRPr="000365ED" w:rsidRDefault="00BE1880" w:rsidP="00BE1880">
            <w:pPr>
              <w:pStyle w:val="TableContents"/>
              <w:rPr>
                <w:rFonts w:ascii="Times New Roman" w:hAnsi="Times New Roman" w:cs="Times New Roman"/>
                <w:sz w:val="20"/>
                <w:szCs w:val="20"/>
              </w:rPr>
            </w:pPr>
          </w:p>
        </w:tc>
        <w:tc>
          <w:tcPr>
            <w:tcW w:w="766" w:type="dxa"/>
            <w:vAlign w:val="center"/>
          </w:tcPr>
          <w:p w14:paraId="35B6CAFD"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33BD3275" w14:textId="77777777" w:rsidTr="00BE1880">
        <w:trPr>
          <w:trHeight w:val="370"/>
        </w:trPr>
        <w:tc>
          <w:tcPr>
            <w:tcW w:w="2145" w:type="dxa"/>
            <w:vAlign w:val="center"/>
          </w:tcPr>
          <w:p w14:paraId="583C2A9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Likelihood-Ratio</w:t>
            </w:r>
          </w:p>
        </w:tc>
        <w:tc>
          <w:tcPr>
            <w:tcW w:w="886" w:type="dxa"/>
            <w:vAlign w:val="center"/>
          </w:tcPr>
          <w:p w14:paraId="1739BD7E"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2501.00</w:t>
            </w:r>
          </w:p>
        </w:tc>
        <w:tc>
          <w:tcPr>
            <w:tcW w:w="1940" w:type="dxa"/>
            <w:vAlign w:val="center"/>
          </w:tcPr>
          <w:p w14:paraId="1D2742D2"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8</w:t>
            </w:r>
          </w:p>
        </w:tc>
        <w:tc>
          <w:tcPr>
            <w:tcW w:w="765" w:type="dxa"/>
            <w:vAlign w:val="center"/>
          </w:tcPr>
          <w:p w14:paraId="063B470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0</w:t>
            </w:r>
          </w:p>
        </w:tc>
        <w:tc>
          <w:tcPr>
            <w:tcW w:w="766" w:type="dxa"/>
            <w:vAlign w:val="center"/>
          </w:tcPr>
          <w:p w14:paraId="2B20E875" w14:textId="77777777" w:rsidR="00BE1880" w:rsidRPr="000365ED" w:rsidRDefault="00BE1880" w:rsidP="00BE1880">
            <w:pPr>
              <w:pStyle w:val="TableContents"/>
              <w:rPr>
                <w:rFonts w:ascii="Times New Roman" w:hAnsi="Times New Roman" w:cs="Times New Roman"/>
                <w:sz w:val="20"/>
                <w:szCs w:val="20"/>
              </w:rPr>
            </w:pPr>
          </w:p>
        </w:tc>
        <w:tc>
          <w:tcPr>
            <w:tcW w:w="766" w:type="dxa"/>
            <w:vAlign w:val="center"/>
          </w:tcPr>
          <w:p w14:paraId="28828F38" w14:textId="77777777" w:rsidR="00BE1880" w:rsidRPr="000365ED" w:rsidRDefault="00BE1880" w:rsidP="00BE1880">
            <w:pPr>
              <w:pStyle w:val="TableContents"/>
              <w:rPr>
                <w:rFonts w:ascii="Times New Roman" w:hAnsi="Times New Roman" w:cs="Times New Roman"/>
                <w:sz w:val="20"/>
                <w:szCs w:val="20"/>
              </w:rPr>
            </w:pPr>
          </w:p>
        </w:tc>
      </w:tr>
    </w:tbl>
    <w:p w14:paraId="7C45878B" w14:textId="77777777" w:rsidR="00BE1880" w:rsidRPr="000365ED" w:rsidRDefault="00BE1880" w:rsidP="00BE1880">
      <w:pPr>
        <w:rPr>
          <w:rFonts w:ascii="Times New Roman" w:hAnsi="Times New Roman" w:cs="Times New Roman"/>
          <w:sz w:val="20"/>
          <w:szCs w:val="20"/>
        </w:rPr>
      </w:pPr>
    </w:p>
    <w:p w14:paraId="126DE5EC" w14:textId="77777777" w:rsidR="00BE1880" w:rsidRPr="000365ED" w:rsidRDefault="00BE1880" w:rsidP="00BE1880">
      <w:pPr>
        <w:pStyle w:val="Heading3"/>
        <w:rPr>
          <w:rFonts w:ascii="Times New Roman" w:hAnsi="Times New Roman" w:cs="Times New Roman"/>
          <w:sz w:val="20"/>
          <w:szCs w:val="20"/>
        </w:rPr>
      </w:pPr>
    </w:p>
    <w:p w14:paraId="1D1A3D1E" w14:textId="77777777" w:rsidR="00BE1880" w:rsidRPr="000365ED" w:rsidRDefault="00BE1880" w:rsidP="00BE1880">
      <w:pPr>
        <w:pStyle w:val="BodyText"/>
        <w:rPr>
          <w:rFonts w:ascii="Times New Roman" w:hAnsi="Times New Roman" w:cs="Times New Roman"/>
          <w:sz w:val="20"/>
          <w:szCs w:val="20"/>
        </w:rPr>
      </w:pPr>
    </w:p>
    <w:p w14:paraId="12A76C16" w14:textId="41C12EF5" w:rsidR="00BE1880" w:rsidRPr="000365ED" w:rsidRDefault="00BE1880" w:rsidP="00BE1880">
      <w:pPr>
        <w:rPr>
          <w:rFonts w:ascii="Times New Roman" w:hAnsi="Times New Roman" w:cs="Times New Roman"/>
          <w:sz w:val="20"/>
          <w:szCs w:val="20"/>
        </w:rPr>
      </w:pPr>
      <w:r w:rsidRPr="000365ED">
        <w:rPr>
          <w:rFonts w:ascii="Times New Roman" w:hAnsi="Times New Roman" w:cs="Times New Roman"/>
          <w:sz w:val="20"/>
          <w:szCs w:val="20"/>
        </w:rPr>
        <w:t xml:space="preserve">Table </w:t>
      </w:r>
      <w:r w:rsidR="008869C5" w:rsidRPr="000365ED">
        <w:rPr>
          <w:rFonts w:ascii="Times New Roman" w:hAnsi="Times New Roman" w:cs="Times New Roman"/>
          <w:sz w:val="20"/>
          <w:szCs w:val="20"/>
        </w:rPr>
        <w:t>3</w:t>
      </w:r>
      <w:r w:rsidRPr="000365ED">
        <w:rPr>
          <w:rFonts w:ascii="Times New Roman" w:hAnsi="Times New Roman" w:cs="Times New Roman"/>
          <w:sz w:val="20"/>
          <w:szCs w:val="20"/>
        </w:rPr>
        <w:t>: Antibiotic appropriateness sensitivity analysis</w:t>
      </w:r>
    </w:p>
    <w:tbl>
      <w:tblPr>
        <w:tblW w:w="8194" w:type="dxa"/>
        <w:tblLayout w:type="fixed"/>
        <w:tblCellMar>
          <w:top w:w="28" w:type="dxa"/>
          <w:left w:w="28" w:type="dxa"/>
          <w:bottom w:w="28" w:type="dxa"/>
          <w:right w:w="28" w:type="dxa"/>
        </w:tblCellMar>
        <w:tblLook w:val="04A0" w:firstRow="1" w:lastRow="0" w:firstColumn="1" w:lastColumn="0" w:noHBand="0" w:noVBand="1"/>
      </w:tblPr>
      <w:tblGrid>
        <w:gridCol w:w="3071"/>
        <w:gridCol w:w="886"/>
        <w:gridCol w:w="1940"/>
        <w:gridCol w:w="765"/>
        <w:gridCol w:w="766"/>
        <w:gridCol w:w="766"/>
      </w:tblGrid>
      <w:tr w:rsidR="00BE1880" w:rsidRPr="000365ED" w14:paraId="7984EE21" w14:textId="77777777" w:rsidTr="00BE1880">
        <w:trPr>
          <w:tblHeader/>
        </w:trPr>
        <w:tc>
          <w:tcPr>
            <w:tcW w:w="3070" w:type="dxa"/>
            <w:vAlign w:val="center"/>
          </w:tcPr>
          <w:p w14:paraId="3BEA46B5"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Omission Study</w:t>
            </w:r>
          </w:p>
        </w:tc>
        <w:tc>
          <w:tcPr>
            <w:tcW w:w="886" w:type="dxa"/>
            <w:vAlign w:val="center"/>
          </w:tcPr>
          <w:p w14:paraId="25A768DE"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Events</w:t>
            </w:r>
          </w:p>
        </w:tc>
        <w:tc>
          <w:tcPr>
            <w:tcW w:w="1940" w:type="dxa"/>
            <w:vAlign w:val="center"/>
          </w:tcPr>
          <w:p w14:paraId="226EE1B2"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95%-CI</w:t>
            </w:r>
          </w:p>
        </w:tc>
        <w:tc>
          <w:tcPr>
            <w:tcW w:w="765" w:type="dxa"/>
            <w:vAlign w:val="center"/>
          </w:tcPr>
          <w:p w14:paraId="12D5235D"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tau^2</w:t>
            </w:r>
          </w:p>
        </w:tc>
        <w:tc>
          <w:tcPr>
            <w:tcW w:w="766" w:type="dxa"/>
            <w:vAlign w:val="center"/>
          </w:tcPr>
          <w:p w14:paraId="15BA5505"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tau</w:t>
            </w:r>
          </w:p>
        </w:tc>
        <w:tc>
          <w:tcPr>
            <w:tcW w:w="766" w:type="dxa"/>
            <w:vAlign w:val="center"/>
          </w:tcPr>
          <w:p w14:paraId="285C5711"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I^2</w:t>
            </w:r>
          </w:p>
        </w:tc>
      </w:tr>
      <w:tr w:rsidR="00BE1880" w:rsidRPr="000365ED" w14:paraId="3728A34B" w14:textId="77777777" w:rsidTr="00BE1880">
        <w:tc>
          <w:tcPr>
            <w:tcW w:w="3070" w:type="dxa"/>
            <w:vAlign w:val="center"/>
          </w:tcPr>
          <w:p w14:paraId="7BB068B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Omitting Enriquez et al.</w:t>
            </w:r>
          </w:p>
        </w:tc>
        <w:tc>
          <w:tcPr>
            <w:tcW w:w="886" w:type="dxa"/>
            <w:vAlign w:val="center"/>
          </w:tcPr>
          <w:p w14:paraId="39AE10B8"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54.3927</w:t>
            </w:r>
          </w:p>
        </w:tc>
        <w:tc>
          <w:tcPr>
            <w:tcW w:w="1940" w:type="dxa"/>
            <w:vAlign w:val="center"/>
          </w:tcPr>
          <w:p w14:paraId="65C42D6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[23.3030; 82.3988]</w:t>
            </w:r>
          </w:p>
        </w:tc>
        <w:tc>
          <w:tcPr>
            <w:tcW w:w="765" w:type="dxa"/>
            <w:vAlign w:val="center"/>
          </w:tcPr>
          <w:p w14:paraId="320E71A1"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3.8602</w:t>
            </w:r>
          </w:p>
        </w:tc>
        <w:tc>
          <w:tcPr>
            <w:tcW w:w="766" w:type="dxa"/>
            <w:vAlign w:val="center"/>
          </w:tcPr>
          <w:p w14:paraId="6F2A0394"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1.9647</w:t>
            </w:r>
          </w:p>
        </w:tc>
        <w:tc>
          <w:tcPr>
            <w:tcW w:w="766" w:type="dxa"/>
            <w:vAlign w:val="center"/>
          </w:tcPr>
          <w:p w14:paraId="39D839A8"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99.5%</w:t>
            </w:r>
          </w:p>
        </w:tc>
      </w:tr>
      <w:tr w:rsidR="00BE1880" w:rsidRPr="000365ED" w14:paraId="6CABD8EB" w14:textId="77777777" w:rsidTr="00BE1880">
        <w:tc>
          <w:tcPr>
            <w:tcW w:w="3070" w:type="dxa"/>
            <w:vAlign w:val="center"/>
          </w:tcPr>
          <w:p w14:paraId="2D0D561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Omitting Ankrah et al.</w:t>
            </w:r>
          </w:p>
        </w:tc>
        <w:tc>
          <w:tcPr>
            <w:tcW w:w="886" w:type="dxa"/>
            <w:vAlign w:val="center"/>
          </w:tcPr>
          <w:p w14:paraId="73AD05D3"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43.5366</w:t>
            </w:r>
          </w:p>
        </w:tc>
        <w:tc>
          <w:tcPr>
            <w:tcW w:w="1940" w:type="dxa"/>
            <w:vAlign w:val="center"/>
          </w:tcPr>
          <w:p w14:paraId="4FC55C73"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[17.2944; 73.9799]</w:t>
            </w:r>
          </w:p>
        </w:tc>
        <w:tc>
          <w:tcPr>
            <w:tcW w:w="765" w:type="dxa"/>
            <w:vAlign w:val="center"/>
          </w:tcPr>
          <w:p w14:paraId="617877B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3.5081</w:t>
            </w:r>
          </w:p>
        </w:tc>
        <w:tc>
          <w:tcPr>
            <w:tcW w:w="766" w:type="dxa"/>
            <w:vAlign w:val="center"/>
          </w:tcPr>
          <w:p w14:paraId="6595ED24"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1.8730</w:t>
            </w:r>
          </w:p>
        </w:tc>
        <w:tc>
          <w:tcPr>
            <w:tcW w:w="766" w:type="dxa"/>
            <w:vAlign w:val="center"/>
          </w:tcPr>
          <w:p w14:paraId="43B75E5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99.3%</w:t>
            </w:r>
          </w:p>
        </w:tc>
      </w:tr>
      <w:tr w:rsidR="00BE1880" w:rsidRPr="000365ED" w14:paraId="3A6E6D25" w14:textId="77777777" w:rsidTr="00BE1880">
        <w:tc>
          <w:tcPr>
            <w:tcW w:w="3070" w:type="dxa"/>
            <w:vAlign w:val="center"/>
          </w:tcPr>
          <w:p w14:paraId="17ADA5F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Omitting Sefah, Sneddon et al.</w:t>
            </w:r>
          </w:p>
        </w:tc>
        <w:tc>
          <w:tcPr>
            <w:tcW w:w="886" w:type="dxa"/>
            <w:vAlign w:val="center"/>
          </w:tcPr>
          <w:p w14:paraId="7BC57CB3"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44.0019</w:t>
            </w:r>
          </w:p>
        </w:tc>
        <w:tc>
          <w:tcPr>
            <w:tcW w:w="1940" w:type="dxa"/>
            <w:vAlign w:val="center"/>
          </w:tcPr>
          <w:p w14:paraId="624DDC28"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[17.3336; 74.6493]</w:t>
            </w:r>
          </w:p>
        </w:tc>
        <w:tc>
          <w:tcPr>
            <w:tcW w:w="765" w:type="dxa"/>
            <w:vAlign w:val="center"/>
          </w:tcPr>
          <w:p w14:paraId="6003D18E"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3.5960</w:t>
            </w:r>
          </w:p>
        </w:tc>
        <w:tc>
          <w:tcPr>
            <w:tcW w:w="766" w:type="dxa"/>
            <w:vAlign w:val="center"/>
          </w:tcPr>
          <w:p w14:paraId="0D8B2B6D"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1.8963</w:t>
            </w:r>
          </w:p>
        </w:tc>
        <w:tc>
          <w:tcPr>
            <w:tcW w:w="766" w:type="dxa"/>
            <w:vAlign w:val="center"/>
          </w:tcPr>
          <w:p w14:paraId="2F0DAB3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99.3%</w:t>
            </w:r>
          </w:p>
        </w:tc>
      </w:tr>
      <w:tr w:rsidR="00BE1880" w:rsidRPr="000365ED" w14:paraId="464A33E2" w14:textId="77777777" w:rsidTr="00BE1880">
        <w:tc>
          <w:tcPr>
            <w:tcW w:w="3070" w:type="dxa"/>
            <w:vAlign w:val="center"/>
          </w:tcPr>
          <w:p w14:paraId="395DEA33"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 xml:space="preserve">Omitting Sefah, </w:t>
            </w:r>
            <w:proofErr w:type="spellStart"/>
            <w:r w:rsidRPr="000365ED">
              <w:rPr>
                <w:rFonts w:ascii="Times New Roman" w:hAnsi="Times New Roman" w:cs="Times New Roman"/>
                <w:sz w:val="20"/>
                <w:szCs w:val="20"/>
              </w:rPr>
              <w:t>Denoo</w:t>
            </w:r>
            <w:proofErr w:type="spellEnd"/>
            <w:r w:rsidRPr="000365ED">
              <w:rPr>
                <w:rFonts w:ascii="Times New Roman" w:hAnsi="Times New Roman" w:cs="Times New Roman"/>
                <w:sz w:val="20"/>
                <w:szCs w:val="20"/>
              </w:rPr>
              <w:t xml:space="preserve"> et al.</w:t>
            </w:r>
          </w:p>
        </w:tc>
        <w:tc>
          <w:tcPr>
            <w:tcW w:w="886" w:type="dxa"/>
            <w:vAlign w:val="center"/>
          </w:tcPr>
          <w:p w14:paraId="62EE847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61.3382</w:t>
            </w:r>
          </w:p>
        </w:tc>
        <w:tc>
          <w:tcPr>
            <w:tcW w:w="1940" w:type="dxa"/>
            <w:vAlign w:val="center"/>
          </w:tcPr>
          <w:p w14:paraId="735D80B4"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[35.8370; 81.8400]</w:t>
            </w:r>
          </w:p>
        </w:tc>
        <w:tc>
          <w:tcPr>
            <w:tcW w:w="765" w:type="dxa"/>
            <w:vAlign w:val="center"/>
          </w:tcPr>
          <w:p w14:paraId="651F7CA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2.2390</w:t>
            </w:r>
          </w:p>
        </w:tc>
        <w:tc>
          <w:tcPr>
            <w:tcW w:w="766" w:type="dxa"/>
            <w:vAlign w:val="center"/>
          </w:tcPr>
          <w:p w14:paraId="03FE6898"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1.4963</w:t>
            </w:r>
          </w:p>
        </w:tc>
        <w:tc>
          <w:tcPr>
            <w:tcW w:w="766" w:type="dxa"/>
            <w:vAlign w:val="center"/>
          </w:tcPr>
          <w:p w14:paraId="51FF32B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99.4%</w:t>
            </w:r>
          </w:p>
        </w:tc>
      </w:tr>
      <w:tr w:rsidR="00BE1880" w:rsidRPr="000365ED" w14:paraId="5F0953D6" w14:textId="77777777" w:rsidTr="00BE1880">
        <w:tc>
          <w:tcPr>
            <w:tcW w:w="3070" w:type="dxa"/>
            <w:vAlign w:val="center"/>
          </w:tcPr>
          <w:p w14:paraId="27B539E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Omitting Hope et al.</w:t>
            </w:r>
          </w:p>
        </w:tc>
        <w:tc>
          <w:tcPr>
            <w:tcW w:w="886" w:type="dxa"/>
            <w:vAlign w:val="center"/>
          </w:tcPr>
          <w:p w14:paraId="6E7BDDE3"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47.2490</w:t>
            </w:r>
          </w:p>
        </w:tc>
        <w:tc>
          <w:tcPr>
            <w:tcW w:w="1940" w:type="dxa"/>
            <w:vAlign w:val="center"/>
          </w:tcPr>
          <w:p w14:paraId="20FC2E6D"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[18.1708; 78.3218]</w:t>
            </w:r>
          </w:p>
        </w:tc>
        <w:tc>
          <w:tcPr>
            <w:tcW w:w="765" w:type="dxa"/>
            <w:vAlign w:val="center"/>
          </w:tcPr>
          <w:p w14:paraId="058DC0E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4.0168</w:t>
            </w:r>
          </w:p>
        </w:tc>
        <w:tc>
          <w:tcPr>
            <w:tcW w:w="766" w:type="dxa"/>
            <w:vAlign w:val="center"/>
          </w:tcPr>
          <w:p w14:paraId="2A2D0A7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2.0042</w:t>
            </w:r>
          </w:p>
        </w:tc>
        <w:tc>
          <w:tcPr>
            <w:tcW w:w="766" w:type="dxa"/>
            <w:vAlign w:val="center"/>
          </w:tcPr>
          <w:p w14:paraId="1CF7872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99.5%</w:t>
            </w:r>
          </w:p>
        </w:tc>
      </w:tr>
      <w:tr w:rsidR="00BE1880" w:rsidRPr="000365ED" w14:paraId="653E0AC6" w14:textId="77777777" w:rsidTr="00BE1880">
        <w:tc>
          <w:tcPr>
            <w:tcW w:w="3070" w:type="dxa"/>
            <w:vAlign w:val="center"/>
          </w:tcPr>
          <w:p w14:paraId="03E22312"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Omitting Aboderin et al.</w:t>
            </w:r>
          </w:p>
        </w:tc>
        <w:tc>
          <w:tcPr>
            <w:tcW w:w="886" w:type="dxa"/>
            <w:vAlign w:val="center"/>
          </w:tcPr>
          <w:p w14:paraId="1568135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51.4660</w:t>
            </w:r>
          </w:p>
        </w:tc>
        <w:tc>
          <w:tcPr>
            <w:tcW w:w="1940" w:type="dxa"/>
            <w:vAlign w:val="center"/>
          </w:tcPr>
          <w:p w14:paraId="54BB24C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[20.5504; 81.2990]</w:t>
            </w:r>
          </w:p>
        </w:tc>
        <w:tc>
          <w:tcPr>
            <w:tcW w:w="765" w:type="dxa"/>
            <w:vAlign w:val="center"/>
          </w:tcPr>
          <w:p w14:paraId="2A7FED1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4.1076</w:t>
            </w:r>
          </w:p>
        </w:tc>
        <w:tc>
          <w:tcPr>
            <w:tcW w:w="766" w:type="dxa"/>
            <w:vAlign w:val="center"/>
          </w:tcPr>
          <w:p w14:paraId="08B8828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2.0267</w:t>
            </w:r>
          </w:p>
        </w:tc>
        <w:tc>
          <w:tcPr>
            <w:tcW w:w="766" w:type="dxa"/>
            <w:vAlign w:val="center"/>
          </w:tcPr>
          <w:p w14:paraId="2974145D"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99.5%</w:t>
            </w:r>
          </w:p>
        </w:tc>
      </w:tr>
      <w:tr w:rsidR="00BE1880" w:rsidRPr="000365ED" w14:paraId="19E80075" w14:textId="77777777" w:rsidTr="00BE1880">
        <w:tc>
          <w:tcPr>
            <w:tcW w:w="3070" w:type="dxa"/>
            <w:vAlign w:val="center"/>
          </w:tcPr>
          <w:p w14:paraId="183049B7"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lastRenderedPageBreak/>
              <w:t>Omitting Agyare et al.</w:t>
            </w:r>
          </w:p>
        </w:tc>
        <w:tc>
          <w:tcPr>
            <w:tcW w:w="886" w:type="dxa"/>
            <w:vAlign w:val="center"/>
          </w:tcPr>
          <w:p w14:paraId="0F88A7A8"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53.6436</w:t>
            </w:r>
          </w:p>
        </w:tc>
        <w:tc>
          <w:tcPr>
            <w:tcW w:w="1940" w:type="dxa"/>
            <w:vAlign w:val="center"/>
          </w:tcPr>
          <w:p w14:paraId="0894980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[22.5219; 82.1641]</w:t>
            </w:r>
          </w:p>
        </w:tc>
        <w:tc>
          <w:tcPr>
            <w:tcW w:w="765" w:type="dxa"/>
            <w:vAlign w:val="center"/>
          </w:tcPr>
          <w:p w14:paraId="4798D64D"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3.9435</w:t>
            </w:r>
          </w:p>
        </w:tc>
        <w:tc>
          <w:tcPr>
            <w:tcW w:w="766" w:type="dxa"/>
            <w:vAlign w:val="center"/>
          </w:tcPr>
          <w:p w14:paraId="4D6223A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1.9858</w:t>
            </w:r>
          </w:p>
        </w:tc>
        <w:tc>
          <w:tcPr>
            <w:tcW w:w="766" w:type="dxa"/>
            <w:vAlign w:val="center"/>
          </w:tcPr>
          <w:p w14:paraId="48FFD70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99.5%</w:t>
            </w:r>
          </w:p>
        </w:tc>
      </w:tr>
      <w:tr w:rsidR="00BE1880" w:rsidRPr="000365ED" w14:paraId="381022E8" w14:textId="77777777" w:rsidTr="00BE1880">
        <w:tc>
          <w:tcPr>
            <w:tcW w:w="3070" w:type="dxa"/>
            <w:vAlign w:val="center"/>
          </w:tcPr>
          <w:p w14:paraId="746639B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Omitting Kamara et al.</w:t>
            </w:r>
          </w:p>
        </w:tc>
        <w:tc>
          <w:tcPr>
            <w:tcW w:w="886" w:type="dxa"/>
            <w:vAlign w:val="center"/>
          </w:tcPr>
          <w:p w14:paraId="10C1A1BD"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52.9148</w:t>
            </w:r>
          </w:p>
        </w:tc>
        <w:tc>
          <w:tcPr>
            <w:tcW w:w="1940" w:type="dxa"/>
            <w:vAlign w:val="center"/>
          </w:tcPr>
          <w:p w14:paraId="6F668B3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[21.7683; 81.9456]</w:t>
            </w:r>
          </w:p>
        </w:tc>
        <w:tc>
          <w:tcPr>
            <w:tcW w:w="765" w:type="dxa"/>
            <w:vAlign w:val="center"/>
          </w:tcPr>
          <w:p w14:paraId="4BF8196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4.0193</w:t>
            </w:r>
          </w:p>
        </w:tc>
        <w:tc>
          <w:tcPr>
            <w:tcW w:w="766" w:type="dxa"/>
            <w:vAlign w:val="center"/>
          </w:tcPr>
          <w:p w14:paraId="07F406B3"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2.0048</w:t>
            </w:r>
          </w:p>
        </w:tc>
        <w:tc>
          <w:tcPr>
            <w:tcW w:w="766" w:type="dxa"/>
            <w:vAlign w:val="center"/>
          </w:tcPr>
          <w:p w14:paraId="37B1B8ED"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99.3%</w:t>
            </w:r>
          </w:p>
        </w:tc>
      </w:tr>
      <w:tr w:rsidR="00BE1880" w:rsidRPr="000365ED" w14:paraId="625C17B3" w14:textId="77777777" w:rsidTr="00BE1880">
        <w:tc>
          <w:tcPr>
            <w:tcW w:w="3070" w:type="dxa"/>
            <w:vAlign w:val="center"/>
          </w:tcPr>
          <w:p w14:paraId="5E17EAB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Omitting Afriyie et al.</w:t>
            </w:r>
          </w:p>
        </w:tc>
        <w:tc>
          <w:tcPr>
            <w:tcW w:w="886" w:type="dxa"/>
            <w:vAlign w:val="center"/>
          </w:tcPr>
          <w:p w14:paraId="5694061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42.1761</w:t>
            </w:r>
          </w:p>
        </w:tc>
        <w:tc>
          <w:tcPr>
            <w:tcW w:w="1940" w:type="dxa"/>
            <w:vAlign w:val="center"/>
          </w:tcPr>
          <w:p w14:paraId="07BA35C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[17.3291; 71.7356]</w:t>
            </w:r>
          </w:p>
        </w:tc>
        <w:tc>
          <w:tcPr>
            <w:tcW w:w="765" w:type="dxa"/>
            <w:vAlign w:val="center"/>
          </w:tcPr>
          <w:p w14:paraId="0DAE37E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3.2059</w:t>
            </w:r>
          </w:p>
        </w:tc>
        <w:tc>
          <w:tcPr>
            <w:tcW w:w="766" w:type="dxa"/>
            <w:vAlign w:val="center"/>
          </w:tcPr>
          <w:p w14:paraId="6FA3C1F4"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1.7905</w:t>
            </w:r>
          </w:p>
        </w:tc>
        <w:tc>
          <w:tcPr>
            <w:tcW w:w="766" w:type="dxa"/>
            <w:vAlign w:val="center"/>
          </w:tcPr>
          <w:p w14:paraId="7854A573"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99.5%</w:t>
            </w:r>
          </w:p>
        </w:tc>
      </w:tr>
      <w:tr w:rsidR="00BE1880" w:rsidRPr="000365ED" w14:paraId="38166B3D" w14:textId="77777777" w:rsidTr="00BE1880">
        <w:tc>
          <w:tcPr>
            <w:tcW w:w="3070" w:type="dxa"/>
            <w:vAlign w:val="center"/>
          </w:tcPr>
          <w:p w14:paraId="02060FA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Pooled estimate</w:t>
            </w:r>
          </w:p>
        </w:tc>
        <w:tc>
          <w:tcPr>
            <w:tcW w:w="886" w:type="dxa"/>
            <w:vAlign w:val="center"/>
          </w:tcPr>
          <w:p w14:paraId="3D9393D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50.0921</w:t>
            </w:r>
          </w:p>
        </w:tc>
        <w:tc>
          <w:tcPr>
            <w:tcW w:w="1940" w:type="dxa"/>
            <w:vAlign w:val="center"/>
          </w:tcPr>
          <w:p w14:paraId="619CA4C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[22.2112; 77.9159]</w:t>
            </w:r>
          </w:p>
        </w:tc>
        <w:tc>
          <w:tcPr>
            <w:tcW w:w="765" w:type="dxa"/>
            <w:vAlign w:val="center"/>
          </w:tcPr>
          <w:p w14:paraId="516B7F07"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3.6673</w:t>
            </w:r>
          </w:p>
        </w:tc>
        <w:tc>
          <w:tcPr>
            <w:tcW w:w="766" w:type="dxa"/>
            <w:vAlign w:val="center"/>
          </w:tcPr>
          <w:p w14:paraId="23F5039D"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1.9150</w:t>
            </w:r>
          </w:p>
        </w:tc>
        <w:tc>
          <w:tcPr>
            <w:tcW w:w="766" w:type="dxa"/>
            <w:vAlign w:val="center"/>
          </w:tcPr>
          <w:p w14:paraId="0998703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99.4%</w:t>
            </w:r>
          </w:p>
        </w:tc>
      </w:tr>
    </w:tbl>
    <w:p w14:paraId="4F1CDAE7" w14:textId="77777777" w:rsidR="00BE1880" w:rsidRPr="000365ED" w:rsidRDefault="00BE1880" w:rsidP="00BE1880">
      <w:pPr>
        <w:rPr>
          <w:rFonts w:ascii="Times New Roman" w:hAnsi="Times New Roman" w:cs="Times New Roman"/>
          <w:sz w:val="20"/>
          <w:szCs w:val="20"/>
        </w:rPr>
      </w:pPr>
    </w:p>
    <w:p w14:paraId="21069E4C" w14:textId="661841D5" w:rsidR="00BE1880" w:rsidRPr="000365ED" w:rsidRDefault="00BE1880" w:rsidP="00BE1880">
      <w:pPr>
        <w:rPr>
          <w:rFonts w:ascii="Times New Roman" w:hAnsi="Times New Roman" w:cs="Times New Roman"/>
          <w:sz w:val="20"/>
          <w:szCs w:val="20"/>
        </w:rPr>
      </w:pPr>
      <w:r w:rsidRPr="000365ED">
        <w:rPr>
          <w:rFonts w:ascii="Times New Roman" w:hAnsi="Times New Roman" w:cs="Times New Roman"/>
          <w:sz w:val="20"/>
          <w:szCs w:val="20"/>
        </w:rPr>
        <w:t xml:space="preserve">Table </w:t>
      </w:r>
      <w:r w:rsidR="008869C5" w:rsidRPr="000365ED">
        <w:rPr>
          <w:rFonts w:ascii="Times New Roman" w:hAnsi="Times New Roman" w:cs="Times New Roman"/>
          <w:sz w:val="20"/>
          <w:szCs w:val="20"/>
        </w:rPr>
        <w:t>4</w:t>
      </w:r>
      <w:r w:rsidRPr="000365ED">
        <w:rPr>
          <w:rFonts w:ascii="Times New Roman" w:hAnsi="Times New Roman" w:cs="Times New Roman"/>
          <w:sz w:val="20"/>
          <w:szCs w:val="20"/>
        </w:rPr>
        <w:t xml:space="preserve">: Antibiotic appropriateness subgroup analysis results </w:t>
      </w:r>
    </w:p>
    <w:tbl>
      <w:tblPr>
        <w:tblW w:w="8730" w:type="dxa"/>
        <w:tblLayout w:type="fixed"/>
        <w:tblCellMar>
          <w:top w:w="28" w:type="dxa"/>
          <w:left w:w="28" w:type="dxa"/>
          <w:bottom w:w="28" w:type="dxa"/>
          <w:right w:w="28" w:type="dxa"/>
        </w:tblCellMar>
        <w:tblLook w:val="04A0" w:firstRow="1" w:lastRow="0" w:firstColumn="1" w:lastColumn="0" w:noHBand="0" w:noVBand="1"/>
      </w:tblPr>
      <w:tblGrid>
        <w:gridCol w:w="1772"/>
        <w:gridCol w:w="2319"/>
        <w:gridCol w:w="2321"/>
        <w:gridCol w:w="2318"/>
      </w:tblGrid>
      <w:tr w:rsidR="00BE1880" w:rsidRPr="000365ED" w14:paraId="390CC6EC" w14:textId="77777777" w:rsidTr="00BE1880">
        <w:trPr>
          <w:tblHeader/>
        </w:trPr>
        <w:tc>
          <w:tcPr>
            <w:tcW w:w="8729" w:type="dxa"/>
            <w:gridSpan w:val="4"/>
            <w:vAlign w:val="center"/>
          </w:tcPr>
          <w:p w14:paraId="15F37CF0"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br/>
              <w:t>Year of study summary statistics</w:t>
            </w:r>
          </w:p>
        </w:tc>
      </w:tr>
      <w:tr w:rsidR="00BE1880" w:rsidRPr="000365ED" w14:paraId="34809F16" w14:textId="77777777" w:rsidTr="00BE1880">
        <w:tc>
          <w:tcPr>
            <w:tcW w:w="1771" w:type="dxa"/>
            <w:vAlign w:val="center"/>
          </w:tcPr>
          <w:p w14:paraId="3A382D5E"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Number of studies combined</w:t>
            </w:r>
          </w:p>
        </w:tc>
        <w:tc>
          <w:tcPr>
            <w:tcW w:w="2319" w:type="dxa"/>
            <w:vAlign w:val="center"/>
          </w:tcPr>
          <w:p w14:paraId="18313CA1"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k = 2</w:t>
            </w:r>
          </w:p>
        </w:tc>
        <w:tc>
          <w:tcPr>
            <w:tcW w:w="2321" w:type="dxa"/>
            <w:vAlign w:val="center"/>
          </w:tcPr>
          <w:p w14:paraId="33EF98EC" w14:textId="77777777" w:rsidR="00BE1880" w:rsidRPr="000365ED" w:rsidRDefault="00BE1880" w:rsidP="00BE1880">
            <w:pPr>
              <w:pStyle w:val="TableContents"/>
              <w:rPr>
                <w:rFonts w:ascii="Times New Roman" w:hAnsi="Times New Roman" w:cs="Times New Roman"/>
                <w:sz w:val="20"/>
                <w:szCs w:val="20"/>
              </w:rPr>
            </w:pPr>
          </w:p>
        </w:tc>
        <w:tc>
          <w:tcPr>
            <w:tcW w:w="2318" w:type="dxa"/>
            <w:vAlign w:val="center"/>
          </w:tcPr>
          <w:p w14:paraId="09CA6490"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09B406E6" w14:textId="77777777" w:rsidTr="00BE1880">
        <w:tc>
          <w:tcPr>
            <w:tcW w:w="1771" w:type="dxa"/>
            <w:vAlign w:val="center"/>
          </w:tcPr>
          <w:p w14:paraId="4563E05D"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 xml:space="preserve">Number of observations: </w:t>
            </w:r>
          </w:p>
        </w:tc>
        <w:tc>
          <w:tcPr>
            <w:tcW w:w="2319" w:type="dxa"/>
            <w:vAlign w:val="center"/>
          </w:tcPr>
          <w:p w14:paraId="23A333A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o = 4624</w:t>
            </w:r>
          </w:p>
        </w:tc>
        <w:tc>
          <w:tcPr>
            <w:tcW w:w="2321" w:type="dxa"/>
            <w:vAlign w:val="center"/>
          </w:tcPr>
          <w:p w14:paraId="4701DF78" w14:textId="77777777" w:rsidR="00BE1880" w:rsidRPr="000365ED" w:rsidRDefault="00BE1880" w:rsidP="00BE1880">
            <w:pPr>
              <w:pStyle w:val="TableContents"/>
              <w:rPr>
                <w:rFonts w:ascii="Times New Roman" w:hAnsi="Times New Roman" w:cs="Times New Roman"/>
                <w:sz w:val="20"/>
                <w:szCs w:val="20"/>
              </w:rPr>
            </w:pPr>
          </w:p>
        </w:tc>
        <w:tc>
          <w:tcPr>
            <w:tcW w:w="2318" w:type="dxa"/>
            <w:vAlign w:val="center"/>
          </w:tcPr>
          <w:p w14:paraId="2DE6C8D9"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1C0A1AD5" w14:textId="77777777" w:rsidTr="00BE1880">
        <w:tc>
          <w:tcPr>
            <w:tcW w:w="1771" w:type="dxa"/>
            <w:vAlign w:val="center"/>
          </w:tcPr>
          <w:p w14:paraId="5A7965C4"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 xml:space="preserve">Number of events: </w:t>
            </w:r>
          </w:p>
        </w:tc>
        <w:tc>
          <w:tcPr>
            <w:tcW w:w="2319" w:type="dxa"/>
            <w:vAlign w:val="center"/>
          </w:tcPr>
          <w:p w14:paraId="7E420397"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e = 2729</w:t>
            </w:r>
          </w:p>
        </w:tc>
        <w:tc>
          <w:tcPr>
            <w:tcW w:w="2321" w:type="dxa"/>
            <w:vAlign w:val="center"/>
          </w:tcPr>
          <w:p w14:paraId="4590AD91" w14:textId="77777777" w:rsidR="00BE1880" w:rsidRPr="000365ED" w:rsidRDefault="00BE1880" w:rsidP="00BE1880">
            <w:pPr>
              <w:pStyle w:val="TableContents"/>
              <w:rPr>
                <w:rFonts w:ascii="Times New Roman" w:hAnsi="Times New Roman" w:cs="Times New Roman"/>
                <w:sz w:val="20"/>
                <w:szCs w:val="20"/>
              </w:rPr>
            </w:pPr>
          </w:p>
        </w:tc>
        <w:tc>
          <w:tcPr>
            <w:tcW w:w="2318" w:type="dxa"/>
            <w:vAlign w:val="center"/>
          </w:tcPr>
          <w:p w14:paraId="5A5F7B4D"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14A0F66E" w14:textId="77777777" w:rsidTr="00BE1880">
        <w:tc>
          <w:tcPr>
            <w:tcW w:w="1771" w:type="dxa"/>
            <w:vAlign w:val="center"/>
          </w:tcPr>
          <w:p w14:paraId="4AB41965" w14:textId="77777777" w:rsidR="00BE1880" w:rsidRPr="000365ED" w:rsidRDefault="00BE1880" w:rsidP="00BE1880">
            <w:pPr>
              <w:pStyle w:val="TableContents"/>
              <w:rPr>
                <w:rFonts w:ascii="Times New Roman" w:hAnsi="Times New Roman" w:cs="Times New Roman"/>
                <w:sz w:val="20"/>
                <w:szCs w:val="20"/>
              </w:rPr>
            </w:pPr>
          </w:p>
        </w:tc>
        <w:tc>
          <w:tcPr>
            <w:tcW w:w="2319" w:type="dxa"/>
            <w:vAlign w:val="center"/>
          </w:tcPr>
          <w:p w14:paraId="7A3F247C" w14:textId="77777777" w:rsidR="00BE1880" w:rsidRPr="000365ED" w:rsidRDefault="00BE1880" w:rsidP="00BE1880">
            <w:pPr>
              <w:pStyle w:val="TableContents"/>
              <w:rPr>
                <w:rFonts w:ascii="Times New Roman" w:hAnsi="Times New Roman" w:cs="Times New Roman"/>
                <w:sz w:val="20"/>
                <w:szCs w:val="20"/>
              </w:rPr>
            </w:pPr>
          </w:p>
        </w:tc>
        <w:tc>
          <w:tcPr>
            <w:tcW w:w="2321" w:type="dxa"/>
            <w:vAlign w:val="center"/>
          </w:tcPr>
          <w:p w14:paraId="63679F5B" w14:textId="77777777" w:rsidR="00BE1880" w:rsidRPr="000365ED" w:rsidRDefault="00BE1880" w:rsidP="00BE1880">
            <w:pPr>
              <w:pStyle w:val="TableContents"/>
              <w:rPr>
                <w:rFonts w:ascii="Times New Roman" w:hAnsi="Times New Roman" w:cs="Times New Roman"/>
                <w:sz w:val="20"/>
                <w:szCs w:val="20"/>
              </w:rPr>
            </w:pPr>
          </w:p>
        </w:tc>
        <w:tc>
          <w:tcPr>
            <w:tcW w:w="2318" w:type="dxa"/>
            <w:vAlign w:val="center"/>
          </w:tcPr>
          <w:p w14:paraId="19595F12"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25AB65F7" w14:textId="77777777" w:rsidTr="00BE1880">
        <w:tc>
          <w:tcPr>
            <w:tcW w:w="1771" w:type="dxa"/>
            <w:vAlign w:val="center"/>
          </w:tcPr>
          <w:p w14:paraId="7E1A98F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Q</w:t>
            </w:r>
          </w:p>
        </w:tc>
        <w:tc>
          <w:tcPr>
            <w:tcW w:w="2319" w:type="dxa"/>
            <w:vAlign w:val="center"/>
          </w:tcPr>
          <w:p w14:paraId="5D6B7F71" w14:textId="77777777" w:rsidR="00BE1880" w:rsidRPr="000365ED" w:rsidRDefault="00BE1880" w:rsidP="00BE1880">
            <w:pPr>
              <w:pStyle w:val="TableContents"/>
              <w:rPr>
                <w:rFonts w:ascii="Times New Roman" w:hAnsi="Times New Roman" w:cs="Times New Roman"/>
                <w:sz w:val="20"/>
                <w:szCs w:val="20"/>
              </w:rPr>
            </w:pPr>
            <w:proofErr w:type="spellStart"/>
            <w:r w:rsidRPr="000365ED">
              <w:rPr>
                <w:rFonts w:ascii="Times New Roman" w:hAnsi="Times New Roman" w:cs="Times New Roman"/>
                <w:sz w:val="20"/>
                <w:szCs w:val="20"/>
              </w:rPr>
              <w:t>d.f</w:t>
            </w:r>
            <w:proofErr w:type="spellEnd"/>
          </w:p>
        </w:tc>
        <w:tc>
          <w:tcPr>
            <w:tcW w:w="2321" w:type="dxa"/>
            <w:vAlign w:val="center"/>
          </w:tcPr>
          <w:p w14:paraId="0004FCF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p-value</w:t>
            </w:r>
          </w:p>
        </w:tc>
        <w:tc>
          <w:tcPr>
            <w:tcW w:w="2318" w:type="dxa"/>
            <w:vAlign w:val="center"/>
          </w:tcPr>
          <w:p w14:paraId="5A69BE03"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Test</w:t>
            </w:r>
          </w:p>
        </w:tc>
      </w:tr>
      <w:tr w:rsidR="00BE1880" w:rsidRPr="000365ED" w14:paraId="795488D6" w14:textId="77777777" w:rsidTr="00BE1880">
        <w:tc>
          <w:tcPr>
            <w:tcW w:w="1771" w:type="dxa"/>
            <w:vAlign w:val="center"/>
          </w:tcPr>
          <w:p w14:paraId="3B73732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192.29</w:t>
            </w:r>
          </w:p>
        </w:tc>
        <w:tc>
          <w:tcPr>
            <w:tcW w:w="2319" w:type="dxa"/>
            <w:vAlign w:val="center"/>
          </w:tcPr>
          <w:p w14:paraId="5715380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w:t>
            </w:r>
          </w:p>
        </w:tc>
        <w:tc>
          <w:tcPr>
            <w:tcW w:w="2321" w:type="dxa"/>
            <w:vAlign w:val="center"/>
          </w:tcPr>
          <w:p w14:paraId="6413E386" w14:textId="77777777" w:rsidR="00BE1880" w:rsidRPr="000365ED" w:rsidRDefault="00BE1880" w:rsidP="00BE1880">
            <w:pPr>
              <w:pStyle w:val="BodyText"/>
              <w:widowControl w:val="0"/>
              <w:rPr>
                <w:rFonts w:ascii="Times New Roman" w:hAnsi="Times New Roman" w:cs="Times New Roman"/>
                <w:sz w:val="20"/>
                <w:szCs w:val="20"/>
              </w:rPr>
            </w:pPr>
            <w:r w:rsidRPr="000365ED">
              <w:rPr>
                <w:rFonts w:ascii="Times New Roman" w:hAnsi="Times New Roman" w:cs="Times New Roman"/>
                <w:sz w:val="20"/>
                <w:szCs w:val="20"/>
              </w:rPr>
              <w:t xml:space="preserve"> &lt; 0.0001</w:t>
            </w:r>
          </w:p>
        </w:tc>
        <w:tc>
          <w:tcPr>
            <w:tcW w:w="2318" w:type="dxa"/>
            <w:vAlign w:val="center"/>
          </w:tcPr>
          <w:p w14:paraId="6A0C6A3D" w14:textId="77777777" w:rsidR="00BE1880" w:rsidRPr="000365ED" w:rsidRDefault="00BE1880" w:rsidP="00BE1880">
            <w:pPr>
              <w:pStyle w:val="BodyText"/>
              <w:widowControl w:val="0"/>
              <w:rPr>
                <w:rFonts w:ascii="Times New Roman" w:hAnsi="Times New Roman" w:cs="Times New Roman"/>
                <w:sz w:val="20"/>
                <w:szCs w:val="20"/>
              </w:rPr>
            </w:pPr>
            <w:r w:rsidRPr="000365ED">
              <w:rPr>
                <w:rFonts w:ascii="Times New Roman" w:hAnsi="Times New Roman" w:cs="Times New Roman"/>
                <w:sz w:val="20"/>
                <w:szCs w:val="20"/>
              </w:rPr>
              <w:t>Wald-type</w:t>
            </w:r>
          </w:p>
        </w:tc>
      </w:tr>
      <w:tr w:rsidR="00BE1880" w:rsidRPr="000365ED" w14:paraId="1DB94BF8" w14:textId="77777777" w:rsidTr="00BE1880">
        <w:tc>
          <w:tcPr>
            <w:tcW w:w="1771" w:type="dxa"/>
            <w:vAlign w:val="center"/>
          </w:tcPr>
          <w:p w14:paraId="3B12826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201.46</w:t>
            </w:r>
          </w:p>
        </w:tc>
        <w:tc>
          <w:tcPr>
            <w:tcW w:w="2319" w:type="dxa"/>
            <w:vAlign w:val="center"/>
          </w:tcPr>
          <w:p w14:paraId="5021DBF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w:t>
            </w:r>
          </w:p>
        </w:tc>
        <w:tc>
          <w:tcPr>
            <w:tcW w:w="2321" w:type="dxa"/>
            <w:vAlign w:val="center"/>
          </w:tcPr>
          <w:p w14:paraId="3E00B387" w14:textId="77777777" w:rsidR="00BE1880" w:rsidRPr="000365ED" w:rsidRDefault="00BE1880" w:rsidP="00BE1880">
            <w:pPr>
              <w:pStyle w:val="BodyText"/>
              <w:widowControl w:val="0"/>
              <w:rPr>
                <w:rFonts w:ascii="Times New Roman" w:hAnsi="Times New Roman" w:cs="Times New Roman"/>
                <w:sz w:val="20"/>
                <w:szCs w:val="20"/>
              </w:rPr>
            </w:pPr>
            <w:r w:rsidRPr="000365ED">
              <w:rPr>
                <w:rFonts w:ascii="Times New Roman" w:hAnsi="Times New Roman" w:cs="Times New Roman"/>
                <w:sz w:val="20"/>
                <w:szCs w:val="20"/>
              </w:rPr>
              <w:t xml:space="preserve"> &lt; 0.0001</w:t>
            </w:r>
          </w:p>
        </w:tc>
        <w:tc>
          <w:tcPr>
            <w:tcW w:w="2318" w:type="dxa"/>
            <w:vAlign w:val="center"/>
          </w:tcPr>
          <w:p w14:paraId="3BF4143D" w14:textId="77777777" w:rsidR="00BE1880" w:rsidRPr="000365ED" w:rsidRDefault="00BE1880" w:rsidP="00BE1880">
            <w:pPr>
              <w:pStyle w:val="BodyText"/>
              <w:widowControl w:val="0"/>
              <w:rPr>
                <w:rFonts w:ascii="Times New Roman" w:hAnsi="Times New Roman" w:cs="Times New Roman"/>
                <w:sz w:val="20"/>
                <w:szCs w:val="20"/>
              </w:rPr>
            </w:pPr>
            <w:r w:rsidRPr="000365ED">
              <w:rPr>
                <w:rFonts w:ascii="Times New Roman" w:hAnsi="Times New Roman" w:cs="Times New Roman"/>
                <w:sz w:val="20"/>
                <w:szCs w:val="20"/>
              </w:rPr>
              <w:t>Likelihood-Ratio</w:t>
            </w:r>
          </w:p>
        </w:tc>
      </w:tr>
      <w:tr w:rsidR="00BE1880" w:rsidRPr="000365ED" w14:paraId="7A986254" w14:textId="77777777" w:rsidTr="00BE1880">
        <w:tc>
          <w:tcPr>
            <w:tcW w:w="8729" w:type="dxa"/>
            <w:gridSpan w:val="4"/>
            <w:vAlign w:val="center"/>
          </w:tcPr>
          <w:p w14:paraId="68A41A78" w14:textId="77777777" w:rsidR="00BE1880" w:rsidRPr="000365ED" w:rsidRDefault="00BE1880" w:rsidP="00BE1880">
            <w:pPr>
              <w:pStyle w:val="TableContents"/>
              <w:jc w:val="center"/>
              <w:rPr>
                <w:rFonts w:ascii="Times New Roman" w:hAnsi="Times New Roman" w:cs="Times New Roman"/>
                <w:sz w:val="20"/>
                <w:szCs w:val="20"/>
              </w:rPr>
            </w:pPr>
            <w:r w:rsidRPr="000365ED">
              <w:rPr>
                <w:rFonts w:ascii="Times New Roman" w:hAnsi="Times New Roman" w:cs="Times New Roman"/>
                <w:b/>
                <w:bCs/>
                <w:sz w:val="20"/>
                <w:szCs w:val="20"/>
              </w:rPr>
              <w:t xml:space="preserve">Healthcare Level summary statistics </w:t>
            </w:r>
          </w:p>
        </w:tc>
      </w:tr>
      <w:tr w:rsidR="00BE1880" w:rsidRPr="000365ED" w14:paraId="77F1BE61" w14:textId="77777777" w:rsidTr="00BE1880">
        <w:tc>
          <w:tcPr>
            <w:tcW w:w="1771" w:type="dxa"/>
            <w:vAlign w:val="center"/>
          </w:tcPr>
          <w:p w14:paraId="43013091"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Number of studies combined</w:t>
            </w:r>
          </w:p>
        </w:tc>
        <w:tc>
          <w:tcPr>
            <w:tcW w:w="2319" w:type="dxa"/>
            <w:vAlign w:val="center"/>
          </w:tcPr>
          <w:p w14:paraId="1FB114D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k = 4</w:t>
            </w:r>
          </w:p>
        </w:tc>
        <w:tc>
          <w:tcPr>
            <w:tcW w:w="2321" w:type="dxa"/>
            <w:vAlign w:val="center"/>
          </w:tcPr>
          <w:p w14:paraId="6779B16E" w14:textId="77777777" w:rsidR="00BE1880" w:rsidRPr="000365ED" w:rsidRDefault="00BE1880" w:rsidP="00BE1880">
            <w:pPr>
              <w:pStyle w:val="TableContents"/>
              <w:rPr>
                <w:rFonts w:ascii="Times New Roman" w:hAnsi="Times New Roman" w:cs="Times New Roman"/>
                <w:sz w:val="20"/>
                <w:szCs w:val="20"/>
              </w:rPr>
            </w:pPr>
          </w:p>
        </w:tc>
        <w:tc>
          <w:tcPr>
            <w:tcW w:w="2318" w:type="dxa"/>
            <w:vAlign w:val="center"/>
          </w:tcPr>
          <w:p w14:paraId="4298B8AE"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0879FBA6" w14:textId="77777777" w:rsidTr="00BE1880">
        <w:tc>
          <w:tcPr>
            <w:tcW w:w="1771" w:type="dxa"/>
            <w:vAlign w:val="center"/>
          </w:tcPr>
          <w:p w14:paraId="102180E8"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 xml:space="preserve">Number of observations: </w:t>
            </w:r>
          </w:p>
        </w:tc>
        <w:tc>
          <w:tcPr>
            <w:tcW w:w="2319" w:type="dxa"/>
            <w:vAlign w:val="center"/>
          </w:tcPr>
          <w:p w14:paraId="705B0CE2"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o = 4624</w:t>
            </w:r>
          </w:p>
        </w:tc>
        <w:tc>
          <w:tcPr>
            <w:tcW w:w="2321" w:type="dxa"/>
            <w:vAlign w:val="center"/>
          </w:tcPr>
          <w:p w14:paraId="700A3AAD" w14:textId="77777777" w:rsidR="00BE1880" w:rsidRPr="000365ED" w:rsidRDefault="00BE1880" w:rsidP="00BE1880">
            <w:pPr>
              <w:pStyle w:val="TableContents"/>
              <w:rPr>
                <w:rFonts w:ascii="Times New Roman" w:hAnsi="Times New Roman" w:cs="Times New Roman"/>
                <w:sz w:val="20"/>
                <w:szCs w:val="20"/>
              </w:rPr>
            </w:pPr>
          </w:p>
        </w:tc>
        <w:tc>
          <w:tcPr>
            <w:tcW w:w="2318" w:type="dxa"/>
            <w:vAlign w:val="center"/>
          </w:tcPr>
          <w:p w14:paraId="5379F35C"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1779AB67" w14:textId="77777777" w:rsidTr="00BE1880">
        <w:tc>
          <w:tcPr>
            <w:tcW w:w="1771" w:type="dxa"/>
            <w:vAlign w:val="center"/>
          </w:tcPr>
          <w:p w14:paraId="4AB7C002"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 xml:space="preserve">Number of events: </w:t>
            </w:r>
          </w:p>
        </w:tc>
        <w:tc>
          <w:tcPr>
            <w:tcW w:w="2319" w:type="dxa"/>
            <w:vAlign w:val="center"/>
          </w:tcPr>
          <w:p w14:paraId="064DE91E"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e = 2729</w:t>
            </w:r>
          </w:p>
        </w:tc>
        <w:tc>
          <w:tcPr>
            <w:tcW w:w="2321" w:type="dxa"/>
            <w:vAlign w:val="center"/>
          </w:tcPr>
          <w:p w14:paraId="75F4D5F3" w14:textId="77777777" w:rsidR="00BE1880" w:rsidRPr="000365ED" w:rsidRDefault="00BE1880" w:rsidP="00BE1880">
            <w:pPr>
              <w:pStyle w:val="TableContents"/>
              <w:rPr>
                <w:rFonts w:ascii="Times New Roman" w:hAnsi="Times New Roman" w:cs="Times New Roman"/>
                <w:sz w:val="20"/>
                <w:szCs w:val="20"/>
              </w:rPr>
            </w:pPr>
          </w:p>
        </w:tc>
        <w:tc>
          <w:tcPr>
            <w:tcW w:w="2318" w:type="dxa"/>
            <w:vAlign w:val="center"/>
          </w:tcPr>
          <w:p w14:paraId="4CC0B201"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5BB8E5A6" w14:textId="77777777" w:rsidTr="00BE1880">
        <w:tc>
          <w:tcPr>
            <w:tcW w:w="1771" w:type="dxa"/>
            <w:vAlign w:val="center"/>
          </w:tcPr>
          <w:p w14:paraId="31B15C7F" w14:textId="77777777" w:rsidR="00BE1880" w:rsidRPr="000365ED" w:rsidRDefault="00BE1880" w:rsidP="00BE1880">
            <w:pPr>
              <w:pStyle w:val="TableContents"/>
              <w:rPr>
                <w:rFonts w:ascii="Times New Roman" w:hAnsi="Times New Roman" w:cs="Times New Roman"/>
                <w:sz w:val="20"/>
                <w:szCs w:val="20"/>
              </w:rPr>
            </w:pPr>
          </w:p>
        </w:tc>
        <w:tc>
          <w:tcPr>
            <w:tcW w:w="2319" w:type="dxa"/>
            <w:vAlign w:val="center"/>
          </w:tcPr>
          <w:p w14:paraId="7C3631F3" w14:textId="77777777" w:rsidR="00BE1880" w:rsidRPr="000365ED" w:rsidRDefault="00BE1880" w:rsidP="00BE1880">
            <w:pPr>
              <w:pStyle w:val="TableContents"/>
              <w:rPr>
                <w:rFonts w:ascii="Times New Roman" w:hAnsi="Times New Roman" w:cs="Times New Roman"/>
                <w:sz w:val="20"/>
                <w:szCs w:val="20"/>
              </w:rPr>
            </w:pPr>
          </w:p>
        </w:tc>
        <w:tc>
          <w:tcPr>
            <w:tcW w:w="2321" w:type="dxa"/>
            <w:vAlign w:val="center"/>
          </w:tcPr>
          <w:p w14:paraId="462731DC" w14:textId="77777777" w:rsidR="00BE1880" w:rsidRPr="000365ED" w:rsidRDefault="00BE1880" w:rsidP="00BE1880">
            <w:pPr>
              <w:pStyle w:val="TableContents"/>
              <w:rPr>
                <w:rFonts w:ascii="Times New Roman" w:hAnsi="Times New Roman" w:cs="Times New Roman"/>
                <w:sz w:val="20"/>
                <w:szCs w:val="20"/>
              </w:rPr>
            </w:pPr>
          </w:p>
        </w:tc>
        <w:tc>
          <w:tcPr>
            <w:tcW w:w="2318" w:type="dxa"/>
            <w:vAlign w:val="center"/>
          </w:tcPr>
          <w:p w14:paraId="68B0A50D"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2831E623" w14:textId="77777777" w:rsidTr="00BE1880">
        <w:tc>
          <w:tcPr>
            <w:tcW w:w="1771" w:type="dxa"/>
            <w:vAlign w:val="center"/>
          </w:tcPr>
          <w:p w14:paraId="5F4EE9C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Q</w:t>
            </w:r>
          </w:p>
        </w:tc>
        <w:tc>
          <w:tcPr>
            <w:tcW w:w="2319" w:type="dxa"/>
            <w:vAlign w:val="center"/>
          </w:tcPr>
          <w:p w14:paraId="716BFE70" w14:textId="77777777" w:rsidR="00BE1880" w:rsidRPr="000365ED" w:rsidRDefault="00BE1880" w:rsidP="00BE1880">
            <w:pPr>
              <w:pStyle w:val="TableContents"/>
              <w:rPr>
                <w:rFonts w:ascii="Times New Roman" w:hAnsi="Times New Roman" w:cs="Times New Roman"/>
                <w:sz w:val="20"/>
                <w:szCs w:val="20"/>
              </w:rPr>
            </w:pPr>
            <w:proofErr w:type="spellStart"/>
            <w:r w:rsidRPr="000365ED">
              <w:rPr>
                <w:rFonts w:ascii="Times New Roman" w:hAnsi="Times New Roman" w:cs="Times New Roman"/>
                <w:sz w:val="20"/>
                <w:szCs w:val="20"/>
              </w:rPr>
              <w:t>d.f</w:t>
            </w:r>
            <w:proofErr w:type="spellEnd"/>
          </w:p>
        </w:tc>
        <w:tc>
          <w:tcPr>
            <w:tcW w:w="2321" w:type="dxa"/>
            <w:vAlign w:val="center"/>
          </w:tcPr>
          <w:p w14:paraId="570D0BE4"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p-value</w:t>
            </w:r>
          </w:p>
        </w:tc>
        <w:tc>
          <w:tcPr>
            <w:tcW w:w="2318" w:type="dxa"/>
            <w:vAlign w:val="center"/>
          </w:tcPr>
          <w:p w14:paraId="2A8E17C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Test</w:t>
            </w:r>
          </w:p>
        </w:tc>
      </w:tr>
      <w:tr w:rsidR="00BE1880" w:rsidRPr="000365ED" w14:paraId="3C3C7D57" w14:textId="77777777" w:rsidTr="00BE1880">
        <w:tc>
          <w:tcPr>
            <w:tcW w:w="1771" w:type="dxa"/>
            <w:vAlign w:val="center"/>
          </w:tcPr>
          <w:p w14:paraId="1D5687D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695.93</w:t>
            </w:r>
          </w:p>
        </w:tc>
        <w:tc>
          <w:tcPr>
            <w:tcW w:w="2319" w:type="dxa"/>
            <w:vAlign w:val="center"/>
          </w:tcPr>
          <w:p w14:paraId="1BA5DC4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w:t>
            </w:r>
          </w:p>
        </w:tc>
        <w:tc>
          <w:tcPr>
            <w:tcW w:w="2321" w:type="dxa"/>
            <w:vAlign w:val="center"/>
          </w:tcPr>
          <w:p w14:paraId="45009132" w14:textId="77777777" w:rsidR="00BE1880" w:rsidRPr="000365ED" w:rsidRDefault="00BE1880" w:rsidP="00BE1880">
            <w:pPr>
              <w:pStyle w:val="BodyText"/>
              <w:widowControl w:val="0"/>
              <w:rPr>
                <w:rFonts w:ascii="Times New Roman" w:hAnsi="Times New Roman" w:cs="Times New Roman"/>
                <w:sz w:val="20"/>
                <w:szCs w:val="20"/>
              </w:rPr>
            </w:pPr>
            <w:r w:rsidRPr="000365ED">
              <w:rPr>
                <w:rFonts w:ascii="Times New Roman" w:hAnsi="Times New Roman" w:cs="Times New Roman"/>
                <w:sz w:val="20"/>
                <w:szCs w:val="20"/>
              </w:rPr>
              <w:t xml:space="preserve"> &lt; 0.0001</w:t>
            </w:r>
          </w:p>
        </w:tc>
        <w:tc>
          <w:tcPr>
            <w:tcW w:w="2318" w:type="dxa"/>
            <w:vAlign w:val="center"/>
          </w:tcPr>
          <w:p w14:paraId="41CEF93D" w14:textId="77777777" w:rsidR="00BE1880" w:rsidRPr="000365ED" w:rsidRDefault="00BE1880" w:rsidP="00BE1880">
            <w:pPr>
              <w:pStyle w:val="BodyText"/>
              <w:widowControl w:val="0"/>
              <w:rPr>
                <w:rFonts w:ascii="Times New Roman" w:hAnsi="Times New Roman" w:cs="Times New Roman"/>
                <w:sz w:val="20"/>
                <w:szCs w:val="20"/>
              </w:rPr>
            </w:pPr>
            <w:r w:rsidRPr="000365ED">
              <w:rPr>
                <w:rFonts w:ascii="Times New Roman" w:hAnsi="Times New Roman" w:cs="Times New Roman"/>
                <w:sz w:val="20"/>
                <w:szCs w:val="20"/>
              </w:rPr>
              <w:t>Wald-type</w:t>
            </w:r>
          </w:p>
        </w:tc>
      </w:tr>
      <w:tr w:rsidR="00BE1880" w:rsidRPr="000365ED" w14:paraId="252CF273" w14:textId="77777777" w:rsidTr="00BE1880">
        <w:tc>
          <w:tcPr>
            <w:tcW w:w="1771" w:type="dxa"/>
            <w:vAlign w:val="center"/>
          </w:tcPr>
          <w:p w14:paraId="77A146D2"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891.18</w:t>
            </w:r>
          </w:p>
        </w:tc>
        <w:tc>
          <w:tcPr>
            <w:tcW w:w="2319" w:type="dxa"/>
            <w:vAlign w:val="center"/>
          </w:tcPr>
          <w:p w14:paraId="0126ECC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w:t>
            </w:r>
          </w:p>
        </w:tc>
        <w:tc>
          <w:tcPr>
            <w:tcW w:w="2321" w:type="dxa"/>
            <w:vAlign w:val="center"/>
          </w:tcPr>
          <w:p w14:paraId="4D56B6A8" w14:textId="77777777" w:rsidR="00BE1880" w:rsidRPr="000365ED" w:rsidRDefault="00BE1880" w:rsidP="00BE1880">
            <w:pPr>
              <w:pStyle w:val="BodyText"/>
              <w:widowControl w:val="0"/>
              <w:rPr>
                <w:rFonts w:ascii="Times New Roman" w:hAnsi="Times New Roman" w:cs="Times New Roman"/>
                <w:sz w:val="20"/>
                <w:szCs w:val="20"/>
              </w:rPr>
            </w:pPr>
            <w:r w:rsidRPr="000365ED">
              <w:rPr>
                <w:rFonts w:ascii="Times New Roman" w:hAnsi="Times New Roman" w:cs="Times New Roman"/>
                <w:sz w:val="20"/>
                <w:szCs w:val="20"/>
              </w:rPr>
              <w:t xml:space="preserve"> &lt; 0.0001</w:t>
            </w:r>
          </w:p>
        </w:tc>
        <w:tc>
          <w:tcPr>
            <w:tcW w:w="2318" w:type="dxa"/>
            <w:vAlign w:val="center"/>
          </w:tcPr>
          <w:p w14:paraId="12AA2A7F" w14:textId="77777777" w:rsidR="00BE1880" w:rsidRPr="000365ED" w:rsidRDefault="00BE1880" w:rsidP="00BE1880">
            <w:pPr>
              <w:pStyle w:val="BodyText"/>
              <w:widowControl w:val="0"/>
              <w:rPr>
                <w:rFonts w:ascii="Times New Roman" w:hAnsi="Times New Roman" w:cs="Times New Roman"/>
                <w:sz w:val="20"/>
                <w:szCs w:val="20"/>
              </w:rPr>
            </w:pPr>
            <w:r w:rsidRPr="000365ED">
              <w:rPr>
                <w:rFonts w:ascii="Times New Roman" w:hAnsi="Times New Roman" w:cs="Times New Roman"/>
                <w:sz w:val="20"/>
                <w:szCs w:val="20"/>
              </w:rPr>
              <w:t>Likelihood-Ratio</w:t>
            </w:r>
          </w:p>
        </w:tc>
      </w:tr>
      <w:tr w:rsidR="00BE1880" w:rsidRPr="000365ED" w14:paraId="578BF46F" w14:textId="77777777" w:rsidTr="00BE1880">
        <w:tc>
          <w:tcPr>
            <w:tcW w:w="8729" w:type="dxa"/>
            <w:gridSpan w:val="4"/>
            <w:vAlign w:val="center"/>
          </w:tcPr>
          <w:p w14:paraId="485DF4FA"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Country of study summary statistics</w:t>
            </w:r>
          </w:p>
        </w:tc>
      </w:tr>
      <w:tr w:rsidR="00BE1880" w:rsidRPr="000365ED" w14:paraId="0C47A8B1" w14:textId="77777777" w:rsidTr="00BE1880">
        <w:tc>
          <w:tcPr>
            <w:tcW w:w="1771" w:type="dxa"/>
            <w:vAlign w:val="center"/>
          </w:tcPr>
          <w:p w14:paraId="2F2D297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Number of studies combined</w:t>
            </w:r>
          </w:p>
        </w:tc>
        <w:tc>
          <w:tcPr>
            <w:tcW w:w="2319" w:type="dxa"/>
            <w:vAlign w:val="center"/>
          </w:tcPr>
          <w:p w14:paraId="729C2CE4"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k = 4</w:t>
            </w:r>
          </w:p>
        </w:tc>
        <w:tc>
          <w:tcPr>
            <w:tcW w:w="2321" w:type="dxa"/>
            <w:vAlign w:val="center"/>
          </w:tcPr>
          <w:p w14:paraId="6C731A4A" w14:textId="77777777" w:rsidR="00BE1880" w:rsidRPr="000365ED" w:rsidRDefault="00BE1880" w:rsidP="00BE1880">
            <w:pPr>
              <w:pStyle w:val="TableContents"/>
              <w:rPr>
                <w:rFonts w:ascii="Times New Roman" w:hAnsi="Times New Roman" w:cs="Times New Roman"/>
                <w:sz w:val="20"/>
                <w:szCs w:val="20"/>
              </w:rPr>
            </w:pPr>
          </w:p>
        </w:tc>
        <w:tc>
          <w:tcPr>
            <w:tcW w:w="2318" w:type="dxa"/>
            <w:vAlign w:val="center"/>
          </w:tcPr>
          <w:p w14:paraId="16C485A4"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7F800731" w14:textId="77777777" w:rsidTr="00BE1880">
        <w:tc>
          <w:tcPr>
            <w:tcW w:w="1771" w:type="dxa"/>
            <w:vAlign w:val="center"/>
          </w:tcPr>
          <w:p w14:paraId="341F460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 xml:space="preserve">Number of observations: </w:t>
            </w:r>
          </w:p>
        </w:tc>
        <w:tc>
          <w:tcPr>
            <w:tcW w:w="2319" w:type="dxa"/>
            <w:vAlign w:val="center"/>
          </w:tcPr>
          <w:p w14:paraId="2ECF1998"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o = 4624</w:t>
            </w:r>
          </w:p>
        </w:tc>
        <w:tc>
          <w:tcPr>
            <w:tcW w:w="2321" w:type="dxa"/>
            <w:vAlign w:val="center"/>
          </w:tcPr>
          <w:p w14:paraId="5A15B0E3" w14:textId="77777777" w:rsidR="00BE1880" w:rsidRPr="000365ED" w:rsidRDefault="00BE1880" w:rsidP="00BE1880">
            <w:pPr>
              <w:pStyle w:val="TableContents"/>
              <w:rPr>
                <w:rFonts w:ascii="Times New Roman" w:hAnsi="Times New Roman" w:cs="Times New Roman"/>
                <w:sz w:val="20"/>
                <w:szCs w:val="20"/>
              </w:rPr>
            </w:pPr>
          </w:p>
        </w:tc>
        <w:tc>
          <w:tcPr>
            <w:tcW w:w="2318" w:type="dxa"/>
            <w:vAlign w:val="center"/>
          </w:tcPr>
          <w:p w14:paraId="0D2FD80C"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15BFDC0A" w14:textId="77777777" w:rsidTr="00BE1880">
        <w:tc>
          <w:tcPr>
            <w:tcW w:w="1771" w:type="dxa"/>
            <w:vAlign w:val="center"/>
          </w:tcPr>
          <w:p w14:paraId="6DA0E3E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 xml:space="preserve">Number of events: </w:t>
            </w:r>
          </w:p>
        </w:tc>
        <w:tc>
          <w:tcPr>
            <w:tcW w:w="2319" w:type="dxa"/>
            <w:vAlign w:val="center"/>
          </w:tcPr>
          <w:p w14:paraId="5053ED8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e = 2729</w:t>
            </w:r>
          </w:p>
        </w:tc>
        <w:tc>
          <w:tcPr>
            <w:tcW w:w="2321" w:type="dxa"/>
            <w:vAlign w:val="center"/>
          </w:tcPr>
          <w:p w14:paraId="3ECD5C4B" w14:textId="77777777" w:rsidR="00BE1880" w:rsidRPr="000365ED" w:rsidRDefault="00BE1880" w:rsidP="00BE1880">
            <w:pPr>
              <w:pStyle w:val="TableContents"/>
              <w:rPr>
                <w:rFonts w:ascii="Times New Roman" w:hAnsi="Times New Roman" w:cs="Times New Roman"/>
                <w:sz w:val="20"/>
                <w:szCs w:val="20"/>
              </w:rPr>
            </w:pPr>
          </w:p>
        </w:tc>
        <w:tc>
          <w:tcPr>
            <w:tcW w:w="2318" w:type="dxa"/>
            <w:vAlign w:val="center"/>
          </w:tcPr>
          <w:p w14:paraId="675A7ED0"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774156A1" w14:textId="77777777" w:rsidTr="00BE1880">
        <w:tc>
          <w:tcPr>
            <w:tcW w:w="1771" w:type="dxa"/>
            <w:vAlign w:val="center"/>
          </w:tcPr>
          <w:p w14:paraId="7C692360" w14:textId="77777777" w:rsidR="00BE1880" w:rsidRPr="000365ED" w:rsidRDefault="00BE1880" w:rsidP="00BE1880">
            <w:pPr>
              <w:pStyle w:val="TableContents"/>
              <w:rPr>
                <w:rFonts w:ascii="Times New Roman" w:hAnsi="Times New Roman" w:cs="Times New Roman"/>
                <w:sz w:val="20"/>
                <w:szCs w:val="20"/>
              </w:rPr>
            </w:pPr>
          </w:p>
        </w:tc>
        <w:tc>
          <w:tcPr>
            <w:tcW w:w="2319" w:type="dxa"/>
            <w:vAlign w:val="center"/>
          </w:tcPr>
          <w:p w14:paraId="687F1F78" w14:textId="77777777" w:rsidR="00BE1880" w:rsidRPr="000365ED" w:rsidRDefault="00BE1880" w:rsidP="00BE1880">
            <w:pPr>
              <w:pStyle w:val="TableContents"/>
              <w:rPr>
                <w:rFonts w:ascii="Times New Roman" w:hAnsi="Times New Roman" w:cs="Times New Roman"/>
                <w:sz w:val="20"/>
                <w:szCs w:val="20"/>
              </w:rPr>
            </w:pPr>
          </w:p>
        </w:tc>
        <w:tc>
          <w:tcPr>
            <w:tcW w:w="2321" w:type="dxa"/>
            <w:vAlign w:val="center"/>
          </w:tcPr>
          <w:p w14:paraId="6FE739B3" w14:textId="77777777" w:rsidR="00BE1880" w:rsidRPr="000365ED" w:rsidRDefault="00BE1880" w:rsidP="00BE1880">
            <w:pPr>
              <w:pStyle w:val="TableContents"/>
              <w:rPr>
                <w:rFonts w:ascii="Times New Roman" w:hAnsi="Times New Roman" w:cs="Times New Roman"/>
                <w:sz w:val="20"/>
                <w:szCs w:val="20"/>
              </w:rPr>
            </w:pPr>
          </w:p>
        </w:tc>
        <w:tc>
          <w:tcPr>
            <w:tcW w:w="2318" w:type="dxa"/>
            <w:vAlign w:val="center"/>
          </w:tcPr>
          <w:p w14:paraId="149D7294"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1D8A3F55" w14:textId="77777777" w:rsidTr="00BE1880">
        <w:tc>
          <w:tcPr>
            <w:tcW w:w="1771" w:type="dxa"/>
            <w:vAlign w:val="center"/>
          </w:tcPr>
          <w:p w14:paraId="20A5478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Q</w:t>
            </w:r>
          </w:p>
        </w:tc>
        <w:tc>
          <w:tcPr>
            <w:tcW w:w="2319" w:type="dxa"/>
            <w:vAlign w:val="center"/>
          </w:tcPr>
          <w:p w14:paraId="7FB64615" w14:textId="77777777" w:rsidR="00BE1880" w:rsidRPr="000365ED" w:rsidRDefault="00BE1880" w:rsidP="00BE1880">
            <w:pPr>
              <w:pStyle w:val="TableContents"/>
              <w:rPr>
                <w:rFonts w:ascii="Times New Roman" w:hAnsi="Times New Roman" w:cs="Times New Roman"/>
                <w:sz w:val="20"/>
                <w:szCs w:val="20"/>
              </w:rPr>
            </w:pPr>
            <w:proofErr w:type="spellStart"/>
            <w:r w:rsidRPr="000365ED">
              <w:rPr>
                <w:rFonts w:ascii="Times New Roman" w:hAnsi="Times New Roman" w:cs="Times New Roman"/>
                <w:sz w:val="20"/>
                <w:szCs w:val="20"/>
              </w:rPr>
              <w:t>d.f</w:t>
            </w:r>
            <w:proofErr w:type="spellEnd"/>
          </w:p>
        </w:tc>
        <w:tc>
          <w:tcPr>
            <w:tcW w:w="2321" w:type="dxa"/>
            <w:vAlign w:val="center"/>
          </w:tcPr>
          <w:p w14:paraId="0EAB826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p-value</w:t>
            </w:r>
          </w:p>
        </w:tc>
        <w:tc>
          <w:tcPr>
            <w:tcW w:w="2318" w:type="dxa"/>
            <w:vAlign w:val="center"/>
          </w:tcPr>
          <w:p w14:paraId="64B5625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Test</w:t>
            </w:r>
          </w:p>
        </w:tc>
      </w:tr>
      <w:tr w:rsidR="00BE1880" w:rsidRPr="000365ED" w14:paraId="2D0A05FA" w14:textId="77777777" w:rsidTr="00BE1880">
        <w:tc>
          <w:tcPr>
            <w:tcW w:w="1771" w:type="dxa"/>
            <w:vAlign w:val="center"/>
          </w:tcPr>
          <w:p w14:paraId="5BAC5B4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584.66</w:t>
            </w:r>
          </w:p>
        </w:tc>
        <w:tc>
          <w:tcPr>
            <w:tcW w:w="2319" w:type="dxa"/>
            <w:vAlign w:val="center"/>
          </w:tcPr>
          <w:p w14:paraId="7E374E0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w:t>
            </w:r>
          </w:p>
        </w:tc>
        <w:tc>
          <w:tcPr>
            <w:tcW w:w="2321" w:type="dxa"/>
            <w:vAlign w:val="center"/>
          </w:tcPr>
          <w:p w14:paraId="2AB906BC" w14:textId="77777777" w:rsidR="00BE1880" w:rsidRPr="000365ED" w:rsidRDefault="00BE1880" w:rsidP="00BE1880">
            <w:pPr>
              <w:pStyle w:val="BodyText"/>
              <w:widowControl w:val="0"/>
              <w:rPr>
                <w:rFonts w:ascii="Times New Roman" w:hAnsi="Times New Roman" w:cs="Times New Roman"/>
                <w:sz w:val="20"/>
                <w:szCs w:val="20"/>
              </w:rPr>
            </w:pPr>
            <w:r w:rsidRPr="000365ED">
              <w:rPr>
                <w:rFonts w:ascii="Times New Roman" w:hAnsi="Times New Roman" w:cs="Times New Roman"/>
                <w:sz w:val="20"/>
                <w:szCs w:val="20"/>
              </w:rPr>
              <w:t xml:space="preserve"> &lt; 0.0001</w:t>
            </w:r>
          </w:p>
        </w:tc>
        <w:tc>
          <w:tcPr>
            <w:tcW w:w="2318" w:type="dxa"/>
            <w:vAlign w:val="center"/>
          </w:tcPr>
          <w:p w14:paraId="174429F3" w14:textId="77777777" w:rsidR="00BE1880" w:rsidRPr="000365ED" w:rsidRDefault="00BE1880" w:rsidP="00BE1880">
            <w:pPr>
              <w:pStyle w:val="BodyText"/>
              <w:widowControl w:val="0"/>
              <w:rPr>
                <w:rFonts w:ascii="Times New Roman" w:hAnsi="Times New Roman" w:cs="Times New Roman"/>
                <w:sz w:val="20"/>
                <w:szCs w:val="20"/>
              </w:rPr>
            </w:pPr>
            <w:r w:rsidRPr="000365ED">
              <w:rPr>
                <w:rFonts w:ascii="Times New Roman" w:hAnsi="Times New Roman" w:cs="Times New Roman"/>
                <w:sz w:val="20"/>
                <w:szCs w:val="20"/>
              </w:rPr>
              <w:t>Wald-type</w:t>
            </w:r>
          </w:p>
        </w:tc>
      </w:tr>
      <w:tr w:rsidR="00BE1880" w:rsidRPr="000365ED" w14:paraId="73045A86" w14:textId="77777777" w:rsidTr="00BE1880">
        <w:tc>
          <w:tcPr>
            <w:tcW w:w="1771" w:type="dxa"/>
            <w:vAlign w:val="center"/>
          </w:tcPr>
          <w:p w14:paraId="7494123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639.87</w:t>
            </w:r>
          </w:p>
        </w:tc>
        <w:tc>
          <w:tcPr>
            <w:tcW w:w="2319" w:type="dxa"/>
            <w:vAlign w:val="center"/>
          </w:tcPr>
          <w:p w14:paraId="6F8BFCB4"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w:t>
            </w:r>
          </w:p>
        </w:tc>
        <w:tc>
          <w:tcPr>
            <w:tcW w:w="2321" w:type="dxa"/>
            <w:vAlign w:val="center"/>
          </w:tcPr>
          <w:p w14:paraId="686A8A16" w14:textId="77777777" w:rsidR="00BE1880" w:rsidRPr="000365ED" w:rsidRDefault="00BE1880" w:rsidP="00BE1880">
            <w:pPr>
              <w:pStyle w:val="BodyText"/>
              <w:widowControl w:val="0"/>
              <w:rPr>
                <w:rFonts w:ascii="Times New Roman" w:hAnsi="Times New Roman" w:cs="Times New Roman"/>
                <w:sz w:val="20"/>
                <w:szCs w:val="20"/>
              </w:rPr>
            </w:pPr>
            <w:r w:rsidRPr="000365ED">
              <w:rPr>
                <w:rFonts w:ascii="Times New Roman" w:hAnsi="Times New Roman" w:cs="Times New Roman"/>
                <w:sz w:val="20"/>
                <w:szCs w:val="20"/>
              </w:rPr>
              <w:t xml:space="preserve"> &lt; 0.0001</w:t>
            </w:r>
          </w:p>
        </w:tc>
        <w:tc>
          <w:tcPr>
            <w:tcW w:w="2318" w:type="dxa"/>
            <w:vAlign w:val="center"/>
          </w:tcPr>
          <w:p w14:paraId="5A406234" w14:textId="77777777" w:rsidR="00BE1880" w:rsidRPr="000365ED" w:rsidRDefault="00BE1880" w:rsidP="00BE1880">
            <w:pPr>
              <w:pStyle w:val="BodyText"/>
              <w:widowControl w:val="0"/>
              <w:rPr>
                <w:rFonts w:ascii="Times New Roman" w:hAnsi="Times New Roman" w:cs="Times New Roman"/>
                <w:sz w:val="20"/>
                <w:szCs w:val="20"/>
              </w:rPr>
            </w:pPr>
            <w:r w:rsidRPr="000365ED">
              <w:rPr>
                <w:rFonts w:ascii="Times New Roman" w:hAnsi="Times New Roman" w:cs="Times New Roman"/>
                <w:sz w:val="20"/>
                <w:szCs w:val="20"/>
              </w:rPr>
              <w:t>Likelihood-Ratio</w:t>
            </w:r>
          </w:p>
        </w:tc>
      </w:tr>
      <w:tr w:rsidR="00BE1880" w:rsidRPr="000365ED" w14:paraId="0B0A5236" w14:textId="77777777" w:rsidTr="00BE1880">
        <w:tc>
          <w:tcPr>
            <w:tcW w:w="8729" w:type="dxa"/>
            <w:gridSpan w:val="4"/>
            <w:vAlign w:val="center"/>
          </w:tcPr>
          <w:p w14:paraId="0911CDA1"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Guidelines used in Ghana summary statistics</w:t>
            </w:r>
          </w:p>
        </w:tc>
      </w:tr>
      <w:tr w:rsidR="00BE1880" w:rsidRPr="000365ED" w14:paraId="7942FC1D" w14:textId="77777777" w:rsidTr="00BE1880">
        <w:tc>
          <w:tcPr>
            <w:tcW w:w="1771" w:type="dxa"/>
            <w:vAlign w:val="center"/>
          </w:tcPr>
          <w:p w14:paraId="2600A85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Number of studies combined</w:t>
            </w:r>
          </w:p>
        </w:tc>
        <w:tc>
          <w:tcPr>
            <w:tcW w:w="2319" w:type="dxa"/>
            <w:vAlign w:val="center"/>
          </w:tcPr>
          <w:p w14:paraId="02474A28"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k = 2</w:t>
            </w:r>
          </w:p>
        </w:tc>
        <w:tc>
          <w:tcPr>
            <w:tcW w:w="2321" w:type="dxa"/>
            <w:vAlign w:val="center"/>
          </w:tcPr>
          <w:p w14:paraId="03F4A29F" w14:textId="77777777" w:rsidR="00BE1880" w:rsidRPr="000365ED" w:rsidRDefault="00BE1880" w:rsidP="00BE1880">
            <w:pPr>
              <w:pStyle w:val="TableContents"/>
              <w:rPr>
                <w:rFonts w:ascii="Times New Roman" w:hAnsi="Times New Roman" w:cs="Times New Roman"/>
                <w:sz w:val="20"/>
                <w:szCs w:val="20"/>
              </w:rPr>
            </w:pPr>
          </w:p>
        </w:tc>
        <w:tc>
          <w:tcPr>
            <w:tcW w:w="2318" w:type="dxa"/>
            <w:vAlign w:val="center"/>
          </w:tcPr>
          <w:p w14:paraId="5B0F692E"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344F6B22" w14:textId="77777777" w:rsidTr="00BE1880">
        <w:tc>
          <w:tcPr>
            <w:tcW w:w="1771" w:type="dxa"/>
            <w:vAlign w:val="center"/>
          </w:tcPr>
          <w:p w14:paraId="19CEE377"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 xml:space="preserve">Number of observations: </w:t>
            </w:r>
          </w:p>
        </w:tc>
        <w:tc>
          <w:tcPr>
            <w:tcW w:w="2319" w:type="dxa"/>
            <w:vAlign w:val="center"/>
          </w:tcPr>
          <w:p w14:paraId="30F91AAE"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o = 3277</w:t>
            </w:r>
          </w:p>
        </w:tc>
        <w:tc>
          <w:tcPr>
            <w:tcW w:w="2321" w:type="dxa"/>
            <w:vAlign w:val="center"/>
          </w:tcPr>
          <w:p w14:paraId="5F8165DE" w14:textId="77777777" w:rsidR="00BE1880" w:rsidRPr="000365ED" w:rsidRDefault="00BE1880" w:rsidP="00BE1880">
            <w:pPr>
              <w:pStyle w:val="TableContents"/>
              <w:rPr>
                <w:rFonts w:ascii="Times New Roman" w:hAnsi="Times New Roman" w:cs="Times New Roman"/>
                <w:sz w:val="20"/>
                <w:szCs w:val="20"/>
              </w:rPr>
            </w:pPr>
          </w:p>
        </w:tc>
        <w:tc>
          <w:tcPr>
            <w:tcW w:w="2318" w:type="dxa"/>
            <w:vAlign w:val="center"/>
          </w:tcPr>
          <w:p w14:paraId="022DDBA1"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5A78A2CC" w14:textId="77777777" w:rsidTr="00BE1880">
        <w:tc>
          <w:tcPr>
            <w:tcW w:w="1771" w:type="dxa"/>
            <w:vAlign w:val="center"/>
          </w:tcPr>
          <w:p w14:paraId="65CDC14E"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 xml:space="preserve">Number of events: </w:t>
            </w:r>
          </w:p>
        </w:tc>
        <w:tc>
          <w:tcPr>
            <w:tcW w:w="2319" w:type="dxa"/>
            <w:vAlign w:val="center"/>
          </w:tcPr>
          <w:p w14:paraId="217DC8E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e = 2318</w:t>
            </w:r>
          </w:p>
        </w:tc>
        <w:tc>
          <w:tcPr>
            <w:tcW w:w="2321" w:type="dxa"/>
            <w:vAlign w:val="center"/>
          </w:tcPr>
          <w:p w14:paraId="7190C0D2" w14:textId="77777777" w:rsidR="00BE1880" w:rsidRPr="000365ED" w:rsidRDefault="00BE1880" w:rsidP="00BE1880">
            <w:pPr>
              <w:pStyle w:val="TableContents"/>
              <w:rPr>
                <w:rFonts w:ascii="Times New Roman" w:hAnsi="Times New Roman" w:cs="Times New Roman"/>
                <w:sz w:val="20"/>
                <w:szCs w:val="20"/>
              </w:rPr>
            </w:pPr>
          </w:p>
        </w:tc>
        <w:tc>
          <w:tcPr>
            <w:tcW w:w="2318" w:type="dxa"/>
            <w:vAlign w:val="center"/>
          </w:tcPr>
          <w:p w14:paraId="59422B01"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307613A8" w14:textId="77777777" w:rsidTr="00BE1880">
        <w:tc>
          <w:tcPr>
            <w:tcW w:w="1771" w:type="dxa"/>
            <w:vAlign w:val="center"/>
          </w:tcPr>
          <w:p w14:paraId="610A595A" w14:textId="77777777" w:rsidR="00BE1880" w:rsidRPr="000365ED" w:rsidRDefault="00BE1880" w:rsidP="00BE1880">
            <w:pPr>
              <w:pStyle w:val="TableContents"/>
              <w:rPr>
                <w:rFonts w:ascii="Times New Roman" w:hAnsi="Times New Roman" w:cs="Times New Roman"/>
                <w:sz w:val="20"/>
                <w:szCs w:val="20"/>
              </w:rPr>
            </w:pPr>
          </w:p>
        </w:tc>
        <w:tc>
          <w:tcPr>
            <w:tcW w:w="2319" w:type="dxa"/>
            <w:vAlign w:val="center"/>
          </w:tcPr>
          <w:p w14:paraId="6512CB74" w14:textId="77777777" w:rsidR="00BE1880" w:rsidRPr="000365ED" w:rsidRDefault="00BE1880" w:rsidP="00BE1880">
            <w:pPr>
              <w:pStyle w:val="TableContents"/>
              <w:rPr>
                <w:rFonts w:ascii="Times New Roman" w:hAnsi="Times New Roman" w:cs="Times New Roman"/>
                <w:sz w:val="20"/>
                <w:szCs w:val="20"/>
              </w:rPr>
            </w:pPr>
          </w:p>
        </w:tc>
        <w:tc>
          <w:tcPr>
            <w:tcW w:w="2321" w:type="dxa"/>
            <w:vAlign w:val="center"/>
          </w:tcPr>
          <w:p w14:paraId="1D14015A" w14:textId="77777777" w:rsidR="00BE1880" w:rsidRPr="000365ED" w:rsidRDefault="00BE1880" w:rsidP="00BE1880">
            <w:pPr>
              <w:pStyle w:val="TableContents"/>
              <w:rPr>
                <w:rFonts w:ascii="Times New Roman" w:hAnsi="Times New Roman" w:cs="Times New Roman"/>
                <w:sz w:val="20"/>
                <w:szCs w:val="20"/>
              </w:rPr>
            </w:pPr>
          </w:p>
        </w:tc>
        <w:tc>
          <w:tcPr>
            <w:tcW w:w="2318" w:type="dxa"/>
            <w:vAlign w:val="center"/>
          </w:tcPr>
          <w:p w14:paraId="238495DD"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03BE8356" w14:textId="77777777" w:rsidTr="00BE1880">
        <w:tc>
          <w:tcPr>
            <w:tcW w:w="1771" w:type="dxa"/>
            <w:vAlign w:val="center"/>
          </w:tcPr>
          <w:p w14:paraId="3CDCDBBD"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Q</w:t>
            </w:r>
          </w:p>
        </w:tc>
        <w:tc>
          <w:tcPr>
            <w:tcW w:w="2319" w:type="dxa"/>
            <w:vAlign w:val="center"/>
          </w:tcPr>
          <w:p w14:paraId="7FE6B4FA" w14:textId="77777777" w:rsidR="00BE1880" w:rsidRPr="000365ED" w:rsidRDefault="00BE1880" w:rsidP="00BE1880">
            <w:pPr>
              <w:pStyle w:val="TableContents"/>
              <w:rPr>
                <w:rFonts w:ascii="Times New Roman" w:hAnsi="Times New Roman" w:cs="Times New Roman"/>
                <w:sz w:val="20"/>
                <w:szCs w:val="20"/>
              </w:rPr>
            </w:pPr>
            <w:proofErr w:type="spellStart"/>
            <w:r w:rsidRPr="000365ED">
              <w:rPr>
                <w:rFonts w:ascii="Times New Roman" w:hAnsi="Times New Roman" w:cs="Times New Roman"/>
                <w:sz w:val="20"/>
                <w:szCs w:val="20"/>
              </w:rPr>
              <w:t>d.f</w:t>
            </w:r>
            <w:proofErr w:type="spellEnd"/>
          </w:p>
        </w:tc>
        <w:tc>
          <w:tcPr>
            <w:tcW w:w="2321" w:type="dxa"/>
            <w:vAlign w:val="center"/>
          </w:tcPr>
          <w:p w14:paraId="50B9DA6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p-value</w:t>
            </w:r>
          </w:p>
        </w:tc>
        <w:tc>
          <w:tcPr>
            <w:tcW w:w="2318" w:type="dxa"/>
            <w:vAlign w:val="center"/>
          </w:tcPr>
          <w:p w14:paraId="04FD47F7"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Test</w:t>
            </w:r>
          </w:p>
        </w:tc>
      </w:tr>
      <w:tr w:rsidR="00BE1880" w:rsidRPr="000365ED" w14:paraId="6F5D57AA" w14:textId="77777777" w:rsidTr="00BE1880">
        <w:tc>
          <w:tcPr>
            <w:tcW w:w="1771" w:type="dxa"/>
            <w:vAlign w:val="center"/>
          </w:tcPr>
          <w:p w14:paraId="3EC11AF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lastRenderedPageBreak/>
              <w:t>124.21</w:t>
            </w:r>
          </w:p>
        </w:tc>
        <w:tc>
          <w:tcPr>
            <w:tcW w:w="2319" w:type="dxa"/>
            <w:vAlign w:val="center"/>
          </w:tcPr>
          <w:p w14:paraId="11351DD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w:t>
            </w:r>
          </w:p>
        </w:tc>
        <w:tc>
          <w:tcPr>
            <w:tcW w:w="2321" w:type="dxa"/>
            <w:vAlign w:val="center"/>
          </w:tcPr>
          <w:p w14:paraId="3DC6E1AD" w14:textId="77777777" w:rsidR="00BE1880" w:rsidRPr="000365ED" w:rsidRDefault="00BE1880" w:rsidP="00BE1880">
            <w:pPr>
              <w:pStyle w:val="BodyText"/>
              <w:widowControl w:val="0"/>
              <w:rPr>
                <w:rFonts w:ascii="Times New Roman" w:hAnsi="Times New Roman" w:cs="Times New Roman"/>
                <w:sz w:val="20"/>
                <w:szCs w:val="20"/>
              </w:rPr>
            </w:pPr>
            <w:r w:rsidRPr="000365ED">
              <w:rPr>
                <w:rFonts w:ascii="Times New Roman" w:hAnsi="Times New Roman" w:cs="Times New Roman"/>
                <w:sz w:val="20"/>
                <w:szCs w:val="20"/>
              </w:rPr>
              <w:t xml:space="preserve"> &lt; 0.0001</w:t>
            </w:r>
          </w:p>
        </w:tc>
        <w:tc>
          <w:tcPr>
            <w:tcW w:w="2318" w:type="dxa"/>
            <w:vAlign w:val="center"/>
          </w:tcPr>
          <w:p w14:paraId="11CC8D81" w14:textId="77777777" w:rsidR="00BE1880" w:rsidRPr="000365ED" w:rsidRDefault="00BE1880" w:rsidP="00BE1880">
            <w:pPr>
              <w:pStyle w:val="BodyText"/>
              <w:widowControl w:val="0"/>
              <w:rPr>
                <w:rFonts w:ascii="Times New Roman" w:hAnsi="Times New Roman" w:cs="Times New Roman"/>
                <w:sz w:val="20"/>
                <w:szCs w:val="20"/>
              </w:rPr>
            </w:pPr>
            <w:r w:rsidRPr="000365ED">
              <w:rPr>
                <w:rFonts w:ascii="Times New Roman" w:hAnsi="Times New Roman" w:cs="Times New Roman"/>
                <w:sz w:val="20"/>
                <w:szCs w:val="20"/>
              </w:rPr>
              <w:t>Wald-type</w:t>
            </w:r>
          </w:p>
        </w:tc>
      </w:tr>
      <w:tr w:rsidR="00BE1880" w:rsidRPr="000365ED" w14:paraId="2822826E" w14:textId="77777777" w:rsidTr="00BE1880">
        <w:tc>
          <w:tcPr>
            <w:tcW w:w="1771" w:type="dxa"/>
            <w:vAlign w:val="center"/>
          </w:tcPr>
          <w:p w14:paraId="6AF911B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140.32</w:t>
            </w:r>
          </w:p>
        </w:tc>
        <w:tc>
          <w:tcPr>
            <w:tcW w:w="2319" w:type="dxa"/>
            <w:vAlign w:val="center"/>
          </w:tcPr>
          <w:p w14:paraId="702A589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w:t>
            </w:r>
          </w:p>
        </w:tc>
        <w:tc>
          <w:tcPr>
            <w:tcW w:w="2321" w:type="dxa"/>
            <w:vAlign w:val="center"/>
          </w:tcPr>
          <w:p w14:paraId="2395D6CD" w14:textId="77777777" w:rsidR="00BE1880" w:rsidRPr="000365ED" w:rsidRDefault="00BE1880" w:rsidP="00BE1880">
            <w:pPr>
              <w:pStyle w:val="BodyText"/>
              <w:widowControl w:val="0"/>
              <w:rPr>
                <w:rFonts w:ascii="Times New Roman" w:hAnsi="Times New Roman" w:cs="Times New Roman"/>
                <w:sz w:val="20"/>
                <w:szCs w:val="20"/>
              </w:rPr>
            </w:pPr>
            <w:r w:rsidRPr="000365ED">
              <w:rPr>
                <w:rFonts w:ascii="Times New Roman" w:hAnsi="Times New Roman" w:cs="Times New Roman"/>
                <w:sz w:val="20"/>
                <w:szCs w:val="20"/>
              </w:rPr>
              <w:t xml:space="preserve"> &lt; 0.0001</w:t>
            </w:r>
          </w:p>
        </w:tc>
        <w:tc>
          <w:tcPr>
            <w:tcW w:w="2318" w:type="dxa"/>
            <w:vAlign w:val="center"/>
          </w:tcPr>
          <w:p w14:paraId="465E3BA2" w14:textId="77777777" w:rsidR="00BE1880" w:rsidRPr="000365ED" w:rsidRDefault="00BE1880" w:rsidP="00BE1880">
            <w:pPr>
              <w:pStyle w:val="BodyText"/>
              <w:widowControl w:val="0"/>
              <w:rPr>
                <w:rFonts w:ascii="Times New Roman" w:hAnsi="Times New Roman" w:cs="Times New Roman"/>
                <w:sz w:val="20"/>
                <w:szCs w:val="20"/>
              </w:rPr>
            </w:pPr>
            <w:r w:rsidRPr="000365ED">
              <w:rPr>
                <w:rFonts w:ascii="Times New Roman" w:hAnsi="Times New Roman" w:cs="Times New Roman"/>
                <w:sz w:val="20"/>
                <w:szCs w:val="20"/>
              </w:rPr>
              <w:t>Likelihood-Ratio</w:t>
            </w:r>
          </w:p>
        </w:tc>
      </w:tr>
    </w:tbl>
    <w:p w14:paraId="4EF281DD" w14:textId="77777777" w:rsidR="00BE1880" w:rsidRPr="000365ED" w:rsidRDefault="00BE1880" w:rsidP="00BE1880">
      <w:pPr>
        <w:rPr>
          <w:rFonts w:ascii="Times New Roman" w:hAnsi="Times New Roman" w:cs="Times New Roman"/>
          <w:sz w:val="20"/>
          <w:szCs w:val="20"/>
        </w:rPr>
      </w:pPr>
    </w:p>
    <w:p w14:paraId="486CD533" w14:textId="77777777" w:rsidR="00BE1880" w:rsidRPr="000365ED" w:rsidRDefault="00BE1880" w:rsidP="00BE1880">
      <w:pPr>
        <w:rPr>
          <w:rFonts w:ascii="Times New Roman" w:hAnsi="Times New Roman" w:cs="Times New Roman"/>
          <w:sz w:val="20"/>
          <w:szCs w:val="20"/>
        </w:rPr>
      </w:pPr>
    </w:p>
    <w:p w14:paraId="123BDE2C" w14:textId="77777777" w:rsidR="00BE1880" w:rsidRPr="000365ED" w:rsidRDefault="00BE1880" w:rsidP="00BE1880">
      <w:pPr>
        <w:rPr>
          <w:rFonts w:ascii="Times New Roman" w:hAnsi="Times New Roman" w:cs="Times New Roman"/>
          <w:sz w:val="20"/>
          <w:szCs w:val="20"/>
        </w:rPr>
      </w:pPr>
    </w:p>
    <w:p w14:paraId="1DC6ECE4" w14:textId="77777777" w:rsidR="00BE1880" w:rsidRPr="000365ED" w:rsidRDefault="00BE1880" w:rsidP="00BE1880">
      <w:pPr>
        <w:rPr>
          <w:rFonts w:ascii="Times New Roman" w:hAnsi="Times New Roman" w:cs="Times New Roman"/>
          <w:sz w:val="20"/>
          <w:szCs w:val="20"/>
        </w:rPr>
      </w:pPr>
    </w:p>
    <w:p w14:paraId="737AB56D" w14:textId="77777777" w:rsidR="00BE1880" w:rsidRPr="000365ED" w:rsidRDefault="00BE1880" w:rsidP="00BE1880">
      <w:pPr>
        <w:rPr>
          <w:rFonts w:ascii="Times New Roman" w:hAnsi="Times New Roman" w:cs="Times New Roman"/>
          <w:sz w:val="20"/>
          <w:szCs w:val="20"/>
        </w:rPr>
      </w:pPr>
    </w:p>
    <w:p w14:paraId="458F0531" w14:textId="77777777" w:rsidR="00BE1880" w:rsidRPr="000365ED" w:rsidRDefault="00BE1880" w:rsidP="00BE1880">
      <w:pPr>
        <w:rPr>
          <w:rFonts w:ascii="Times New Roman" w:hAnsi="Times New Roman" w:cs="Times New Roman"/>
          <w:sz w:val="20"/>
          <w:szCs w:val="20"/>
        </w:rPr>
      </w:pPr>
    </w:p>
    <w:p w14:paraId="1AC7068A" w14:textId="77777777" w:rsidR="00BE1880" w:rsidRPr="000365ED" w:rsidRDefault="00BE1880" w:rsidP="00BE1880">
      <w:pPr>
        <w:rPr>
          <w:rFonts w:ascii="Times New Roman" w:hAnsi="Times New Roman" w:cs="Times New Roman"/>
          <w:sz w:val="20"/>
          <w:szCs w:val="20"/>
        </w:rPr>
      </w:pPr>
    </w:p>
    <w:p w14:paraId="60529886" w14:textId="77777777" w:rsidR="00BE1880" w:rsidRPr="000365ED" w:rsidRDefault="00BE1880" w:rsidP="00BE1880">
      <w:pPr>
        <w:rPr>
          <w:rFonts w:ascii="Times New Roman" w:hAnsi="Times New Roman" w:cs="Times New Roman"/>
          <w:sz w:val="20"/>
          <w:szCs w:val="20"/>
        </w:rPr>
      </w:pPr>
    </w:p>
    <w:p w14:paraId="6F5F6F12" w14:textId="1A045DA8" w:rsidR="000365ED" w:rsidRPr="000365ED" w:rsidRDefault="00BE1880" w:rsidP="000365ED">
      <w:pPr>
        <w:rPr>
          <w:rFonts w:ascii="Times New Roman" w:hAnsi="Times New Roman" w:cs="Times New Roman"/>
          <w:b/>
          <w:bCs/>
          <w:lang w:val="en-GB"/>
        </w:rPr>
      </w:pPr>
      <w:r w:rsidRPr="000365ED">
        <w:rPr>
          <w:rFonts w:ascii="Times New Roman" w:hAnsi="Times New Roman" w:cs="Times New Roman"/>
          <w:b/>
          <w:bCs/>
        </w:rPr>
        <w:t xml:space="preserve">Antibiotic </w:t>
      </w:r>
      <w:r w:rsidR="000365ED" w:rsidRPr="000365ED">
        <w:rPr>
          <w:rFonts w:ascii="Times New Roman" w:hAnsi="Times New Roman" w:cs="Times New Roman"/>
          <w:b/>
          <w:bCs/>
        </w:rPr>
        <w:t>Consumption</w:t>
      </w:r>
      <w:r w:rsidR="000365ED" w:rsidRPr="000365ED">
        <w:rPr>
          <w:rFonts w:ascii="Times New Roman" w:hAnsi="Times New Roman" w:cs="Times New Roman"/>
          <w:lang w:val="en-GB"/>
        </w:rPr>
        <w:t xml:space="preserve"> </w:t>
      </w:r>
      <w:r w:rsidR="000365ED" w:rsidRPr="000365ED">
        <w:rPr>
          <w:rFonts w:ascii="Times New Roman" w:hAnsi="Times New Roman" w:cs="Times New Roman"/>
          <w:b/>
          <w:bCs/>
          <w:lang w:val="en-GB"/>
        </w:rPr>
        <w:t>Meta-Analysis Results</w:t>
      </w:r>
    </w:p>
    <w:p w14:paraId="5BB235F4" w14:textId="3B350092" w:rsidR="00BE1880" w:rsidRPr="000365ED" w:rsidRDefault="00BE1880" w:rsidP="00BE1880">
      <w:pPr>
        <w:rPr>
          <w:rFonts w:ascii="Times New Roman" w:hAnsi="Times New Roman" w:cs="Times New Roman"/>
          <w:sz w:val="20"/>
          <w:szCs w:val="20"/>
          <w:lang w:val="en-GB"/>
        </w:rPr>
      </w:pPr>
    </w:p>
    <w:p w14:paraId="5ECCB358" w14:textId="3347E5DB" w:rsidR="00BE1880" w:rsidRPr="000365ED" w:rsidRDefault="00BE1880" w:rsidP="00BE1880">
      <w:pPr>
        <w:rPr>
          <w:rFonts w:ascii="Times New Roman" w:hAnsi="Times New Roman" w:cs="Times New Roman"/>
          <w:sz w:val="20"/>
          <w:szCs w:val="20"/>
        </w:rPr>
      </w:pPr>
      <w:r w:rsidRPr="000365ED">
        <w:rPr>
          <w:rFonts w:ascii="Times New Roman" w:hAnsi="Times New Roman" w:cs="Times New Roman"/>
          <w:sz w:val="20"/>
          <w:szCs w:val="20"/>
        </w:rPr>
        <w:t xml:space="preserve">Table </w:t>
      </w:r>
      <w:r w:rsidR="008869C5" w:rsidRPr="000365ED">
        <w:rPr>
          <w:rFonts w:ascii="Times New Roman" w:hAnsi="Times New Roman" w:cs="Times New Roman"/>
          <w:sz w:val="20"/>
          <w:szCs w:val="20"/>
        </w:rPr>
        <w:t>5</w:t>
      </w:r>
      <w:r w:rsidRPr="000365ED">
        <w:rPr>
          <w:rFonts w:ascii="Times New Roman" w:hAnsi="Times New Roman" w:cs="Times New Roman"/>
          <w:sz w:val="20"/>
          <w:szCs w:val="20"/>
        </w:rPr>
        <w:t>: Antibiotic consumption random-effects model for pooled estimate</w:t>
      </w:r>
    </w:p>
    <w:tbl>
      <w:tblPr>
        <w:tblW w:w="7373" w:type="dxa"/>
        <w:tblLayout w:type="fixed"/>
        <w:tblCellMar>
          <w:top w:w="28" w:type="dxa"/>
          <w:left w:w="28" w:type="dxa"/>
          <w:bottom w:w="28" w:type="dxa"/>
          <w:right w:w="28" w:type="dxa"/>
        </w:tblCellMar>
        <w:tblLook w:val="04A0" w:firstRow="1" w:lastRow="0" w:firstColumn="1" w:lastColumn="0" w:noHBand="0" w:noVBand="1"/>
      </w:tblPr>
      <w:tblGrid>
        <w:gridCol w:w="1838"/>
        <w:gridCol w:w="926"/>
        <w:gridCol w:w="1990"/>
        <w:gridCol w:w="1310"/>
        <w:gridCol w:w="1309"/>
      </w:tblGrid>
      <w:tr w:rsidR="00BE1880" w:rsidRPr="000365ED" w14:paraId="446C91C6" w14:textId="77777777" w:rsidTr="00BE1880">
        <w:trPr>
          <w:tblHeader/>
        </w:trPr>
        <w:tc>
          <w:tcPr>
            <w:tcW w:w="1838" w:type="dxa"/>
            <w:vAlign w:val="center"/>
          </w:tcPr>
          <w:p w14:paraId="6E0931C6"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Study</w:t>
            </w:r>
          </w:p>
        </w:tc>
        <w:tc>
          <w:tcPr>
            <w:tcW w:w="926" w:type="dxa"/>
            <w:vAlign w:val="center"/>
          </w:tcPr>
          <w:p w14:paraId="71C76DF7"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Rate</w:t>
            </w:r>
          </w:p>
        </w:tc>
        <w:tc>
          <w:tcPr>
            <w:tcW w:w="1990" w:type="dxa"/>
            <w:vAlign w:val="center"/>
          </w:tcPr>
          <w:p w14:paraId="0AD29272"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95%-CI</w:t>
            </w:r>
          </w:p>
        </w:tc>
        <w:tc>
          <w:tcPr>
            <w:tcW w:w="1310" w:type="dxa"/>
            <w:vAlign w:val="center"/>
          </w:tcPr>
          <w:p w14:paraId="4B48E0AD"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%W(random)</w:t>
            </w:r>
          </w:p>
        </w:tc>
        <w:tc>
          <w:tcPr>
            <w:tcW w:w="1309" w:type="dxa"/>
            <w:vAlign w:val="center"/>
          </w:tcPr>
          <w:p w14:paraId="45E02EB4" w14:textId="77777777" w:rsidR="00BE1880" w:rsidRPr="000365ED" w:rsidRDefault="00BE1880" w:rsidP="00BE1880">
            <w:pPr>
              <w:pStyle w:val="TableHeading"/>
              <w:rPr>
                <w:rFonts w:ascii="Times New Roman" w:hAnsi="Times New Roman" w:cs="Times New Roman"/>
                <w:sz w:val="20"/>
                <w:szCs w:val="20"/>
              </w:rPr>
            </w:pPr>
          </w:p>
        </w:tc>
      </w:tr>
      <w:tr w:rsidR="00BE1880" w:rsidRPr="000365ED" w14:paraId="28D0F09E" w14:textId="77777777" w:rsidTr="00BE1880">
        <w:tc>
          <w:tcPr>
            <w:tcW w:w="1838" w:type="dxa"/>
            <w:vAlign w:val="center"/>
          </w:tcPr>
          <w:p w14:paraId="14211F5E"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Abubakar et al.</w:t>
            </w:r>
          </w:p>
        </w:tc>
        <w:tc>
          <w:tcPr>
            <w:tcW w:w="926" w:type="dxa"/>
            <w:vAlign w:val="center"/>
          </w:tcPr>
          <w:p w14:paraId="55BD02B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1675.3000</w:t>
            </w:r>
          </w:p>
        </w:tc>
        <w:tc>
          <w:tcPr>
            <w:tcW w:w="1990" w:type="dxa"/>
            <w:vAlign w:val="center"/>
          </w:tcPr>
          <w:p w14:paraId="4F1EB8DE"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[1675.2921; 1675.3079]</w:t>
            </w:r>
          </w:p>
        </w:tc>
        <w:tc>
          <w:tcPr>
            <w:tcW w:w="1310" w:type="dxa"/>
            <w:vAlign w:val="center"/>
          </w:tcPr>
          <w:p w14:paraId="68A6FCEE"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33.3</w:t>
            </w:r>
          </w:p>
        </w:tc>
        <w:tc>
          <w:tcPr>
            <w:tcW w:w="1309" w:type="dxa"/>
            <w:vAlign w:val="center"/>
          </w:tcPr>
          <w:p w14:paraId="69421FF5"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25FBC3DB" w14:textId="77777777" w:rsidTr="00BE1880">
        <w:tc>
          <w:tcPr>
            <w:tcW w:w="1838" w:type="dxa"/>
            <w:vAlign w:val="center"/>
          </w:tcPr>
          <w:p w14:paraId="72ABA57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Lakoh et al.</w:t>
            </w:r>
          </w:p>
        </w:tc>
        <w:tc>
          <w:tcPr>
            <w:tcW w:w="926" w:type="dxa"/>
            <w:vAlign w:val="center"/>
          </w:tcPr>
          <w:p w14:paraId="3DF82F7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117.9000</w:t>
            </w:r>
          </w:p>
        </w:tc>
        <w:tc>
          <w:tcPr>
            <w:tcW w:w="1990" w:type="dxa"/>
            <w:vAlign w:val="center"/>
          </w:tcPr>
          <w:p w14:paraId="75426CC1"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[117.8974; 117.9026]</w:t>
            </w:r>
          </w:p>
        </w:tc>
        <w:tc>
          <w:tcPr>
            <w:tcW w:w="1310" w:type="dxa"/>
            <w:vAlign w:val="center"/>
          </w:tcPr>
          <w:p w14:paraId="1053179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33.3</w:t>
            </w:r>
          </w:p>
        </w:tc>
        <w:tc>
          <w:tcPr>
            <w:tcW w:w="1309" w:type="dxa"/>
            <w:vAlign w:val="center"/>
          </w:tcPr>
          <w:p w14:paraId="5EBD79F0"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64E19436" w14:textId="77777777" w:rsidTr="00BE1880">
        <w:tc>
          <w:tcPr>
            <w:tcW w:w="1838" w:type="dxa"/>
            <w:vAlign w:val="center"/>
          </w:tcPr>
          <w:p w14:paraId="46956FF7"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Lakoh, Williams et al.</w:t>
            </w:r>
          </w:p>
        </w:tc>
        <w:tc>
          <w:tcPr>
            <w:tcW w:w="926" w:type="dxa"/>
            <w:vAlign w:val="center"/>
          </w:tcPr>
          <w:p w14:paraId="6DF5348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66.9000</w:t>
            </w:r>
          </w:p>
        </w:tc>
        <w:tc>
          <w:tcPr>
            <w:tcW w:w="1990" w:type="dxa"/>
            <w:vAlign w:val="center"/>
          </w:tcPr>
          <w:p w14:paraId="72ED7BD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[66.8958; 66.9042]</w:t>
            </w:r>
          </w:p>
        </w:tc>
        <w:tc>
          <w:tcPr>
            <w:tcW w:w="1310" w:type="dxa"/>
            <w:vAlign w:val="center"/>
          </w:tcPr>
          <w:p w14:paraId="1BB565C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33.3</w:t>
            </w:r>
          </w:p>
        </w:tc>
        <w:tc>
          <w:tcPr>
            <w:tcW w:w="1309" w:type="dxa"/>
            <w:vAlign w:val="center"/>
          </w:tcPr>
          <w:p w14:paraId="190EB926"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690CCCC3" w14:textId="77777777" w:rsidTr="00BE1880">
        <w:tc>
          <w:tcPr>
            <w:tcW w:w="1838" w:type="dxa"/>
            <w:vAlign w:val="center"/>
          </w:tcPr>
          <w:p w14:paraId="3CFFB84E" w14:textId="77777777" w:rsidR="00BE1880" w:rsidRPr="000365ED" w:rsidRDefault="00BE1880" w:rsidP="00BE1880">
            <w:pPr>
              <w:pStyle w:val="TableContents"/>
              <w:rPr>
                <w:rFonts w:ascii="Times New Roman" w:hAnsi="Times New Roman" w:cs="Times New Roman"/>
                <w:sz w:val="20"/>
                <w:szCs w:val="20"/>
              </w:rPr>
            </w:pPr>
          </w:p>
        </w:tc>
        <w:tc>
          <w:tcPr>
            <w:tcW w:w="926" w:type="dxa"/>
            <w:vAlign w:val="center"/>
          </w:tcPr>
          <w:p w14:paraId="394E5643" w14:textId="77777777" w:rsidR="00BE1880" w:rsidRPr="000365ED" w:rsidRDefault="00BE1880" w:rsidP="00BE1880">
            <w:pPr>
              <w:pStyle w:val="TableContents"/>
              <w:rPr>
                <w:rFonts w:ascii="Times New Roman" w:hAnsi="Times New Roman" w:cs="Times New Roman"/>
                <w:sz w:val="20"/>
                <w:szCs w:val="20"/>
              </w:rPr>
            </w:pPr>
          </w:p>
        </w:tc>
        <w:tc>
          <w:tcPr>
            <w:tcW w:w="1990" w:type="dxa"/>
            <w:vAlign w:val="center"/>
          </w:tcPr>
          <w:p w14:paraId="0D501E96" w14:textId="77777777" w:rsidR="00BE1880" w:rsidRPr="000365ED" w:rsidRDefault="00BE1880" w:rsidP="00BE1880">
            <w:pPr>
              <w:pStyle w:val="TableContents"/>
              <w:rPr>
                <w:rFonts w:ascii="Times New Roman" w:hAnsi="Times New Roman" w:cs="Times New Roman"/>
                <w:sz w:val="20"/>
                <w:szCs w:val="20"/>
              </w:rPr>
            </w:pPr>
          </w:p>
        </w:tc>
        <w:tc>
          <w:tcPr>
            <w:tcW w:w="1310" w:type="dxa"/>
            <w:vAlign w:val="center"/>
          </w:tcPr>
          <w:p w14:paraId="55B21697" w14:textId="77777777" w:rsidR="00BE1880" w:rsidRPr="000365ED" w:rsidRDefault="00BE1880" w:rsidP="00BE1880">
            <w:pPr>
              <w:pStyle w:val="TableContents"/>
              <w:rPr>
                <w:rFonts w:ascii="Times New Roman" w:hAnsi="Times New Roman" w:cs="Times New Roman"/>
                <w:sz w:val="20"/>
                <w:szCs w:val="20"/>
              </w:rPr>
            </w:pPr>
          </w:p>
        </w:tc>
        <w:tc>
          <w:tcPr>
            <w:tcW w:w="1309" w:type="dxa"/>
            <w:vAlign w:val="center"/>
          </w:tcPr>
          <w:p w14:paraId="2C197E3E"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61CDFE51" w14:textId="77777777" w:rsidTr="00BE1880">
        <w:tc>
          <w:tcPr>
            <w:tcW w:w="1838" w:type="dxa"/>
            <w:vAlign w:val="center"/>
          </w:tcPr>
          <w:p w14:paraId="2B18568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Parameter</w:t>
            </w:r>
          </w:p>
        </w:tc>
        <w:tc>
          <w:tcPr>
            <w:tcW w:w="926" w:type="dxa"/>
            <w:vAlign w:val="center"/>
          </w:tcPr>
          <w:p w14:paraId="5FBCD614"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Rate</w:t>
            </w:r>
          </w:p>
        </w:tc>
        <w:tc>
          <w:tcPr>
            <w:tcW w:w="1990" w:type="dxa"/>
            <w:vAlign w:val="center"/>
          </w:tcPr>
          <w:p w14:paraId="6A6DB752"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95%-CI</w:t>
            </w:r>
          </w:p>
        </w:tc>
        <w:tc>
          <w:tcPr>
            <w:tcW w:w="1310" w:type="dxa"/>
            <w:vAlign w:val="center"/>
          </w:tcPr>
          <w:p w14:paraId="0E1EC0E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z</w:t>
            </w:r>
          </w:p>
        </w:tc>
        <w:tc>
          <w:tcPr>
            <w:tcW w:w="1309" w:type="dxa"/>
            <w:vAlign w:val="center"/>
          </w:tcPr>
          <w:p w14:paraId="4CD9FD0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p-value</w:t>
            </w:r>
          </w:p>
        </w:tc>
      </w:tr>
      <w:tr w:rsidR="00BE1880" w:rsidRPr="000365ED" w14:paraId="47F39949" w14:textId="77777777" w:rsidTr="00BE1880">
        <w:tc>
          <w:tcPr>
            <w:tcW w:w="1838" w:type="dxa"/>
            <w:vAlign w:val="center"/>
          </w:tcPr>
          <w:p w14:paraId="36A2496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Random effects model</w:t>
            </w:r>
          </w:p>
        </w:tc>
        <w:tc>
          <w:tcPr>
            <w:tcW w:w="926" w:type="dxa"/>
            <w:vAlign w:val="center"/>
          </w:tcPr>
          <w:p w14:paraId="0AE70EC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620.0333</w:t>
            </w:r>
          </w:p>
        </w:tc>
        <w:tc>
          <w:tcPr>
            <w:tcW w:w="1990" w:type="dxa"/>
            <w:vAlign w:val="center"/>
          </w:tcPr>
          <w:p w14:paraId="5D2E7C4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[0.0000; 1286.6655]</w:t>
            </w:r>
          </w:p>
        </w:tc>
        <w:tc>
          <w:tcPr>
            <w:tcW w:w="1310" w:type="dxa"/>
            <w:vAlign w:val="center"/>
          </w:tcPr>
          <w:p w14:paraId="5B635C8E"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1.82</w:t>
            </w:r>
          </w:p>
        </w:tc>
        <w:tc>
          <w:tcPr>
            <w:tcW w:w="1309" w:type="dxa"/>
            <w:vAlign w:val="center"/>
          </w:tcPr>
          <w:p w14:paraId="0DE2917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0.0683</w:t>
            </w:r>
          </w:p>
        </w:tc>
      </w:tr>
      <w:tr w:rsidR="00BE1880" w:rsidRPr="000365ED" w14:paraId="563F4E16" w14:textId="77777777" w:rsidTr="00BE1880">
        <w:tc>
          <w:tcPr>
            <w:tcW w:w="1838" w:type="dxa"/>
            <w:vAlign w:val="center"/>
          </w:tcPr>
          <w:p w14:paraId="674C668D" w14:textId="77777777" w:rsidR="00BE1880" w:rsidRPr="000365ED" w:rsidRDefault="00BE1880" w:rsidP="00BE1880">
            <w:pPr>
              <w:pStyle w:val="TableContents"/>
              <w:rPr>
                <w:rFonts w:ascii="Times New Roman" w:hAnsi="Times New Roman" w:cs="Times New Roman"/>
                <w:sz w:val="20"/>
                <w:szCs w:val="20"/>
              </w:rPr>
            </w:pPr>
          </w:p>
        </w:tc>
        <w:tc>
          <w:tcPr>
            <w:tcW w:w="926" w:type="dxa"/>
            <w:vAlign w:val="center"/>
          </w:tcPr>
          <w:p w14:paraId="790711AD" w14:textId="77777777" w:rsidR="00BE1880" w:rsidRPr="000365ED" w:rsidRDefault="00BE1880" w:rsidP="00BE1880">
            <w:pPr>
              <w:pStyle w:val="TableContents"/>
              <w:rPr>
                <w:rFonts w:ascii="Times New Roman" w:hAnsi="Times New Roman" w:cs="Times New Roman"/>
                <w:sz w:val="20"/>
                <w:szCs w:val="20"/>
              </w:rPr>
            </w:pPr>
          </w:p>
        </w:tc>
        <w:tc>
          <w:tcPr>
            <w:tcW w:w="1990" w:type="dxa"/>
            <w:vAlign w:val="center"/>
          </w:tcPr>
          <w:p w14:paraId="1F3E0D9D" w14:textId="77777777" w:rsidR="00BE1880" w:rsidRPr="000365ED" w:rsidRDefault="00BE1880" w:rsidP="00BE1880">
            <w:pPr>
              <w:pStyle w:val="TableContents"/>
              <w:rPr>
                <w:rFonts w:ascii="Times New Roman" w:hAnsi="Times New Roman" w:cs="Times New Roman"/>
                <w:sz w:val="20"/>
                <w:szCs w:val="20"/>
              </w:rPr>
            </w:pPr>
          </w:p>
        </w:tc>
        <w:tc>
          <w:tcPr>
            <w:tcW w:w="1310" w:type="dxa"/>
            <w:vAlign w:val="center"/>
          </w:tcPr>
          <w:p w14:paraId="2A9D0BF0" w14:textId="77777777" w:rsidR="00BE1880" w:rsidRPr="000365ED" w:rsidRDefault="00BE1880" w:rsidP="00BE1880">
            <w:pPr>
              <w:pStyle w:val="TableContents"/>
              <w:rPr>
                <w:rFonts w:ascii="Times New Roman" w:hAnsi="Times New Roman" w:cs="Times New Roman"/>
                <w:sz w:val="20"/>
                <w:szCs w:val="20"/>
              </w:rPr>
            </w:pPr>
          </w:p>
        </w:tc>
        <w:tc>
          <w:tcPr>
            <w:tcW w:w="1309" w:type="dxa"/>
            <w:vAlign w:val="center"/>
          </w:tcPr>
          <w:p w14:paraId="65DFD019"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340E140E" w14:textId="77777777" w:rsidTr="00BE1880">
        <w:tc>
          <w:tcPr>
            <w:tcW w:w="1838" w:type="dxa"/>
            <w:vAlign w:val="center"/>
          </w:tcPr>
          <w:p w14:paraId="55A37742"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Parameter</w:t>
            </w:r>
          </w:p>
        </w:tc>
        <w:tc>
          <w:tcPr>
            <w:tcW w:w="926" w:type="dxa"/>
            <w:vAlign w:val="center"/>
          </w:tcPr>
          <w:p w14:paraId="7B2313F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Value</w:t>
            </w:r>
          </w:p>
        </w:tc>
        <w:tc>
          <w:tcPr>
            <w:tcW w:w="1990" w:type="dxa"/>
            <w:vAlign w:val="center"/>
          </w:tcPr>
          <w:p w14:paraId="0BC0CCC9" w14:textId="77777777" w:rsidR="00BE1880" w:rsidRPr="000365ED" w:rsidRDefault="00BE1880" w:rsidP="00BE1880">
            <w:pPr>
              <w:pStyle w:val="TableContents"/>
              <w:rPr>
                <w:rFonts w:ascii="Times New Roman" w:hAnsi="Times New Roman" w:cs="Times New Roman"/>
                <w:sz w:val="20"/>
                <w:szCs w:val="20"/>
              </w:rPr>
            </w:pPr>
          </w:p>
        </w:tc>
        <w:tc>
          <w:tcPr>
            <w:tcW w:w="1310" w:type="dxa"/>
            <w:vAlign w:val="center"/>
          </w:tcPr>
          <w:p w14:paraId="7E7CF263" w14:textId="77777777" w:rsidR="00BE1880" w:rsidRPr="000365ED" w:rsidRDefault="00BE1880" w:rsidP="00BE1880">
            <w:pPr>
              <w:pStyle w:val="TableContents"/>
              <w:rPr>
                <w:rFonts w:ascii="Times New Roman" w:hAnsi="Times New Roman" w:cs="Times New Roman"/>
                <w:sz w:val="20"/>
                <w:szCs w:val="20"/>
              </w:rPr>
            </w:pPr>
          </w:p>
        </w:tc>
        <w:tc>
          <w:tcPr>
            <w:tcW w:w="1309" w:type="dxa"/>
            <w:vAlign w:val="center"/>
          </w:tcPr>
          <w:p w14:paraId="1A6BC916"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18071818" w14:textId="77777777" w:rsidTr="00BE1880">
        <w:tc>
          <w:tcPr>
            <w:tcW w:w="1838" w:type="dxa"/>
            <w:vAlign w:val="center"/>
          </w:tcPr>
          <w:p w14:paraId="1B24265E"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tau^2</w:t>
            </w:r>
          </w:p>
        </w:tc>
        <w:tc>
          <w:tcPr>
            <w:tcW w:w="926" w:type="dxa"/>
            <w:vAlign w:val="center"/>
          </w:tcPr>
          <w:p w14:paraId="54E0B05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347054.3985</w:t>
            </w:r>
          </w:p>
        </w:tc>
        <w:tc>
          <w:tcPr>
            <w:tcW w:w="1990" w:type="dxa"/>
            <w:vAlign w:val="center"/>
          </w:tcPr>
          <w:p w14:paraId="4ADA3C1E" w14:textId="77777777" w:rsidR="00BE1880" w:rsidRPr="000365ED" w:rsidRDefault="00BE1880" w:rsidP="00BE1880">
            <w:pPr>
              <w:pStyle w:val="TableContents"/>
              <w:rPr>
                <w:rFonts w:ascii="Times New Roman" w:hAnsi="Times New Roman" w:cs="Times New Roman"/>
                <w:sz w:val="20"/>
                <w:szCs w:val="20"/>
              </w:rPr>
            </w:pPr>
          </w:p>
        </w:tc>
        <w:tc>
          <w:tcPr>
            <w:tcW w:w="1310" w:type="dxa"/>
            <w:vAlign w:val="center"/>
          </w:tcPr>
          <w:p w14:paraId="3141396B" w14:textId="77777777" w:rsidR="00BE1880" w:rsidRPr="000365ED" w:rsidRDefault="00BE1880" w:rsidP="00BE1880">
            <w:pPr>
              <w:pStyle w:val="TableContents"/>
              <w:rPr>
                <w:rFonts w:ascii="Times New Roman" w:hAnsi="Times New Roman" w:cs="Times New Roman"/>
                <w:sz w:val="20"/>
                <w:szCs w:val="20"/>
              </w:rPr>
            </w:pPr>
          </w:p>
        </w:tc>
        <w:tc>
          <w:tcPr>
            <w:tcW w:w="1309" w:type="dxa"/>
            <w:vAlign w:val="center"/>
          </w:tcPr>
          <w:p w14:paraId="2E4494A4"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4BDF177D" w14:textId="77777777" w:rsidTr="00BE1880">
        <w:tc>
          <w:tcPr>
            <w:tcW w:w="1838" w:type="dxa"/>
            <w:vAlign w:val="center"/>
          </w:tcPr>
          <w:p w14:paraId="63341341"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tau</w:t>
            </w:r>
          </w:p>
        </w:tc>
        <w:tc>
          <w:tcPr>
            <w:tcW w:w="926" w:type="dxa"/>
            <w:vAlign w:val="center"/>
          </w:tcPr>
          <w:p w14:paraId="5FD389D7"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589.1132</w:t>
            </w:r>
          </w:p>
        </w:tc>
        <w:tc>
          <w:tcPr>
            <w:tcW w:w="1990" w:type="dxa"/>
            <w:vAlign w:val="center"/>
          </w:tcPr>
          <w:p w14:paraId="515BE627" w14:textId="77777777" w:rsidR="00BE1880" w:rsidRPr="000365ED" w:rsidRDefault="00BE1880" w:rsidP="00BE1880">
            <w:pPr>
              <w:pStyle w:val="TableContents"/>
              <w:rPr>
                <w:rFonts w:ascii="Times New Roman" w:hAnsi="Times New Roman" w:cs="Times New Roman"/>
                <w:sz w:val="20"/>
                <w:szCs w:val="20"/>
              </w:rPr>
            </w:pPr>
          </w:p>
        </w:tc>
        <w:tc>
          <w:tcPr>
            <w:tcW w:w="1310" w:type="dxa"/>
            <w:vAlign w:val="center"/>
          </w:tcPr>
          <w:p w14:paraId="4D995955" w14:textId="77777777" w:rsidR="00BE1880" w:rsidRPr="000365ED" w:rsidRDefault="00BE1880" w:rsidP="00BE1880">
            <w:pPr>
              <w:pStyle w:val="TableContents"/>
              <w:rPr>
                <w:rFonts w:ascii="Times New Roman" w:hAnsi="Times New Roman" w:cs="Times New Roman"/>
                <w:sz w:val="20"/>
                <w:szCs w:val="20"/>
              </w:rPr>
            </w:pPr>
          </w:p>
        </w:tc>
        <w:tc>
          <w:tcPr>
            <w:tcW w:w="1309" w:type="dxa"/>
            <w:vAlign w:val="center"/>
          </w:tcPr>
          <w:p w14:paraId="0F04F2B1"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32C71D59" w14:textId="77777777" w:rsidTr="00BE1880">
        <w:tc>
          <w:tcPr>
            <w:tcW w:w="1838" w:type="dxa"/>
            <w:vAlign w:val="center"/>
          </w:tcPr>
          <w:p w14:paraId="4894F02D"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I^2</w:t>
            </w:r>
          </w:p>
        </w:tc>
        <w:tc>
          <w:tcPr>
            <w:tcW w:w="926" w:type="dxa"/>
            <w:vAlign w:val="center"/>
          </w:tcPr>
          <w:p w14:paraId="14CEB90E"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100.0%</w:t>
            </w:r>
          </w:p>
        </w:tc>
        <w:tc>
          <w:tcPr>
            <w:tcW w:w="1990" w:type="dxa"/>
            <w:vAlign w:val="center"/>
          </w:tcPr>
          <w:p w14:paraId="599E053B" w14:textId="77777777" w:rsidR="00BE1880" w:rsidRPr="000365ED" w:rsidRDefault="00BE1880" w:rsidP="00BE1880">
            <w:pPr>
              <w:pStyle w:val="TableContents"/>
              <w:rPr>
                <w:rFonts w:ascii="Times New Roman" w:hAnsi="Times New Roman" w:cs="Times New Roman"/>
                <w:sz w:val="20"/>
                <w:szCs w:val="20"/>
              </w:rPr>
            </w:pPr>
          </w:p>
        </w:tc>
        <w:tc>
          <w:tcPr>
            <w:tcW w:w="1310" w:type="dxa"/>
            <w:vAlign w:val="center"/>
          </w:tcPr>
          <w:p w14:paraId="1E3B9CA6" w14:textId="77777777" w:rsidR="00BE1880" w:rsidRPr="000365ED" w:rsidRDefault="00BE1880" w:rsidP="00BE1880">
            <w:pPr>
              <w:pStyle w:val="TableContents"/>
              <w:rPr>
                <w:rFonts w:ascii="Times New Roman" w:hAnsi="Times New Roman" w:cs="Times New Roman"/>
                <w:sz w:val="20"/>
                <w:szCs w:val="20"/>
              </w:rPr>
            </w:pPr>
          </w:p>
        </w:tc>
        <w:tc>
          <w:tcPr>
            <w:tcW w:w="1309" w:type="dxa"/>
            <w:vAlign w:val="center"/>
          </w:tcPr>
          <w:p w14:paraId="6FF55B94"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33DAFE31" w14:textId="77777777" w:rsidTr="00BE1880">
        <w:tc>
          <w:tcPr>
            <w:tcW w:w="1838" w:type="dxa"/>
            <w:vAlign w:val="center"/>
          </w:tcPr>
          <w:p w14:paraId="1BBDBE6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H</w:t>
            </w:r>
          </w:p>
        </w:tc>
        <w:tc>
          <w:tcPr>
            <w:tcW w:w="926" w:type="dxa"/>
            <w:vAlign w:val="center"/>
          </w:tcPr>
          <w:p w14:paraId="593ED59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265800.15</w:t>
            </w:r>
          </w:p>
        </w:tc>
        <w:tc>
          <w:tcPr>
            <w:tcW w:w="1990" w:type="dxa"/>
            <w:vAlign w:val="center"/>
          </w:tcPr>
          <w:p w14:paraId="5A9560C4" w14:textId="77777777" w:rsidR="00BE1880" w:rsidRPr="000365ED" w:rsidRDefault="00BE1880" w:rsidP="00BE1880">
            <w:pPr>
              <w:pStyle w:val="TableContents"/>
              <w:rPr>
                <w:rFonts w:ascii="Times New Roman" w:hAnsi="Times New Roman" w:cs="Times New Roman"/>
                <w:sz w:val="20"/>
                <w:szCs w:val="20"/>
              </w:rPr>
            </w:pPr>
          </w:p>
        </w:tc>
        <w:tc>
          <w:tcPr>
            <w:tcW w:w="1310" w:type="dxa"/>
            <w:vAlign w:val="center"/>
          </w:tcPr>
          <w:p w14:paraId="2FAE27A8" w14:textId="77777777" w:rsidR="00BE1880" w:rsidRPr="000365ED" w:rsidRDefault="00BE1880" w:rsidP="00BE1880">
            <w:pPr>
              <w:pStyle w:val="TableContents"/>
              <w:rPr>
                <w:rFonts w:ascii="Times New Roman" w:hAnsi="Times New Roman" w:cs="Times New Roman"/>
                <w:sz w:val="20"/>
                <w:szCs w:val="20"/>
              </w:rPr>
            </w:pPr>
          </w:p>
        </w:tc>
        <w:tc>
          <w:tcPr>
            <w:tcW w:w="1309" w:type="dxa"/>
            <w:vAlign w:val="center"/>
          </w:tcPr>
          <w:p w14:paraId="47341373"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6ED87752" w14:textId="77777777" w:rsidTr="00BE1880">
        <w:tc>
          <w:tcPr>
            <w:tcW w:w="1838" w:type="dxa"/>
            <w:vAlign w:val="center"/>
          </w:tcPr>
          <w:p w14:paraId="7356685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95%-CI for H</w:t>
            </w:r>
          </w:p>
        </w:tc>
        <w:tc>
          <w:tcPr>
            <w:tcW w:w="926" w:type="dxa"/>
            <w:vAlign w:val="center"/>
          </w:tcPr>
          <w:p w14:paraId="54EE3AA2"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[265787.91; 265812.39]</w:t>
            </w:r>
          </w:p>
        </w:tc>
        <w:tc>
          <w:tcPr>
            <w:tcW w:w="1990" w:type="dxa"/>
            <w:vAlign w:val="center"/>
          </w:tcPr>
          <w:p w14:paraId="524C2F18" w14:textId="77777777" w:rsidR="00BE1880" w:rsidRPr="000365ED" w:rsidRDefault="00BE1880" w:rsidP="00BE1880">
            <w:pPr>
              <w:pStyle w:val="TableContents"/>
              <w:rPr>
                <w:rFonts w:ascii="Times New Roman" w:hAnsi="Times New Roman" w:cs="Times New Roman"/>
                <w:sz w:val="20"/>
                <w:szCs w:val="20"/>
              </w:rPr>
            </w:pPr>
          </w:p>
        </w:tc>
        <w:tc>
          <w:tcPr>
            <w:tcW w:w="1310" w:type="dxa"/>
            <w:vAlign w:val="center"/>
          </w:tcPr>
          <w:p w14:paraId="4FB7882E" w14:textId="77777777" w:rsidR="00BE1880" w:rsidRPr="000365ED" w:rsidRDefault="00BE1880" w:rsidP="00BE1880">
            <w:pPr>
              <w:pStyle w:val="TableContents"/>
              <w:rPr>
                <w:rFonts w:ascii="Times New Roman" w:hAnsi="Times New Roman" w:cs="Times New Roman"/>
                <w:sz w:val="20"/>
                <w:szCs w:val="20"/>
              </w:rPr>
            </w:pPr>
          </w:p>
        </w:tc>
        <w:tc>
          <w:tcPr>
            <w:tcW w:w="1309" w:type="dxa"/>
            <w:vAlign w:val="center"/>
          </w:tcPr>
          <w:p w14:paraId="4EF02C18"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6C4CB6A9" w14:textId="77777777" w:rsidTr="00BE1880">
        <w:tc>
          <w:tcPr>
            <w:tcW w:w="1838" w:type="dxa"/>
            <w:vAlign w:val="center"/>
          </w:tcPr>
          <w:p w14:paraId="0166867E" w14:textId="77777777" w:rsidR="00BE1880" w:rsidRPr="000365ED" w:rsidRDefault="00BE1880" w:rsidP="00BE1880">
            <w:pPr>
              <w:pStyle w:val="TableContents"/>
              <w:rPr>
                <w:rFonts w:ascii="Times New Roman" w:hAnsi="Times New Roman" w:cs="Times New Roman"/>
                <w:sz w:val="20"/>
                <w:szCs w:val="20"/>
              </w:rPr>
            </w:pPr>
          </w:p>
        </w:tc>
        <w:tc>
          <w:tcPr>
            <w:tcW w:w="926" w:type="dxa"/>
            <w:vAlign w:val="center"/>
          </w:tcPr>
          <w:p w14:paraId="5542536F" w14:textId="77777777" w:rsidR="00BE1880" w:rsidRPr="000365ED" w:rsidRDefault="00BE1880" w:rsidP="00BE1880">
            <w:pPr>
              <w:pStyle w:val="TableContents"/>
              <w:rPr>
                <w:rFonts w:ascii="Times New Roman" w:hAnsi="Times New Roman" w:cs="Times New Roman"/>
                <w:sz w:val="20"/>
                <w:szCs w:val="20"/>
              </w:rPr>
            </w:pPr>
          </w:p>
        </w:tc>
        <w:tc>
          <w:tcPr>
            <w:tcW w:w="1990" w:type="dxa"/>
            <w:vAlign w:val="center"/>
          </w:tcPr>
          <w:p w14:paraId="6C87A3FC" w14:textId="77777777" w:rsidR="00BE1880" w:rsidRPr="000365ED" w:rsidRDefault="00BE1880" w:rsidP="00BE1880">
            <w:pPr>
              <w:pStyle w:val="TableContents"/>
              <w:rPr>
                <w:rFonts w:ascii="Times New Roman" w:hAnsi="Times New Roman" w:cs="Times New Roman"/>
                <w:sz w:val="20"/>
                <w:szCs w:val="20"/>
              </w:rPr>
            </w:pPr>
          </w:p>
        </w:tc>
        <w:tc>
          <w:tcPr>
            <w:tcW w:w="1310" w:type="dxa"/>
            <w:vAlign w:val="center"/>
          </w:tcPr>
          <w:p w14:paraId="2AAAFDF9" w14:textId="77777777" w:rsidR="00BE1880" w:rsidRPr="000365ED" w:rsidRDefault="00BE1880" w:rsidP="00BE1880">
            <w:pPr>
              <w:pStyle w:val="TableContents"/>
              <w:rPr>
                <w:rFonts w:ascii="Times New Roman" w:hAnsi="Times New Roman" w:cs="Times New Roman"/>
                <w:sz w:val="20"/>
                <w:szCs w:val="20"/>
              </w:rPr>
            </w:pPr>
          </w:p>
        </w:tc>
        <w:tc>
          <w:tcPr>
            <w:tcW w:w="1309" w:type="dxa"/>
            <w:vAlign w:val="center"/>
          </w:tcPr>
          <w:p w14:paraId="7CDE0402"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390BC782" w14:textId="77777777" w:rsidTr="00BE1880">
        <w:tc>
          <w:tcPr>
            <w:tcW w:w="1838" w:type="dxa"/>
            <w:vAlign w:val="center"/>
          </w:tcPr>
          <w:p w14:paraId="56086E0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Q</w:t>
            </w:r>
          </w:p>
        </w:tc>
        <w:tc>
          <w:tcPr>
            <w:tcW w:w="926" w:type="dxa"/>
            <w:vAlign w:val="center"/>
          </w:tcPr>
          <w:p w14:paraId="1C70D28A" w14:textId="77777777" w:rsidR="00BE1880" w:rsidRPr="000365ED" w:rsidRDefault="00BE1880" w:rsidP="00BE1880">
            <w:pPr>
              <w:pStyle w:val="TableContents"/>
              <w:rPr>
                <w:rFonts w:ascii="Times New Roman" w:hAnsi="Times New Roman" w:cs="Times New Roman"/>
                <w:sz w:val="20"/>
                <w:szCs w:val="20"/>
              </w:rPr>
            </w:pPr>
            <w:proofErr w:type="spellStart"/>
            <w:r w:rsidRPr="000365ED">
              <w:rPr>
                <w:rFonts w:ascii="Times New Roman" w:hAnsi="Times New Roman" w:cs="Times New Roman"/>
                <w:sz w:val="20"/>
                <w:szCs w:val="20"/>
              </w:rPr>
              <w:t>d.f.</w:t>
            </w:r>
            <w:proofErr w:type="spellEnd"/>
          </w:p>
        </w:tc>
        <w:tc>
          <w:tcPr>
            <w:tcW w:w="1990" w:type="dxa"/>
            <w:vAlign w:val="center"/>
          </w:tcPr>
          <w:p w14:paraId="2F49B81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p-value</w:t>
            </w:r>
          </w:p>
        </w:tc>
        <w:tc>
          <w:tcPr>
            <w:tcW w:w="1310" w:type="dxa"/>
            <w:vAlign w:val="center"/>
          </w:tcPr>
          <w:p w14:paraId="3A295BBF" w14:textId="77777777" w:rsidR="00BE1880" w:rsidRPr="000365ED" w:rsidRDefault="00BE1880" w:rsidP="00BE1880">
            <w:pPr>
              <w:pStyle w:val="TableContents"/>
              <w:rPr>
                <w:rFonts w:ascii="Times New Roman" w:hAnsi="Times New Roman" w:cs="Times New Roman"/>
                <w:sz w:val="20"/>
                <w:szCs w:val="20"/>
              </w:rPr>
            </w:pPr>
          </w:p>
        </w:tc>
        <w:tc>
          <w:tcPr>
            <w:tcW w:w="1309" w:type="dxa"/>
            <w:vAlign w:val="center"/>
          </w:tcPr>
          <w:p w14:paraId="5FB18A19"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3812233E" w14:textId="77777777" w:rsidTr="00BE1880">
        <w:tc>
          <w:tcPr>
            <w:tcW w:w="1838" w:type="dxa"/>
            <w:vAlign w:val="center"/>
          </w:tcPr>
          <w:p w14:paraId="13F1ABA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141299437685.11</w:t>
            </w:r>
          </w:p>
        </w:tc>
        <w:tc>
          <w:tcPr>
            <w:tcW w:w="926" w:type="dxa"/>
            <w:vAlign w:val="center"/>
          </w:tcPr>
          <w:p w14:paraId="395409CE"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w:t>
            </w:r>
          </w:p>
        </w:tc>
        <w:tc>
          <w:tcPr>
            <w:tcW w:w="1990" w:type="dxa"/>
            <w:vAlign w:val="center"/>
          </w:tcPr>
          <w:p w14:paraId="6808E44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0</w:t>
            </w:r>
          </w:p>
        </w:tc>
        <w:tc>
          <w:tcPr>
            <w:tcW w:w="1310" w:type="dxa"/>
            <w:vAlign w:val="center"/>
          </w:tcPr>
          <w:p w14:paraId="382A335D" w14:textId="77777777" w:rsidR="00BE1880" w:rsidRPr="000365ED" w:rsidRDefault="00BE1880" w:rsidP="00BE1880">
            <w:pPr>
              <w:pStyle w:val="TableContents"/>
              <w:rPr>
                <w:rFonts w:ascii="Times New Roman" w:hAnsi="Times New Roman" w:cs="Times New Roman"/>
                <w:sz w:val="20"/>
                <w:szCs w:val="20"/>
              </w:rPr>
            </w:pPr>
          </w:p>
        </w:tc>
        <w:tc>
          <w:tcPr>
            <w:tcW w:w="1309" w:type="dxa"/>
            <w:vAlign w:val="center"/>
          </w:tcPr>
          <w:p w14:paraId="460139C5" w14:textId="77777777" w:rsidR="00BE1880" w:rsidRPr="000365ED" w:rsidRDefault="00BE1880" w:rsidP="00BE1880">
            <w:pPr>
              <w:pStyle w:val="TableContents"/>
              <w:rPr>
                <w:rFonts w:ascii="Times New Roman" w:hAnsi="Times New Roman" w:cs="Times New Roman"/>
                <w:sz w:val="20"/>
                <w:szCs w:val="20"/>
              </w:rPr>
            </w:pPr>
          </w:p>
        </w:tc>
      </w:tr>
    </w:tbl>
    <w:p w14:paraId="2ADED1D9" w14:textId="77777777" w:rsidR="00BE1880" w:rsidRPr="000365ED" w:rsidRDefault="00BE1880" w:rsidP="00BE1880">
      <w:pPr>
        <w:rPr>
          <w:rFonts w:ascii="Times New Roman" w:hAnsi="Times New Roman" w:cs="Times New Roman"/>
          <w:sz w:val="20"/>
          <w:szCs w:val="20"/>
        </w:rPr>
      </w:pPr>
    </w:p>
    <w:p w14:paraId="412540E2" w14:textId="77777777" w:rsidR="00BE1880" w:rsidRPr="000365ED" w:rsidRDefault="00BE1880" w:rsidP="00BE1880">
      <w:pPr>
        <w:rPr>
          <w:rFonts w:ascii="Times New Roman" w:hAnsi="Times New Roman" w:cs="Times New Roman"/>
          <w:sz w:val="20"/>
          <w:szCs w:val="20"/>
        </w:rPr>
      </w:pPr>
    </w:p>
    <w:p w14:paraId="4D36E9C7" w14:textId="77777777" w:rsidR="00BE1880" w:rsidRPr="000365ED" w:rsidRDefault="00BE1880" w:rsidP="00BE1880">
      <w:pPr>
        <w:rPr>
          <w:rFonts w:ascii="Times New Roman" w:hAnsi="Times New Roman" w:cs="Times New Roman"/>
          <w:sz w:val="20"/>
          <w:szCs w:val="20"/>
        </w:rPr>
      </w:pPr>
    </w:p>
    <w:p w14:paraId="4EB362AA" w14:textId="77777777" w:rsidR="00BE1880" w:rsidRPr="000365ED" w:rsidRDefault="00BE1880" w:rsidP="00BE1880">
      <w:pPr>
        <w:rPr>
          <w:rFonts w:ascii="Times New Roman" w:hAnsi="Times New Roman" w:cs="Times New Roman"/>
          <w:sz w:val="20"/>
          <w:szCs w:val="20"/>
        </w:rPr>
      </w:pPr>
      <w:r w:rsidRPr="000365ED">
        <w:rPr>
          <w:rFonts w:ascii="Times New Roman" w:hAnsi="Times New Roman" w:cs="Times New Roman"/>
          <w:sz w:val="20"/>
          <w:szCs w:val="20"/>
        </w:rPr>
        <w:t xml:space="preserve">Table 5: Antibiotic consumption sensitivity analysis results </w:t>
      </w: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2013"/>
        <w:gridCol w:w="647"/>
        <w:gridCol w:w="1314"/>
        <w:gridCol w:w="1315"/>
        <w:gridCol w:w="1316"/>
        <w:gridCol w:w="1063"/>
        <w:gridCol w:w="840"/>
        <w:gridCol w:w="518"/>
      </w:tblGrid>
      <w:tr w:rsidR="00BE1880" w:rsidRPr="000365ED" w14:paraId="38E6A003" w14:textId="77777777" w:rsidTr="00BE1880">
        <w:trPr>
          <w:tblHeader/>
        </w:trPr>
        <w:tc>
          <w:tcPr>
            <w:tcW w:w="2154" w:type="dxa"/>
            <w:vAlign w:val="center"/>
          </w:tcPr>
          <w:p w14:paraId="52DCF8C3"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Omitting Study</w:t>
            </w:r>
          </w:p>
        </w:tc>
        <w:tc>
          <w:tcPr>
            <w:tcW w:w="688" w:type="dxa"/>
            <w:vAlign w:val="center"/>
          </w:tcPr>
          <w:p w14:paraId="024024FD"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Rate</w:t>
            </w:r>
          </w:p>
        </w:tc>
        <w:tc>
          <w:tcPr>
            <w:tcW w:w="1404" w:type="dxa"/>
            <w:vAlign w:val="center"/>
          </w:tcPr>
          <w:p w14:paraId="71D7B0B5"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tau^2</w:t>
            </w:r>
          </w:p>
        </w:tc>
        <w:tc>
          <w:tcPr>
            <w:tcW w:w="1405" w:type="dxa"/>
            <w:vAlign w:val="center"/>
          </w:tcPr>
          <w:p w14:paraId="7AA315CD"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tau</w:t>
            </w:r>
          </w:p>
        </w:tc>
        <w:tc>
          <w:tcPr>
            <w:tcW w:w="1406" w:type="dxa"/>
            <w:vAlign w:val="center"/>
          </w:tcPr>
          <w:p w14:paraId="5D884897"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I^2</w:t>
            </w:r>
          </w:p>
        </w:tc>
        <w:tc>
          <w:tcPr>
            <w:tcW w:w="1134" w:type="dxa"/>
            <w:vAlign w:val="center"/>
          </w:tcPr>
          <w:p w14:paraId="5055B114"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95%-CI</w:t>
            </w:r>
          </w:p>
        </w:tc>
        <w:tc>
          <w:tcPr>
            <w:tcW w:w="895" w:type="dxa"/>
            <w:vAlign w:val="center"/>
          </w:tcPr>
          <w:p w14:paraId="02773F82"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p-value</w:t>
            </w:r>
          </w:p>
        </w:tc>
        <w:tc>
          <w:tcPr>
            <w:tcW w:w="550" w:type="dxa"/>
            <w:vAlign w:val="center"/>
          </w:tcPr>
          <w:p w14:paraId="33CC1FA4" w14:textId="77777777" w:rsidR="00BE1880" w:rsidRPr="000365ED" w:rsidRDefault="00BE1880" w:rsidP="00BE1880">
            <w:pPr>
              <w:pStyle w:val="TableHeading"/>
              <w:rPr>
                <w:rFonts w:ascii="Times New Roman" w:hAnsi="Times New Roman" w:cs="Times New Roman"/>
                <w:sz w:val="20"/>
                <w:szCs w:val="20"/>
              </w:rPr>
            </w:pPr>
          </w:p>
        </w:tc>
      </w:tr>
      <w:tr w:rsidR="00BE1880" w:rsidRPr="000365ED" w14:paraId="07A93539" w14:textId="77777777" w:rsidTr="00BE1880">
        <w:tc>
          <w:tcPr>
            <w:tcW w:w="2154" w:type="dxa"/>
            <w:vAlign w:val="center"/>
          </w:tcPr>
          <w:p w14:paraId="02955DD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Omitting Abubakar et al.</w:t>
            </w:r>
          </w:p>
        </w:tc>
        <w:tc>
          <w:tcPr>
            <w:tcW w:w="688" w:type="dxa"/>
            <w:vAlign w:val="center"/>
          </w:tcPr>
          <w:p w14:paraId="373EF221"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92.4000</w:t>
            </w:r>
          </w:p>
        </w:tc>
        <w:tc>
          <w:tcPr>
            <w:tcW w:w="1404" w:type="dxa"/>
            <w:vAlign w:val="center"/>
          </w:tcPr>
          <w:p w14:paraId="04DBA5B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1300.5000</w:t>
            </w:r>
          </w:p>
        </w:tc>
        <w:tc>
          <w:tcPr>
            <w:tcW w:w="1405" w:type="dxa"/>
            <w:vAlign w:val="center"/>
          </w:tcPr>
          <w:p w14:paraId="79716A7E"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36.0624</w:t>
            </w:r>
          </w:p>
        </w:tc>
        <w:tc>
          <w:tcPr>
            <w:tcW w:w="1406" w:type="dxa"/>
            <w:vAlign w:val="center"/>
          </w:tcPr>
          <w:p w14:paraId="0F0F5E22"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100.0%</w:t>
            </w:r>
          </w:p>
        </w:tc>
        <w:tc>
          <w:tcPr>
            <w:tcW w:w="1134" w:type="dxa"/>
            <w:vAlign w:val="center"/>
          </w:tcPr>
          <w:p w14:paraId="5B9B09A7"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[42.4209; 142.3791]</w:t>
            </w:r>
          </w:p>
        </w:tc>
        <w:tc>
          <w:tcPr>
            <w:tcW w:w="895" w:type="dxa"/>
            <w:vAlign w:val="center"/>
          </w:tcPr>
          <w:p w14:paraId="65CE3A8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0.0003</w:t>
            </w:r>
          </w:p>
        </w:tc>
        <w:tc>
          <w:tcPr>
            <w:tcW w:w="550" w:type="dxa"/>
            <w:vAlign w:val="center"/>
          </w:tcPr>
          <w:p w14:paraId="33A9798F"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5CF0D11D" w14:textId="77777777" w:rsidTr="00BE1880">
        <w:tc>
          <w:tcPr>
            <w:tcW w:w="2154" w:type="dxa"/>
            <w:vAlign w:val="center"/>
          </w:tcPr>
          <w:p w14:paraId="016B901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Omitting Lakoh et al.</w:t>
            </w:r>
          </w:p>
        </w:tc>
        <w:tc>
          <w:tcPr>
            <w:tcW w:w="688" w:type="dxa"/>
            <w:vAlign w:val="center"/>
          </w:tcPr>
          <w:p w14:paraId="1684A28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871.1000</w:t>
            </w:r>
          </w:p>
        </w:tc>
        <w:tc>
          <w:tcPr>
            <w:tcW w:w="1404" w:type="dxa"/>
            <w:vAlign w:val="center"/>
          </w:tcPr>
          <w:p w14:paraId="795B971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1293475.2800</w:t>
            </w:r>
          </w:p>
        </w:tc>
        <w:tc>
          <w:tcPr>
            <w:tcW w:w="1405" w:type="dxa"/>
            <w:vAlign w:val="center"/>
          </w:tcPr>
          <w:p w14:paraId="49BF48D8"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1137.3105</w:t>
            </w:r>
          </w:p>
        </w:tc>
        <w:tc>
          <w:tcPr>
            <w:tcW w:w="1406" w:type="dxa"/>
            <w:vAlign w:val="center"/>
          </w:tcPr>
          <w:p w14:paraId="4A5A6AA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100.0%</w:t>
            </w:r>
          </w:p>
        </w:tc>
        <w:tc>
          <w:tcPr>
            <w:tcW w:w="1134" w:type="dxa"/>
            <w:vAlign w:val="center"/>
          </w:tcPr>
          <w:p w14:paraId="09BA3687"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[0.0000; 2447.3030]</w:t>
            </w:r>
          </w:p>
        </w:tc>
        <w:tc>
          <w:tcPr>
            <w:tcW w:w="895" w:type="dxa"/>
            <w:vAlign w:val="center"/>
          </w:tcPr>
          <w:p w14:paraId="47CA92D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0.2787</w:t>
            </w:r>
          </w:p>
        </w:tc>
        <w:tc>
          <w:tcPr>
            <w:tcW w:w="550" w:type="dxa"/>
            <w:vAlign w:val="center"/>
          </w:tcPr>
          <w:p w14:paraId="416F1120"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58DDA9FC" w14:textId="77777777" w:rsidTr="00BE1880">
        <w:tc>
          <w:tcPr>
            <w:tcW w:w="2154" w:type="dxa"/>
            <w:vAlign w:val="center"/>
          </w:tcPr>
          <w:p w14:paraId="1D93333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Omitting Lakoh, Williams et al.</w:t>
            </w:r>
          </w:p>
        </w:tc>
        <w:tc>
          <w:tcPr>
            <w:tcW w:w="688" w:type="dxa"/>
            <w:vAlign w:val="center"/>
          </w:tcPr>
          <w:p w14:paraId="33213547"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896.6000</w:t>
            </w:r>
          </w:p>
        </w:tc>
        <w:tc>
          <w:tcPr>
            <w:tcW w:w="1404" w:type="dxa"/>
            <w:vAlign w:val="center"/>
          </w:tcPr>
          <w:p w14:paraId="1C05AC47"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1212747.3800</w:t>
            </w:r>
          </w:p>
        </w:tc>
        <w:tc>
          <w:tcPr>
            <w:tcW w:w="1405" w:type="dxa"/>
            <w:vAlign w:val="center"/>
          </w:tcPr>
          <w:p w14:paraId="20AEDE3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1101.2481</w:t>
            </w:r>
          </w:p>
        </w:tc>
        <w:tc>
          <w:tcPr>
            <w:tcW w:w="1406" w:type="dxa"/>
            <w:vAlign w:val="center"/>
          </w:tcPr>
          <w:p w14:paraId="6F8F7CD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100.0%</w:t>
            </w:r>
          </w:p>
        </w:tc>
        <w:tc>
          <w:tcPr>
            <w:tcW w:w="1134" w:type="dxa"/>
            <w:vAlign w:val="center"/>
          </w:tcPr>
          <w:p w14:paraId="6EB5C31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[0.0000; 2422.8240]</w:t>
            </w:r>
          </w:p>
        </w:tc>
        <w:tc>
          <w:tcPr>
            <w:tcW w:w="895" w:type="dxa"/>
            <w:vAlign w:val="center"/>
          </w:tcPr>
          <w:p w14:paraId="4E0A01A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0.2496</w:t>
            </w:r>
          </w:p>
        </w:tc>
        <w:tc>
          <w:tcPr>
            <w:tcW w:w="550" w:type="dxa"/>
            <w:vAlign w:val="center"/>
          </w:tcPr>
          <w:p w14:paraId="70ED40D9"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1E4E560C" w14:textId="77777777" w:rsidTr="00BE1880">
        <w:tc>
          <w:tcPr>
            <w:tcW w:w="2154" w:type="dxa"/>
            <w:vAlign w:val="center"/>
          </w:tcPr>
          <w:p w14:paraId="4ACF0AC7" w14:textId="77777777" w:rsidR="00BE1880" w:rsidRPr="000365ED" w:rsidRDefault="00BE1880" w:rsidP="00BE1880">
            <w:pPr>
              <w:pStyle w:val="TableContents"/>
              <w:rPr>
                <w:rFonts w:ascii="Times New Roman" w:hAnsi="Times New Roman" w:cs="Times New Roman"/>
                <w:sz w:val="20"/>
                <w:szCs w:val="20"/>
              </w:rPr>
            </w:pPr>
          </w:p>
        </w:tc>
        <w:tc>
          <w:tcPr>
            <w:tcW w:w="688" w:type="dxa"/>
            <w:vAlign w:val="center"/>
          </w:tcPr>
          <w:p w14:paraId="03DD5328" w14:textId="77777777" w:rsidR="00BE1880" w:rsidRPr="000365ED" w:rsidRDefault="00BE1880" w:rsidP="00BE1880">
            <w:pPr>
              <w:pStyle w:val="TableContents"/>
              <w:rPr>
                <w:rFonts w:ascii="Times New Roman" w:hAnsi="Times New Roman" w:cs="Times New Roman"/>
                <w:sz w:val="20"/>
                <w:szCs w:val="20"/>
              </w:rPr>
            </w:pPr>
          </w:p>
        </w:tc>
        <w:tc>
          <w:tcPr>
            <w:tcW w:w="1404" w:type="dxa"/>
            <w:vAlign w:val="center"/>
          </w:tcPr>
          <w:p w14:paraId="5CCBD75B" w14:textId="77777777" w:rsidR="00BE1880" w:rsidRPr="000365ED" w:rsidRDefault="00BE1880" w:rsidP="00BE1880">
            <w:pPr>
              <w:pStyle w:val="TableContents"/>
              <w:rPr>
                <w:rFonts w:ascii="Times New Roman" w:hAnsi="Times New Roman" w:cs="Times New Roman"/>
                <w:sz w:val="20"/>
                <w:szCs w:val="20"/>
              </w:rPr>
            </w:pPr>
          </w:p>
        </w:tc>
        <w:tc>
          <w:tcPr>
            <w:tcW w:w="1405" w:type="dxa"/>
            <w:vAlign w:val="center"/>
          </w:tcPr>
          <w:p w14:paraId="1311B63F" w14:textId="77777777" w:rsidR="00BE1880" w:rsidRPr="000365ED" w:rsidRDefault="00BE1880" w:rsidP="00BE1880">
            <w:pPr>
              <w:pStyle w:val="TableContents"/>
              <w:rPr>
                <w:rFonts w:ascii="Times New Roman" w:hAnsi="Times New Roman" w:cs="Times New Roman"/>
                <w:sz w:val="20"/>
                <w:szCs w:val="20"/>
              </w:rPr>
            </w:pPr>
          </w:p>
        </w:tc>
        <w:tc>
          <w:tcPr>
            <w:tcW w:w="1406" w:type="dxa"/>
            <w:vAlign w:val="center"/>
          </w:tcPr>
          <w:p w14:paraId="29894FDA" w14:textId="77777777" w:rsidR="00BE1880" w:rsidRPr="000365ED" w:rsidRDefault="00BE1880" w:rsidP="00BE1880">
            <w:pPr>
              <w:pStyle w:val="TableContents"/>
              <w:rPr>
                <w:rFonts w:ascii="Times New Roman" w:hAnsi="Times New Roman" w:cs="Times New Roman"/>
                <w:sz w:val="20"/>
                <w:szCs w:val="20"/>
              </w:rPr>
            </w:pPr>
          </w:p>
        </w:tc>
        <w:tc>
          <w:tcPr>
            <w:tcW w:w="1134" w:type="dxa"/>
            <w:vAlign w:val="center"/>
          </w:tcPr>
          <w:p w14:paraId="13C9242E" w14:textId="77777777" w:rsidR="00BE1880" w:rsidRPr="000365ED" w:rsidRDefault="00BE1880" w:rsidP="00BE1880">
            <w:pPr>
              <w:pStyle w:val="TableContents"/>
              <w:rPr>
                <w:rFonts w:ascii="Times New Roman" w:hAnsi="Times New Roman" w:cs="Times New Roman"/>
                <w:sz w:val="20"/>
                <w:szCs w:val="20"/>
              </w:rPr>
            </w:pPr>
          </w:p>
        </w:tc>
        <w:tc>
          <w:tcPr>
            <w:tcW w:w="895" w:type="dxa"/>
            <w:vAlign w:val="center"/>
          </w:tcPr>
          <w:p w14:paraId="267DC537" w14:textId="77777777" w:rsidR="00BE1880" w:rsidRPr="000365ED" w:rsidRDefault="00BE1880" w:rsidP="00BE1880">
            <w:pPr>
              <w:pStyle w:val="TableContents"/>
              <w:rPr>
                <w:rFonts w:ascii="Times New Roman" w:hAnsi="Times New Roman" w:cs="Times New Roman"/>
                <w:sz w:val="20"/>
                <w:szCs w:val="20"/>
              </w:rPr>
            </w:pPr>
          </w:p>
        </w:tc>
        <w:tc>
          <w:tcPr>
            <w:tcW w:w="550" w:type="dxa"/>
            <w:vAlign w:val="center"/>
          </w:tcPr>
          <w:p w14:paraId="420393EA"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1376F1C7" w14:textId="77777777" w:rsidTr="00BE1880">
        <w:tc>
          <w:tcPr>
            <w:tcW w:w="2154" w:type="dxa"/>
            <w:vAlign w:val="center"/>
          </w:tcPr>
          <w:p w14:paraId="3E47BC43"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Parameter</w:t>
            </w:r>
          </w:p>
        </w:tc>
        <w:tc>
          <w:tcPr>
            <w:tcW w:w="688" w:type="dxa"/>
            <w:vAlign w:val="center"/>
          </w:tcPr>
          <w:p w14:paraId="610E2F21"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Rate</w:t>
            </w:r>
          </w:p>
        </w:tc>
        <w:tc>
          <w:tcPr>
            <w:tcW w:w="1404" w:type="dxa"/>
            <w:vAlign w:val="center"/>
          </w:tcPr>
          <w:p w14:paraId="7832E831"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tau^2</w:t>
            </w:r>
          </w:p>
        </w:tc>
        <w:tc>
          <w:tcPr>
            <w:tcW w:w="1405" w:type="dxa"/>
            <w:vAlign w:val="center"/>
          </w:tcPr>
          <w:p w14:paraId="54028C8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tau</w:t>
            </w:r>
          </w:p>
        </w:tc>
        <w:tc>
          <w:tcPr>
            <w:tcW w:w="1406" w:type="dxa"/>
            <w:vAlign w:val="center"/>
          </w:tcPr>
          <w:p w14:paraId="00D5B9BD"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I^2</w:t>
            </w:r>
          </w:p>
        </w:tc>
        <w:tc>
          <w:tcPr>
            <w:tcW w:w="1134" w:type="dxa"/>
            <w:vAlign w:val="center"/>
          </w:tcPr>
          <w:p w14:paraId="22433EF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95%-CI</w:t>
            </w:r>
          </w:p>
        </w:tc>
        <w:tc>
          <w:tcPr>
            <w:tcW w:w="895" w:type="dxa"/>
            <w:vAlign w:val="center"/>
          </w:tcPr>
          <w:p w14:paraId="08D318C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p-value</w:t>
            </w:r>
          </w:p>
        </w:tc>
        <w:tc>
          <w:tcPr>
            <w:tcW w:w="550" w:type="dxa"/>
            <w:vAlign w:val="center"/>
          </w:tcPr>
          <w:p w14:paraId="256AF648"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5EC6A956" w14:textId="77777777" w:rsidTr="00BE1880">
        <w:tc>
          <w:tcPr>
            <w:tcW w:w="2154" w:type="dxa"/>
            <w:vAlign w:val="center"/>
          </w:tcPr>
          <w:p w14:paraId="5526114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Pooled estimate</w:t>
            </w:r>
          </w:p>
        </w:tc>
        <w:tc>
          <w:tcPr>
            <w:tcW w:w="688" w:type="dxa"/>
            <w:vAlign w:val="center"/>
          </w:tcPr>
          <w:p w14:paraId="3072D3C3"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620.03</w:t>
            </w:r>
            <w:r w:rsidRPr="000365ED">
              <w:rPr>
                <w:rFonts w:ascii="Times New Roman" w:hAnsi="Times New Roman" w:cs="Times New Roman"/>
                <w:sz w:val="20"/>
                <w:szCs w:val="20"/>
              </w:rPr>
              <w:lastRenderedPageBreak/>
              <w:t>33</w:t>
            </w:r>
          </w:p>
        </w:tc>
        <w:tc>
          <w:tcPr>
            <w:tcW w:w="1404" w:type="dxa"/>
            <w:vAlign w:val="center"/>
          </w:tcPr>
          <w:p w14:paraId="4032A9B8"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lastRenderedPageBreak/>
              <w:t>347054.3985</w:t>
            </w:r>
          </w:p>
        </w:tc>
        <w:tc>
          <w:tcPr>
            <w:tcW w:w="1405" w:type="dxa"/>
            <w:vAlign w:val="center"/>
          </w:tcPr>
          <w:p w14:paraId="72A5D56D"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589.1132</w:t>
            </w:r>
          </w:p>
        </w:tc>
        <w:tc>
          <w:tcPr>
            <w:tcW w:w="1406" w:type="dxa"/>
            <w:vAlign w:val="center"/>
          </w:tcPr>
          <w:p w14:paraId="5EF9B1C7"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100.0%</w:t>
            </w:r>
          </w:p>
        </w:tc>
        <w:tc>
          <w:tcPr>
            <w:tcW w:w="1134" w:type="dxa"/>
            <w:vAlign w:val="center"/>
          </w:tcPr>
          <w:p w14:paraId="2C2610D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 xml:space="preserve">[-46.5988; </w:t>
            </w:r>
            <w:r w:rsidRPr="000365ED">
              <w:rPr>
                <w:rFonts w:ascii="Times New Roman" w:hAnsi="Times New Roman" w:cs="Times New Roman"/>
                <w:sz w:val="20"/>
                <w:szCs w:val="20"/>
              </w:rPr>
              <w:lastRenderedPageBreak/>
              <w:t>1286.6655]</w:t>
            </w:r>
          </w:p>
        </w:tc>
        <w:tc>
          <w:tcPr>
            <w:tcW w:w="895" w:type="dxa"/>
            <w:vAlign w:val="center"/>
          </w:tcPr>
          <w:p w14:paraId="4B5FB628"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lastRenderedPageBreak/>
              <w:t>0.0683</w:t>
            </w:r>
          </w:p>
        </w:tc>
        <w:tc>
          <w:tcPr>
            <w:tcW w:w="550" w:type="dxa"/>
            <w:vAlign w:val="center"/>
          </w:tcPr>
          <w:p w14:paraId="31DBF805" w14:textId="77777777" w:rsidR="00BE1880" w:rsidRPr="000365ED" w:rsidRDefault="00BE1880" w:rsidP="00BE1880">
            <w:pPr>
              <w:pStyle w:val="TableContents"/>
              <w:rPr>
                <w:rFonts w:ascii="Times New Roman" w:hAnsi="Times New Roman" w:cs="Times New Roman"/>
                <w:sz w:val="20"/>
                <w:szCs w:val="20"/>
              </w:rPr>
            </w:pPr>
          </w:p>
        </w:tc>
      </w:tr>
    </w:tbl>
    <w:p w14:paraId="065B3A10" w14:textId="77777777" w:rsidR="00BE1880" w:rsidRPr="000365ED" w:rsidRDefault="00BE1880" w:rsidP="00BE1880">
      <w:pPr>
        <w:rPr>
          <w:rFonts w:ascii="Times New Roman" w:hAnsi="Times New Roman" w:cs="Times New Roman"/>
          <w:sz w:val="20"/>
          <w:szCs w:val="20"/>
        </w:rPr>
      </w:pPr>
    </w:p>
    <w:p w14:paraId="74CF27EA" w14:textId="77777777" w:rsidR="00BE1880" w:rsidRPr="000365ED" w:rsidRDefault="00BE1880" w:rsidP="00BE1880">
      <w:pPr>
        <w:rPr>
          <w:rFonts w:ascii="Times New Roman" w:hAnsi="Times New Roman" w:cs="Times New Roman"/>
          <w:sz w:val="20"/>
          <w:szCs w:val="20"/>
        </w:rPr>
      </w:pPr>
    </w:p>
    <w:p w14:paraId="4A3B2D60" w14:textId="77777777" w:rsidR="00BE1880" w:rsidRPr="000365ED" w:rsidRDefault="00BE1880" w:rsidP="00BE1880">
      <w:pPr>
        <w:rPr>
          <w:rFonts w:ascii="Times New Roman" w:hAnsi="Times New Roman" w:cs="Times New Roman"/>
          <w:sz w:val="20"/>
          <w:szCs w:val="20"/>
        </w:rPr>
      </w:pPr>
    </w:p>
    <w:p w14:paraId="5B488EF8" w14:textId="77777777" w:rsidR="00BE1880" w:rsidRPr="000365ED" w:rsidRDefault="00BE1880" w:rsidP="00BE1880">
      <w:pPr>
        <w:rPr>
          <w:rFonts w:ascii="Times New Roman" w:hAnsi="Times New Roman" w:cs="Times New Roman"/>
          <w:sz w:val="20"/>
          <w:szCs w:val="20"/>
        </w:rPr>
      </w:pPr>
    </w:p>
    <w:p w14:paraId="09A1AACC" w14:textId="77777777" w:rsidR="00BE1880" w:rsidRPr="000365ED" w:rsidRDefault="00BE1880" w:rsidP="00BE1880">
      <w:pPr>
        <w:rPr>
          <w:rFonts w:ascii="Times New Roman" w:hAnsi="Times New Roman" w:cs="Times New Roman"/>
          <w:sz w:val="20"/>
          <w:szCs w:val="20"/>
        </w:rPr>
      </w:pPr>
    </w:p>
    <w:p w14:paraId="1A21FA66" w14:textId="77777777" w:rsidR="00BE1880" w:rsidRPr="000365ED" w:rsidRDefault="00BE1880" w:rsidP="00BE1880">
      <w:pPr>
        <w:rPr>
          <w:rFonts w:ascii="Times New Roman" w:hAnsi="Times New Roman" w:cs="Times New Roman"/>
          <w:sz w:val="20"/>
          <w:szCs w:val="20"/>
        </w:rPr>
      </w:pPr>
    </w:p>
    <w:p w14:paraId="71F4DB2F" w14:textId="77777777" w:rsidR="00BE1880" w:rsidRPr="000365ED" w:rsidRDefault="00BE1880" w:rsidP="00BE1880">
      <w:pPr>
        <w:rPr>
          <w:rFonts w:ascii="Times New Roman" w:hAnsi="Times New Roman" w:cs="Times New Roman"/>
          <w:sz w:val="20"/>
          <w:szCs w:val="20"/>
        </w:rPr>
      </w:pPr>
    </w:p>
    <w:p w14:paraId="5989867F" w14:textId="77777777" w:rsidR="00BE1880" w:rsidRPr="000365ED" w:rsidRDefault="00BE1880" w:rsidP="00BE1880">
      <w:pPr>
        <w:rPr>
          <w:rFonts w:ascii="Times New Roman" w:hAnsi="Times New Roman" w:cs="Times New Roman"/>
          <w:sz w:val="20"/>
          <w:szCs w:val="20"/>
        </w:rPr>
      </w:pPr>
      <w:r w:rsidRPr="000365ED">
        <w:rPr>
          <w:rFonts w:ascii="Times New Roman" w:hAnsi="Times New Roman" w:cs="Times New Roman"/>
          <w:sz w:val="20"/>
          <w:szCs w:val="20"/>
        </w:rPr>
        <w:t>Table 6: Antibiotic consumption subgroup analysis results</w:t>
      </w:r>
    </w:p>
    <w:p w14:paraId="0BF989AF" w14:textId="77777777" w:rsidR="00BE1880" w:rsidRPr="000365ED" w:rsidRDefault="00BE1880" w:rsidP="00BE1880">
      <w:pPr>
        <w:rPr>
          <w:rFonts w:ascii="Times New Roman" w:hAnsi="Times New Roman" w:cs="Times New Roman"/>
          <w:sz w:val="20"/>
          <w:szCs w:val="20"/>
        </w:rPr>
      </w:pPr>
    </w:p>
    <w:tbl>
      <w:tblPr>
        <w:tblW w:w="9638" w:type="dxa"/>
        <w:tblLayout w:type="fixed"/>
        <w:tblCellMar>
          <w:top w:w="28" w:type="dxa"/>
          <w:left w:w="28" w:type="dxa"/>
          <w:bottom w:w="28" w:type="dxa"/>
          <w:right w:w="28" w:type="dxa"/>
        </w:tblCellMar>
        <w:tblLook w:val="04A0" w:firstRow="1" w:lastRow="0" w:firstColumn="1" w:lastColumn="0" w:noHBand="0" w:noVBand="1"/>
      </w:tblPr>
      <w:tblGrid>
        <w:gridCol w:w="1667"/>
        <w:gridCol w:w="1515"/>
        <w:gridCol w:w="3204"/>
        <w:gridCol w:w="1625"/>
        <w:gridCol w:w="1627"/>
      </w:tblGrid>
      <w:tr w:rsidR="00BE1880" w:rsidRPr="000365ED" w14:paraId="418C7AE3" w14:textId="77777777" w:rsidTr="00BE1880">
        <w:trPr>
          <w:tblHeader/>
        </w:trPr>
        <w:tc>
          <w:tcPr>
            <w:tcW w:w="1667" w:type="dxa"/>
            <w:vAlign w:val="center"/>
          </w:tcPr>
          <w:p w14:paraId="7F23C65A"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Duration of study</w:t>
            </w:r>
          </w:p>
        </w:tc>
        <w:tc>
          <w:tcPr>
            <w:tcW w:w="1515" w:type="dxa"/>
            <w:vAlign w:val="center"/>
          </w:tcPr>
          <w:p w14:paraId="1A7D6B5A"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Rate</w:t>
            </w:r>
          </w:p>
        </w:tc>
        <w:tc>
          <w:tcPr>
            <w:tcW w:w="3204" w:type="dxa"/>
            <w:vAlign w:val="center"/>
          </w:tcPr>
          <w:p w14:paraId="588C0A86"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95%-CI</w:t>
            </w:r>
          </w:p>
        </w:tc>
        <w:tc>
          <w:tcPr>
            <w:tcW w:w="1625" w:type="dxa"/>
            <w:vAlign w:val="center"/>
          </w:tcPr>
          <w:p w14:paraId="0F7CA4AD" w14:textId="77777777" w:rsidR="00BE1880" w:rsidRPr="000365ED" w:rsidRDefault="00BE1880" w:rsidP="00BE1880">
            <w:pPr>
              <w:pStyle w:val="TableHeading"/>
              <w:rPr>
                <w:rFonts w:ascii="Times New Roman" w:hAnsi="Times New Roman" w:cs="Times New Roman"/>
                <w:sz w:val="20"/>
                <w:szCs w:val="20"/>
              </w:rPr>
            </w:pPr>
            <w:r w:rsidRPr="000365ED">
              <w:rPr>
                <w:rFonts w:ascii="Times New Roman" w:hAnsi="Times New Roman" w:cs="Times New Roman"/>
                <w:sz w:val="20"/>
                <w:szCs w:val="20"/>
              </w:rPr>
              <w:t>%W(random)</w:t>
            </w:r>
          </w:p>
        </w:tc>
        <w:tc>
          <w:tcPr>
            <w:tcW w:w="1627" w:type="dxa"/>
            <w:vAlign w:val="center"/>
          </w:tcPr>
          <w:p w14:paraId="3BC64D33" w14:textId="77777777" w:rsidR="00BE1880" w:rsidRPr="000365ED" w:rsidRDefault="00BE1880" w:rsidP="00BE1880">
            <w:pPr>
              <w:pStyle w:val="TableHeading"/>
              <w:rPr>
                <w:rFonts w:ascii="Times New Roman" w:hAnsi="Times New Roman" w:cs="Times New Roman"/>
                <w:sz w:val="20"/>
                <w:szCs w:val="20"/>
              </w:rPr>
            </w:pPr>
          </w:p>
        </w:tc>
      </w:tr>
      <w:tr w:rsidR="00BE1880" w:rsidRPr="000365ED" w14:paraId="382C57AF" w14:textId="77777777" w:rsidTr="00BE1880">
        <w:tc>
          <w:tcPr>
            <w:tcW w:w="1667" w:type="dxa"/>
            <w:vAlign w:val="center"/>
          </w:tcPr>
          <w:p w14:paraId="45533CBE" w14:textId="77777777" w:rsidR="00BE1880" w:rsidRPr="000365ED" w:rsidRDefault="00BE1880" w:rsidP="00BE1880">
            <w:pPr>
              <w:pStyle w:val="TableContents"/>
              <w:rPr>
                <w:rFonts w:ascii="Times New Roman" w:hAnsi="Times New Roman" w:cs="Times New Roman"/>
                <w:sz w:val="20"/>
                <w:szCs w:val="20"/>
              </w:rPr>
            </w:pPr>
            <w:proofErr w:type="spellStart"/>
            <w:r w:rsidRPr="000365ED">
              <w:rPr>
                <w:rFonts w:ascii="Times New Roman" w:hAnsi="Times New Roman" w:cs="Times New Roman"/>
                <w:sz w:val="20"/>
                <w:szCs w:val="20"/>
              </w:rPr>
              <w:t>Less_than_one</w:t>
            </w:r>
            <w:proofErr w:type="spellEnd"/>
          </w:p>
        </w:tc>
        <w:tc>
          <w:tcPr>
            <w:tcW w:w="1515" w:type="dxa"/>
            <w:vAlign w:val="center"/>
          </w:tcPr>
          <w:p w14:paraId="254E1C8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1469.0000</w:t>
            </w:r>
          </w:p>
        </w:tc>
        <w:tc>
          <w:tcPr>
            <w:tcW w:w="3204" w:type="dxa"/>
            <w:vAlign w:val="center"/>
          </w:tcPr>
          <w:p w14:paraId="40A9B9F7"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[1468.9989; 1469.0011]</w:t>
            </w:r>
          </w:p>
        </w:tc>
        <w:tc>
          <w:tcPr>
            <w:tcW w:w="1625" w:type="dxa"/>
            <w:vAlign w:val="center"/>
          </w:tcPr>
          <w:p w14:paraId="4A501EC8"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50.0</w:t>
            </w:r>
          </w:p>
        </w:tc>
        <w:tc>
          <w:tcPr>
            <w:tcW w:w="1627" w:type="dxa"/>
            <w:vAlign w:val="center"/>
          </w:tcPr>
          <w:p w14:paraId="7EB9C7A1"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5FF9F34A" w14:textId="77777777" w:rsidTr="00BE1880">
        <w:tc>
          <w:tcPr>
            <w:tcW w:w="1667" w:type="dxa"/>
            <w:vAlign w:val="center"/>
          </w:tcPr>
          <w:p w14:paraId="182CB981" w14:textId="77777777" w:rsidR="00BE1880" w:rsidRPr="000365ED" w:rsidRDefault="00BE1880" w:rsidP="00BE1880">
            <w:pPr>
              <w:pStyle w:val="TableContents"/>
              <w:rPr>
                <w:rFonts w:ascii="Times New Roman" w:hAnsi="Times New Roman" w:cs="Times New Roman"/>
                <w:sz w:val="20"/>
                <w:szCs w:val="20"/>
              </w:rPr>
            </w:pPr>
            <w:proofErr w:type="spellStart"/>
            <w:r w:rsidRPr="000365ED">
              <w:rPr>
                <w:rFonts w:ascii="Times New Roman" w:hAnsi="Times New Roman" w:cs="Times New Roman"/>
                <w:sz w:val="20"/>
                <w:szCs w:val="20"/>
              </w:rPr>
              <w:t>More_than_one</w:t>
            </w:r>
            <w:proofErr w:type="spellEnd"/>
          </w:p>
        </w:tc>
        <w:tc>
          <w:tcPr>
            <w:tcW w:w="1515" w:type="dxa"/>
            <w:vAlign w:val="center"/>
          </w:tcPr>
          <w:p w14:paraId="06D5570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2629786.0000</w:t>
            </w:r>
          </w:p>
        </w:tc>
        <w:tc>
          <w:tcPr>
            <w:tcW w:w="3204" w:type="dxa"/>
            <w:vAlign w:val="center"/>
          </w:tcPr>
          <w:p w14:paraId="4178F7E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[2629786.0000; 2629786.0000]</w:t>
            </w:r>
          </w:p>
        </w:tc>
        <w:tc>
          <w:tcPr>
            <w:tcW w:w="1625" w:type="dxa"/>
            <w:vAlign w:val="center"/>
          </w:tcPr>
          <w:p w14:paraId="58CBD1AE"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50.0</w:t>
            </w:r>
          </w:p>
        </w:tc>
        <w:tc>
          <w:tcPr>
            <w:tcW w:w="1627" w:type="dxa"/>
            <w:vAlign w:val="center"/>
          </w:tcPr>
          <w:p w14:paraId="1E37DBDA"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35C749A1" w14:textId="77777777" w:rsidTr="00BE1880">
        <w:tc>
          <w:tcPr>
            <w:tcW w:w="1667" w:type="dxa"/>
            <w:vAlign w:val="center"/>
          </w:tcPr>
          <w:p w14:paraId="12F74776" w14:textId="77777777" w:rsidR="00BE1880" w:rsidRPr="000365ED" w:rsidRDefault="00BE1880" w:rsidP="00BE1880">
            <w:pPr>
              <w:pStyle w:val="TableContents"/>
              <w:rPr>
                <w:rFonts w:ascii="Times New Roman" w:hAnsi="Times New Roman" w:cs="Times New Roman"/>
                <w:sz w:val="20"/>
                <w:szCs w:val="20"/>
              </w:rPr>
            </w:pPr>
          </w:p>
        </w:tc>
        <w:tc>
          <w:tcPr>
            <w:tcW w:w="1515" w:type="dxa"/>
            <w:vAlign w:val="center"/>
          </w:tcPr>
          <w:p w14:paraId="337D2AB9" w14:textId="77777777" w:rsidR="00BE1880" w:rsidRPr="000365ED" w:rsidRDefault="00BE1880" w:rsidP="00BE1880">
            <w:pPr>
              <w:pStyle w:val="TableContents"/>
              <w:rPr>
                <w:rFonts w:ascii="Times New Roman" w:hAnsi="Times New Roman" w:cs="Times New Roman"/>
                <w:sz w:val="20"/>
                <w:szCs w:val="20"/>
              </w:rPr>
            </w:pPr>
          </w:p>
        </w:tc>
        <w:tc>
          <w:tcPr>
            <w:tcW w:w="3204" w:type="dxa"/>
            <w:vAlign w:val="center"/>
          </w:tcPr>
          <w:p w14:paraId="63DCBF2A"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269EA4CC"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2F24E739"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454040B7" w14:textId="77777777" w:rsidTr="00BE1880">
        <w:tc>
          <w:tcPr>
            <w:tcW w:w="1667" w:type="dxa"/>
            <w:vAlign w:val="center"/>
          </w:tcPr>
          <w:p w14:paraId="396069C0" w14:textId="77777777" w:rsidR="00BE1880" w:rsidRPr="000365ED" w:rsidRDefault="00BE1880" w:rsidP="00BE1880">
            <w:pPr>
              <w:widowControl w:val="0"/>
              <w:rPr>
                <w:rFonts w:ascii="Times New Roman" w:hAnsi="Times New Roman" w:cs="Times New Roman"/>
                <w:sz w:val="20"/>
                <w:szCs w:val="20"/>
              </w:rPr>
            </w:pPr>
            <w:r w:rsidRPr="000365ED">
              <w:rPr>
                <w:rFonts w:ascii="Times New Roman" w:hAnsi="Times New Roman" w:cs="Times New Roman"/>
                <w:sz w:val="20"/>
                <w:szCs w:val="20"/>
              </w:rPr>
              <w:t>Number of studies combined:</w:t>
            </w:r>
          </w:p>
        </w:tc>
        <w:tc>
          <w:tcPr>
            <w:tcW w:w="1515" w:type="dxa"/>
            <w:vAlign w:val="center"/>
          </w:tcPr>
          <w:p w14:paraId="42C5B06F" w14:textId="77777777" w:rsidR="00BE1880" w:rsidRPr="000365ED" w:rsidRDefault="00BE1880" w:rsidP="00BE1880">
            <w:pPr>
              <w:widowControl w:val="0"/>
              <w:rPr>
                <w:rFonts w:ascii="Times New Roman" w:hAnsi="Times New Roman" w:cs="Times New Roman"/>
                <w:sz w:val="20"/>
                <w:szCs w:val="20"/>
              </w:rPr>
            </w:pPr>
            <w:r w:rsidRPr="000365ED">
              <w:rPr>
                <w:rFonts w:ascii="Times New Roman" w:hAnsi="Times New Roman" w:cs="Times New Roman"/>
                <w:sz w:val="20"/>
                <w:szCs w:val="20"/>
              </w:rPr>
              <w:t xml:space="preserve"> k = 2</w:t>
            </w:r>
          </w:p>
        </w:tc>
        <w:tc>
          <w:tcPr>
            <w:tcW w:w="3204" w:type="dxa"/>
            <w:vAlign w:val="center"/>
          </w:tcPr>
          <w:p w14:paraId="350E6951"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04EB1DD9"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4AE4C401"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76851348" w14:textId="77777777" w:rsidTr="00BE1880">
        <w:tc>
          <w:tcPr>
            <w:tcW w:w="1667" w:type="dxa"/>
            <w:vAlign w:val="center"/>
          </w:tcPr>
          <w:p w14:paraId="4CFF8AF7" w14:textId="77777777" w:rsidR="00BE1880" w:rsidRPr="000365ED" w:rsidRDefault="00BE1880" w:rsidP="00BE1880">
            <w:pPr>
              <w:pStyle w:val="TableContents"/>
              <w:rPr>
                <w:rFonts w:ascii="Times New Roman" w:hAnsi="Times New Roman" w:cs="Times New Roman"/>
                <w:sz w:val="20"/>
                <w:szCs w:val="20"/>
              </w:rPr>
            </w:pPr>
          </w:p>
        </w:tc>
        <w:tc>
          <w:tcPr>
            <w:tcW w:w="1515" w:type="dxa"/>
            <w:vAlign w:val="center"/>
          </w:tcPr>
          <w:p w14:paraId="02830172" w14:textId="77777777" w:rsidR="00BE1880" w:rsidRPr="000365ED" w:rsidRDefault="00BE1880" w:rsidP="00BE1880">
            <w:pPr>
              <w:pStyle w:val="TableContents"/>
              <w:rPr>
                <w:rFonts w:ascii="Times New Roman" w:hAnsi="Times New Roman" w:cs="Times New Roman"/>
                <w:sz w:val="20"/>
                <w:szCs w:val="20"/>
              </w:rPr>
            </w:pPr>
          </w:p>
        </w:tc>
        <w:tc>
          <w:tcPr>
            <w:tcW w:w="3204" w:type="dxa"/>
            <w:vAlign w:val="center"/>
          </w:tcPr>
          <w:p w14:paraId="76DB327A"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522C57C6"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0A30359A"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5FB5FC48" w14:textId="77777777" w:rsidTr="00BE1880">
        <w:tc>
          <w:tcPr>
            <w:tcW w:w="1667" w:type="dxa"/>
            <w:vAlign w:val="center"/>
          </w:tcPr>
          <w:p w14:paraId="6A41B627"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Parameter</w:t>
            </w:r>
          </w:p>
        </w:tc>
        <w:tc>
          <w:tcPr>
            <w:tcW w:w="1515" w:type="dxa"/>
            <w:vAlign w:val="center"/>
          </w:tcPr>
          <w:p w14:paraId="75F5DFE4"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Value</w:t>
            </w:r>
          </w:p>
        </w:tc>
        <w:tc>
          <w:tcPr>
            <w:tcW w:w="3204" w:type="dxa"/>
            <w:vAlign w:val="center"/>
          </w:tcPr>
          <w:p w14:paraId="749B12FA"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7C340969"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735A0670"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26281C6E" w14:textId="77777777" w:rsidTr="00BE1880">
        <w:tc>
          <w:tcPr>
            <w:tcW w:w="1667" w:type="dxa"/>
            <w:vAlign w:val="center"/>
          </w:tcPr>
          <w:p w14:paraId="639C5143"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tau^2</w:t>
            </w:r>
          </w:p>
        </w:tc>
        <w:tc>
          <w:tcPr>
            <w:tcW w:w="1515" w:type="dxa"/>
            <w:vAlign w:val="center"/>
          </w:tcPr>
          <w:p w14:paraId="7EE661E2"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3454025126211.5425</w:t>
            </w:r>
          </w:p>
        </w:tc>
        <w:tc>
          <w:tcPr>
            <w:tcW w:w="3204" w:type="dxa"/>
            <w:vAlign w:val="center"/>
          </w:tcPr>
          <w:p w14:paraId="6746268B"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09417DB0"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307F7E96"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5EDCFF13" w14:textId="77777777" w:rsidTr="00BE1880">
        <w:tc>
          <w:tcPr>
            <w:tcW w:w="1667" w:type="dxa"/>
            <w:vAlign w:val="center"/>
          </w:tcPr>
          <w:p w14:paraId="6BD77CED"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tau</w:t>
            </w:r>
          </w:p>
        </w:tc>
        <w:tc>
          <w:tcPr>
            <w:tcW w:w="1515" w:type="dxa"/>
            <w:vAlign w:val="center"/>
          </w:tcPr>
          <w:p w14:paraId="44E08F8D"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1858500.7738</w:t>
            </w:r>
          </w:p>
        </w:tc>
        <w:tc>
          <w:tcPr>
            <w:tcW w:w="3204" w:type="dxa"/>
            <w:vAlign w:val="center"/>
          </w:tcPr>
          <w:p w14:paraId="75EFED02"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10646F4C"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780E7CF7"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2B1669A6" w14:textId="77777777" w:rsidTr="00BE1880">
        <w:tc>
          <w:tcPr>
            <w:tcW w:w="1667" w:type="dxa"/>
            <w:vAlign w:val="center"/>
          </w:tcPr>
          <w:p w14:paraId="5F3252BE"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I^2</w:t>
            </w:r>
          </w:p>
        </w:tc>
        <w:tc>
          <w:tcPr>
            <w:tcW w:w="1515" w:type="dxa"/>
            <w:vAlign w:val="center"/>
          </w:tcPr>
          <w:p w14:paraId="289D30D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100.0%</w:t>
            </w:r>
          </w:p>
        </w:tc>
        <w:tc>
          <w:tcPr>
            <w:tcW w:w="3204" w:type="dxa"/>
            <w:vAlign w:val="center"/>
          </w:tcPr>
          <w:p w14:paraId="3168996E"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14D2D034"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768A1A0D"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390C42EF" w14:textId="77777777" w:rsidTr="00BE1880">
        <w:tc>
          <w:tcPr>
            <w:tcW w:w="1667" w:type="dxa"/>
            <w:vAlign w:val="center"/>
          </w:tcPr>
          <w:p w14:paraId="15DFC1C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H</w:t>
            </w:r>
          </w:p>
        </w:tc>
        <w:tc>
          <w:tcPr>
            <w:tcW w:w="1515" w:type="dxa"/>
            <w:vAlign w:val="center"/>
          </w:tcPr>
          <w:p w14:paraId="441992C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4888924448.67</w:t>
            </w:r>
          </w:p>
        </w:tc>
        <w:tc>
          <w:tcPr>
            <w:tcW w:w="3204" w:type="dxa"/>
            <w:vAlign w:val="center"/>
          </w:tcPr>
          <w:p w14:paraId="2421ECC9"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4485AFD7"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57B79642"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7AE6FE53" w14:textId="77777777" w:rsidTr="00BE1880">
        <w:tc>
          <w:tcPr>
            <w:tcW w:w="1667" w:type="dxa"/>
            <w:vAlign w:val="center"/>
          </w:tcPr>
          <w:p w14:paraId="2670A65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95%-CI for H</w:t>
            </w:r>
          </w:p>
        </w:tc>
        <w:tc>
          <w:tcPr>
            <w:tcW w:w="1515" w:type="dxa"/>
            <w:vAlign w:val="center"/>
          </w:tcPr>
          <w:p w14:paraId="4AA91C9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[4888924417.75; 4888924479.59]</w:t>
            </w:r>
          </w:p>
        </w:tc>
        <w:tc>
          <w:tcPr>
            <w:tcW w:w="3204" w:type="dxa"/>
            <w:vAlign w:val="center"/>
          </w:tcPr>
          <w:p w14:paraId="54BA71F2"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0FB22762"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409DA59B"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1B8FF246" w14:textId="77777777" w:rsidTr="00BE1880">
        <w:tc>
          <w:tcPr>
            <w:tcW w:w="1667" w:type="dxa"/>
            <w:vAlign w:val="center"/>
          </w:tcPr>
          <w:p w14:paraId="0AB7C040" w14:textId="77777777" w:rsidR="00BE1880" w:rsidRPr="000365ED" w:rsidRDefault="00BE1880" w:rsidP="00BE1880">
            <w:pPr>
              <w:pStyle w:val="TableContents"/>
              <w:rPr>
                <w:rFonts w:ascii="Times New Roman" w:hAnsi="Times New Roman" w:cs="Times New Roman"/>
                <w:sz w:val="20"/>
                <w:szCs w:val="20"/>
              </w:rPr>
            </w:pPr>
          </w:p>
        </w:tc>
        <w:tc>
          <w:tcPr>
            <w:tcW w:w="1515" w:type="dxa"/>
            <w:vAlign w:val="center"/>
          </w:tcPr>
          <w:p w14:paraId="465701BC" w14:textId="77777777" w:rsidR="00BE1880" w:rsidRPr="000365ED" w:rsidRDefault="00BE1880" w:rsidP="00BE1880">
            <w:pPr>
              <w:pStyle w:val="TableContents"/>
              <w:rPr>
                <w:rFonts w:ascii="Times New Roman" w:hAnsi="Times New Roman" w:cs="Times New Roman"/>
                <w:sz w:val="20"/>
                <w:szCs w:val="20"/>
              </w:rPr>
            </w:pPr>
          </w:p>
        </w:tc>
        <w:tc>
          <w:tcPr>
            <w:tcW w:w="3204" w:type="dxa"/>
            <w:vAlign w:val="center"/>
          </w:tcPr>
          <w:p w14:paraId="12EA62C4"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44DBA809"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39CA28E7"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4D2FD6AA" w14:textId="77777777" w:rsidTr="00BE1880">
        <w:tc>
          <w:tcPr>
            <w:tcW w:w="1667" w:type="dxa"/>
            <w:vAlign w:val="center"/>
          </w:tcPr>
          <w:p w14:paraId="7C4E1E6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Parameter</w:t>
            </w:r>
          </w:p>
        </w:tc>
        <w:tc>
          <w:tcPr>
            <w:tcW w:w="1515" w:type="dxa"/>
            <w:vAlign w:val="center"/>
          </w:tcPr>
          <w:p w14:paraId="5BF221E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Rate</w:t>
            </w:r>
          </w:p>
        </w:tc>
        <w:tc>
          <w:tcPr>
            <w:tcW w:w="3204" w:type="dxa"/>
            <w:vAlign w:val="center"/>
          </w:tcPr>
          <w:p w14:paraId="730A65F7"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95%-CI</w:t>
            </w:r>
          </w:p>
        </w:tc>
        <w:tc>
          <w:tcPr>
            <w:tcW w:w="1625" w:type="dxa"/>
            <w:vAlign w:val="center"/>
          </w:tcPr>
          <w:p w14:paraId="70F69B88"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z</w:t>
            </w:r>
          </w:p>
        </w:tc>
        <w:tc>
          <w:tcPr>
            <w:tcW w:w="1627" w:type="dxa"/>
            <w:vAlign w:val="center"/>
          </w:tcPr>
          <w:p w14:paraId="3FB9925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p-value</w:t>
            </w:r>
          </w:p>
        </w:tc>
      </w:tr>
      <w:tr w:rsidR="00BE1880" w:rsidRPr="000365ED" w14:paraId="3206894C" w14:textId="77777777" w:rsidTr="00BE1880">
        <w:tc>
          <w:tcPr>
            <w:tcW w:w="1667" w:type="dxa"/>
            <w:vAlign w:val="center"/>
          </w:tcPr>
          <w:p w14:paraId="3F4B2767"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Random effects model</w:t>
            </w:r>
          </w:p>
        </w:tc>
        <w:tc>
          <w:tcPr>
            <w:tcW w:w="1515" w:type="dxa"/>
            <w:vAlign w:val="center"/>
          </w:tcPr>
          <w:p w14:paraId="4133669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1315627.5000</w:t>
            </w:r>
          </w:p>
        </w:tc>
        <w:tc>
          <w:tcPr>
            <w:tcW w:w="3204" w:type="dxa"/>
            <w:vAlign w:val="center"/>
          </w:tcPr>
          <w:p w14:paraId="6BF4B12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[0.0000; 3891330.8300]</w:t>
            </w:r>
          </w:p>
        </w:tc>
        <w:tc>
          <w:tcPr>
            <w:tcW w:w="1625" w:type="dxa"/>
            <w:vAlign w:val="center"/>
          </w:tcPr>
          <w:p w14:paraId="253E4698"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1.00</w:t>
            </w:r>
          </w:p>
        </w:tc>
        <w:tc>
          <w:tcPr>
            <w:tcW w:w="1627" w:type="dxa"/>
            <w:vAlign w:val="center"/>
          </w:tcPr>
          <w:p w14:paraId="61270C0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0.3168</w:t>
            </w:r>
          </w:p>
        </w:tc>
      </w:tr>
      <w:tr w:rsidR="00BE1880" w:rsidRPr="000365ED" w14:paraId="13DCC575" w14:textId="77777777" w:rsidTr="00BE1880">
        <w:tc>
          <w:tcPr>
            <w:tcW w:w="1667" w:type="dxa"/>
            <w:vAlign w:val="center"/>
          </w:tcPr>
          <w:p w14:paraId="3FCDE706" w14:textId="77777777" w:rsidR="00BE1880" w:rsidRPr="000365ED" w:rsidRDefault="00BE1880" w:rsidP="00BE1880">
            <w:pPr>
              <w:pStyle w:val="TableContents"/>
              <w:rPr>
                <w:rFonts w:ascii="Times New Roman" w:hAnsi="Times New Roman" w:cs="Times New Roman"/>
                <w:sz w:val="20"/>
                <w:szCs w:val="20"/>
              </w:rPr>
            </w:pPr>
          </w:p>
        </w:tc>
        <w:tc>
          <w:tcPr>
            <w:tcW w:w="1515" w:type="dxa"/>
            <w:vAlign w:val="center"/>
          </w:tcPr>
          <w:p w14:paraId="5924B6C8" w14:textId="77777777" w:rsidR="00BE1880" w:rsidRPr="000365ED" w:rsidRDefault="00BE1880" w:rsidP="00BE1880">
            <w:pPr>
              <w:pStyle w:val="TableContents"/>
              <w:rPr>
                <w:rFonts w:ascii="Times New Roman" w:hAnsi="Times New Roman" w:cs="Times New Roman"/>
                <w:sz w:val="20"/>
                <w:szCs w:val="20"/>
              </w:rPr>
            </w:pPr>
          </w:p>
        </w:tc>
        <w:tc>
          <w:tcPr>
            <w:tcW w:w="3204" w:type="dxa"/>
            <w:vAlign w:val="center"/>
          </w:tcPr>
          <w:p w14:paraId="7084FC2E"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38CB75A2"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706CAAAE"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0DD71CD0" w14:textId="77777777" w:rsidTr="00BE1880">
        <w:tc>
          <w:tcPr>
            <w:tcW w:w="1667" w:type="dxa"/>
            <w:vAlign w:val="center"/>
          </w:tcPr>
          <w:p w14:paraId="178FD0E1"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Q</w:t>
            </w:r>
          </w:p>
        </w:tc>
        <w:tc>
          <w:tcPr>
            <w:tcW w:w="1515" w:type="dxa"/>
            <w:vAlign w:val="center"/>
          </w:tcPr>
          <w:p w14:paraId="034D0422" w14:textId="77777777" w:rsidR="00BE1880" w:rsidRPr="000365ED" w:rsidRDefault="00BE1880" w:rsidP="00BE1880">
            <w:pPr>
              <w:pStyle w:val="TableContents"/>
              <w:rPr>
                <w:rFonts w:ascii="Times New Roman" w:hAnsi="Times New Roman" w:cs="Times New Roman"/>
                <w:sz w:val="20"/>
                <w:szCs w:val="20"/>
              </w:rPr>
            </w:pPr>
            <w:proofErr w:type="spellStart"/>
            <w:r w:rsidRPr="000365ED">
              <w:rPr>
                <w:rFonts w:ascii="Times New Roman" w:hAnsi="Times New Roman" w:cs="Times New Roman"/>
                <w:sz w:val="20"/>
                <w:szCs w:val="20"/>
              </w:rPr>
              <w:t>d.f.</w:t>
            </w:r>
            <w:proofErr w:type="spellEnd"/>
          </w:p>
        </w:tc>
        <w:tc>
          <w:tcPr>
            <w:tcW w:w="3204" w:type="dxa"/>
            <w:vAlign w:val="center"/>
          </w:tcPr>
          <w:p w14:paraId="3CA44F43"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p-value</w:t>
            </w:r>
          </w:p>
        </w:tc>
        <w:tc>
          <w:tcPr>
            <w:tcW w:w="1625" w:type="dxa"/>
            <w:vAlign w:val="center"/>
          </w:tcPr>
          <w:p w14:paraId="06819F0D"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35BF7ACF"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7FFE4884" w14:textId="77777777" w:rsidTr="00BE1880">
        <w:tc>
          <w:tcPr>
            <w:tcW w:w="1667" w:type="dxa"/>
            <w:vAlign w:val="center"/>
          </w:tcPr>
          <w:p w14:paraId="1079013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23901582264784953344.00</w:t>
            </w:r>
          </w:p>
        </w:tc>
        <w:tc>
          <w:tcPr>
            <w:tcW w:w="1515" w:type="dxa"/>
            <w:vAlign w:val="center"/>
          </w:tcPr>
          <w:p w14:paraId="0D30C14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w:t>
            </w:r>
          </w:p>
        </w:tc>
        <w:tc>
          <w:tcPr>
            <w:tcW w:w="3204" w:type="dxa"/>
            <w:vAlign w:val="center"/>
          </w:tcPr>
          <w:p w14:paraId="22726A0D"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0</w:t>
            </w:r>
          </w:p>
        </w:tc>
        <w:tc>
          <w:tcPr>
            <w:tcW w:w="1625" w:type="dxa"/>
            <w:vAlign w:val="center"/>
          </w:tcPr>
          <w:p w14:paraId="1A5B383C"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38892286"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7CEEE778" w14:textId="77777777" w:rsidTr="00BE1880">
        <w:tc>
          <w:tcPr>
            <w:tcW w:w="1667" w:type="dxa"/>
            <w:vAlign w:val="center"/>
          </w:tcPr>
          <w:p w14:paraId="5930E7FD" w14:textId="77777777" w:rsidR="00BE1880" w:rsidRPr="000365ED" w:rsidRDefault="00BE1880" w:rsidP="00BE1880">
            <w:pPr>
              <w:pStyle w:val="TableContents"/>
              <w:rPr>
                <w:rFonts w:ascii="Times New Roman" w:hAnsi="Times New Roman" w:cs="Times New Roman"/>
                <w:sz w:val="20"/>
                <w:szCs w:val="20"/>
              </w:rPr>
            </w:pPr>
          </w:p>
        </w:tc>
        <w:tc>
          <w:tcPr>
            <w:tcW w:w="1515" w:type="dxa"/>
            <w:vAlign w:val="center"/>
          </w:tcPr>
          <w:p w14:paraId="4440AE73" w14:textId="77777777" w:rsidR="00BE1880" w:rsidRPr="000365ED" w:rsidRDefault="00BE1880" w:rsidP="00BE1880">
            <w:pPr>
              <w:pStyle w:val="TableContents"/>
              <w:rPr>
                <w:rFonts w:ascii="Times New Roman" w:hAnsi="Times New Roman" w:cs="Times New Roman"/>
                <w:sz w:val="20"/>
                <w:szCs w:val="20"/>
              </w:rPr>
            </w:pPr>
          </w:p>
        </w:tc>
        <w:tc>
          <w:tcPr>
            <w:tcW w:w="3204" w:type="dxa"/>
            <w:vAlign w:val="center"/>
          </w:tcPr>
          <w:p w14:paraId="00714DF1"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15C7DA10"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2F05648B"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79CBC728" w14:textId="77777777" w:rsidTr="00BE1880">
        <w:tc>
          <w:tcPr>
            <w:tcW w:w="1667" w:type="dxa"/>
            <w:vAlign w:val="center"/>
          </w:tcPr>
          <w:p w14:paraId="7432ED46" w14:textId="77777777" w:rsidR="00BE1880" w:rsidRPr="000365ED" w:rsidRDefault="00BE1880" w:rsidP="00BE1880">
            <w:pPr>
              <w:pStyle w:val="TableContents"/>
              <w:rPr>
                <w:rFonts w:ascii="Times New Roman" w:hAnsi="Times New Roman" w:cs="Times New Roman"/>
                <w:b/>
                <w:bCs/>
                <w:sz w:val="20"/>
                <w:szCs w:val="20"/>
              </w:rPr>
            </w:pPr>
            <w:r w:rsidRPr="000365ED">
              <w:rPr>
                <w:rFonts w:ascii="Times New Roman" w:hAnsi="Times New Roman" w:cs="Times New Roman"/>
                <w:b/>
                <w:bCs/>
                <w:sz w:val="20"/>
                <w:szCs w:val="20"/>
              </w:rPr>
              <w:t>Location of study</w:t>
            </w:r>
          </w:p>
        </w:tc>
        <w:tc>
          <w:tcPr>
            <w:tcW w:w="1515" w:type="dxa"/>
            <w:vAlign w:val="center"/>
          </w:tcPr>
          <w:p w14:paraId="60C596A1" w14:textId="77777777" w:rsidR="00BE1880" w:rsidRPr="000365ED" w:rsidRDefault="00BE1880" w:rsidP="00BE1880">
            <w:pPr>
              <w:pStyle w:val="TableContents"/>
              <w:rPr>
                <w:rFonts w:ascii="Times New Roman" w:hAnsi="Times New Roman" w:cs="Times New Roman"/>
                <w:b/>
                <w:bCs/>
                <w:sz w:val="20"/>
                <w:szCs w:val="20"/>
              </w:rPr>
            </w:pPr>
            <w:r w:rsidRPr="000365ED">
              <w:rPr>
                <w:rFonts w:ascii="Times New Roman" w:hAnsi="Times New Roman" w:cs="Times New Roman"/>
                <w:b/>
                <w:bCs/>
                <w:sz w:val="20"/>
                <w:szCs w:val="20"/>
              </w:rPr>
              <w:t>Rate</w:t>
            </w:r>
          </w:p>
        </w:tc>
        <w:tc>
          <w:tcPr>
            <w:tcW w:w="3204" w:type="dxa"/>
            <w:vAlign w:val="center"/>
          </w:tcPr>
          <w:p w14:paraId="1730969A" w14:textId="77777777" w:rsidR="00BE1880" w:rsidRPr="000365ED" w:rsidRDefault="00BE1880" w:rsidP="00BE1880">
            <w:pPr>
              <w:pStyle w:val="TableContents"/>
              <w:rPr>
                <w:rFonts w:ascii="Times New Roman" w:hAnsi="Times New Roman" w:cs="Times New Roman"/>
                <w:b/>
                <w:bCs/>
                <w:sz w:val="20"/>
                <w:szCs w:val="20"/>
              </w:rPr>
            </w:pPr>
            <w:r w:rsidRPr="000365ED">
              <w:rPr>
                <w:rFonts w:ascii="Times New Roman" w:hAnsi="Times New Roman" w:cs="Times New Roman"/>
                <w:b/>
                <w:bCs/>
                <w:sz w:val="20"/>
                <w:szCs w:val="20"/>
              </w:rPr>
              <w:t>95%-CI</w:t>
            </w:r>
          </w:p>
        </w:tc>
        <w:tc>
          <w:tcPr>
            <w:tcW w:w="1625" w:type="dxa"/>
            <w:vAlign w:val="center"/>
          </w:tcPr>
          <w:p w14:paraId="3E0E4BF1" w14:textId="77777777" w:rsidR="00BE1880" w:rsidRPr="000365ED" w:rsidRDefault="00BE1880" w:rsidP="00BE1880">
            <w:pPr>
              <w:pStyle w:val="TableContents"/>
              <w:rPr>
                <w:rFonts w:ascii="Times New Roman" w:hAnsi="Times New Roman" w:cs="Times New Roman"/>
                <w:b/>
                <w:bCs/>
                <w:sz w:val="20"/>
                <w:szCs w:val="20"/>
              </w:rPr>
            </w:pPr>
            <w:r w:rsidRPr="000365ED">
              <w:rPr>
                <w:rFonts w:ascii="Times New Roman" w:hAnsi="Times New Roman" w:cs="Times New Roman"/>
                <w:b/>
                <w:bCs/>
                <w:sz w:val="20"/>
                <w:szCs w:val="20"/>
              </w:rPr>
              <w:t>%W(random)</w:t>
            </w:r>
          </w:p>
        </w:tc>
        <w:tc>
          <w:tcPr>
            <w:tcW w:w="1627" w:type="dxa"/>
            <w:vAlign w:val="center"/>
          </w:tcPr>
          <w:p w14:paraId="458426A8"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04569422" w14:textId="77777777" w:rsidTr="00BE1880">
        <w:tc>
          <w:tcPr>
            <w:tcW w:w="1667" w:type="dxa"/>
            <w:vAlign w:val="center"/>
          </w:tcPr>
          <w:p w14:paraId="19A4385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Nigeria</w:t>
            </w:r>
          </w:p>
        </w:tc>
        <w:tc>
          <w:tcPr>
            <w:tcW w:w="1515" w:type="dxa"/>
            <w:vAlign w:val="center"/>
          </w:tcPr>
          <w:p w14:paraId="4C12A10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248.0000</w:t>
            </w:r>
          </w:p>
        </w:tc>
        <w:tc>
          <w:tcPr>
            <w:tcW w:w="3204" w:type="dxa"/>
            <w:vAlign w:val="center"/>
          </w:tcPr>
          <w:p w14:paraId="01B926B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[247.9988; 248.0012]</w:t>
            </w:r>
          </w:p>
        </w:tc>
        <w:tc>
          <w:tcPr>
            <w:tcW w:w="1625" w:type="dxa"/>
            <w:vAlign w:val="center"/>
          </w:tcPr>
          <w:p w14:paraId="370F471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50.0</w:t>
            </w:r>
          </w:p>
        </w:tc>
        <w:tc>
          <w:tcPr>
            <w:tcW w:w="1627" w:type="dxa"/>
            <w:vAlign w:val="center"/>
          </w:tcPr>
          <w:p w14:paraId="602847C7"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6618C657" w14:textId="77777777" w:rsidTr="00BE1880">
        <w:tc>
          <w:tcPr>
            <w:tcW w:w="1667" w:type="dxa"/>
            <w:vAlign w:val="center"/>
          </w:tcPr>
          <w:p w14:paraId="087D92F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Sierra Leone</w:t>
            </w:r>
          </w:p>
        </w:tc>
        <w:tc>
          <w:tcPr>
            <w:tcW w:w="1515" w:type="dxa"/>
            <w:vAlign w:val="center"/>
          </w:tcPr>
          <w:p w14:paraId="547C4441"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1221.0000</w:t>
            </w:r>
          </w:p>
        </w:tc>
        <w:tc>
          <w:tcPr>
            <w:tcW w:w="3204" w:type="dxa"/>
            <w:vAlign w:val="center"/>
          </w:tcPr>
          <w:p w14:paraId="3E535DB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[1220.9894; 1221.0106]</w:t>
            </w:r>
          </w:p>
        </w:tc>
        <w:tc>
          <w:tcPr>
            <w:tcW w:w="1625" w:type="dxa"/>
            <w:vAlign w:val="center"/>
          </w:tcPr>
          <w:p w14:paraId="1F3FD342"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50.0</w:t>
            </w:r>
          </w:p>
        </w:tc>
        <w:tc>
          <w:tcPr>
            <w:tcW w:w="1627" w:type="dxa"/>
            <w:vAlign w:val="center"/>
          </w:tcPr>
          <w:p w14:paraId="6E985C45"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56585A35" w14:textId="77777777" w:rsidTr="00BE1880">
        <w:tc>
          <w:tcPr>
            <w:tcW w:w="1667" w:type="dxa"/>
            <w:vAlign w:val="center"/>
          </w:tcPr>
          <w:p w14:paraId="5F7DDA6F" w14:textId="77777777" w:rsidR="00BE1880" w:rsidRPr="000365ED" w:rsidRDefault="00BE1880" w:rsidP="00BE1880">
            <w:pPr>
              <w:pStyle w:val="TableContents"/>
              <w:rPr>
                <w:rFonts w:ascii="Times New Roman" w:hAnsi="Times New Roman" w:cs="Times New Roman"/>
                <w:sz w:val="20"/>
                <w:szCs w:val="20"/>
              </w:rPr>
            </w:pPr>
          </w:p>
        </w:tc>
        <w:tc>
          <w:tcPr>
            <w:tcW w:w="1515" w:type="dxa"/>
            <w:vAlign w:val="center"/>
          </w:tcPr>
          <w:p w14:paraId="7A31C490" w14:textId="77777777" w:rsidR="00BE1880" w:rsidRPr="000365ED" w:rsidRDefault="00BE1880" w:rsidP="00BE1880">
            <w:pPr>
              <w:pStyle w:val="TableContents"/>
              <w:rPr>
                <w:rFonts w:ascii="Times New Roman" w:hAnsi="Times New Roman" w:cs="Times New Roman"/>
                <w:sz w:val="20"/>
                <w:szCs w:val="20"/>
              </w:rPr>
            </w:pPr>
          </w:p>
        </w:tc>
        <w:tc>
          <w:tcPr>
            <w:tcW w:w="3204" w:type="dxa"/>
            <w:vAlign w:val="center"/>
          </w:tcPr>
          <w:p w14:paraId="624ECC42"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03FEFB3D"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67F8FEEB"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739E5291" w14:textId="77777777" w:rsidTr="00BE1880">
        <w:tc>
          <w:tcPr>
            <w:tcW w:w="1667" w:type="dxa"/>
            <w:vAlign w:val="center"/>
          </w:tcPr>
          <w:p w14:paraId="16897F1E" w14:textId="77777777" w:rsidR="00BE1880" w:rsidRPr="000365ED" w:rsidRDefault="00BE1880" w:rsidP="00BE1880">
            <w:pPr>
              <w:widowControl w:val="0"/>
              <w:rPr>
                <w:rFonts w:ascii="Times New Roman" w:hAnsi="Times New Roman" w:cs="Times New Roman"/>
                <w:sz w:val="20"/>
                <w:szCs w:val="20"/>
              </w:rPr>
            </w:pPr>
            <w:r w:rsidRPr="000365ED">
              <w:rPr>
                <w:rFonts w:ascii="Times New Roman" w:hAnsi="Times New Roman" w:cs="Times New Roman"/>
                <w:sz w:val="20"/>
                <w:szCs w:val="20"/>
              </w:rPr>
              <w:t>Number of studies combined:</w:t>
            </w:r>
          </w:p>
        </w:tc>
        <w:tc>
          <w:tcPr>
            <w:tcW w:w="1515" w:type="dxa"/>
            <w:vAlign w:val="center"/>
          </w:tcPr>
          <w:p w14:paraId="33DE6FE6" w14:textId="77777777" w:rsidR="00BE1880" w:rsidRPr="000365ED" w:rsidRDefault="00BE1880" w:rsidP="00BE1880">
            <w:pPr>
              <w:widowControl w:val="0"/>
              <w:rPr>
                <w:rFonts w:ascii="Times New Roman" w:hAnsi="Times New Roman" w:cs="Times New Roman"/>
                <w:sz w:val="20"/>
                <w:szCs w:val="20"/>
              </w:rPr>
            </w:pPr>
            <w:r w:rsidRPr="000365ED">
              <w:rPr>
                <w:rFonts w:ascii="Times New Roman" w:hAnsi="Times New Roman" w:cs="Times New Roman"/>
                <w:sz w:val="20"/>
                <w:szCs w:val="20"/>
              </w:rPr>
              <w:t xml:space="preserve"> k = 2</w:t>
            </w:r>
          </w:p>
        </w:tc>
        <w:tc>
          <w:tcPr>
            <w:tcW w:w="3204" w:type="dxa"/>
            <w:vAlign w:val="center"/>
          </w:tcPr>
          <w:p w14:paraId="7777A7C3"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446BE28B"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79DECE54"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72EC4124" w14:textId="77777777" w:rsidTr="00BE1880">
        <w:tc>
          <w:tcPr>
            <w:tcW w:w="1667" w:type="dxa"/>
            <w:vAlign w:val="center"/>
          </w:tcPr>
          <w:p w14:paraId="1BD26DCD" w14:textId="77777777" w:rsidR="00BE1880" w:rsidRPr="000365ED" w:rsidRDefault="00BE1880" w:rsidP="00BE1880">
            <w:pPr>
              <w:pStyle w:val="TableContents"/>
              <w:rPr>
                <w:rFonts w:ascii="Times New Roman" w:hAnsi="Times New Roman" w:cs="Times New Roman"/>
                <w:sz w:val="20"/>
                <w:szCs w:val="20"/>
              </w:rPr>
            </w:pPr>
          </w:p>
        </w:tc>
        <w:tc>
          <w:tcPr>
            <w:tcW w:w="1515" w:type="dxa"/>
            <w:vAlign w:val="center"/>
          </w:tcPr>
          <w:p w14:paraId="72CB2551" w14:textId="77777777" w:rsidR="00BE1880" w:rsidRPr="000365ED" w:rsidRDefault="00BE1880" w:rsidP="00BE1880">
            <w:pPr>
              <w:pStyle w:val="TableContents"/>
              <w:rPr>
                <w:rFonts w:ascii="Times New Roman" w:hAnsi="Times New Roman" w:cs="Times New Roman"/>
                <w:sz w:val="20"/>
                <w:szCs w:val="20"/>
              </w:rPr>
            </w:pPr>
          </w:p>
        </w:tc>
        <w:tc>
          <w:tcPr>
            <w:tcW w:w="3204" w:type="dxa"/>
            <w:vAlign w:val="center"/>
          </w:tcPr>
          <w:p w14:paraId="76637814"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61028795"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391843C2"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793FCE3F" w14:textId="77777777" w:rsidTr="00BE1880">
        <w:tc>
          <w:tcPr>
            <w:tcW w:w="1667" w:type="dxa"/>
            <w:vAlign w:val="center"/>
          </w:tcPr>
          <w:p w14:paraId="6C8BEFD8"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Parameter</w:t>
            </w:r>
          </w:p>
        </w:tc>
        <w:tc>
          <w:tcPr>
            <w:tcW w:w="1515" w:type="dxa"/>
            <w:vAlign w:val="center"/>
          </w:tcPr>
          <w:p w14:paraId="4F7D35B7"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Value</w:t>
            </w:r>
          </w:p>
        </w:tc>
        <w:tc>
          <w:tcPr>
            <w:tcW w:w="3204" w:type="dxa"/>
            <w:vAlign w:val="center"/>
          </w:tcPr>
          <w:p w14:paraId="11829E40"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5AFDBEE3"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5390E8CC"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2E945890" w14:textId="77777777" w:rsidTr="00BE1880">
        <w:tc>
          <w:tcPr>
            <w:tcW w:w="1667" w:type="dxa"/>
            <w:vAlign w:val="center"/>
          </w:tcPr>
          <w:p w14:paraId="1FD8358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tau^2</w:t>
            </w:r>
          </w:p>
        </w:tc>
        <w:tc>
          <w:tcPr>
            <w:tcW w:w="1515" w:type="dxa"/>
            <w:vAlign w:val="center"/>
          </w:tcPr>
          <w:p w14:paraId="448B6D5D"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473364.5000</w:t>
            </w:r>
          </w:p>
        </w:tc>
        <w:tc>
          <w:tcPr>
            <w:tcW w:w="3204" w:type="dxa"/>
            <w:vAlign w:val="center"/>
          </w:tcPr>
          <w:p w14:paraId="33EF6E64"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036AB17F"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2F280D56"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7F3FC362" w14:textId="77777777" w:rsidTr="00BE1880">
        <w:tc>
          <w:tcPr>
            <w:tcW w:w="1667" w:type="dxa"/>
            <w:vAlign w:val="center"/>
          </w:tcPr>
          <w:p w14:paraId="0C164842"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tau</w:t>
            </w:r>
          </w:p>
        </w:tc>
        <w:tc>
          <w:tcPr>
            <w:tcW w:w="1515" w:type="dxa"/>
            <w:vAlign w:val="center"/>
          </w:tcPr>
          <w:p w14:paraId="4DDECB71"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688.0149</w:t>
            </w:r>
          </w:p>
        </w:tc>
        <w:tc>
          <w:tcPr>
            <w:tcW w:w="3204" w:type="dxa"/>
            <w:vAlign w:val="center"/>
          </w:tcPr>
          <w:p w14:paraId="772F821E"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749FB175"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2D67B963"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1BD6FB7A" w14:textId="77777777" w:rsidTr="00BE1880">
        <w:tc>
          <w:tcPr>
            <w:tcW w:w="1667" w:type="dxa"/>
            <w:vAlign w:val="center"/>
          </w:tcPr>
          <w:p w14:paraId="4C377E3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I^2</w:t>
            </w:r>
          </w:p>
        </w:tc>
        <w:tc>
          <w:tcPr>
            <w:tcW w:w="1515" w:type="dxa"/>
            <w:vAlign w:val="center"/>
          </w:tcPr>
          <w:p w14:paraId="07F0CD62"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100.0%</w:t>
            </w:r>
          </w:p>
        </w:tc>
        <w:tc>
          <w:tcPr>
            <w:tcW w:w="3204" w:type="dxa"/>
            <w:vAlign w:val="center"/>
          </w:tcPr>
          <w:p w14:paraId="3C03E931"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7D15C64D"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47657F71"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41C971A3" w14:textId="77777777" w:rsidTr="00BE1880">
        <w:tc>
          <w:tcPr>
            <w:tcW w:w="1667" w:type="dxa"/>
            <w:vAlign w:val="center"/>
          </w:tcPr>
          <w:p w14:paraId="217A409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H</w:t>
            </w:r>
          </w:p>
        </w:tc>
        <w:tc>
          <w:tcPr>
            <w:tcW w:w="1515" w:type="dxa"/>
            <w:vAlign w:val="center"/>
          </w:tcPr>
          <w:p w14:paraId="6A0D202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178726.32</w:t>
            </w:r>
          </w:p>
        </w:tc>
        <w:tc>
          <w:tcPr>
            <w:tcW w:w="3204" w:type="dxa"/>
            <w:vAlign w:val="center"/>
          </w:tcPr>
          <w:p w14:paraId="1497213B"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04E29C98"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049E23A0"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5E579629" w14:textId="77777777" w:rsidTr="00BE1880">
        <w:tc>
          <w:tcPr>
            <w:tcW w:w="1667" w:type="dxa"/>
            <w:vAlign w:val="center"/>
          </w:tcPr>
          <w:p w14:paraId="6819631D"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95%-CI for H</w:t>
            </w:r>
          </w:p>
        </w:tc>
        <w:tc>
          <w:tcPr>
            <w:tcW w:w="1515" w:type="dxa"/>
            <w:vAlign w:val="center"/>
          </w:tcPr>
          <w:p w14:paraId="30FC34C4"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[178709.56; 178743.08]</w:t>
            </w:r>
          </w:p>
        </w:tc>
        <w:tc>
          <w:tcPr>
            <w:tcW w:w="3204" w:type="dxa"/>
            <w:vAlign w:val="center"/>
          </w:tcPr>
          <w:p w14:paraId="568105E3"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2ECBC8A2"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5ADCA94B"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46D33C4B" w14:textId="77777777" w:rsidTr="00BE1880">
        <w:tc>
          <w:tcPr>
            <w:tcW w:w="1667" w:type="dxa"/>
            <w:vAlign w:val="center"/>
          </w:tcPr>
          <w:p w14:paraId="61287CA8" w14:textId="77777777" w:rsidR="00BE1880" w:rsidRPr="000365ED" w:rsidRDefault="00BE1880" w:rsidP="00BE1880">
            <w:pPr>
              <w:pStyle w:val="TableContents"/>
              <w:rPr>
                <w:rFonts w:ascii="Times New Roman" w:hAnsi="Times New Roman" w:cs="Times New Roman"/>
                <w:sz w:val="20"/>
                <w:szCs w:val="20"/>
              </w:rPr>
            </w:pPr>
          </w:p>
        </w:tc>
        <w:tc>
          <w:tcPr>
            <w:tcW w:w="1515" w:type="dxa"/>
            <w:vAlign w:val="center"/>
          </w:tcPr>
          <w:p w14:paraId="69432A19" w14:textId="77777777" w:rsidR="00BE1880" w:rsidRPr="000365ED" w:rsidRDefault="00BE1880" w:rsidP="00BE1880">
            <w:pPr>
              <w:pStyle w:val="TableContents"/>
              <w:rPr>
                <w:rFonts w:ascii="Times New Roman" w:hAnsi="Times New Roman" w:cs="Times New Roman"/>
                <w:sz w:val="20"/>
                <w:szCs w:val="20"/>
              </w:rPr>
            </w:pPr>
          </w:p>
        </w:tc>
        <w:tc>
          <w:tcPr>
            <w:tcW w:w="3204" w:type="dxa"/>
            <w:vAlign w:val="center"/>
          </w:tcPr>
          <w:p w14:paraId="50B2DE98"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79123B11"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4B70F0D0"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3FCEFD84" w14:textId="77777777" w:rsidTr="00BE1880">
        <w:tc>
          <w:tcPr>
            <w:tcW w:w="1667" w:type="dxa"/>
            <w:vAlign w:val="center"/>
          </w:tcPr>
          <w:p w14:paraId="30BCF631"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Parameter</w:t>
            </w:r>
          </w:p>
        </w:tc>
        <w:tc>
          <w:tcPr>
            <w:tcW w:w="1515" w:type="dxa"/>
            <w:vAlign w:val="center"/>
          </w:tcPr>
          <w:p w14:paraId="5C3D93A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Rate</w:t>
            </w:r>
          </w:p>
        </w:tc>
        <w:tc>
          <w:tcPr>
            <w:tcW w:w="3204" w:type="dxa"/>
            <w:vAlign w:val="center"/>
          </w:tcPr>
          <w:p w14:paraId="41579144"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95%-CI</w:t>
            </w:r>
          </w:p>
        </w:tc>
        <w:tc>
          <w:tcPr>
            <w:tcW w:w="1625" w:type="dxa"/>
            <w:vAlign w:val="center"/>
          </w:tcPr>
          <w:p w14:paraId="576CBEB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z</w:t>
            </w:r>
          </w:p>
        </w:tc>
        <w:tc>
          <w:tcPr>
            <w:tcW w:w="1627" w:type="dxa"/>
            <w:vAlign w:val="center"/>
          </w:tcPr>
          <w:p w14:paraId="01DE14C2"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p-value</w:t>
            </w:r>
          </w:p>
        </w:tc>
      </w:tr>
      <w:tr w:rsidR="00BE1880" w:rsidRPr="000365ED" w14:paraId="1CC3EA27" w14:textId="77777777" w:rsidTr="00BE1880">
        <w:tc>
          <w:tcPr>
            <w:tcW w:w="1667" w:type="dxa"/>
          </w:tcPr>
          <w:p w14:paraId="02E07CC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lastRenderedPageBreak/>
              <w:t>Random effects model</w:t>
            </w:r>
          </w:p>
        </w:tc>
        <w:tc>
          <w:tcPr>
            <w:tcW w:w="1515" w:type="dxa"/>
          </w:tcPr>
          <w:p w14:paraId="791FEE9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734.5000</w:t>
            </w:r>
          </w:p>
        </w:tc>
        <w:tc>
          <w:tcPr>
            <w:tcW w:w="3204" w:type="dxa"/>
          </w:tcPr>
          <w:p w14:paraId="59118401"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[0.0000; 1688.0225]</w:t>
            </w:r>
          </w:p>
        </w:tc>
        <w:tc>
          <w:tcPr>
            <w:tcW w:w="1625" w:type="dxa"/>
            <w:vAlign w:val="center"/>
          </w:tcPr>
          <w:p w14:paraId="1002071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1.51</w:t>
            </w:r>
          </w:p>
        </w:tc>
        <w:tc>
          <w:tcPr>
            <w:tcW w:w="1627" w:type="dxa"/>
            <w:vAlign w:val="center"/>
          </w:tcPr>
          <w:p w14:paraId="38D69FF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0.1311</w:t>
            </w:r>
          </w:p>
        </w:tc>
      </w:tr>
      <w:tr w:rsidR="00BE1880" w:rsidRPr="000365ED" w14:paraId="5649E67A" w14:textId="77777777" w:rsidTr="00BE1880">
        <w:tc>
          <w:tcPr>
            <w:tcW w:w="1667" w:type="dxa"/>
            <w:vAlign w:val="center"/>
          </w:tcPr>
          <w:p w14:paraId="22FA93B7" w14:textId="77777777" w:rsidR="00BE1880" w:rsidRPr="000365ED" w:rsidRDefault="00BE1880" w:rsidP="00BE1880">
            <w:pPr>
              <w:pStyle w:val="TableContents"/>
              <w:rPr>
                <w:rFonts w:ascii="Times New Roman" w:hAnsi="Times New Roman" w:cs="Times New Roman"/>
                <w:sz w:val="20"/>
                <w:szCs w:val="20"/>
              </w:rPr>
            </w:pPr>
          </w:p>
        </w:tc>
        <w:tc>
          <w:tcPr>
            <w:tcW w:w="1515" w:type="dxa"/>
            <w:vAlign w:val="center"/>
          </w:tcPr>
          <w:p w14:paraId="02019A24" w14:textId="77777777" w:rsidR="00BE1880" w:rsidRPr="000365ED" w:rsidRDefault="00BE1880" w:rsidP="00BE1880">
            <w:pPr>
              <w:pStyle w:val="TableContents"/>
              <w:rPr>
                <w:rFonts w:ascii="Times New Roman" w:hAnsi="Times New Roman" w:cs="Times New Roman"/>
                <w:sz w:val="20"/>
                <w:szCs w:val="20"/>
              </w:rPr>
            </w:pPr>
          </w:p>
        </w:tc>
        <w:tc>
          <w:tcPr>
            <w:tcW w:w="3204" w:type="dxa"/>
            <w:vAlign w:val="center"/>
          </w:tcPr>
          <w:p w14:paraId="12831592"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49DF4840"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15E3914D"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0C41FF2F" w14:textId="77777777" w:rsidTr="00BE1880">
        <w:tc>
          <w:tcPr>
            <w:tcW w:w="1667" w:type="dxa"/>
            <w:vAlign w:val="center"/>
          </w:tcPr>
          <w:p w14:paraId="6C1BB64D"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Q</w:t>
            </w:r>
          </w:p>
        </w:tc>
        <w:tc>
          <w:tcPr>
            <w:tcW w:w="1515" w:type="dxa"/>
            <w:vAlign w:val="center"/>
          </w:tcPr>
          <w:p w14:paraId="7E2D9BF5" w14:textId="77777777" w:rsidR="00BE1880" w:rsidRPr="000365ED" w:rsidRDefault="00BE1880" w:rsidP="00BE1880">
            <w:pPr>
              <w:pStyle w:val="TableContents"/>
              <w:rPr>
                <w:rFonts w:ascii="Times New Roman" w:hAnsi="Times New Roman" w:cs="Times New Roman"/>
                <w:sz w:val="20"/>
                <w:szCs w:val="20"/>
              </w:rPr>
            </w:pPr>
            <w:proofErr w:type="spellStart"/>
            <w:r w:rsidRPr="000365ED">
              <w:rPr>
                <w:rFonts w:ascii="Times New Roman" w:hAnsi="Times New Roman" w:cs="Times New Roman"/>
                <w:sz w:val="20"/>
                <w:szCs w:val="20"/>
              </w:rPr>
              <w:t>d.f.</w:t>
            </w:r>
            <w:proofErr w:type="spellEnd"/>
          </w:p>
        </w:tc>
        <w:tc>
          <w:tcPr>
            <w:tcW w:w="3204" w:type="dxa"/>
            <w:vAlign w:val="center"/>
          </w:tcPr>
          <w:p w14:paraId="36C50D1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p-value</w:t>
            </w:r>
          </w:p>
        </w:tc>
        <w:tc>
          <w:tcPr>
            <w:tcW w:w="1625" w:type="dxa"/>
            <w:vAlign w:val="center"/>
          </w:tcPr>
          <w:p w14:paraId="4094651A"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17F77B4D"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78F009DE" w14:textId="77777777" w:rsidTr="00BE1880">
        <w:tc>
          <w:tcPr>
            <w:tcW w:w="1667" w:type="dxa"/>
            <w:vAlign w:val="center"/>
          </w:tcPr>
          <w:p w14:paraId="5AE7691E"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31943096744.8</w:t>
            </w:r>
          </w:p>
        </w:tc>
        <w:tc>
          <w:tcPr>
            <w:tcW w:w="1515" w:type="dxa"/>
            <w:vAlign w:val="center"/>
          </w:tcPr>
          <w:p w14:paraId="7AB882D4"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w:t>
            </w:r>
          </w:p>
        </w:tc>
        <w:tc>
          <w:tcPr>
            <w:tcW w:w="3204" w:type="dxa"/>
            <w:vAlign w:val="center"/>
          </w:tcPr>
          <w:p w14:paraId="1380048A"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0</w:t>
            </w:r>
          </w:p>
        </w:tc>
        <w:tc>
          <w:tcPr>
            <w:tcW w:w="1625" w:type="dxa"/>
            <w:vAlign w:val="center"/>
          </w:tcPr>
          <w:p w14:paraId="313AEFFC"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3D1565D2"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2F41943E" w14:textId="77777777" w:rsidTr="00BE1880">
        <w:tc>
          <w:tcPr>
            <w:tcW w:w="1667" w:type="dxa"/>
            <w:vAlign w:val="center"/>
          </w:tcPr>
          <w:p w14:paraId="2BB78F06" w14:textId="77777777" w:rsidR="00BE1880" w:rsidRPr="000365ED" w:rsidRDefault="00BE1880" w:rsidP="00BE1880">
            <w:pPr>
              <w:pStyle w:val="TableContents"/>
              <w:rPr>
                <w:rFonts w:ascii="Times New Roman" w:hAnsi="Times New Roman" w:cs="Times New Roman"/>
                <w:sz w:val="20"/>
                <w:szCs w:val="20"/>
              </w:rPr>
            </w:pPr>
          </w:p>
        </w:tc>
        <w:tc>
          <w:tcPr>
            <w:tcW w:w="1515" w:type="dxa"/>
            <w:vAlign w:val="center"/>
          </w:tcPr>
          <w:p w14:paraId="3BF698F2" w14:textId="77777777" w:rsidR="00BE1880" w:rsidRPr="000365ED" w:rsidRDefault="00BE1880" w:rsidP="00BE1880">
            <w:pPr>
              <w:pStyle w:val="TableContents"/>
              <w:rPr>
                <w:rFonts w:ascii="Times New Roman" w:hAnsi="Times New Roman" w:cs="Times New Roman"/>
                <w:sz w:val="20"/>
                <w:szCs w:val="20"/>
              </w:rPr>
            </w:pPr>
          </w:p>
        </w:tc>
        <w:tc>
          <w:tcPr>
            <w:tcW w:w="3204" w:type="dxa"/>
            <w:vAlign w:val="center"/>
          </w:tcPr>
          <w:p w14:paraId="7E56457D"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4EB4DAD9"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0B3C9C37"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3E6C221B" w14:textId="77777777" w:rsidTr="00BE1880">
        <w:tc>
          <w:tcPr>
            <w:tcW w:w="1667" w:type="dxa"/>
            <w:vAlign w:val="center"/>
          </w:tcPr>
          <w:p w14:paraId="01E0D316" w14:textId="77777777" w:rsidR="00BE1880" w:rsidRPr="000365ED" w:rsidRDefault="00BE1880" w:rsidP="00BE1880">
            <w:pPr>
              <w:pStyle w:val="TableContents"/>
              <w:rPr>
                <w:rFonts w:ascii="Times New Roman" w:hAnsi="Times New Roman" w:cs="Times New Roman"/>
                <w:b/>
                <w:bCs/>
                <w:sz w:val="20"/>
                <w:szCs w:val="20"/>
              </w:rPr>
            </w:pPr>
            <w:r w:rsidRPr="000365ED">
              <w:rPr>
                <w:rFonts w:ascii="Times New Roman" w:hAnsi="Times New Roman" w:cs="Times New Roman"/>
                <w:b/>
                <w:bCs/>
                <w:sz w:val="20"/>
                <w:szCs w:val="20"/>
              </w:rPr>
              <w:t>Healthcare level</w:t>
            </w:r>
          </w:p>
        </w:tc>
        <w:tc>
          <w:tcPr>
            <w:tcW w:w="1515" w:type="dxa"/>
            <w:vAlign w:val="center"/>
          </w:tcPr>
          <w:p w14:paraId="290EAE3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Rate</w:t>
            </w:r>
          </w:p>
        </w:tc>
        <w:tc>
          <w:tcPr>
            <w:tcW w:w="3204" w:type="dxa"/>
            <w:vAlign w:val="center"/>
          </w:tcPr>
          <w:p w14:paraId="333D2DF3"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95%-CI</w:t>
            </w:r>
          </w:p>
        </w:tc>
        <w:tc>
          <w:tcPr>
            <w:tcW w:w="1625" w:type="dxa"/>
            <w:vAlign w:val="center"/>
          </w:tcPr>
          <w:p w14:paraId="4D188AD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%W(random)</w:t>
            </w:r>
          </w:p>
        </w:tc>
        <w:tc>
          <w:tcPr>
            <w:tcW w:w="1627" w:type="dxa"/>
            <w:vAlign w:val="center"/>
          </w:tcPr>
          <w:p w14:paraId="4192F920"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37F9DD9F" w14:textId="77777777" w:rsidTr="00BE1880">
        <w:tc>
          <w:tcPr>
            <w:tcW w:w="1667" w:type="dxa"/>
            <w:vAlign w:val="center"/>
          </w:tcPr>
          <w:p w14:paraId="55654BB6"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Tertiary</w:t>
            </w:r>
          </w:p>
        </w:tc>
        <w:tc>
          <w:tcPr>
            <w:tcW w:w="1515" w:type="dxa"/>
            <w:vAlign w:val="center"/>
          </w:tcPr>
          <w:p w14:paraId="2A166028"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716.0000</w:t>
            </w:r>
          </w:p>
        </w:tc>
        <w:tc>
          <w:tcPr>
            <w:tcW w:w="3204" w:type="dxa"/>
            <w:vAlign w:val="center"/>
          </w:tcPr>
          <w:p w14:paraId="3773AC9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[715.9989; 716.0011]</w:t>
            </w:r>
          </w:p>
        </w:tc>
        <w:tc>
          <w:tcPr>
            <w:tcW w:w="1625" w:type="dxa"/>
            <w:vAlign w:val="center"/>
          </w:tcPr>
          <w:p w14:paraId="6BB19A7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50.0</w:t>
            </w:r>
          </w:p>
        </w:tc>
        <w:tc>
          <w:tcPr>
            <w:tcW w:w="1627" w:type="dxa"/>
            <w:vAlign w:val="center"/>
          </w:tcPr>
          <w:p w14:paraId="178081A2"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53A05C92" w14:textId="77777777" w:rsidTr="00BE1880">
        <w:tc>
          <w:tcPr>
            <w:tcW w:w="1667" w:type="dxa"/>
            <w:vAlign w:val="center"/>
          </w:tcPr>
          <w:p w14:paraId="07B7F854"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Mixed</w:t>
            </w:r>
          </w:p>
        </w:tc>
        <w:tc>
          <w:tcPr>
            <w:tcW w:w="1515" w:type="dxa"/>
            <w:vAlign w:val="center"/>
          </w:tcPr>
          <w:p w14:paraId="37BE60A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753.0000</w:t>
            </w:r>
          </w:p>
        </w:tc>
        <w:tc>
          <w:tcPr>
            <w:tcW w:w="3204" w:type="dxa"/>
            <w:vAlign w:val="center"/>
          </w:tcPr>
          <w:p w14:paraId="1D8E6147"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[752.9834; 753.0166]</w:t>
            </w:r>
          </w:p>
        </w:tc>
        <w:tc>
          <w:tcPr>
            <w:tcW w:w="1625" w:type="dxa"/>
            <w:vAlign w:val="center"/>
          </w:tcPr>
          <w:p w14:paraId="7A36914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50.0</w:t>
            </w:r>
          </w:p>
        </w:tc>
        <w:tc>
          <w:tcPr>
            <w:tcW w:w="1627" w:type="dxa"/>
            <w:vAlign w:val="center"/>
          </w:tcPr>
          <w:p w14:paraId="1A6FF1EA"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661AD436" w14:textId="77777777" w:rsidTr="00BE1880">
        <w:tc>
          <w:tcPr>
            <w:tcW w:w="1667" w:type="dxa"/>
            <w:vAlign w:val="center"/>
          </w:tcPr>
          <w:p w14:paraId="4A0C4094" w14:textId="77777777" w:rsidR="00BE1880" w:rsidRPr="000365ED" w:rsidRDefault="00BE1880" w:rsidP="00BE1880">
            <w:pPr>
              <w:pStyle w:val="TableContents"/>
              <w:rPr>
                <w:rFonts w:ascii="Times New Roman" w:hAnsi="Times New Roman" w:cs="Times New Roman"/>
                <w:sz w:val="20"/>
                <w:szCs w:val="20"/>
              </w:rPr>
            </w:pPr>
          </w:p>
        </w:tc>
        <w:tc>
          <w:tcPr>
            <w:tcW w:w="1515" w:type="dxa"/>
            <w:vAlign w:val="center"/>
          </w:tcPr>
          <w:p w14:paraId="53164B0D" w14:textId="77777777" w:rsidR="00BE1880" w:rsidRPr="000365ED" w:rsidRDefault="00BE1880" w:rsidP="00BE1880">
            <w:pPr>
              <w:pStyle w:val="TableContents"/>
              <w:rPr>
                <w:rFonts w:ascii="Times New Roman" w:hAnsi="Times New Roman" w:cs="Times New Roman"/>
                <w:sz w:val="20"/>
                <w:szCs w:val="20"/>
              </w:rPr>
            </w:pPr>
          </w:p>
        </w:tc>
        <w:tc>
          <w:tcPr>
            <w:tcW w:w="3204" w:type="dxa"/>
            <w:vAlign w:val="center"/>
          </w:tcPr>
          <w:p w14:paraId="194A1109"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497C3B8B"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3E0522F5"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7300C8B1" w14:textId="77777777" w:rsidTr="00BE1880">
        <w:tc>
          <w:tcPr>
            <w:tcW w:w="1667" w:type="dxa"/>
            <w:vAlign w:val="center"/>
          </w:tcPr>
          <w:p w14:paraId="2E4C1933" w14:textId="77777777" w:rsidR="00BE1880" w:rsidRPr="000365ED" w:rsidRDefault="00BE1880" w:rsidP="00BE1880">
            <w:pPr>
              <w:widowControl w:val="0"/>
              <w:rPr>
                <w:rFonts w:ascii="Times New Roman" w:hAnsi="Times New Roman" w:cs="Times New Roman"/>
                <w:sz w:val="20"/>
                <w:szCs w:val="20"/>
              </w:rPr>
            </w:pPr>
            <w:r w:rsidRPr="000365ED">
              <w:rPr>
                <w:rFonts w:ascii="Times New Roman" w:hAnsi="Times New Roman" w:cs="Times New Roman"/>
                <w:sz w:val="20"/>
                <w:szCs w:val="20"/>
              </w:rPr>
              <w:t>Number of studies combined:</w:t>
            </w:r>
          </w:p>
        </w:tc>
        <w:tc>
          <w:tcPr>
            <w:tcW w:w="1515" w:type="dxa"/>
            <w:vAlign w:val="center"/>
          </w:tcPr>
          <w:p w14:paraId="386F7D7D" w14:textId="77777777" w:rsidR="00BE1880" w:rsidRPr="000365ED" w:rsidRDefault="00BE1880" w:rsidP="00BE1880">
            <w:pPr>
              <w:widowControl w:val="0"/>
              <w:rPr>
                <w:rFonts w:ascii="Times New Roman" w:hAnsi="Times New Roman" w:cs="Times New Roman"/>
                <w:sz w:val="20"/>
                <w:szCs w:val="20"/>
              </w:rPr>
            </w:pPr>
            <w:r w:rsidRPr="000365ED">
              <w:rPr>
                <w:rFonts w:ascii="Times New Roman" w:hAnsi="Times New Roman" w:cs="Times New Roman"/>
                <w:sz w:val="20"/>
                <w:szCs w:val="20"/>
              </w:rPr>
              <w:t xml:space="preserve"> k = 2</w:t>
            </w:r>
          </w:p>
        </w:tc>
        <w:tc>
          <w:tcPr>
            <w:tcW w:w="3204" w:type="dxa"/>
            <w:vAlign w:val="center"/>
          </w:tcPr>
          <w:p w14:paraId="282DF496"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060CDF9C"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36EB113B"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28988A58" w14:textId="77777777" w:rsidTr="00BE1880">
        <w:tc>
          <w:tcPr>
            <w:tcW w:w="1667" w:type="dxa"/>
            <w:vAlign w:val="center"/>
          </w:tcPr>
          <w:p w14:paraId="00201A5A" w14:textId="77777777" w:rsidR="00BE1880" w:rsidRPr="000365ED" w:rsidRDefault="00BE1880" w:rsidP="00BE1880">
            <w:pPr>
              <w:pStyle w:val="TableContents"/>
              <w:rPr>
                <w:rFonts w:ascii="Times New Roman" w:hAnsi="Times New Roman" w:cs="Times New Roman"/>
                <w:sz w:val="20"/>
                <w:szCs w:val="20"/>
              </w:rPr>
            </w:pPr>
          </w:p>
        </w:tc>
        <w:tc>
          <w:tcPr>
            <w:tcW w:w="1515" w:type="dxa"/>
            <w:vAlign w:val="center"/>
          </w:tcPr>
          <w:p w14:paraId="6A9F9F79" w14:textId="77777777" w:rsidR="00BE1880" w:rsidRPr="000365ED" w:rsidRDefault="00BE1880" w:rsidP="00BE1880">
            <w:pPr>
              <w:pStyle w:val="TableContents"/>
              <w:rPr>
                <w:rFonts w:ascii="Times New Roman" w:hAnsi="Times New Roman" w:cs="Times New Roman"/>
                <w:sz w:val="20"/>
                <w:szCs w:val="20"/>
              </w:rPr>
            </w:pPr>
          </w:p>
        </w:tc>
        <w:tc>
          <w:tcPr>
            <w:tcW w:w="3204" w:type="dxa"/>
            <w:vAlign w:val="center"/>
          </w:tcPr>
          <w:p w14:paraId="08B5C851"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40D287BE"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67AE6654"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22ECB80D" w14:textId="77777777" w:rsidTr="00BE1880">
        <w:tc>
          <w:tcPr>
            <w:tcW w:w="1667" w:type="dxa"/>
            <w:vAlign w:val="center"/>
          </w:tcPr>
          <w:p w14:paraId="7F00260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Parameter</w:t>
            </w:r>
          </w:p>
        </w:tc>
        <w:tc>
          <w:tcPr>
            <w:tcW w:w="1515" w:type="dxa"/>
            <w:vAlign w:val="center"/>
          </w:tcPr>
          <w:p w14:paraId="43C01FD4"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Value</w:t>
            </w:r>
          </w:p>
        </w:tc>
        <w:tc>
          <w:tcPr>
            <w:tcW w:w="3204" w:type="dxa"/>
            <w:vAlign w:val="center"/>
          </w:tcPr>
          <w:p w14:paraId="3C91EBE5"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45138EE7"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1A5DFE2D"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0029AC52" w14:textId="77777777" w:rsidTr="00BE1880">
        <w:tc>
          <w:tcPr>
            <w:tcW w:w="1667" w:type="dxa"/>
            <w:vAlign w:val="center"/>
          </w:tcPr>
          <w:p w14:paraId="6E5D8AE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tau^2</w:t>
            </w:r>
          </w:p>
        </w:tc>
        <w:tc>
          <w:tcPr>
            <w:tcW w:w="1515" w:type="dxa"/>
            <w:vAlign w:val="center"/>
          </w:tcPr>
          <w:p w14:paraId="15A7E637"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684.5000</w:t>
            </w:r>
          </w:p>
        </w:tc>
        <w:tc>
          <w:tcPr>
            <w:tcW w:w="3204" w:type="dxa"/>
            <w:vAlign w:val="center"/>
          </w:tcPr>
          <w:p w14:paraId="65379B54"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214ECD12"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671DE010"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414D5097" w14:textId="77777777" w:rsidTr="00BE1880">
        <w:tc>
          <w:tcPr>
            <w:tcW w:w="1667" w:type="dxa"/>
            <w:vAlign w:val="center"/>
          </w:tcPr>
          <w:p w14:paraId="59C4657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tau</w:t>
            </w:r>
          </w:p>
        </w:tc>
        <w:tc>
          <w:tcPr>
            <w:tcW w:w="1515" w:type="dxa"/>
            <w:vAlign w:val="center"/>
          </w:tcPr>
          <w:p w14:paraId="5E761984"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26.1630</w:t>
            </w:r>
          </w:p>
        </w:tc>
        <w:tc>
          <w:tcPr>
            <w:tcW w:w="3204" w:type="dxa"/>
            <w:vAlign w:val="center"/>
          </w:tcPr>
          <w:p w14:paraId="73BDD283"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5441EB91"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7FF6FCCD"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60BC2B83" w14:textId="77777777" w:rsidTr="00BE1880">
        <w:tc>
          <w:tcPr>
            <w:tcW w:w="1667" w:type="dxa"/>
            <w:vAlign w:val="center"/>
          </w:tcPr>
          <w:p w14:paraId="4E197E1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I^2</w:t>
            </w:r>
          </w:p>
        </w:tc>
        <w:tc>
          <w:tcPr>
            <w:tcW w:w="1515" w:type="dxa"/>
            <w:vAlign w:val="center"/>
          </w:tcPr>
          <w:p w14:paraId="4307B61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100.0%</w:t>
            </w:r>
          </w:p>
        </w:tc>
        <w:tc>
          <w:tcPr>
            <w:tcW w:w="3204" w:type="dxa"/>
            <w:vAlign w:val="center"/>
          </w:tcPr>
          <w:p w14:paraId="19E05F01"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4FA95F03"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2FAED207"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002897C8" w14:textId="77777777" w:rsidTr="00BE1880">
        <w:tc>
          <w:tcPr>
            <w:tcW w:w="1667" w:type="dxa"/>
            <w:vAlign w:val="center"/>
          </w:tcPr>
          <w:p w14:paraId="2DDE19AE"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H</w:t>
            </w:r>
          </w:p>
        </w:tc>
        <w:tc>
          <w:tcPr>
            <w:tcW w:w="1515" w:type="dxa"/>
            <w:vAlign w:val="center"/>
          </w:tcPr>
          <w:p w14:paraId="3C8C00ED"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4352.35</w:t>
            </w:r>
          </w:p>
        </w:tc>
        <w:tc>
          <w:tcPr>
            <w:tcW w:w="3204" w:type="dxa"/>
            <w:vAlign w:val="center"/>
          </w:tcPr>
          <w:p w14:paraId="620C6055"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0FD88DB9"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01C1BAD1"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5D4A248A" w14:textId="77777777" w:rsidTr="00BE1880">
        <w:tc>
          <w:tcPr>
            <w:tcW w:w="1667" w:type="dxa"/>
            <w:vAlign w:val="center"/>
          </w:tcPr>
          <w:p w14:paraId="30537B72"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95%-CI for H</w:t>
            </w:r>
          </w:p>
        </w:tc>
        <w:tc>
          <w:tcPr>
            <w:tcW w:w="1515" w:type="dxa"/>
            <w:vAlign w:val="center"/>
          </w:tcPr>
          <w:p w14:paraId="0DB3A033"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[4340.75; 4363.97]</w:t>
            </w:r>
          </w:p>
        </w:tc>
        <w:tc>
          <w:tcPr>
            <w:tcW w:w="3204" w:type="dxa"/>
            <w:vAlign w:val="center"/>
          </w:tcPr>
          <w:p w14:paraId="3F157B4D"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36280A59"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3921B5D9"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7B3C1516" w14:textId="77777777" w:rsidTr="00BE1880">
        <w:tc>
          <w:tcPr>
            <w:tcW w:w="1667" w:type="dxa"/>
            <w:vAlign w:val="center"/>
          </w:tcPr>
          <w:p w14:paraId="0068B2C1" w14:textId="77777777" w:rsidR="00BE1880" w:rsidRPr="000365ED" w:rsidRDefault="00BE1880" w:rsidP="00BE1880">
            <w:pPr>
              <w:pStyle w:val="TableContents"/>
              <w:rPr>
                <w:rFonts w:ascii="Times New Roman" w:hAnsi="Times New Roman" w:cs="Times New Roman"/>
                <w:sz w:val="20"/>
                <w:szCs w:val="20"/>
              </w:rPr>
            </w:pPr>
          </w:p>
        </w:tc>
        <w:tc>
          <w:tcPr>
            <w:tcW w:w="1515" w:type="dxa"/>
            <w:vAlign w:val="center"/>
          </w:tcPr>
          <w:p w14:paraId="4B9E49D0" w14:textId="77777777" w:rsidR="00BE1880" w:rsidRPr="000365ED" w:rsidRDefault="00BE1880" w:rsidP="00BE1880">
            <w:pPr>
              <w:pStyle w:val="TableContents"/>
              <w:rPr>
                <w:rFonts w:ascii="Times New Roman" w:hAnsi="Times New Roman" w:cs="Times New Roman"/>
                <w:sz w:val="20"/>
                <w:szCs w:val="20"/>
              </w:rPr>
            </w:pPr>
          </w:p>
        </w:tc>
        <w:tc>
          <w:tcPr>
            <w:tcW w:w="3204" w:type="dxa"/>
            <w:vAlign w:val="center"/>
          </w:tcPr>
          <w:p w14:paraId="12829725"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36ED1B7E"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41447B54"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04F90A7F" w14:textId="77777777" w:rsidTr="00BE1880">
        <w:tc>
          <w:tcPr>
            <w:tcW w:w="1667" w:type="dxa"/>
            <w:vAlign w:val="center"/>
          </w:tcPr>
          <w:p w14:paraId="4B01E973"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Parameter</w:t>
            </w:r>
          </w:p>
        </w:tc>
        <w:tc>
          <w:tcPr>
            <w:tcW w:w="1515" w:type="dxa"/>
            <w:vAlign w:val="center"/>
          </w:tcPr>
          <w:p w14:paraId="2365AF61"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Rate</w:t>
            </w:r>
          </w:p>
        </w:tc>
        <w:tc>
          <w:tcPr>
            <w:tcW w:w="3204" w:type="dxa"/>
            <w:vAlign w:val="center"/>
          </w:tcPr>
          <w:p w14:paraId="0F05E47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95%-CI</w:t>
            </w:r>
          </w:p>
        </w:tc>
        <w:tc>
          <w:tcPr>
            <w:tcW w:w="1625" w:type="dxa"/>
            <w:vAlign w:val="center"/>
          </w:tcPr>
          <w:p w14:paraId="701AAD54"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z</w:t>
            </w:r>
          </w:p>
        </w:tc>
        <w:tc>
          <w:tcPr>
            <w:tcW w:w="1627" w:type="dxa"/>
            <w:vAlign w:val="center"/>
          </w:tcPr>
          <w:p w14:paraId="4A785245"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p-value</w:t>
            </w:r>
          </w:p>
        </w:tc>
      </w:tr>
      <w:tr w:rsidR="00BE1880" w:rsidRPr="000365ED" w14:paraId="2F642908" w14:textId="77777777" w:rsidTr="00BE1880">
        <w:tc>
          <w:tcPr>
            <w:tcW w:w="1667" w:type="dxa"/>
            <w:vAlign w:val="center"/>
          </w:tcPr>
          <w:p w14:paraId="61144D0D"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Random effects model</w:t>
            </w:r>
          </w:p>
        </w:tc>
        <w:tc>
          <w:tcPr>
            <w:tcW w:w="1515" w:type="dxa"/>
            <w:vAlign w:val="center"/>
          </w:tcPr>
          <w:p w14:paraId="62DCDE4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734.5000</w:t>
            </w:r>
          </w:p>
        </w:tc>
        <w:tc>
          <w:tcPr>
            <w:tcW w:w="3204" w:type="dxa"/>
            <w:vAlign w:val="center"/>
          </w:tcPr>
          <w:p w14:paraId="4E488C4E"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[698.2407; 770.7593]</w:t>
            </w:r>
          </w:p>
        </w:tc>
        <w:tc>
          <w:tcPr>
            <w:tcW w:w="1625" w:type="dxa"/>
            <w:vAlign w:val="center"/>
          </w:tcPr>
          <w:p w14:paraId="503B7ADB"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39.70</w:t>
            </w:r>
          </w:p>
        </w:tc>
        <w:tc>
          <w:tcPr>
            <w:tcW w:w="1627" w:type="dxa"/>
            <w:vAlign w:val="center"/>
          </w:tcPr>
          <w:p w14:paraId="14E4FA54"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0</w:t>
            </w:r>
          </w:p>
        </w:tc>
      </w:tr>
      <w:tr w:rsidR="00BE1880" w:rsidRPr="000365ED" w14:paraId="3E68BEED" w14:textId="77777777" w:rsidTr="00BE1880">
        <w:tc>
          <w:tcPr>
            <w:tcW w:w="1667" w:type="dxa"/>
            <w:vAlign w:val="center"/>
          </w:tcPr>
          <w:p w14:paraId="3086DA72" w14:textId="77777777" w:rsidR="00BE1880" w:rsidRPr="000365ED" w:rsidRDefault="00BE1880" w:rsidP="00BE1880">
            <w:pPr>
              <w:pStyle w:val="TableContents"/>
              <w:rPr>
                <w:rFonts w:ascii="Times New Roman" w:hAnsi="Times New Roman" w:cs="Times New Roman"/>
                <w:sz w:val="20"/>
                <w:szCs w:val="20"/>
              </w:rPr>
            </w:pPr>
          </w:p>
        </w:tc>
        <w:tc>
          <w:tcPr>
            <w:tcW w:w="1515" w:type="dxa"/>
            <w:vAlign w:val="center"/>
          </w:tcPr>
          <w:p w14:paraId="40770647" w14:textId="77777777" w:rsidR="00BE1880" w:rsidRPr="000365ED" w:rsidRDefault="00BE1880" w:rsidP="00BE1880">
            <w:pPr>
              <w:pStyle w:val="TableContents"/>
              <w:rPr>
                <w:rFonts w:ascii="Times New Roman" w:hAnsi="Times New Roman" w:cs="Times New Roman"/>
                <w:sz w:val="20"/>
                <w:szCs w:val="20"/>
              </w:rPr>
            </w:pPr>
          </w:p>
        </w:tc>
        <w:tc>
          <w:tcPr>
            <w:tcW w:w="3204" w:type="dxa"/>
            <w:vAlign w:val="center"/>
          </w:tcPr>
          <w:p w14:paraId="3138BAD8" w14:textId="77777777" w:rsidR="00BE1880" w:rsidRPr="000365ED" w:rsidRDefault="00BE1880" w:rsidP="00BE1880">
            <w:pPr>
              <w:pStyle w:val="TableContents"/>
              <w:rPr>
                <w:rFonts w:ascii="Times New Roman" w:hAnsi="Times New Roman" w:cs="Times New Roman"/>
                <w:sz w:val="20"/>
                <w:szCs w:val="20"/>
              </w:rPr>
            </w:pPr>
          </w:p>
        </w:tc>
        <w:tc>
          <w:tcPr>
            <w:tcW w:w="1625" w:type="dxa"/>
            <w:vAlign w:val="center"/>
          </w:tcPr>
          <w:p w14:paraId="6864BD45"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7BBDE0DF"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3FD9BA31" w14:textId="77777777" w:rsidTr="00BE1880">
        <w:tc>
          <w:tcPr>
            <w:tcW w:w="1667" w:type="dxa"/>
            <w:vAlign w:val="center"/>
          </w:tcPr>
          <w:p w14:paraId="537163F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Q</w:t>
            </w:r>
          </w:p>
        </w:tc>
        <w:tc>
          <w:tcPr>
            <w:tcW w:w="1515" w:type="dxa"/>
            <w:vAlign w:val="center"/>
          </w:tcPr>
          <w:p w14:paraId="4013BFDC" w14:textId="77777777" w:rsidR="00BE1880" w:rsidRPr="000365ED" w:rsidRDefault="00BE1880" w:rsidP="00BE1880">
            <w:pPr>
              <w:pStyle w:val="TableContents"/>
              <w:rPr>
                <w:rFonts w:ascii="Times New Roman" w:hAnsi="Times New Roman" w:cs="Times New Roman"/>
                <w:sz w:val="20"/>
                <w:szCs w:val="20"/>
              </w:rPr>
            </w:pPr>
            <w:proofErr w:type="spellStart"/>
            <w:r w:rsidRPr="000365ED">
              <w:rPr>
                <w:rFonts w:ascii="Times New Roman" w:hAnsi="Times New Roman" w:cs="Times New Roman"/>
                <w:sz w:val="20"/>
                <w:szCs w:val="20"/>
              </w:rPr>
              <w:t>d.f.</w:t>
            </w:r>
            <w:proofErr w:type="spellEnd"/>
          </w:p>
        </w:tc>
        <w:tc>
          <w:tcPr>
            <w:tcW w:w="3204" w:type="dxa"/>
            <w:vAlign w:val="center"/>
          </w:tcPr>
          <w:p w14:paraId="50B43450"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p-value</w:t>
            </w:r>
          </w:p>
        </w:tc>
        <w:tc>
          <w:tcPr>
            <w:tcW w:w="1625" w:type="dxa"/>
            <w:vAlign w:val="center"/>
          </w:tcPr>
          <w:p w14:paraId="2C47AF4A"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551C75A2" w14:textId="77777777" w:rsidR="00BE1880" w:rsidRPr="000365ED" w:rsidRDefault="00BE1880" w:rsidP="00BE1880">
            <w:pPr>
              <w:pStyle w:val="TableContents"/>
              <w:rPr>
                <w:rFonts w:ascii="Times New Roman" w:hAnsi="Times New Roman" w:cs="Times New Roman"/>
                <w:sz w:val="20"/>
                <w:szCs w:val="20"/>
              </w:rPr>
            </w:pPr>
          </w:p>
        </w:tc>
      </w:tr>
      <w:tr w:rsidR="00BE1880" w:rsidRPr="000365ED" w14:paraId="7FEA151C" w14:textId="77777777" w:rsidTr="00BE1880">
        <w:tc>
          <w:tcPr>
            <w:tcW w:w="1667" w:type="dxa"/>
            <w:vAlign w:val="center"/>
          </w:tcPr>
          <w:p w14:paraId="1EC8CAAF"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18942909.53</w:t>
            </w:r>
          </w:p>
        </w:tc>
        <w:tc>
          <w:tcPr>
            <w:tcW w:w="1515" w:type="dxa"/>
            <w:vAlign w:val="center"/>
          </w:tcPr>
          <w:p w14:paraId="18147019"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1</w:t>
            </w:r>
          </w:p>
        </w:tc>
        <w:tc>
          <w:tcPr>
            <w:tcW w:w="3204" w:type="dxa"/>
            <w:vAlign w:val="center"/>
          </w:tcPr>
          <w:p w14:paraId="631D1E5C" w14:textId="77777777" w:rsidR="00BE1880" w:rsidRPr="000365ED" w:rsidRDefault="00BE1880" w:rsidP="00BE1880">
            <w:pPr>
              <w:pStyle w:val="TableContents"/>
              <w:rPr>
                <w:rFonts w:ascii="Times New Roman" w:hAnsi="Times New Roman" w:cs="Times New Roman"/>
                <w:sz w:val="20"/>
                <w:szCs w:val="20"/>
              </w:rPr>
            </w:pPr>
            <w:r w:rsidRPr="000365ED">
              <w:rPr>
                <w:rFonts w:ascii="Times New Roman" w:hAnsi="Times New Roman" w:cs="Times New Roman"/>
                <w:sz w:val="20"/>
                <w:szCs w:val="20"/>
              </w:rPr>
              <w:t>0</w:t>
            </w:r>
          </w:p>
        </w:tc>
        <w:tc>
          <w:tcPr>
            <w:tcW w:w="1625" w:type="dxa"/>
            <w:vAlign w:val="center"/>
          </w:tcPr>
          <w:p w14:paraId="6F22A0DC" w14:textId="77777777" w:rsidR="00BE1880" w:rsidRPr="000365ED" w:rsidRDefault="00BE1880" w:rsidP="00BE1880">
            <w:pPr>
              <w:pStyle w:val="TableContents"/>
              <w:rPr>
                <w:rFonts w:ascii="Times New Roman" w:hAnsi="Times New Roman" w:cs="Times New Roman"/>
                <w:sz w:val="20"/>
                <w:szCs w:val="20"/>
              </w:rPr>
            </w:pPr>
          </w:p>
        </w:tc>
        <w:tc>
          <w:tcPr>
            <w:tcW w:w="1627" w:type="dxa"/>
            <w:vAlign w:val="center"/>
          </w:tcPr>
          <w:p w14:paraId="1E821847" w14:textId="77777777" w:rsidR="00BE1880" w:rsidRPr="000365ED" w:rsidRDefault="00BE1880" w:rsidP="00BE1880">
            <w:pPr>
              <w:pStyle w:val="TableContents"/>
              <w:rPr>
                <w:rFonts w:ascii="Times New Roman" w:hAnsi="Times New Roman" w:cs="Times New Roman"/>
                <w:sz w:val="20"/>
                <w:szCs w:val="20"/>
              </w:rPr>
            </w:pPr>
          </w:p>
        </w:tc>
      </w:tr>
    </w:tbl>
    <w:p w14:paraId="5238D1A6" w14:textId="77777777" w:rsidR="00BE1880" w:rsidRPr="000365ED" w:rsidRDefault="00BE1880" w:rsidP="00BE1880">
      <w:pPr>
        <w:rPr>
          <w:rFonts w:ascii="Times New Roman" w:hAnsi="Times New Roman" w:cs="Times New Roman"/>
          <w:sz w:val="20"/>
          <w:szCs w:val="20"/>
        </w:rPr>
      </w:pPr>
    </w:p>
    <w:p w14:paraId="046AAECD" w14:textId="2DFA3C1A" w:rsidR="00321B41" w:rsidRPr="000365ED" w:rsidRDefault="00321B41" w:rsidP="00321B41">
      <w:pPr>
        <w:rPr>
          <w:rFonts w:ascii="Times New Roman" w:hAnsi="Times New Roman" w:cs="Times New Roman"/>
          <w:lang w:val="en-GB"/>
        </w:rPr>
      </w:pPr>
    </w:p>
    <w:p w14:paraId="0BC0A8C5" w14:textId="77777777" w:rsidR="00321B41" w:rsidRPr="000365ED" w:rsidRDefault="00321B41" w:rsidP="00321B41">
      <w:pPr>
        <w:rPr>
          <w:rFonts w:ascii="Times New Roman" w:hAnsi="Times New Roman" w:cs="Times New Roman"/>
        </w:rPr>
      </w:pPr>
    </w:p>
    <w:p w14:paraId="79174D2D" w14:textId="77777777" w:rsidR="00321B41" w:rsidRPr="000365ED" w:rsidRDefault="00321B41" w:rsidP="00321B41">
      <w:pPr>
        <w:rPr>
          <w:rFonts w:ascii="Times New Roman" w:hAnsi="Times New Roman" w:cs="Times New Roman"/>
        </w:rPr>
      </w:pPr>
    </w:p>
    <w:p w14:paraId="0DF8BFB8" w14:textId="77777777" w:rsidR="00321B41" w:rsidRPr="000365ED" w:rsidRDefault="00321B41" w:rsidP="00321B41">
      <w:pPr>
        <w:rPr>
          <w:rFonts w:ascii="Times New Roman" w:hAnsi="Times New Roman" w:cs="Times New Roman"/>
        </w:rPr>
      </w:pPr>
    </w:p>
    <w:p w14:paraId="1ADFBFCD" w14:textId="09B6F790" w:rsidR="00321B41" w:rsidRPr="000365ED" w:rsidRDefault="00321B41" w:rsidP="00321B41">
      <w:pPr>
        <w:rPr>
          <w:rFonts w:ascii="Times New Roman" w:hAnsi="Times New Roman" w:cs="Times New Roman"/>
        </w:rPr>
      </w:pPr>
      <w:r w:rsidRPr="000365ED">
        <w:rPr>
          <w:rFonts w:ascii="Times New Roman" w:hAnsi="Times New Roman" w:cs="Times New Roman"/>
          <w:noProof/>
        </w:rPr>
        <w:lastRenderedPageBreak/>
        <w:drawing>
          <wp:anchor distT="0" distB="0" distL="0" distR="0" simplePos="0" relativeHeight="251659264" behindDoc="0" locked="0" layoutInCell="0" allowOverlap="1" wp14:anchorId="0A05FFA0" wp14:editId="232C5480">
            <wp:simplePos x="0" y="0"/>
            <wp:positionH relativeFrom="column">
              <wp:align>center</wp:align>
            </wp:positionH>
            <wp:positionV relativeFrom="paragraph">
              <wp:posOffset>635</wp:posOffset>
            </wp:positionV>
            <wp:extent cx="6120130" cy="3569970"/>
            <wp:effectExtent l="0" t="0" r="0" b="0"/>
            <wp:wrapSquare wrapText="largest"/>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5"/>
                    <a:stretch>
                      <a:fillRect/>
                    </a:stretch>
                  </pic:blipFill>
                  <pic:spPr bwMode="auto">
                    <a:xfrm>
                      <a:off x="0" y="0"/>
                      <a:ext cx="6120130" cy="3569970"/>
                    </a:xfrm>
                    <a:prstGeom prst="rect">
                      <a:avLst/>
                    </a:prstGeom>
                  </pic:spPr>
                </pic:pic>
              </a:graphicData>
            </a:graphic>
          </wp:anchor>
        </w:drawing>
      </w:r>
      <w:r w:rsidR="000365ED">
        <w:rPr>
          <w:rFonts w:ascii="Times New Roman" w:hAnsi="Times New Roman" w:cs="Times New Roman"/>
          <w:lang w:val="en-GB"/>
        </w:rPr>
        <w:t xml:space="preserve">Supplementary </w:t>
      </w:r>
      <w:r w:rsidRPr="000365ED">
        <w:rPr>
          <w:rFonts w:ascii="Times New Roman" w:hAnsi="Times New Roman" w:cs="Times New Roman"/>
        </w:rPr>
        <w:t>Figure 1: Sensitivity analysis on antibiotic consumption</w:t>
      </w:r>
    </w:p>
    <w:p w14:paraId="14CDD9AB" w14:textId="77777777" w:rsidR="00321B41" w:rsidRPr="000365ED" w:rsidRDefault="00321B41" w:rsidP="00321B41">
      <w:pPr>
        <w:rPr>
          <w:rFonts w:ascii="Times New Roman" w:hAnsi="Times New Roman" w:cs="Times New Roman"/>
        </w:rPr>
      </w:pPr>
    </w:p>
    <w:p w14:paraId="5CD79708" w14:textId="721778D9" w:rsidR="00321B41" w:rsidRPr="000365ED" w:rsidRDefault="00321B41" w:rsidP="00321B41">
      <w:pPr>
        <w:rPr>
          <w:rFonts w:ascii="Times New Roman" w:hAnsi="Times New Roman" w:cs="Times New Roman"/>
          <w:lang w:val="en-GB"/>
        </w:rPr>
      </w:pPr>
    </w:p>
    <w:p w14:paraId="55C9EB57" w14:textId="77777777" w:rsidR="00321B41" w:rsidRPr="000365ED" w:rsidRDefault="00321B41" w:rsidP="00321B41">
      <w:pPr>
        <w:rPr>
          <w:rFonts w:ascii="Times New Roman" w:hAnsi="Times New Roman" w:cs="Times New Roman"/>
        </w:rPr>
      </w:pPr>
      <w:r w:rsidRPr="000365ED">
        <w:rPr>
          <w:rFonts w:ascii="Times New Roman" w:hAnsi="Times New Roman" w:cs="Times New Roman"/>
          <w:noProof/>
        </w:rPr>
        <w:drawing>
          <wp:anchor distT="0" distB="0" distL="0" distR="0" simplePos="0" relativeHeight="251660288" behindDoc="0" locked="0" layoutInCell="0" allowOverlap="1" wp14:anchorId="76B26EE4" wp14:editId="36550A1A">
            <wp:simplePos x="0" y="0"/>
            <wp:positionH relativeFrom="column">
              <wp:align>center</wp:align>
            </wp:positionH>
            <wp:positionV relativeFrom="paragraph">
              <wp:posOffset>635</wp:posOffset>
            </wp:positionV>
            <wp:extent cx="6120130" cy="3569970"/>
            <wp:effectExtent l="0" t="0" r="0" b="0"/>
            <wp:wrapSquare wrapText="largest"/>
            <wp:docPr id="2"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pic:cNvPicPr>
                      <a:picLocks noChangeAspect="1" noChangeArrowheads="1"/>
                    </pic:cNvPicPr>
                  </pic:nvPicPr>
                  <pic:blipFill>
                    <a:blip r:embed="rId6"/>
                    <a:stretch>
                      <a:fillRect/>
                    </a:stretch>
                  </pic:blipFill>
                  <pic:spPr bwMode="auto">
                    <a:xfrm>
                      <a:off x="0" y="0"/>
                      <a:ext cx="6120130" cy="3569970"/>
                    </a:xfrm>
                    <a:prstGeom prst="rect">
                      <a:avLst/>
                    </a:prstGeom>
                  </pic:spPr>
                </pic:pic>
              </a:graphicData>
            </a:graphic>
          </wp:anchor>
        </w:drawing>
      </w:r>
    </w:p>
    <w:p w14:paraId="3E5655DA" w14:textId="2F10A774" w:rsidR="00321B41" w:rsidRPr="000365ED" w:rsidRDefault="000365ED" w:rsidP="00321B41">
      <w:pPr>
        <w:rPr>
          <w:rFonts w:ascii="Times New Roman" w:hAnsi="Times New Roman" w:cs="Times New Roman"/>
        </w:rPr>
      </w:pPr>
      <w:r>
        <w:rPr>
          <w:rFonts w:ascii="Times New Roman" w:hAnsi="Times New Roman" w:cs="Times New Roman"/>
          <w:lang w:val="en-GB"/>
        </w:rPr>
        <w:t>Supplementary</w:t>
      </w:r>
      <w:r w:rsidRPr="000365ED">
        <w:rPr>
          <w:rFonts w:ascii="Times New Roman" w:hAnsi="Times New Roman" w:cs="Times New Roman"/>
        </w:rPr>
        <w:t xml:space="preserve"> </w:t>
      </w:r>
      <w:r w:rsidR="00321B41" w:rsidRPr="000365ED">
        <w:rPr>
          <w:rFonts w:ascii="Times New Roman" w:hAnsi="Times New Roman" w:cs="Times New Roman"/>
        </w:rPr>
        <w:t xml:space="preserve">Figure 2: Antibiotic consumption subgroup analysis on duration of study </w:t>
      </w:r>
    </w:p>
    <w:p w14:paraId="11285F98" w14:textId="77777777" w:rsidR="00321B41" w:rsidRPr="000365ED" w:rsidRDefault="00321B41" w:rsidP="00321B41">
      <w:pPr>
        <w:rPr>
          <w:rFonts w:ascii="Times New Roman" w:hAnsi="Times New Roman" w:cs="Times New Roman"/>
        </w:rPr>
      </w:pPr>
    </w:p>
    <w:p w14:paraId="63F0BC57" w14:textId="03C505F2" w:rsidR="00321B41" w:rsidRPr="000365ED" w:rsidRDefault="00321B41" w:rsidP="00321B41">
      <w:pPr>
        <w:rPr>
          <w:rFonts w:ascii="Times New Roman" w:hAnsi="Times New Roman" w:cs="Times New Roman"/>
          <w:lang w:val="en-GB"/>
        </w:rPr>
      </w:pPr>
    </w:p>
    <w:p w14:paraId="25765057" w14:textId="77777777" w:rsidR="00321B41" w:rsidRPr="000365ED" w:rsidRDefault="00321B41" w:rsidP="00321B41">
      <w:pPr>
        <w:rPr>
          <w:rFonts w:ascii="Times New Roman" w:hAnsi="Times New Roman" w:cs="Times New Roman"/>
        </w:rPr>
      </w:pPr>
      <w:r w:rsidRPr="000365ED">
        <w:rPr>
          <w:rFonts w:ascii="Times New Roman" w:hAnsi="Times New Roman" w:cs="Times New Roman"/>
          <w:noProof/>
        </w:rPr>
        <w:lastRenderedPageBreak/>
        <w:drawing>
          <wp:anchor distT="0" distB="0" distL="0" distR="0" simplePos="0" relativeHeight="251661312" behindDoc="0" locked="0" layoutInCell="0" allowOverlap="1" wp14:anchorId="77716939" wp14:editId="54DEB17B">
            <wp:simplePos x="0" y="0"/>
            <wp:positionH relativeFrom="column">
              <wp:align>center</wp:align>
            </wp:positionH>
            <wp:positionV relativeFrom="paragraph">
              <wp:posOffset>635</wp:posOffset>
            </wp:positionV>
            <wp:extent cx="6120130" cy="3569970"/>
            <wp:effectExtent l="0" t="0" r="0" b="0"/>
            <wp:wrapSquare wrapText="largest"/>
            <wp:docPr id="3"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
                    <pic:cNvPicPr>
                      <a:picLocks noChangeAspect="1" noChangeArrowheads="1"/>
                    </pic:cNvPicPr>
                  </pic:nvPicPr>
                  <pic:blipFill>
                    <a:blip r:embed="rId7"/>
                    <a:stretch>
                      <a:fillRect/>
                    </a:stretch>
                  </pic:blipFill>
                  <pic:spPr bwMode="auto">
                    <a:xfrm>
                      <a:off x="0" y="0"/>
                      <a:ext cx="6120130" cy="3569970"/>
                    </a:xfrm>
                    <a:prstGeom prst="rect">
                      <a:avLst/>
                    </a:prstGeom>
                  </pic:spPr>
                </pic:pic>
              </a:graphicData>
            </a:graphic>
          </wp:anchor>
        </w:drawing>
      </w:r>
    </w:p>
    <w:p w14:paraId="46F4E150" w14:textId="77777777" w:rsidR="00321B41" w:rsidRPr="000365ED" w:rsidRDefault="00321B41" w:rsidP="00321B41">
      <w:pPr>
        <w:rPr>
          <w:rFonts w:ascii="Times New Roman" w:hAnsi="Times New Roman" w:cs="Times New Roman"/>
        </w:rPr>
      </w:pPr>
    </w:p>
    <w:p w14:paraId="3B748D62" w14:textId="658CDA86" w:rsidR="00321B41" w:rsidRPr="000365ED" w:rsidRDefault="000365ED" w:rsidP="00321B41">
      <w:pPr>
        <w:rPr>
          <w:rFonts w:ascii="Times New Roman" w:hAnsi="Times New Roman" w:cs="Times New Roman"/>
        </w:rPr>
      </w:pPr>
      <w:r>
        <w:rPr>
          <w:rFonts w:ascii="Times New Roman" w:hAnsi="Times New Roman" w:cs="Times New Roman"/>
          <w:lang w:val="en-GB"/>
        </w:rPr>
        <w:t>Supplementary</w:t>
      </w:r>
      <w:r w:rsidRPr="000365ED">
        <w:rPr>
          <w:rFonts w:ascii="Times New Roman" w:hAnsi="Times New Roman" w:cs="Times New Roman"/>
        </w:rPr>
        <w:t xml:space="preserve"> </w:t>
      </w:r>
      <w:r w:rsidR="00321B41" w:rsidRPr="000365ED">
        <w:rPr>
          <w:rFonts w:ascii="Times New Roman" w:hAnsi="Times New Roman" w:cs="Times New Roman"/>
        </w:rPr>
        <w:t>Figure 3: Antibiotic consumption subgroup analysis on healthcare level</w:t>
      </w:r>
    </w:p>
    <w:p w14:paraId="2F765579" w14:textId="049BE189" w:rsidR="00321B41" w:rsidRPr="000365ED" w:rsidRDefault="00321B41" w:rsidP="00321B41">
      <w:pPr>
        <w:rPr>
          <w:rFonts w:ascii="Times New Roman" w:hAnsi="Times New Roman" w:cs="Times New Roman"/>
          <w:lang w:val="en-GB"/>
        </w:rPr>
      </w:pPr>
    </w:p>
    <w:p w14:paraId="65D4A5CB" w14:textId="77777777" w:rsidR="00471776" w:rsidRDefault="00471776" w:rsidP="00321B41">
      <w:pPr>
        <w:rPr>
          <w:rFonts w:ascii="Times New Roman" w:hAnsi="Times New Roman" w:cs="Times New Roman"/>
          <w:lang w:val="en-GB"/>
        </w:rPr>
      </w:pPr>
    </w:p>
    <w:p w14:paraId="69B9D9CC" w14:textId="6F1077E6" w:rsidR="00321B41" w:rsidRPr="000365ED" w:rsidRDefault="000365ED" w:rsidP="00321B41">
      <w:pPr>
        <w:rPr>
          <w:rFonts w:ascii="Times New Roman" w:hAnsi="Times New Roman" w:cs="Times New Roman"/>
        </w:rPr>
      </w:pPr>
      <w:r>
        <w:rPr>
          <w:rFonts w:ascii="Times New Roman" w:hAnsi="Times New Roman" w:cs="Times New Roman"/>
          <w:lang w:val="en-GB"/>
        </w:rPr>
        <w:t>Supplementary</w:t>
      </w:r>
      <w:r w:rsidRPr="000365ED">
        <w:rPr>
          <w:rFonts w:ascii="Times New Roman" w:hAnsi="Times New Roman" w:cs="Times New Roman"/>
          <w:noProof/>
        </w:rPr>
        <w:t xml:space="preserve"> </w:t>
      </w:r>
      <w:r w:rsidR="00321B41" w:rsidRPr="000365ED">
        <w:rPr>
          <w:rFonts w:ascii="Times New Roman" w:hAnsi="Times New Roman" w:cs="Times New Roman"/>
          <w:noProof/>
        </w:rPr>
        <w:drawing>
          <wp:anchor distT="0" distB="0" distL="0" distR="0" simplePos="0" relativeHeight="251662336" behindDoc="0" locked="0" layoutInCell="0" allowOverlap="1" wp14:anchorId="7E4BAC99" wp14:editId="38295F85">
            <wp:simplePos x="0" y="0"/>
            <wp:positionH relativeFrom="column">
              <wp:align>center</wp:align>
            </wp:positionH>
            <wp:positionV relativeFrom="paragraph">
              <wp:posOffset>635</wp:posOffset>
            </wp:positionV>
            <wp:extent cx="6120130" cy="3569970"/>
            <wp:effectExtent l="0" t="0" r="0" b="0"/>
            <wp:wrapSquare wrapText="largest"/>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8"/>
                    <a:stretch>
                      <a:fillRect/>
                    </a:stretch>
                  </pic:blipFill>
                  <pic:spPr bwMode="auto">
                    <a:xfrm>
                      <a:off x="0" y="0"/>
                      <a:ext cx="6120130" cy="3569970"/>
                    </a:xfrm>
                    <a:prstGeom prst="rect">
                      <a:avLst/>
                    </a:prstGeom>
                  </pic:spPr>
                </pic:pic>
              </a:graphicData>
            </a:graphic>
          </wp:anchor>
        </w:drawing>
      </w:r>
      <w:r w:rsidR="00321B41" w:rsidRPr="000365ED">
        <w:rPr>
          <w:rFonts w:ascii="Times New Roman" w:hAnsi="Times New Roman" w:cs="Times New Roman"/>
        </w:rPr>
        <w:t xml:space="preserve">Figure 4: Antibiotic consumption subgroup analysis on location of study </w:t>
      </w:r>
    </w:p>
    <w:p w14:paraId="19E554F5" w14:textId="77777777" w:rsidR="00321B41" w:rsidRPr="000365ED" w:rsidRDefault="00321B41" w:rsidP="00321B41">
      <w:pPr>
        <w:rPr>
          <w:rFonts w:ascii="Times New Roman" w:hAnsi="Times New Roman" w:cs="Times New Roman"/>
        </w:rPr>
      </w:pPr>
    </w:p>
    <w:p w14:paraId="0DF8F96C" w14:textId="77777777" w:rsidR="00321B41" w:rsidRPr="000365ED" w:rsidRDefault="00321B41" w:rsidP="00321B41">
      <w:pPr>
        <w:rPr>
          <w:rFonts w:ascii="Times New Roman" w:hAnsi="Times New Roman" w:cs="Times New Roman"/>
        </w:rPr>
      </w:pPr>
    </w:p>
    <w:p w14:paraId="2385637A" w14:textId="77777777" w:rsidR="00321B41" w:rsidRPr="000365ED" w:rsidRDefault="00321B41" w:rsidP="00321B41">
      <w:pPr>
        <w:rPr>
          <w:rFonts w:ascii="Times New Roman" w:hAnsi="Times New Roman" w:cs="Times New Roman"/>
        </w:rPr>
      </w:pPr>
    </w:p>
    <w:p w14:paraId="74BC3D71" w14:textId="77777777" w:rsidR="00471776" w:rsidRDefault="00471776" w:rsidP="00321B41">
      <w:pPr>
        <w:rPr>
          <w:rFonts w:ascii="Times New Roman" w:hAnsi="Times New Roman" w:cs="Times New Roman"/>
          <w:lang w:val="en-GB"/>
        </w:rPr>
      </w:pPr>
    </w:p>
    <w:p w14:paraId="0D1D51FE" w14:textId="553B3F82" w:rsidR="00321B41" w:rsidRPr="000365ED" w:rsidRDefault="000365ED" w:rsidP="00321B41">
      <w:pPr>
        <w:rPr>
          <w:rFonts w:ascii="Times New Roman" w:hAnsi="Times New Roman" w:cs="Times New Roman"/>
        </w:rPr>
      </w:pPr>
      <w:r>
        <w:rPr>
          <w:rFonts w:ascii="Times New Roman" w:hAnsi="Times New Roman" w:cs="Times New Roman"/>
          <w:lang w:val="en-GB"/>
        </w:rPr>
        <w:t>Supplementary</w:t>
      </w:r>
      <w:r w:rsidRPr="000365ED">
        <w:rPr>
          <w:rFonts w:ascii="Times New Roman" w:hAnsi="Times New Roman" w:cs="Times New Roman"/>
          <w:noProof/>
        </w:rPr>
        <w:t xml:space="preserve"> </w:t>
      </w:r>
      <w:r w:rsidR="00321B41" w:rsidRPr="000365ED">
        <w:rPr>
          <w:rFonts w:ascii="Times New Roman" w:hAnsi="Times New Roman" w:cs="Times New Roman"/>
          <w:noProof/>
        </w:rPr>
        <w:drawing>
          <wp:anchor distT="0" distB="0" distL="0" distR="0" simplePos="0" relativeHeight="251663360" behindDoc="0" locked="0" layoutInCell="0" allowOverlap="1" wp14:anchorId="26424790" wp14:editId="57C01569">
            <wp:simplePos x="0" y="0"/>
            <wp:positionH relativeFrom="column">
              <wp:align>center</wp:align>
            </wp:positionH>
            <wp:positionV relativeFrom="paragraph">
              <wp:posOffset>635</wp:posOffset>
            </wp:positionV>
            <wp:extent cx="6120130" cy="3569970"/>
            <wp:effectExtent l="0" t="0" r="0" b="0"/>
            <wp:wrapSquare wrapText="largest"/>
            <wp:docPr id="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9"/>
                    <a:stretch>
                      <a:fillRect/>
                    </a:stretch>
                  </pic:blipFill>
                  <pic:spPr bwMode="auto">
                    <a:xfrm>
                      <a:off x="0" y="0"/>
                      <a:ext cx="6120130" cy="3569970"/>
                    </a:xfrm>
                    <a:prstGeom prst="rect">
                      <a:avLst/>
                    </a:prstGeom>
                  </pic:spPr>
                </pic:pic>
              </a:graphicData>
            </a:graphic>
          </wp:anchor>
        </w:drawing>
      </w:r>
      <w:r w:rsidR="00321B41" w:rsidRPr="000365ED">
        <w:rPr>
          <w:rFonts w:ascii="Times New Roman" w:hAnsi="Times New Roman" w:cs="Times New Roman"/>
        </w:rPr>
        <w:t>Figure 5: Antibiotic consumption sensitivity analysis without outliers</w:t>
      </w:r>
    </w:p>
    <w:p w14:paraId="38DF3938" w14:textId="77777777" w:rsidR="00321B41" w:rsidRPr="000365ED" w:rsidRDefault="00321B41" w:rsidP="00321B41">
      <w:pPr>
        <w:rPr>
          <w:rFonts w:ascii="Times New Roman" w:hAnsi="Times New Roman" w:cs="Times New Roman"/>
        </w:rPr>
      </w:pPr>
    </w:p>
    <w:p w14:paraId="66A2D8CE" w14:textId="7324F6DB" w:rsidR="00321B41" w:rsidRPr="000365ED" w:rsidRDefault="00321B41" w:rsidP="00321B41">
      <w:pPr>
        <w:rPr>
          <w:rFonts w:ascii="Times New Roman" w:hAnsi="Times New Roman" w:cs="Times New Roman"/>
        </w:rPr>
      </w:pPr>
    </w:p>
    <w:p w14:paraId="10645146" w14:textId="77777777" w:rsidR="00321B41" w:rsidRPr="000365ED" w:rsidRDefault="00321B41" w:rsidP="00321B41">
      <w:pPr>
        <w:rPr>
          <w:rFonts w:ascii="Times New Roman" w:hAnsi="Times New Roman" w:cs="Times New Roman"/>
        </w:rPr>
      </w:pPr>
    </w:p>
    <w:p w14:paraId="738E9643" w14:textId="01CEB0BB" w:rsidR="00321B41" w:rsidRPr="000365ED" w:rsidRDefault="000365ED" w:rsidP="00321B41">
      <w:pPr>
        <w:rPr>
          <w:rFonts w:ascii="Times New Roman" w:hAnsi="Times New Roman" w:cs="Times New Roman"/>
        </w:rPr>
      </w:pPr>
      <w:r>
        <w:rPr>
          <w:rFonts w:ascii="Times New Roman" w:hAnsi="Times New Roman" w:cs="Times New Roman"/>
          <w:lang w:val="en-GB"/>
        </w:rPr>
        <w:lastRenderedPageBreak/>
        <w:t>Supplementary</w:t>
      </w:r>
      <w:r w:rsidRPr="000365ED">
        <w:rPr>
          <w:rFonts w:ascii="Times New Roman" w:hAnsi="Times New Roman" w:cs="Times New Roman"/>
          <w:noProof/>
        </w:rPr>
        <w:t xml:space="preserve"> </w:t>
      </w:r>
      <w:r w:rsidR="00321B41" w:rsidRPr="000365ED">
        <w:rPr>
          <w:rFonts w:ascii="Times New Roman" w:hAnsi="Times New Roman" w:cs="Times New Roman"/>
          <w:noProof/>
        </w:rPr>
        <w:drawing>
          <wp:anchor distT="0" distB="0" distL="0" distR="0" simplePos="0" relativeHeight="251664384" behindDoc="0" locked="0" layoutInCell="0" allowOverlap="1" wp14:anchorId="7F023C86" wp14:editId="13D8E9A7">
            <wp:simplePos x="0" y="0"/>
            <wp:positionH relativeFrom="column">
              <wp:align>center</wp:align>
            </wp:positionH>
            <wp:positionV relativeFrom="paragraph">
              <wp:posOffset>635</wp:posOffset>
            </wp:positionV>
            <wp:extent cx="6120130" cy="4589780"/>
            <wp:effectExtent l="0" t="0" r="0" b="0"/>
            <wp:wrapSquare wrapText="largest"/>
            <wp:docPr id="6"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10"/>
                    <a:stretch>
                      <a:fillRect/>
                    </a:stretch>
                  </pic:blipFill>
                  <pic:spPr bwMode="auto">
                    <a:xfrm>
                      <a:off x="0" y="0"/>
                      <a:ext cx="6120130" cy="4589780"/>
                    </a:xfrm>
                    <a:prstGeom prst="rect">
                      <a:avLst/>
                    </a:prstGeom>
                  </pic:spPr>
                </pic:pic>
              </a:graphicData>
            </a:graphic>
          </wp:anchor>
        </w:drawing>
      </w:r>
      <w:r w:rsidR="00321B41" w:rsidRPr="000365ED">
        <w:rPr>
          <w:rFonts w:ascii="Times New Roman" w:hAnsi="Times New Roman" w:cs="Times New Roman"/>
        </w:rPr>
        <w:t>Figure 6: Antibiotic consumption sensitivity analysis with outliers</w:t>
      </w:r>
    </w:p>
    <w:p w14:paraId="40276C25" w14:textId="64C10BF4" w:rsidR="00321B41" w:rsidRPr="000365ED" w:rsidRDefault="00321B41" w:rsidP="00321B41">
      <w:pPr>
        <w:rPr>
          <w:rFonts w:ascii="Times New Roman" w:hAnsi="Times New Roman" w:cs="Times New Roman"/>
          <w:lang w:val="en-GB"/>
        </w:rPr>
      </w:pPr>
    </w:p>
    <w:p w14:paraId="436C9F2F" w14:textId="27CA21FF" w:rsidR="00321B41" w:rsidRPr="000365ED" w:rsidRDefault="000365ED" w:rsidP="00321B41">
      <w:pPr>
        <w:rPr>
          <w:rFonts w:ascii="Times New Roman" w:hAnsi="Times New Roman" w:cs="Times New Roman"/>
        </w:rPr>
      </w:pPr>
      <w:r>
        <w:rPr>
          <w:rFonts w:ascii="Times New Roman" w:hAnsi="Times New Roman" w:cs="Times New Roman"/>
          <w:lang w:val="en-GB"/>
        </w:rPr>
        <w:t>Supplementary</w:t>
      </w:r>
      <w:r w:rsidRPr="000365ED">
        <w:rPr>
          <w:rFonts w:ascii="Times New Roman" w:hAnsi="Times New Roman" w:cs="Times New Roman"/>
          <w:noProof/>
        </w:rPr>
        <w:t xml:space="preserve"> </w:t>
      </w:r>
      <w:r w:rsidR="00321B41" w:rsidRPr="000365ED">
        <w:rPr>
          <w:rFonts w:ascii="Times New Roman" w:hAnsi="Times New Roman" w:cs="Times New Roman"/>
          <w:noProof/>
        </w:rPr>
        <w:drawing>
          <wp:anchor distT="0" distB="0" distL="0" distR="0" simplePos="0" relativeHeight="251665408" behindDoc="0" locked="0" layoutInCell="0" allowOverlap="1" wp14:anchorId="038860A5" wp14:editId="21F05D87">
            <wp:simplePos x="0" y="0"/>
            <wp:positionH relativeFrom="column">
              <wp:align>center</wp:align>
            </wp:positionH>
            <wp:positionV relativeFrom="paragraph">
              <wp:posOffset>635</wp:posOffset>
            </wp:positionV>
            <wp:extent cx="6120130" cy="3569970"/>
            <wp:effectExtent l="0" t="0" r="0" b="0"/>
            <wp:wrapSquare wrapText="largest"/>
            <wp:docPr id="7"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pic:cNvPicPr>
                      <a:picLocks noChangeAspect="1" noChangeArrowheads="1"/>
                    </pic:cNvPicPr>
                  </pic:nvPicPr>
                  <pic:blipFill>
                    <a:blip r:embed="rId11"/>
                    <a:stretch>
                      <a:fillRect/>
                    </a:stretch>
                  </pic:blipFill>
                  <pic:spPr bwMode="auto">
                    <a:xfrm>
                      <a:off x="0" y="0"/>
                      <a:ext cx="6120130" cy="3569970"/>
                    </a:xfrm>
                    <a:prstGeom prst="rect">
                      <a:avLst/>
                    </a:prstGeom>
                  </pic:spPr>
                </pic:pic>
              </a:graphicData>
            </a:graphic>
          </wp:anchor>
        </w:drawing>
      </w:r>
      <w:r w:rsidR="00321B41" w:rsidRPr="000365ED">
        <w:rPr>
          <w:rFonts w:ascii="Times New Roman" w:hAnsi="Times New Roman" w:cs="Times New Roman"/>
        </w:rPr>
        <w:t>Figure 7: Antibiotic appropriateness sensitivity analysis</w:t>
      </w:r>
    </w:p>
    <w:p w14:paraId="39239C73" w14:textId="77777777" w:rsidR="00321B41" w:rsidRPr="000365ED" w:rsidRDefault="00321B41" w:rsidP="00321B41">
      <w:pPr>
        <w:rPr>
          <w:rFonts w:ascii="Times New Roman" w:hAnsi="Times New Roman" w:cs="Times New Roman"/>
        </w:rPr>
      </w:pPr>
    </w:p>
    <w:p w14:paraId="2635C178" w14:textId="77777777" w:rsidR="00321B41" w:rsidRPr="000365ED" w:rsidRDefault="00321B41" w:rsidP="00321B41">
      <w:pPr>
        <w:rPr>
          <w:rFonts w:ascii="Times New Roman" w:hAnsi="Times New Roman" w:cs="Times New Roman"/>
        </w:rPr>
      </w:pPr>
    </w:p>
    <w:p w14:paraId="774BDC53" w14:textId="77777777" w:rsidR="00321B41" w:rsidRPr="000365ED" w:rsidRDefault="00321B41" w:rsidP="00321B41">
      <w:pPr>
        <w:rPr>
          <w:rFonts w:ascii="Times New Roman" w:hAnsi="Times New Roman" w:cs="Times New Roman"/>
        </w:rPr>
      </w:pPr>
    </w:p>
    <w:p w14:paraId="0B1ED35C" w14:textId="77777777" w:rsidR="00321B41" w:rsidRPr="000365ED" w:rsidRDefault="00321B41" w:rsidP="00321B41">
      <w:pPr>
        <w:rPr>
          <w:rFonts w:ascii="Times New Roman" w:hAnsi="Times New Roman" w:cs="Times New Roman"/>
        </w:rPr>
      </w:pPr>
    </w:p>
    <w:p w14:paraId="389F23D3" w14:textId="77777777" w:rsidR="00321B41" w:rsidRPr="000365ED" w:rsidRDefault="00321B41" w:rsidP="00321B41">
      <w:pPr>
        <w:rPr>
          <w:rFonts w:ascii="Times New Roman" w:hAnsi="Times New Roman" w:cs="Times New Roman"/>
        </w:rPr>
      </w:pPr>
      <w:r w:rsidRPr="000365ED">
        <w:rPr>
          <w:rFonts w:ascii="Times New Roman" w:hAnsi="Times New Roman" w:cs="Times New Roman"/>
          <w:noProof/>
        </w:rPr>
        <w:drawing>
          <wp:anchor distT="0" distB="0" distL="0" distR="0" simplePos="0" relativeHeight="251666432" behindDoc="0" locked="0" layoutInCell="0" allowOverlap="1" wp14:anchorId="1D40D7BE" wp14:editId="5BA14360">
            <wp:simplePos x="0" y="0"/>
            <wp:positionH relativeFrom="column">
              <wp:align>center</wp:align>
            </wp:positionH>
            <wp:positionV relativeFrom="paragraph">
              <wp:posOffset>635</wp:posOffset>
            </wp:positionV>
            <wp:extent cx="6120130" cy="3569970"/>
            <wp:effectExtent l="0" t="0" r="0" b="0"/>
            <wp:wrapSquare wrapText="largest"/>
            <wp:docPr id="8"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pic:cNvPicPr>
                      <a:picLocks noChangeAspect="1" noChangeArrowheads="1"/>
                    </pic:cNvPicPr>
                  </pic:nvPicPr>
                  <pic:blipFill>
                    <a:blip r:embed="rId12"/>
                    <a:stretch>
                      <a:fillRect/>
                    </a:stretch>
                  </pic:blipFill>
                  <pic:spPr bwMode="auto">
                    <a:xfrm>
                      <a:off x="0" y="0"/>
                      <a:ext cx="6120130" cy="3569970"/>
                    </a:xfrm>
                    <a:prstGeom prst="rect">
                      <a:avLst/>
                    </a:prstGeom>
                  </pic:spPr>
                </pic:pic>
              </a:graphicData>
            </a:graphic>
          </wp:anchor>
        </w:drawing>
      </w:r>
    </w:p>
    <w:p w14:paraId="4C2E205B" w14:textId="237C8847" w:rsidR="00321B41" w:rsidRPr="000365ED" w:rsidRDefault="000365ED" w:rsidP="00321B41">
      <w:pPr>
        <w:rPr>
          <w:rFonts w:ascii="Times New Roman" w:hAnsi="Times New Roman" w:cs="Times New Roman"/>
        </w:rPr>
      </w:pPr>
      <w:r>
        <w:rPr>
          <w:rFonts w:ascii="Times New Roman" w:hAnsi="Times New Roman" w:cs="Times New Roman"/>
          <w:lang w:val="en-GB"/>
        </w:rPr>
        <w:t>Supplementary</w:t>
      </w:r>
      <w:r w:rsidRPr="000365ED">
        <w:rPr>
          <w:rFonts w:ascii="Times New Roman" w:hAnsi="Times New Roman" w:cs="Times New Roman"/>
        </w:rPr>
        <w:t xml:space="preserve"> </w:t>
      </w:r>
      <w:r w:rsidR="00321B41" w:rsidRPr="000365ED">
        <w:rPr>
          <w:rFonts w:ascii="Times New Roman" w:hAnsi="Times New Roman" w:cs="Times New Roman"/>
        </w:rPr>
        <w:t>Figure 8: Antibiotic appropriateness subgroup analysis on country/location</w:t>
      </w:r>
    </w:p>
    <w:p w14:paraId="209A4EE4" w14:textId="77777777" w:rsidR="00321B41" w:rsidRPr="000365ED" w:rsidRDefault="00321B41" w:rsidP="00321B41">
      <w:pPr>
        <w:rPr>
          <w:rFonts w:ascii="Times New Roman" w:hAnsi="Times New Roman" w:cs="Times New Roman"/>
          <w:lang w:val="en-GB"/>
        </w:rPr>
      </w:pPr>
    </w:p>
    <w:p w14:paraId="5AD1501A" w14:textId="77777777" w:rsidR="00321B41" w:rsidRPr="000365ED" w:rsidRDefault="00321B41" w:rsidP="00321B41">
      <w:pPr>
        <w:rPr>
          <w:rFonts w:ascii="Times New Roman" w:hAnsi="Times New Roman" w:cs="Times New Roman"/>
        </w:rPr>
      </w:pPr>
    </w:p>
    <w:p w14:paraId="19026C5A" w14:textId="77777777" w:rsidR="00321B41" w:rsidRPr="000365ED" w:rsidRDefault="00321B41" w:rsidP="00321B41">
      <w:pPr>
        <w:rPr>
          <w:rFonts w:ascii="Times New Roman" w:hAnsi="Times New Roman" w:cs="Times New Roman"/>
        </w:rPr>
      </w:pPr>
      <w:r w:rsidRPr="000365ED">
        <w:rPr>
          <w:rFonts w:ascii="Times New Roman" w:hAnsi="Times New Roman" w:cs="Times New Roman"/>
          <w:noProof/>
        </w:rPr>
        <w:drawing>
          <wp:anchor distT="0" distB="0" distL="0" distR="0" simplePos="0" relativeHeight="251667456" behindDoc="0" locked="0" layoutInCell="0" allowOverlap="1" wp14:anchorId="54A2B249" wp14:editId="009E7064">
            <wp:simplePos x="0" y="0"/>
            <wp:positionH relativeFrom="column">
              <wp:align>center</wp:align>
            </wp:positionH>
            <wp:positionV relativeFrom="paragraph">
              <wp:posOffset>635</wp:posOffset>
            </wp:positionV>
            <wp:extent cx="6120130" cy="3569970"/>
            <wp:effectExtent l="0" t="0" r="0" b="0"/>
            <wp:wrapSquare wrapText="largest"/>
            <wp:docPr id="9"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pic:cNvPicPr>
                      <a:picLocks noChangeAspect="1" noChangeArrowheads="1"/>
                    </pic:cNvPicPr>
                  </pic:nvPicPr>
                  <pic:blipFill>
                    <a:blip r:embed="rId13"/>
                    <a:stretch>
                      <a:fillRect/>
                    </a:stretch>
                  </pic:blipFill>
                  <pic:spPr bwMode="auto">
                    <a:xfrm>
                      <a:off x="0" y="0"/>
                      <a:ext cx="6120130" cy="3569970"/>
                    </a:xfrm>
                    <a:prstGeom prst="rect">
                      <a:avLst/>
                    </a:prstGeom>
                  </pic:spPr>
                </pic:pic>
              </a:graphicData>
            </a:graphic>
          </wp:anchor>
        </w:drawing>
      </w:r>
    </w:p>
    <w:p w14:paraId="0D03825A" w14:textId="3014BB72" w:rsidR="00321B41" w:rsidRPr="000365ED" w:rsidRDefault="000365ED" w:rsidP="00321B41">
      <w:pPr>
        <w:rPr>
          <w:rFonts w:ascii="Times New Roman" w:hAnsi="Times New Roman" w:cs="Times New Roman"/>
        </w:rPr>
      </w:pPr>
      <w:r>
        <w:rPr>
          <w:rFonts w:ascii="Times New Roman" w:hAnsi="Times New Roman" w:cs="Times New Roman"/>
          <w:lang w:val="en-GB"/>
        </w:rPr>
        <w:lastRenderedPageBreak/>
        <w:t>Supplementary</w:t>
      </w:r>
      <w:r w:rsidRPr="000365ED">
        <w:rPr>
          <w:rFonts w:ascii="Times New Roman" w:hAnsi="Times New Roman" w:cs="Times New Roman"/>
        </w:rPr>
        <w:t xml:space="preserve"> </w:t>
      </w:r>
      <w:r w:rsidR="00321B41" w:rsidRPr="000365ED">
        <w:rPr>
          <w:rFonts w:ascii="Times New Roman" w:hAnsi="Times New Roman" w:cs="Times New Roman"/>
        </w:rPr>
        <w:t>Figure 9: Antibiotic appropriateness subgroup analysis on guidelines used in Ghana</w:t>
      </w:r>
    </w:p>
    <w:p w14:paraId="5AAC7F60" w14:textId="77777777" w:rsidR="00321B41" w:rsidRPr="000365ED" w:rsidRDefault="00321B41" w:rsidP="00321B41">
      <w:pPr>
        <w:rPr>
          <w:rFonts w:ascii="Times New Roman" w:hAnsi="Times New Roman" w:cs="Times New Roman"/>
        </w:rPr>
      </w:pPr>
    </w:p>
    <w:p w14:paraId="269F670F" w14:textId="77777777" w:rsidR="00321B41" w:rsidRPr="000365ED" w:rsidRDefault="00321B41" w:rsidP="00321B41">
      <w:pPr>
        <w:rPr>
          <w:rFonts w:ascii="Times New Roman" w:hAnsi="Times New Roman" w:cs="Times New Roman"/>
        </w:rPr>
      </w:pPr>
    </w:p>
    <w:p w14:paraId="061E57D9" w14:textId="2DFDC7F5" w:rsidR="00321B41" w:rsidRPr="000365ED" w:rsidRDefault="00321B41" w:rsidP="00321B41">
      <w:pPr>
        <w:rPr>
          <w:rFonts w:ascii="Times New Roman" w:hAnsi="Times New Roman" w:cs="Times New Roman"/>
        </w:rPr>
      </w:pPr>
      <w:r w:rsidRPr="000365ED">
        <w:rPr>
          <w:rFonts w:ascii="Times New Roman" w:hAnsi="Times New Roman" w:cs="Times New Roman"/>
          <w:noProof/>
        </w:rPr>
        <w:drawing>
          <wp:anchor distT="0" distB="0" distL="0" distR="0" simplePos="0" relativeHeight="251668480" behindDoc="0" locked="0" layoutInCell="0" allowOverlap="1" wp14:anchorId="594A65F2" wp14:editId="1635E8E8">
            <wp:simplePos x="0" y="0"/>
            <wp:positionH relativeFrom="column">
              <wp:align>center</wp:align>
            </wp:positionH>
            <wp:positionV relativeFrom="paragraph">
              <wp:posOffset>635</wp:posOffset>
            </wp:positionV>
            <wp:extent cx="6120130" cy="3569970"/>
            <wp:effectExtent l="0" t="0" r="0" b="0"/>
            <wp:wrapSquare wrapText="largest"/>
            <wp:docPr id="10"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pic:cNvPicPr>
                      <a:picLocks noChangeAspect="1" noChangeArrowheads="1"/>
                    </pic:cNvPicPr>
                  </pic:nvPicPr>
                  <pic:blipFill>
                    <a:blip r:embed="rId14"/>
                    <a:stretch>
                      <a:fillRect/>
                    </a:stretch>
                  </pic:blipFill>
                  <pic:spPr bwMode="auto">
                    <a:xfrm>
                      <a:off x="0" y="0"/>
                      <a:ext cx="6120130" cy="3569970"/>
                    </a:xfrm>
                    <a:prstGeom prst="rect">
                      <a:avLst/>
                    </a:prstGeom>
                  </pic:spPr>
                </pic:pic>
              </a:graphicData>
            </a:graphic>
          </wp:anchor>
        </w:drawing>
      </w:r>
      <w:r w:rsidR="00471776">
        <w:rPr>
          <w:rFonts w:ascii="Times New Roman" w:hAnsi="Times New Roman" w:cs="Times New Roman"/>
          <w:lang w:val="en-GB"/>
        </w:rPr>
        <w:t>Supplementary</w:t>
      </w:r>
      <w:r w:rsidRPr="000365ED">
        <w:rPr>
          <w:rFonts w:ascii="Times New Roman" w:hAnsi="Times New Roman" w:cs="Times New Roman"/>
        </w:rPr>
        <w:t xml:space="preserve"> Figure 10: Antibiotic appropriateness subgroup analysis on healthcare level</w:t>
      </w:r>
    </w:p>
    <w:p w14:paraId="551CC60B" w14:textId="77777777" w:rsidR="00321B41" w:rsidRPr="000365ED" w:rsidRDefault="00321B41" w:rsidP="00321B41">
      <w:pPr>
        <w:rPr>
          <w:rFonts w:ascii="Times New Roman" w:hAnsi="Times New Roman" w:cs="Times New Roman"/>
        </w:rPr>
      </w:pPr>
    </w:p>
    <w:p w14:paraId="4BE68643" w14:textId="77777777" w:rsidR="00321B41" w:rsidRPr="000365ED" w:rsidRDefault="00321B41" w:rsidP="00321B41">
      <w:pPr>
        <w:rPr>
          <w:rFonts w:ascii="Times New Roman" w:hAnsi="Times New Roman" w:cs="Times New Roman"/>
        </w:rPr>
      </w:pPr>
    </w:p>
    <w:p w14:paraId="731A82E7" w14:textId="70F75E9E" w:rsidR="007E321D" w:rsidRPr="007E321D" w:rsidRDefault="007E321D" w:rsidP="007E321D">
      <w:pPr>
        <w:rPr>
          <w:rFonts w:ascii="Times New Roman" w:hAnsi="Times New Roman" w:cs="Times New Roman"/>
        </w:rPr>
      </w:pPr>
    </w:p>
    <w:p w14:paraId="7D9043F0" w14:textId="18CE05AD" w:rsidR="007E321D" w:rsidRPr="007E321D" w:rsidRDefault="00FA19AF" w:rsidP="007E321D">
      <w:pPr>
        <w:rPr>
          <w:rFonts w:ascii="Times New Roman" w:hAnsi="Times New Roman" w:cs="Times New Roman"/>
        </w:rPr>
      </w:pPr>
      <w:r w:rsidRPr="000365ED">
        <w:rPr>
          <w:rFonts w:ascii="Times New Roman" w:hAnsi="Times New Roman" w:cs="Times New Roman"/>
          <w:noProof/>
        </w:rPr>
        <w:drawing>
          <wp:anchor distT="0" distB="0" distL="0" distR="0" simplePos="0" relativeHeight="251669504" behindDoc="0" locked="0" layoutInCell="0" allowOverlap="1" wp14:anchorId="2D34D21E" wp14:editId="32BC82A2">
            <wp:simplePos x="0" y="0"/>
            <wp:positionH relativeFrom="margin">
              <wp:align>left</wp:align>
            </wp:positionH>
            <wp:positionV relativeFrom="paragraph">
              <wp:posOffset>287020</wp:posOffset>
            </wp:positionV>
            <wp:extent cx="6120130" cy="2717800"/>
            <wp:effectExtent l="0" t="0" r="0" b="6350"/>
            <wp:wrapSquare wrapText="largest"/>
            <wp:docPr id="11"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pic:cNvPicPr>
                      <a:picLocks noChangeAspect="1" noChangeArrowheads="1"/>
                    </pic:cNvPicPr>
                  </pic:nvPicPr>
                  <pic:blipFill>
                    <a:blip r:embed="rId15"/>
                    <a:stretch>
                      <a:fillRect/>
                    </a:stretch>
                  </pic:blipFill>
                  <pic:spPr bwMode="auto">
                    <a:xfrm>
                      <a:off x="0" y="0"/>
                      <a:ext cx="6120130" cy="2717800"/>
                    </a:xfrm>
                    <a:prstGeom prst="rect">
                      <a:avLst/>
                    </a:prstGeom>
                  </pic:spPr>
                </pic:pic>
              </a:graphicData>
            </a:graphic>
            <wp14:sizeRelV relativeFrom="margin">
              <wp14:pctHeight>0</wp14:pctHeight>
            </wp14:sizeRelV>
          </wp:anchor>
        </w:drawing>
      </w:r>
    </w:p>
    <w:p w14:paraId="54794D97" w14:textId="26BD121B" w:rsidR="007E321D" w:rsidRPr="007E321D" w:rsidRDefault="00FA19AF" w:rsidP="007E321D">
      <w:pPr>
        <w:rPr>
          <w:rFonts w:ascii="Times New Roman" w:hAnsi="Times New Roman" w:cs="Times New Roman"/>
        </w:rPr>
      </w:pPr>
      <w:r>
        <w:rPr>
          <w:rFonts w:ascii="Times New Roman" w:hAnsi="Times New Roman" w:cs="Times New Roman"/>
          <w:lang w:val="en-GB"/>
        </w:rPr>
        <w:t>Supplementary</w:t>
      </w:r>
      <w:r w:rsidRPr="000365ED">
        <w:rPr>
          <w:rFonts w:ascii="Times New Roman" w:hAnsi="Times New Roman" w:cs="Times New Roman"/>
        </w:rPr>
        <w:t xml:space="preserve"> Figure 11: Antibiotic appropriateness subgroup analysis on year of study</w:t>
      </w:r>
    </w:p>
    <w:p w14:paraId="1059D889" w14:textId="77777777" w:rsidR="007E321D" w:rsidRPr="007E321D" w:rsidRDefault="007E321D" w:rsidP="007E321D">
      <w:pPr>
        <w:rPr>
          <w:rFonts w:ascii="Times New Roman" w:hAnsi="Times New Roman" w:cs="Times New Roman"/>
        </w:rPr>
      </w:pPr>
    </w:p>
    <w:p w14:paraId="39F59227" w14:textId="77777777" w:rsidR="007E321D" w:rsidRPr="007E321D" w:rsidRDefault="007E321D" w:rsidP="007E321D">
      <w:pPr>
        <w:rPr>
          <w:rFonts w:ascii="Times New Roman" w:hAnsi="Times New Roman" w:cs="Times New Roman"/>
        </w:rPr>
      </w:pPr>
    </w:p>
    <w:p w14:paraId="28081813" w14:textId="77777777" w:rsidR="00FA19AF" w:rsidRDefault="00FA19AF" w:rsidP="00316D6C">
      <w:pPr>
        <w:sectPr w:rsidR="00FA19AF" w:rsidSect="00605DAC">
          <w:pgSz w:w="11906" w:h="16838"/>
          <w:pgMar w:top="1440" w:right="1440" w:bottom="1440" w:left="1440" w:header="708" w:footer="708" w:gutter="0"/>
          <w:cols w:space="708"/>
          <w:docGrid w:linePitch="360"/>
        </w:sectPr>
      </w:pPr>
    </w:p>
    <w:p w14:paraId="5D552F65" w14:textId="77777777" w:rsidR="00FA19AF" w:rsidRDefault="00FA19AF" w:rsidP="00316D6C"/>
    <w:p w14:paraId="7D5DAB0A" w14:textId="3E6C5712" w:rsidR="00316D6C" w:rsidRDefault="00316D6C" w:rsidP="00316D6C">
      <w:r>
        <w:t>Table 5. Summary of findings of the knowledge, attitudes, and practice surveys</w:t>
      </w:r>
    </w:p>
    <w:tbl>
      <w:tblPr>
        <w:tblW w:w="14490" w:type="dxa"/>
        <w:tblInd w:w="109" w:type="dxa"/>
        <w:tblLayout w:type="fixed"/>
        <w:tblLook w:val="0000" w:firstRow="0" w:lastRow="0" w:firstColumn="0" w:lastColumn="0" w:noHBand="0" w:noVBand="0"/>
      </w:tblPr>
      <w:tblGrid>
        <w:gridCol w:w="1080"/>
        <w:gridCol w:w="1081"/>
        <w:gridCol w:w="810"/>
        <w:gridCol w:w="1440"/>
        <w:gridCol w:w="990"/>
        <w:gridCol w:w="2611"/>
        <w:gridCol w:w="6478"/>
      </w:tblGrid>
      <w:tr w:rsidR="00316D6C" w14:paraId="03AE8D6C" w14:textId="77777777" w:rsidTr="008E425B">
        <w:tc>
          <w:tcPr>
            <w:tcW w:w="1079" w:type="dxa"/>
            <w:tcBorders>
              <w:top w:val="single" w:sz="4" w:space="0" w:color="000000"/>
              <w:left w:val="single" w:sz="4" w:space="0" w:color="000000"/>
              <w:bottom w:val="single" w:sz="4" w:space="0" w:color="000000"/>
              <w:right w:val="single" w:sz="4" w:space="0" w:color="000000"/>
            </w:tcBorders>
          </w:tcPr>
          <w:p w14:paraId="0D778C2E" w14:textId="77777777" w:rsidR="00316D6C" w:rsidRDefault="00316D6C" w:rsidP="008E425B">
            <w:pPr>
              <w:widowControl w:val="0"/>
            </w:pPr>
            <w:r>
              <w:rPr>
                <w:sz w:val="14"/>
                <w:szCs w:val="14"/>
              </w:rPr>
              <w:t>Publication</w:t>
            </w:r>
          </w:p>
        </w:tc>
        <w:tc>
          <w:tcPr>
            <w:tcW w:w="1081" w:type="dxa"/>
            <w:tcBorders>
              <w:top w:val="single" w:sz="4" w:space="0" w:color="000000"/>
              <w:left w:val="single" w:sz="4" w:space="0" w:color="000000"/>
              <w:bottom w:val="single" w:sz="4" w:space="0" w:color="000000"/>
              <w:right w:val="single" w:sz="4" w:space="0" w:color="000000"/>
            </w:tcBorders>
          </w:tcPr>
          <w:p w14:paraId="3E4989C4" w14:textId="77777777" w:rsidR="00316D6C" w:rsidRDefault="00316D6C" w:rsidP="008E425B">
            <w:pPr>
              <w:widowControl w:val="0"/>
            </w:pPr>
            <w:r>
              <w:rPr>
                <w:sz w:val="14"/>
                <w:szCs w:val="14"/>
              </w:rPr>
              <w:t>Duration/ period of study</w:t>
            </w:r>
          </w:p>
        </w:tc>
        <w:tc>
          <w:tcPr>
            <w:tcW w:w="810" w:type="dxa"/>
            <w:tcBorders>
              <w:top w:val="single" w:sz="4" w:space="0" w:color="000000"/>
              <w:left w:val="single" w:sz="4" w:space="0" w:color="000000"/>
              <w:bottom w:val="single" w:sz="4" w:space="0" w:color="000000"/>
              <w:right w:val="single" w:sz="4" w:space="0" w:color="000000"/>
            </w:tcBorders>
          </w:tcPr>
          <w:p w14:paraId="263701DE" w14:textId="77777777" w:rsidR="00316D6C" w:rsidRDefault="00316D6C" w:rsidP="008E425B">
            <w:pPr>
              <w:widowControl w:val="0"/>
            </w:pPr>
            <w:r>
              <w:rPr>
                <w:sz w:val="14"/>
                <w:szCs w:val="14"/>
              </w:rPr>
              <w:t>Location</w:t>
            </w:r>
          </w:p>
        </w:tc>
        <w:tc>
          <w:tcPr>
            <w:tcW w:w="1440" w:type="dxa"/>
            <w:tcBorders>
              <w:top w:val="single" w:sz="4" w:space="0" w:color="000000"/>
              <w:left w:val="single" w:sz="4" w:space="0" w:color="000000"/>
              <w:bottom w:val="single" w:sz="4" w:space="0" w:color="000000"/>
              <w:right w:val="single" w:sz="4" w:space="0" w:color="000000"/>
            </w:tcBorders>
          </w:tcPr>
          <w:p w14:paraId="274F5713" w14:textId="77777777" w:rsidR="00316D6C" w:rsidRDefault="00316D6C" w:rsidP="008E425B">
            <w:pPr>
              <w:widowControl w:val="0"/>
            </w:pPr>
            <w:r>
              <w:rPr>
                <w:sz w:val="14"/>
                <w:szCs w:val="14"/>
              </w:rPr>
              <w:t>Population type</w:t>
            </w:r>
          </w:p>
        </w:tc>
        <w:tc>
          <w:tcPr>
            <w:tcW w:w="990" w:type="dxa"/>
            <w:tcBorders>
              <w:top w:val="single" w:sz="4" w:space="0" w:color="000000"/>
              <w:left w:val="single" w:sz="4" w:space="0" w:color="000000"/>
              <w:bottom w:val="single" w:sz="4" w:space="0" w:color="000000"/>
              <w:right w:val="single" w:sz="4" w:space="0" w:color="000000"/>
            </w:tcBorders>
          </w:tcPr>
          <w:p w14:paraId="29CC3AF0" w14:textId="77777777" w:rsidR="00316D6C" w:rsidRDefault="00316D6C" w:rsidP="008E425B">
            <w:pPr>
              <w:widowControl w:val="0"/>
            </w:pPr>
            <w:r>
              <w:rPr>
                <w:sz w:val="14"/>
                <w:szCs w:val="14"/>
              </w:rPr>
              <w:t>Population Size</w:t>
            </w:r>
          </w:p>
        </w:tc>
        <w:tc>
          <w:tcPr>
            <w:tcW w:w="2611" w:type="dxa"/>
            <w:tcBorders>
              <w:top w:val="single" w:sz="4" w:space="0" w:color="000000"/>
              <w:left w:val="single" w:sz="4" w:space="0" w:color="000000"/>
              <w:bottom w:val="single" w:sz="4" w:space="0" w:color="000000"/>
              <w:right w:val="single" w:sz="4" w:space="0" w:color="000000"/>
            </w:tcBorders>
          </w:tcPr>
          <w:p w14:paraId="1AFDC429" w14:textId="77777777" w:rsidR="00316D6C" w:rsidRDefault="00316D6C" w:rsidP="008E425B">
            <w:pPr>
              <w:widowControl w:val="0"/>
            </w:pPr>
            <w:r>
              <w:rPr>
                <w:sz w:val="14"/>
                <w:szCs w:val="14"/>
              </w:rPr>
              <w:t>Theme of Assessing Survey</w:t>
            </w:r>
          </w:p>
        </w:tc>
        <w:tc>
          <w:tcPr>
            <w:tcW w:w="6478" w:type="dxa"/>
            <w:tcBorders>
              <w:top w:val="single" w:sz="4" w:space="0" w:color="000000"/>
              <w:left w:val="single" w:sz="4" w:space="0" w:color="000000"/>
              <w:bottom w:val="single" w:sz="4" w:space="0" w:color="000000"/>
              <w:right w:val="single" w:sz="4" w:space="0" w:color="000000"/>
            </w:tcBorders>
          </w:tcPr>
          <w:p w14:paraId="145B0A80" w14:textId="77777777" w:rsidR="00316D6C" w:rsidRDefault="00316D6C" w:rsidP="008E425B">
            <w:pPr>
              <w:widowControl w:val="0"/>
            </w:pPr>
            <w:r>
              <w:rPr>
                <w:sz w:val="14"/>
                <w:szCs w:val="14"/>
              </w:rPr>
              <w:t>Summary of findings</w:t>
            </w:r>
          </w:p>
        </w:tc>
      </w:tr>
      <w:tr w:rsidR="00316D6C" w14:paraId="23C9CF2E" w14:textId="77777777" w:rsidTr="008E425B">
        <w:trPr>
          <w:trHeight w:val="490"/>
        </w:trPr>
        <w:tc>
          <w:tcPr>
            <w:tcW w:w="1079" w:type="dxa"/>
            <w:vMerge w:val="restart"/>
            <w:tcBorders>
              <w:top w:val="single" w:sz="4" w:space="0" w:color="000000"/>
              <w:left w:val="single" w:sz="4" w:space="0" w:color="000000"/>
              <w:bottom w:val="single" w:sz="4" w:space="0" w:color="000000"/>
              <w:right w:val="single" w:sz="4" w:space="0" w:color="000000"/>
            </w:tcBorders>
          </w:tcPr>
          <w:p w14:paraId="5A740F32" w14:textId="77777777" w:rsidR="00316D6C" w:rsidRDefault="00316D6C" w:rsidP="008E425B">
            <w:pPr>
              <w:widowControl w:val="0"/>
            </w:pPr>
            <w:r>
              <w:rPr>
                <w:sz w:val="14"/>
                <w:szCs w:val="14"/>
              </w:rPr>
              <w:t xml:space="preserve">Afari-Asiedu, Hulscher, et al.,. </w:t>
            </w:r>
            <w:r>
              <w:fldChar w:fldCharType="begin"/>
            </w:r>
            <w:r>
              <w:rPr>
                <w:sz w:val="14"/>
                <w:szCs w:val="14"/>
              </w:rPr>
              <w:instrText xml:space="preserve"> ADDIN ZOTERO_ITEM CSL_CITATION {"citationID":"pZB8HgsN","properties":{"formattedCitation":"(98)","plainCitation":"(98)","noteIndex":0},"citationItems":[{"id":"OqG2TLxw/0jDxiGPR","uris":["http://zotero.org/users/local/QGE0TkJv/items/D7V8D3ZX"],"itemData":{"id":2689,"type":"article-journal","abstract":"Inappropriate antibiotic use is an important driver of antibiotic resistance. This study sought to explore inappropriate antibiotic use and confusing antibiotics with other medicines in Ghana using ethnomethodology research approach.","container-title":"BMC Public Health","DOI":"10.1186/s12889-020-09204-4","ISSN":"1471-2458","issue":"1","journalAbbreviation":"BMC Public Health","language":"en","page":"1103","source":"Springer Link","title":"Every medicine is medicine; exploring inappropriate antibiotic use at the community level in rural Ghana","volume":"20","author":[{"family":"Afari-Asiedu","given":"Samuel"},{"family":"Hulscher","given":"Marlies"},{"family":"Abdulai","given":"Martha Ali"},{"family":"Boamah-Kaali","given":"Ellen"},{"family":"Asante","given":"Kwaku Poku"},{"family":"Wertheim","given":"Heiman F. L."}],"issued":{"date-parts":[["2020",7,14]]}}}],"schema":"https://github.com/citation-style-language/schema/raw/master/csl-citation.json"} </w:instrText>
            </w:r>
            <w:r>
              <w:rPr>
                <w:sz w:val="14"/>
                <w:szCs w:val="14"/>
              </w:rPr>
              <w:fldChar w:fldCharType="separate"/>
            </w:r>
            <w:r>
              <w:rPr>
                <w:sz w:val="14"/>
                <w:szCs w:val="14"/>
              </w:rPr>
              <w:t>(98)</w:t>
            </w:r>
            <w:r>
              <w:rPr>
                <w:sz w:val="14"/>
                <w:szCs w:val="14"/>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3177DC63" w14:textId="77777777" w:rsidR="00316D6C" w:rsidRDefault="00316D6C" w:rsidP="008E425B">
            <w:pPr>
              <w:widowControl w:val="0"/>
            </w:pPr>
            <w:r>
              <w:rPr>
                <w:sz w:val="14"/>
                <w:szCs w:val="14"/>
                <w:lang w:val="en-GB"/>
              </w:rPr>
              <w:t>January-March, 2019</w:t>
            </w:r>
          </w:p>
        </w:tc>
        <w:tc>
          <w:tcPr>
            <w:tcW w:w="810" w:type="dxa"/>
            <w:vMerge w:val="restart"/>
            <w:tcBorders>
              <w:top w:val="single" w:sz="4" w:space="0" w:color="000000"/>
              <w:left w:val="single" w:sz="4" w:space="0" w:color="000000"/>
              <w:bottom w:val="single" w:sz="4" w:space="0" w:color="000000"/>
              <w:right w:val="single" w:sz="4" w:space="0" w:color="000000"/>
            </w:tcBorders>
          </w:tcPr>
          <w:p w14:paraId="5E4E9908" w14:textId="77777777" w:rsidR="00316D6C" w:rsidRDefault="00316D6C" w:rsidP="008E425B">
            <w:pPr>
              <w:widowControl w:val="0"/>
            </w:pPr>
            <w:r>
              <w:rPr>
                <w:sz w:val="14"/>
                <w:szCs w:val="14"/>
                <w:lang w:val="en-GB"/>
              </w:rPr>
              <w:t>Ghana</w:t>
            </w:r>
          </w:p>
        </w:tc>
        <w:tc>
          <w:tcPr>
            <w:tcW w:w="1440" w:type="dxa"/>
            <w:vMerge w:val="restart"/>
            <w:tcBorders>
              <w:top w:val="single" w:sz="4" w:space="0" w:color="000000"/>
              <w:left w:val="single" w:sz="4" w:space="0" w:color="000000"/>
              <w:bottom w:val="single" w:sz="4" w:space="0" w:color="000000"/>
              <w:right w:val="single" w:sz="4" w:space="0" w:color="000000"/>
            </w:tcBorders>
          </w:tcPr>
          <w:p w14:paraId="0851A44C" w14:textId="77777777" w:rsidR="00316D6C" w:rsidRDefault="00316D6C" w:rsidP="008E425B">
            <w:pPr>
              <w:widowControl w:val="0"/>
            </w:pPr>
            <w:r>
              <w:rPr>
                <w:sz w:val="14"/>
                <w:szCs w:val="14"/>
                <w:lang w:val="en-GB"/>
              </w:rPr>
              <w:t>Health professionals, community members</w:t>
            </w:r>
          </w:p>
        </w:tc>
        <w:tc>
          <w:tcPr>
            <w:tcW w:w="990" w:type="dxa"/>
            <w:vMerge w:val="restart"/>
            <w:tcBorders>
              <w:top w:val="single" w:sz="4" w:space="0" w:color="000000"/>
              <w:left w:val="single" w:sz="4" w:space="0" w:color="000000"/>
              <w:bottom w:val="single" w:sz="4" w:space="0" w:color="000000"/>
              <w:right w:val="single" w:sz="4" w:space="0" w:color="000000"/>
            </w:tcBorders>
          </w:tcPr>
          <w:p w14:paraId="3F18A9A9" w14:textId="77777777" w:rsidR="00316D6C" w:rsidRDefault="00316D6C" w:rsidP="008E425B">
            <w:pPr>
              <w:widowControl w:val="0"/>
            </w:pPr>
            <w:r>
              <w:rPr>
                <w:sz w:val="14"/>
                <w:szCs w:val="14"/>
                <w:lang w:val="en-GB"/>
              </w:rPr>
              <w:t>70</w:t>
            </w:r>
          </w:p>
        </w:tc>
        <w:tc>
          <w:tcPr>
            <w:tcW w:w="2611" w:type="dxa"/>
            <w:tcBorders>
              <w:top w:val="single" w:sz="4" w:space="0" w:color="000000"/>
              <w:left w:val="single" w:sz="4" w:space="0" w:color="000000"/>
              <w:bottom w:val="single" w:sz="4" w:space="0" w:color="000000"/>
              <w:right w:val="single" w:sz="4" w:space="0" w:color="000000"/>
            </w:tcBorders>
          </w:tcPr>
          <w:p w14:paraId="30319F1F" w14:textId="77777777" w:rsidR="00316D6C" w:rsidRDefault="00316D6C" w:rsidP="008E425B">
            <w:pPr>
              <w:widowControl w:val="0"/>
            </w:pPr>
            <w:r>
              <w:rPr>
                <w:sz w:val="14"/>
                <w:szCs w:val="14"/>
                <w:lang w:val="en-GB"/>
              </w:rPr>
              <w:t>Antibiotic use</w:t>
            </w:r>
          </w:p>
        </w:tc>
        <w:tc>
          <w:tcPr>
            <w:tcW w:w="6478" w:type="dxa"/>
            <w:tcBorders>
              <w:top w:val="single" w:sz="4" w:space="0" w:color="000000"/>
              <w:left w:val="single" w:sz="4" w:space="0" w:color="000000"/>
              <w:bottom w:val="single" w:sz="4" w:space="0" w:color="000000"/>
              <w:right w:val="single" w:sz="4" w:space="0" w:color="000000"/>
            </w:tcBorders>
          </w:tcPr>
          <w:p w14:paraId="7AB24339" w14:textId="77777777" w:rsidR="00316D6C" w:rsidRDefault="00316D6C" w:rsidP="008E425B">
            <w:pPr>
              <w:widowControl w:val="0"/>
            </w:pPr>
            <w:r>
              <w:rPr>
                <w:sz w:val="14"/>
                <w:szCs w:val="14"/>
                <w:lang w:val="en-GB"/>
              </w:rPr>
              <w:t>Antibiotics were mostly misused through self-medication for several diseases</w:t>
            </w:r>
          </w:p>
        </w:tc>
      </w:tr>
      <w:tr w:rsidR="00316D6C" w14:paraId="07F6B36E" w14:textId="77777777" w:rsidTr="008E425B">
        <w:trPr>
          <w:trHeight w:val="490"/>
        </w:trPr>
        <w:tc>
          <w:tcPr>
            <w:tcW w:w="1079" w:type="dxa"/>
            <w:vMerge/>
            <w:tcBorders>
              <w:top w:val="single" w:sz="4" w:space="0" w:color="000000"/>
              <w:left w:val="single" w:sz="4" w:space="0" w:color="000000"/>
              <w:bottom w:val="single" w:sz="4" w:space="0" w:color="000000"/>
              <w:right w:val="single" w:sz="4" w:space="0" w:color="000000"/>
            </w:tcBorders>
          </w:tcPr>
          <w:p w14:paraId="101DD9BA"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64366905"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1667C45A"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25E47AE0"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494AB678"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5247044A" w14:textId="77777777" w:rsidR="00316D6C" w:rsidRDefault="00316D6C" w:rsidP="008E425B">
            <w:pPr>
              <w:widowControl w:val="0"/>
            </w:pPr>
            <w:r>
              <w:rPr>
                <w:sz w:val="14"/>
                <w:szCs w:val="14"/>
                <w:lang w:val="en-GB"/>
              </w:rPr>
              <w:t>Sources of knowledge on antibiotics</w:t>
            </w:r>
          </w:p>
        </w:tc>
        <w:tc>
          <w:tcPr>
            <w:tcW w:w="6478" w:type="dxa"/>
            <w:tcBorders>
              <w:top w:val="single" w:sz="4" w:space="0" w:color="000000"/>
              <w:left w:val="single" w:sz="4" w:space="0" w:color="000000"/>
              <w:bottom w:val="single" w:sz="4" w:space="0" w:color="000000"/>
              <w:right w:val="single" w:sz="4" w:space="0" w:color="000000"/>
            </w:tcBorders>
          </w:tcPr>
          <w:p w14:paraId="097C7DE7" w14:textId="77777777" w:rsidR="00316D6C" w:rsidRDefault="00316D6C" w:rsidP="008E425B">
            <w:pPr>
              <w:widowControl w:val="0"/>
            </w:pPr>
            <w:r>
              <w:rPr>
                <w:sz w:val="14"/>
                <w:szCs w:val="14"/>
                <w:lang w:val="en-GB"/>
              </w:rPr>
              <w:t>The major sources of knowledge were doctors, pharmacies, OTC sellers, drug peddlers, family, friends, radio, and television.</w:t>
            </w:r>
          </w:p>
        </w:tc>
      </w:tr>
      <w:tr w:rsidR="00316D6C" w14:paraId="3A220482" w14:textId="77777777" w:rsidTr="008E425B">
        <w:trPr>
          <w:trHeight w:val="490"/>
        </w:trPr>
        <w:tc>
          <w:tcPr>
            <w:tcW w:w="1079" w:type="dxa"/>
            <w:vMerge/>
            <w:tcBorders>
              <w:top w:val="single" w:sz="4" w:space="0" w:color="000000"/>
              <w:left w:val="single" w:sz="4" w:space="0" w:color="000000"/>
              <w:bottom w:val="single" w:sz="4" w:space="0" w:color="000000"/>
              <w:right w:val="single" w:sz="4" w:space="0" w:color="000000"/>
            </w:tcBorders>
          </w:tcPr>
          <w:p w14:paraId="1E4E3265"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38EFFF58"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6A23A4B7"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7472E0D6"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76286235"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064C7DD3" w14:textId="77777777" w:rsidR="00316D6C" w:rsidRDefault="00316D6C" w:rsidP="008E425B">
            <w:pPr>
              <w:widowControl w:val="0"/>
            </w:pPr>
            <w:r>
              <w:rPr>
                <w:sz w:val="14"/>
                <w:szCs w:val="14"/>
                <w:lang w:val="en-GB"/>
              </w:rPr>
              <w:t>Knowledge of antibiotics</w:t>
            </w:r>
          </w:p>
        </w:tc>
        <w:tc>
          <w:tcPr>
            <w:tcW w:w="6478" w:type="dxa"/>
            <w:tcBorders>
              <w:top w:val="single" w:sz="4" w:space="0" w:color="000000"/>
              <w:left w:val="single" w:sz="4" w:space="0" w:color="000000"/>
              <w:bottom w:val="single" w:sz="4" w:space="0" w:color="000000"/>
              <w:right w:val="single" w:sz="4" w:space="0" w:color="000000"/>
            </w:tcBorders>
          </w:tcPr>
          <w:p w14:paraId="3F83B0CA" w14:textId="77777777" w:rsidR="00316D6C" w:rsidRDefault="00316D6C" w:rsidP="008E425B">
            <w:pPr>
              <w:widowControl w:val="0"/>
            </w:pPr>
            <w:r>
              <w:rPr>
                <w:sz w:val="14"/>
                <w:szCs w:val="14"/>
                <w:lang w:val="en-GB"/>
              </w:rPr>
              <w:t>There was poor knowledge of what antibiotics were and they were mostly confused with painkillers.</w:t>
            </w:r>
          </w:p>
        </w:tc>
      </w:tr>
      <w:tr w:rsidR="00316D6C" w14:paraId="486EA3A5" w14:textId="77777777" w:rsidTr="008E425B">
        <w:trPr>
          <w:trHeight w:val="490"/>
        </w:trPr>
        <w:tc>
          <w:tcPr>
            <w:tcW w:w="1079" w:type="dxa"/>
            <w:vMerge w:val="restart"/>
            <w:tcBorders>
              <w:top w:val="single" w:sz="4" w:space="0" w:color="000000"/>
              <w:left w:val="single" w:sz="4" w:space="0" w:color="000000"/>
              <w:bottom w:val="single" w:sz="4" w:space="0" w:color="000000"/>
              <w:right w:val="single" w:sz="4" w:space="0" w:color="000000"/>
            </w:tcBorders>
          </w:tcPr>
          <w:p w14:paraId="4613C1DF" w14:textId="77777777" w:rsidR="00316D6C" w:rsidRDefault="00316D6C" w:rsidP="008E425B">
            <w:pPr>
              <w:widowControl w:val="0"/>
            </w:pPr>
            <w:r>
              <w:rPr>
                <w:sz w:val="14"/>
                <w:szCs w:val="14"/>
                <w:lang w:eastAsia="zh-CN"/>
              </w:rPr>
              <w:t xml:space="preserve">Afari-Asiedu et al. et al. </w:t>
            </w:r>
            <w:r>
              <w:rPr>
                <w:lang w:val="en-ID" w:eastAsia="en-GB"/>
              </w:rPr>
              <w:fldChar w:fldCharType="begin"/>
            </w:r>
            <w:r>
              <w:rPr>
                <w:sz w:val="14"/>
                <w:szCs w:val="14"/>
                <w:lang w:eastAsia="zh-CN"/>
              </w:rPr>
              <w:instrText xml:space="preserve"> ADDIN ZOTERO_ITEM CSL_CITATION {"citationID":"EpyCsde9","properties":{"formattedCitation":"(38)","plainCitation":"(38)","noteIndex":0},"citationItems":[{"id":1407,"uris":["http://zotero.org/users/11836539/items/5HR6LLLC"],"itemData":{"id":1407,"type":"article-journal","abstract":"Background: In Ghana, there is extensive over-the-counter dispensing of antibiotics, resulting in high levels of inappropriate use, and an increase in antibiotic resistance. Regulations prevent Licenced Chemical Sellers (LCS, Over-the-Counter Medicine Sellers) from selling antibiotics other than Cotrimoxazole. In practice, however, these sellers sell a variety of antibiotics. This paper aims to provide insight into the differences between regulatory and community demands on the sale of antibiotics, and to explore how these differences in demand could be resolved to facilitate safe and appropriate use of antibiotics in rural Ghana. Methods: A total of 32 in-depth interviews were conducted in the Kintampo North and South Districts in Ghana; 16 among antibiotic suppliers, predominantly LCS, and 16 among community members. Six focus group discussions were also conducted among 40 community members. Data were coded using Nvivo 10 and thematically analyzed in line with study objectives. The results are presented as narratives with quotes to illustrate the findings. Results: Generally, antibiotic suppliers were aware that regulations prevent LCS from selling antibiotics except Cotrimoxazole. However, LCS sell all types of antibiotics because of community demand, economic motivations of LCS, and the poor implementation of regulations that are intended to prevent them from selling these medications. Factors that influence community demand for antibiotics include previous knowledge of effectiveness of some antibiotics, delays in seeking care at health facilities, financial constraints, and distance to health facilities. LCS suggested that they should be trained and allowed to sell some types of antibiotics instead of being prevented completely from selling. Community members also suggested that Community-based Health Planning and Services (CHPS) compounds should be equipped to dispense antibiotics. Conclusion: The sale of antibiotics by LCS at the community level is influenced by both structural and individual contextual factors. There is a need to educate community members on the appropriate access and use of antibiotics in rural Ghana. In addition, rather than enforcing rules that go against practice, it may be more effective to regulate the sale of antibiotics by LCS and train them to make their dispensing more appropriate. CHPS compound could also be equipped to dispense some antibiotics to improve appropriate antibiotic access at the community level. © 2018 The Author(s).","archive":"Scopus","container-title":"Journal of Pharmaceutical Policy and Practice","DOI":"10.1186/s40545-018-0158-6","ISSN":"2052-3211","issue":"1","language":"English","source":"Scopus","title":"To sell or not to sell; The differences between regulatory and community demands regarding access to antibiotics in rural Ghana","volume":"11","author":[{"family":"Afari-Asiedu","given":"S."},{"family":"Kinsman","given":"J."},{"family":"Boamah-Kaali","given":"E."},{"family":"Abdulai","given":"M.A."},{"family":"Gyapong","given":"M."},{"family":"Sankoh","given":"O."},{"family":"Hulscher","given":"M."},{"family":"Asante","given":"K.P."},{"family":"Wertheim","given":"H."}],"issued":{"date-parts":[["2018"]]}}}],"schema":"https://github.com/citation-style-language/schema/raw/master/csl-citation.json"} </w:instrText>
            </w:r>
            <w:r>
              <w:rPr>
                <w:sz w:val="14"/>
                <w:szCs w:val="14"/>
                <w:lang w:eastAsia="zh-CN"/>
              </w:rPr>
              <w:fldChar w:fldCharType="separate"/>
            </w:r>
            <w:r>
              <w:rPr>
                <w:sz w:val="14"/>
                <w:szCs w:val="14"/>
                <w:lang w:eastAsia="zh-CN"/>
              </w:rPr>
              <w:t>(38)</w:t>
            </w:r>
            <w:r>
              <w:rPr>
                <w:sz w:val="14"/>
                <w:szCs w:val="14"/>
                <w:lang w:eastAsia="zh-CN"/>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7F016F42" w14:textId="77777777" w:rsidR="00316D6C" w:rsidRDefault="00316D6C" w:rsidP="008E425B">
            <w:pPr>
              <w:widowControl w:val="0"/>
            </w:pPr>
            <w:r>
              <w:rPr>
                <w:sz w:val="14"/>
                <w:szCs w:val="14"/>
                <w:lang w:eastAsia="zh-CN"/>
              </w:rPr>
              <w:t>January-June, 2017</w:t>
            </w:r>
          </w:p>
        </w:tc>
        <w:tc>
          <w:tcPr>
            <w:tcW w:w="810" w:type="dxa"/>
            <w:vMerge w:val="restart"/>
            <w:tcBorders>
              <w:top w:val="single" w:sz="4" w:space="0" w:color="000000"/>
              <w:left w:val="single" w:sz="4" w:space="0" w:color="000000"/>
              <w:bottom w:val="single" w:sz="4" w:space="0" w:color="000000"/>
              <w:right w:val="single" w:sz="4" w:space="0" w:color="000000"/>
            </w:tcBorders>
          </w:tcPr>
          <w:p w14:paraId="751642B7" w14:textId="77777777" w:rsidR="00316D6C" w:rsidRDefault="00316D6C" w:rsidP="008E425B">
            <w:pPr>
              <w:widowControl w:val="0"/>
            </w:pPr>
            <w:r>
              <w:rPr>
                <w:sz w:val="14"/>
                <w:szCs w:val="14"/>
                <w:lang w:eastAsia="zh-CN"/>
              </w:rPr>
              <w:t>Ghana</w:t>
            </w:r>
          </w:p>
        </w:tc>
        <w:tc>
          <w:tcPr>
            <w:tcW w:w="1440" w:type="dxa"/>
            <w:vMerge w:val="restart"/>
            <w:tcBorders>
              <w:top w:val="single" w:sz="4" w:space="0" w:color="000000"/>
              <w:left w:val="single" w:sz="4" w:space="0" w:color="000000"/>
              <w:bottom w:val="single" w:sz="4" w:space="0" w:color="000000"/>
              <w:right w:val="single" w:sz="4" w:space="0" w:color="000000"/>
            </w:tcBorders>
          </w:tcPr>
          <w:p w14:paraId="720A5D8A" w14:textId="77777777" w:rsidR="00316D6C" w:rsidRDefault="00316D6C" w:rsidP="008E425B">
            <w:pPr>
              <w:widowControl w:val="0"/>
            </w:pPr>
            <w:r>
              <w:rPr>
                <w:sz w:val="14"/>
                <w:szCs w:val="14"/>
                <w:lang w:eastAsia="zh-CN"/>
              </w:rPr>
              <w:t>Antibiotic suppliers, community members</w:t>
            </w:r>
          </w:p>
        </w:tc>
        <w:tc>
          <w:tcPr>
            <w:tcW w:w="990" w:type="dxa"/>
            <w:vMerge w:val="restart"/>
            <w:tcBorders>
              <w:top w:val="single" w:sz="4" w:space="0" w:color="000000"/>
              <w:left w:val="single" w:sz="4" w:space="0" w:color="000000"/>
              <w:bottom w:val="single" w:sz="4" w:space="0" w:color="000000"/>
              <w:right w:val="single" w:sz="4" w:space="0" w:color="000000"/>
            </w:tcBorders>
          </w:tcPr>
          <w:p w14:paraId="12B3691A" w14:textId="77777777" w:rsidR="00316D6C" w:rsidRDefault="00316D6C" w:rsidP="008E425B">
            <w:pPr>
              <w:widowControl w:val="0"/>
            </w:pPr>
            <w:r>
              <w:rPr>
                <w:sz w:val="14"/>
                <w:szCs w:val="14"/>
                <w:lang w:eastAsia="zh-CN"/>
              </w:rPr>
              <w:t>72</w:t>
            </w:r>
          </w:p>
        </w:tc>
        <w:tc>
          <w:tcPr>
            <w:tcW w:w="2611" w:type="dxa"/>
            <w:tcBorders>
              <w:top w:val="single" w:sz="4" w:space="0" w:color="000000"/>
              <w:left w:val="single" w:sz="4" w:space="0" w:color="000000"/>
              <w:bottom w:val="single" w:sz="4" w:space="0" w:color="000000"/>
              <w:right w:val="single" w:sz="4" w:space="0" w:color="000000"/>
            </w:tcBorders>
          </w:tcPr>
          <w:p w14:paraId="07D3C891" w14:textId="77777777" w:rsidR="00316D6C" w:rsidRDefault="00316D6C" w:rsidP="008E425B">
            <w:pPr>
              <w:widowControl w:val="0"/>
            </w:pPr>
            <w:r>
              <w:rPr>
                <w:sz w:val="14"/>
                <w:szCs w:val="14"/>
                <w:lang w:eastAsia="zh-CN"/>
              </w:rPr>
              <w:t>Knowledge of the regulations on the sale of anti</w:t>
            </w:r>
            <w:r>
              <w:rPr>
                <w:sz w:val="14"/>
                <w:szCs w:val="14"/>
                <w:lang w:val="en-GB" w:eastAsia="zh-CN"/>
              </w:rPr>
              <w:t>biotics</w:t>
            </w:r>
          </w:p>
        </w:tc>
        <w:tc>
          <w:tcPr>
            <w:tcW w:w="6478" w:type="dxa"/>
            <w:tcBorders>
              <w:top w:val="single" w:sz="4" w:space="0" w:color="000000"/>
              <w:left w:val="single" w:sz="4" w:space="0" w:color="000000"/>
              <w:bottom w:val="single" w:sz="4" w:space="0" w:color="000000"/>
              <w:right w:val="single" w:sz="4" w:space="0" w:color="000000"/>
            </w:tcBorders>
          </w:tcPr>
          <w:p w14:paraId="62C2060A" w14:textId="77777777" w:rsidR="00316D6C" w:rsidRDefault="00316D6C" w:rsidP="008E425B">
            <w:pPr>
              <w:widowControl w:val="0"/>
            </w:pPr>
            <w:r>
              <w:rPr>
                <w:sz w:val="14"/>
                <w:szCs w:val="14"/>
                <w:lang w:val="en-GB" w:eastAsia="zh-CN"/>
              </w:rPr>
              <w:t>Antibiotic suppliers were aware that regulations prevented them from selling antibiotics except Cotrimoxazole.</w:t>
            </w:r>
          </w:p>
        </w:tc>
      </w:tr>
      <w:tr w:rsidR="00316D6C" w14:paraId="22EB674A" w14:textId="77777777" w:rsidTr="008E425B">
        <w:trPr>
          <w:trHeight w:val="490"/>
        </w:trPr>
        <w:tc>
          <w:tcPr>
            <w:tcW w:w="1079" w:type="dxa"/>
            <w:vMerge/>
            <w:tcBorders>
              <w:top w:val="single" w:sz="4" w:space="0" w:color="000000"/>
              <w:left w:val="single" w:sz="4" w:space="0" w:color="000000"/>
              <w:bottom w:val="single" w:sz="4" w:space="0" w:color="000000"/>
              <w:right w:val="single" w:sz="4" w:space="0" w:color="000000"/>
            </w:tcBorders>
          </w:tcPr>
          <w:p w14:paraId="5788CE00"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3653C6C5"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46FD3534"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7AEEEA39"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3A9C80D9"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2107CD4A" w14:textId="77777777" w:rsidR="00316D6C" w:rsidRDefault="00316D6C" w:rsidP="008E425B">
            <w:pPr>
              <w:widowControl w:val="0"/>
            </w:pPr>
            <w:r>
              <w:rPr>
                <w:sz w:val="14"/>
                <w:szCs w:val="14"/>
                <w:lang w:val="en-GB" w:eastAsia="zh-CN"/>
              </w:rPr>
              <w:t>Community demand for antibiotics</w:t>
            </w:r>
          </w:p>
        </w:tc>
        <w:tc>
          <w:tcPr>
            <w:tcW w:w="6478" w:type="dxa"/>
            <w:tcBorders>
              <w:top w:val="single" w:sz="4" w:space="0" w:color="000000"/>
              <w:left w:val="single" w:sz="4" w:space="0" w:color="000000"/>
              <w:bottom w:val="single" w:sz="4" w:space="0" w:color="000000"/>
              <w:right w:val="single" w:sz="4" w:space="0" w:color="000000"/>
            </w:tcBorders>
          </w:tcPr>
          <w:p w14:paraId="435B5C29" w14:textId="77777777" w:rsidR="00316D6C" w:rsidRDefault="00316D6C" w:rsidP="008E425B">
            <w:pPr>
              <w:widowControl w:val="0"/>
            </w:pPr>
            <w:r>
              <w:rPr>
                <w:sz w:val="14"/>
                <w:szCs w:val="14"/>
                <w:lang w:val="en-GB" w:eastAsia="zh-CN"/>
              </w:rPr>
              <w:t xml:space="preserve">There was high community demand for antibiotics owing to factors like </w:t>
            </w:r>
            <w:r>
              <w:rPr>
                <w:sz w:val="14"/>
                <w:szCs w:val="14"/>
                <w:lang w:eastAsia="zh-CN"/>
              </w:rPr>
              <w:t>knowledge of the effectiveness of some antibiotics,</w:t>
            </w:r>
            <w:r>
              <w:rPr>
                <w:sz w:val="14"/>
                <w:szCs w:val="14"/>
                <w:lang w:val="en-GB" w:eastAsia="zh-CN"/>
              </w:rPr>
              <w:t xml:space="preserve"> </w:t>
            </w:r>
            <w:r>
              <w:rPr>
                <w:sz w:val="14"/>
                <w:szCs w:val="14"/>
                <w:lang w:eastAsia="zh-CN"/>
              </w:rPr>
              <w:t xml:space="preserve">financial constraints, delays in </w:t>
            </w:r>
            <w:r>
              <w:rPr>
                <w:sz w:val="14"/>
                <w:szCs w:val="14"/>
                <w:lang w:val="en-GB" w:eastAsia="zh-CN"/>
              </w:rPr>
              <w:t>assessing</w:t>
            </w:r>
            <w:r>
              <w:rPr>
                <w:sz w:val="14"/>
                <w:szCs w:val="14"/>
                <w:lang w:eastAsia="zh-CN"/>
              </w:rPr>
              <w:t xml:space="preserve"> care at health facilities, and distance to health facilities.</w:t>
            </w:r>
          </w:p>
        </w:tc>
      </w:tr>
      <w:tr w:rsidR="00316D6C" w14:paraId="04D239F7" w14:textId="77777777" w:rsidTr="008E425B">
        <w:trPr>
          <w:trHeight w:val="490"/>
        </w:trPr>
        <w:tc>
          <w:tcPr>
            <w:tcW w:w="1079" w:type="dxa"/>
            <w:vMerge/>
            <w:tcBorders>
              <w:top w:val="single" w:sz="4" w:space="0" w:color="000000"/>
              <w:left w:val="single" w:sz="4" w:space="0" w:color="000000"/>
              <w:bottom w:val="single" w:sz="4" w:space="0" w:color="000000"/>
              <w:right w:val="single" w:sz="4" w:space="0" w:color="000000"/>
            </w:tcBorders>
          </w:tcPr>
          <w:p w14:paraId="3BE645EB"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0C151F84"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2166C7F2"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7F116334"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5917CF5B"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017AAD81" w14:textId="77777777" w:rsidR="00316D6C" w:rsidRDefault="00316D6C" w:rsidP="008E425B">
            <w:pPr>
              <w:widowControl w:val="0"/>
            </w:pPr>
            <w:r>
              <w:rPr>
                <w:sz w:val="14"/>
                <w:szCs w:val="14"/>
                <w:lang w:val="en-GB" w:eastAsia="zh-CN"/>
              </w:rPr>
              <w:t>Resolving the differences in regulatory and community demands of antibiotics</w:t>
            </w:r>
          </w:p>
        </w:tc>
        <w:tc>
          <w:tcPr>
            <w:tcW w:w="6478" w:type="dxa"/>
            <w:tcBorders>
              <w:top w:val="single" w:sz="4" w:space="0" w:color="000000"/>
              <w:left w:val="single" w:sz="4" w:space="0" w:color="000000"/>
              <w:bottom w:val="single" w:sz="4" w:space="0" w:color="000000"/>
              <w:right w:val="single" w:sz="4" w:space="0" w:color="000000"/>
            </w:tcBorders>
          </w:tcPr>
          <w:p w14:paraId="5A5EE05D" w14:textId="77777777" w:rsidR="00316D6C" w:rsidRDefault="00316D6C" w:rsidP="008E425B">
            <w:pPr>
              <w:widowControl w:val="0"/>
            </w:pPr>
            <w:r>
              <w:rPr>
                <w:sz w:val="14"/>
                <w:szCs w:val="14"/>
                <w:lang w:val="en-GB" w:eastAsia="zh-CN"/>
              </w:rPr>
              <w:t>Antibiotic sellers suggested that they should be trained to sell all types of antibiotics instead of being largely restricted.</w:t>
            </w:r>
          </w:p>
        </w:tc>
      </w:tr>
      <w:tr w:rsidR="00316D6C" w14:paraId="3D6FFB36" w14:textId="77777777" w:rsidTr="008E425B">
        <w:trPr>
          <w:trHeight w:val="490"/>
        </w:trPr>
        <w:tc>
          <w:tcPr>
            <w:tcW w:w="1079" w:type="dxa"/>
            <w:vMerge w:val="restart"/>
            <w:tcBorders>
              <w:top w:val="single" w:sz="4" w:space="0" w:color="000000"/>
              <w:left w:val="single" w:sz="4" w:space="0" w:color="000000"/>
              <w:bottom w:val="single" w:sz="4" w:space="0" w:color="000000"/>
              <w:right w:val="single" w:sz="4" w:space="0" w:color="000000"/>
            </w:tcBorders>
          </w:tcPr>
          <w:p w14:paraId="10066012" w14:textId="77777777" w:rsidR="00316D6C" w:rsidRDefault="00316D6C" w:rsidP="008E425B">
            <w:pPr>
              <w:widowControl w:val="0"/>
            </w:pPr>
            <w:r>
              <w:rPr>
                <w:sz w:val="14"/>
                <w:szCs w:val="14"/>
              </w:rPr>
              <w:t xml:space="preserve">Afari-Asiedu, Oppong, et al., et al. </w:t>
            </w:r>
            <w:r>
              <w:rPr>
                <w:lang w:val="en-ID"/>
              </w:rPr>
              <w:fldChar w:fldCharType="begin"/>
            </w:r>
            <w:r>
              <w:rPr>
                <w:sz w:val="14"/>
                <w:szCs w:val="14"/>
              </w:rPr>
              <w:instrText xml:space="preserve"> ADDIN ZOTERO_ITEM CSL_CITATION {"citationID":"VgYkxNSy","properties":{"formattedCitation":"(40)","plainCitation":"(40)","noteIndex":0},"citationItems":[{"id":1417,"uris":["http://zotero.org/users/11836539/items/YDKEDTGR"],"itemData":{"id":1417,"type":"article-journal","abstract":"Background: The consequences of antibiotic resistance are projected to be most severe in low and middle income countries with high infectious disease burden. This study examined determinants of inappropriate antibiotic use at the community level in rural Ghana. Methods: An observational study involving qualitative and quantitative methods was conducted between July, 2016 and September, 2018 in Ghana. Two household surveys were conducted at two time points (2017 and 2018) among 1,100 randomly selected households over 1 year. The surveys focused on antibiotic use episodes in the past month. Four in-depth interviews and two focus group discussions were performed to further explain the survey results. Determinants of inappropriate antibiotic use were assessed using a mixed effect logistic regression analysis (multilevel analysis) to account for the clustered nature of data. We defined inappropriate antibiotic use as either use without prescription, not completing treatment course or non-adherence to instruction for use. Qualitative data were thematically analyzed. Results: A total of 1,100 households was enrolled in which antibiotics were used in 585 (53.2%) households in the month prior to the surveys. A total of 676 (21.2%) participants out of 3,193 members from the 585 reportedly used antibiotics for 761 episodes of illness. Out of the 761 antibiotic use episodes, 659 (86.6%) were used inappropriately. Paying for healthcare without health insurance (Odds Ratio (OR): 2.10, 95% CI: 1.1–7.4, p-value: 0.026), not seeking healthcare from health centers (OR: 2.4, 95% CI: 1.2–5.0, p-value: 0.018), or pharmacies (OR: 4.6, 95% CI: 1.7–13.0, p-value: 0.003) were significantly associated with inappropriate antibiotic use. Socio-demographic characteristics were not significantly associated with inappropriate antibiotic use. However, the qualitative study described the influence of cost of medicines on inappropriate antibiotic use. It also revealed that antibiotic users with low socioeconomic status purchased antibiotics in installments which, could facilitate inappropriate use. Conclusion: Inappropriate antibiotic use was high and influenced by out-of-pocket payment for healthcare, seeking healthcare outside health centers, pharmacies, and buying antibiotics in installments due to cost. To improve appropriate antibiotic use, there is the need for ministry of health and healthcare agencies in Ghana to enhance healthcare access and healthcare insurance, and to provide affordable antibiotics. © Copyright © 2020 Afari-Asiedu, Oppong, Tostmann, Ali Abdulai, Boamah-Kaali, Gyaase, Agyei, Kinsman, Hulscher, Wertheim and Asante.","archive":"Scopus","container-title":"Frontiers in Public Health","DOI":"10.3389/fpubh.2020.00090","ISSN":"2296-2565","language":"English","source":"Scopus","title":"Determinants of Inappropriate Antibiotics Use in Rural Central Ghana Using a Mixed Methods Approach","volume":"8","author":[{"family":"Afari-Asiedu","given":"S."},{"family":"Oppong","given":"F.B."},{"family":"Tostmann","given":"A."},{"family":"Ali Abdulai","given":"M."},{"family":"Boamah-Kaali","given":"E."},{"family":"Gyaase","given":"S."},{"family":"Agyei","given":"O."},{"family":"Kinsman","given":"J."},{"family":"Hulscher","given":"M."},{"family":"Wertheim","given":"H.F.L."},{"family":"Asante","given":"K.P."}],"issued":{"date-parts":[["2020"]]}}}],"schema":"https://github.com/citation-style-language/schema/raw/master/csl-citation.json"} </w:instrText>
            </w:r>
            <w:r>
              <w:rPr>
                <w:sz w:val="14"/>
                <w:szCs w:val="14"/>
              </w:rPr>
              <w:fldChar w:fldCharType="separate"/>
            </w:r>
            <w:r>
              <w:rPr>
                <w:sz w:val="14"/>
                <w:szCs w:val="14"/>
              </w:rPr>
              <w:t>(40)</w:t>
            </w:r>
            <w:r>
              <w:rPr>
                <w:sz w:val="14"/>
                <w:szCs w:val="14"/>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5FA053E0" w14:textId="77777777" w:rsidR="00316D6C" w:rsidRDefault="00316D6C" w:rsidP="008E425B">
            <w:pPr>
              <w:widowControl w:val="0"/>
            </w:pPr>
            <w:proofErr w:type="gramStart"/>
            <w:r>
              <w:rPr>
                <w:sz w:val="14"/>
                <w:szCs w:val="14"/>
                <w:lang w:val="en-GB"/>
              </w:rPr>
              <w:t>July,</w:t>
            </w:r>
            <w:proofErr w:type="gramEnd"/>
            <w:r>
              <w:rPr>
                <w:sz w:val="14"/>
                <w:szCs w:val="14"/>
                <w:lang w:val="en-GB"/>
              </w:rPr>
              <w:t xml:space="preserve"> 2016- September, 2018</w:t>
            </w:r>
          </w:p>
        </w:tc>
        <w:tc>
          <w:tcPr>
            <w:tcW w:w="810" w:type="dxa"/>
            <w:vMerge w:val="restart"/>
            <w:tcBorders>
              <w:top w:val="single" w:sz="4" w:space="0" w:color="000000"/>
              <w:left w:val="single" w:sz="4" w:space="0" w:color="000000"/>
              <w:bottom w:val="single" w:sz="4" w:space="0" w:color="000000"/>
              <w:right w:val="single" w:sz="4" w:space="0" w:color="000000"/>
            </w:tcBorders>
          </w:tcPr>
          <w:p w14:paraId="24BEA134" w14:textId="77777777" w:rsidR="00316D6C" w:rsidRDefault="00316D6C" w:rsidP="008E425B">
            <w:pPr>
              <w:widowControl w:val="0"/>
            </w:pPr>
            <w:r>
              <w:rPr>
                <w:sz w:val="14"/>
                <w:szCs w:val="14"/>
                <w:lang w:val="en-GB"/>
              </w:rPr>
              <w:t>Ghana</w:t>
            </w:r>
          </w:p>
        </w:tc>
        <w:tc>
          <w:tcPr>
            <w:tcW w:w="1440" w:type="dxa"/>
            <w:vMerge w:val="restart"/>
            <w:tcBorders>
              <w:top w:val="single" w:sz="4" w:space="0" w:color="000000"/>
              <w:left w:val="single" w:sz="4" w:space="0" w:color="000000"/>
              <w:bottom w:val="single" w:sz="4" w:space="0" w:color="000000"/>
              <w:right w:val="single" w:sz="4" w:space="0" w:color="000000"/>
            </w:tcBorders>
          </w:tcPr>
          <w:p w14:paraId="403AFFCA" w14:textId="77777777" w:rsidR="00316D6C" w:rsidRDefault="00316D6C" w:rsidP="008E425B">
            <w:pPr>
              <w:widowControl w:val="0"/>
            </w:pPr>
            <w:r>
              <w:rPr>
                <w:sz w:val="14"/>
                <w:szCs w:val="14"/>
                <w:lang w:val="en-GB"/>
              </w:rPr>
              <w:t>Community members</w:t>
            </w:r>
          </w:p>
        </w:tc>
        <w:tc>
          <w:tcPr>
            <w:tcW w:w="990" w:type="dxa"/>
            <w:vMerge w:val="restart"/>
            <w:tcBorders>
              <w:top w:val="single" w:sz="4" w:space="0" w:color="000000"/>
              <w:left w:val="single" w:sz="4" w:space="0" w:color="000000"/>
              <w:bottom w:val="single" w:sz="4" w:space="0" w:color="000000"/>
              <w:right w:val="single" w:sz="4" w:space="0" w:color="000000"/>
            </w:tcBorders>
          </w:tcPr>
          <w:p w14:paraId="3273AF31" w14:textId="77777777" w:rsidR="00316D6C" w:rsidRDefault="00316D6C" w:rsidP="008E425B">
            <w:pPr>
              <w:widowControl w:val="0"/>
            </w:pPr>
            <w:r>
              <w:rPr>
                <w:sz w:val="14"/>
                <w:szCs w:val="14"/>
                <w:lang w:val="en-GB"/>
              </w:rPr>
              <w:t>1100 households</w:t>
            </w:r>
          </w:p>
        </w:tc>
        <w:tc>
          <w:tcPr>
            <w:tcW w:w="2611" w:type="dxa"/>
            <w:tcBorders>
              <w:top w:val="single" w:sz="4" w:space="0" w:color="000000"/>
              <w:left w:val="single" w:sz="4" w:space="0" w:color="000000"/>
              <w:bottom w:val="single" w:sz="4" w:space="0" w:color="000000"/>
              <w:right w:val="single" w:sz="4" w:space="0" w:color="000000"/>
            </w:tcBorders>
          </w:tcPr>
          <w:p w14:paraId="1B14B73B" w14:textId="77777777" w:rsidR="00316D6C" w:rsidRDefault="00316D6C" w:rsidP="008E425B">
            <w:pPr>
              <w:widowControl w:val="0"/>
            </w:pPr>
            <w:r>
              <w:rPr>
                <w:sz w:val="14"/>
                <w:szCs w:val="14"/>
                <w:lang w:val="en-GB"/>
              </w:rPr>
              <w:t>Antibiotic use</w:t>
            </w:r>
          </w:p>
        </w:tc>
        <w:tc>
          <w:tcPr>
            <w:tcW w:w="6478" w:type="dxa"/>
            <w:tcBorders>
              <w:top w:val="single" w:sz="4" w:space="0" w:color="000000"/>
              <w:left w:val="single" w:sz="4" w:space="0" w:color="000000"/>
              <w:bottom w:val="single" w:sz="4" w:space="0" w:color="000000"/>
              <w:right w:val="single" w:sz="4" w:space="0" w:color="000000"/>
            </w:tcBorders>
          </w:tcPr>
          <w:p w14:paraId="04C61067" w14:textId="77777777" w:rsidR="00316D6C" w:rsidRDefault="00316D6C" w:rsidP="008E425B">
            <w:pPr>
              <w:widowControl w:val="0"/>
            </w:pPr>
            <w:r>
              <w:rPr>
                <w:sz w:val="14"/>
                <w:szCs w:val="14"/>
                <w:lang w:val="en-GB"/>
              </w:rPr>
              <w:t>A total of 585 (53.2%) households with 3193 members used antibiotics. Of these 676 (21.2%) used antibiotics, with 489 (64.3%) using them without prescription, 345 (45.34%) not completing their antibiotic courses and 336 (44.15%) not following instructions for the antibiotics.</w:t>
            </w:r>
          </w:p>
        </w:tc>
      </w:tr>
      <w:tr w:rsidR="00316D6C" w14:paraId="318ECBE5" w14:textId="77777777" w:rsidTr="008E425B">
        <w:trPr>
          <w:trHeight w:val="490"/>
        </w:trPr>
        <w:tc>
          <w:tcPr>
            <w:tcW w:w="1079" w:type="dxa"/>
            <w:vMerge/>
            <w:tcBorders>
              <w:top w:val="single" w:sz="4" w:space="0" w:color="000000"/>
              <w:left w:val="single" w:sz="4" w:space="0" w:color="000000"/>
              <w:bottom w:val="single" w:sz="4" w:space="0" w:color="000000"/>
              <w:right w:val="single" w:sz="4" w:space="0" w:color="000000"/>
            </w:tcBorders>
          </w:tcPr>
          <w:p w14:paraId="0C051E83"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3B703D8A"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5BF5A894"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7A51209C"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155D01A0"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2C1421D4" w14:textId="77777777" w:rsidR="00316D6C" w:rsidRDefault="00316D6C" w:rsidP="008E425B">
            <w:pPr>
              <w:widowControl w:val="0"/>
            </w:pPr>
            <w:r>
              <w:rPr>
                <w:sz w:val="14"/>
                <w:szCs w:val="14"/>
                <w:lang w:val="en-GB"/>
              </w:rPr>
              <w:t>Factors associated with choice of drug suppliers</w:t>
            </w:r>
          </w:p>
        </w:tc>
        <w:tc>
          <w:tcPr>
            <w:tcW w:w="6478" w:type="dxa"/>
            <w:tcBorders>
              <w:top w:val="single" w:sz="4" w:space="0" w:color="000000"/>
              <w:left w:val="single" w:sz="4" w:space="0" w:color="000000"/>
              <w:bottom w:val="single" w:sz="4" w:space="0" w:color="000000"/>
              <w:right w:val="single" w:sz="4" w:space="0" w:color="000000"/>
            </w:tcBorders>
          </w:tcPr>
          <w:p w14:paraId="1B629F87" w14:textId="77777777" w:rsidR="00316D6C" w:rsidRDefault="00316D6C" w:rsidP="008E425B">
            <w:pPr>
              <w:widowControl w:val="0"/>
            </w:pPr>
            <w:r>
              <w:rPr>
                <w:sz w:val="14"/>
                <w:szCs w:val="14"/>
                <w:lang w:val="en-GB"/>
              </w:rPr>
              <w:t>The major factors were distance to the facility, trust in the medicine supplier and disease severity.</w:t>
            </w:r>
          </w:p>
        </w:tc>
      </w:tr>
      <w:tr w:rsidR="00316D6C" w14:paraId="5089B0E8" w14:textId="77777777" w:rsidTr="008E425B">
        <w:trPr>
          <w:trHeight w:val="490"/>
        </w:trPr>
        <w:tc>
          <w:tcPr>
            <w:tcW w:w="1079" w:type="dxa"/>
            <w:vMerge/>
            <w:tcBorders>
              <w:top w:val="single" w:sz="4" w:space="0" w:color="000000"/>
              <w:left w:val="single" w:sz="4" w:space="0" w:color="000000"/>
              <w:bottom w:val="single" w:sz="4" w:space="0" w:color="000000"/>
              <w:right w:val="single" w:sz="4" w:space="0" w:color="000000"/>
            </w:tcBorders>
          </w:tcPr>
          <w:p w14:paraId="4E30DF77"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43F9B8D0"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5E33E292"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0787E12C"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02D5F834"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659FA49A" w14:textId="77777777" w:rsidR="00316D6C" w:rsidRDefault="00316D6C" w:rsidP="008E425B">
            <w:pPr>
              <w:widowControl w:val="0"/>
            </w:pPr>
            <w:r>
              <w:rPr>
                <w:sz w:val="14"/>
                <w:szCs w:val="14"/>
                <w:lang w:val="en-GB"/>
              </w:rPr>
              <w:t>Determinants of inappropriate use of antibiotics</w:t>
            </w:r>
          </w:p>
        </w:tc>
        <w:tc>
          <w:tcPr>
            <w:tcW w:w="6478" w:type="dxa"/>
            <w:tcBorders>
              <w:top w:val="single" w:sz="4" w:space="0" w:color="000000"/>
              <w:left w:val="single" w:sz="4" w:space="0" w:color="000000"/>
              <w:bottom w:val="single" w:sz="4" w:space="0" w:color="000000"/>
              <w:right w:val="single" w:sz="4" w:space="0" w:color="000000"/>
            </w:tcBorders>
          </w:tcPr>
          <w:p w14:paraId="387A8D40" w14:textId="77777777" w:rsidR="00316D6C" w:rsidRDefault="00316D6C" w:rsidP="008E425B">
            <w:pPr>
              <w:widowControl w:val="0"/>
            </w:pPr>
            <w:r>
              <w:rPr>
                <w:sz w:val="14"/>
                <w:szCs w:val="14"/>
                <w:lang w:val="en-GB"/>
              </w:rPr>
              <w:t>The major determinants were the high cost of medicines including antibiotics and low socioeconomic status.</w:t>
            </w:r>
          </w:p>
        </w:tc>
      </w:tr>
      <w:tr w:rsidR="00316D6C" w14:paraId="5026D47E" w14:textId="77777777" w:rsidTr="008E425B">
        <w:trPr>
          <w:trHeight w:val="195"/>
        </w:trPr>
        <w:tc>
          <w:tcPr>
            <w:tcW w:w="1079" w:type="dxa"/>
            <w:vMerge w:val="restart"/>
            <w:tcBorders>
              <w:top w:val="single" w:sz="4" w:space="0" w:color="000000"/>
              <w:left w:val="single" w:sz="4" w:space="0" w:color="000000"/>
              <w:bottom w:val="single" w:sz="4" w:space="0" w:color="000000"/>
              <w:right w:val="single" w:sz="4" w:space="0" w:color="000000"/>
            </w:tcBorders>
          </w:tcPr>
          <w:p w14:paraId="4D549A42" w14:textId="77777777" w:rsidR="00316D6C" w:rsidRDefault="00316D6C" w:rsidP="008E425B">
            <w:pPr>
              <w:widowControl w:val="0"/>
            </w:pPr>
            <w:r>
              <w:rPr>
                <w:sz w:val="14"/>
                <w:szCs w:val="14"/>
              </w:rPr>
              <w:t>Akande-</w:t>
            </w:r>
            <w:proofErr w:type="spellStart"/>
            <w:r>
              <w:rPr>
                <w:sz w:val="14"/>
                <w:szCs w:val="14"/>
              </w:rPr>
              <w:t>Sholabi</w:t>
            </w:r>
            <w:proofErr w:type="spellEnd"/>
            <w:r>
              <w:rPr>
                <w:sz w:val="14"/>
                <w:szCs w:val="14"/>
              </w:rPr>
              <w:t xml:space="preserve"> &amp; Ajamu</w:t>
            </w:r>
            <w:r>
              <w:rPr>
                <w:sz w:val="14"/>
                <w:szCs w:val="14"/>
                <w:lang w:val="en-GB"/>
              </w:rPr>
              <w:t xml:space="preserve">  et al. </w:t>
            </w:r>
            <w:r>
              <w:rPr>
                <w:lang w:val="en-ID"/>
              </w:rPr>
              <w:fldChar w:fldCharType="begin"/>
            </w:r>
            <w:r>
              <w:rPr>
                <w:sz w:val="14"/>
                <w:szCs w:val="14"/>
                <w:lang w:val="en-GB"/>
              </w:rPr>
              <w:instrText xml:space="preserve"> ADDIN ZOTERO_ITEM CSL_CITATION {"citationID":"VFnfbeG4","properties":{"formattedCitation":"(43)","plainCitation":"(43)","noteIndex":0},"citationItems":[{"id":1443,"uris":["http://zotero.org/users/11836539/items/35K89P9T"],"itemData":{"id":1443,"type":"article-journal","abstract":"Background: Inappropriate use of antibiotics is a major cause of antimicrobial resistance (AMR). Inadequate knowledge about AMR among healthcare students could affect their practice of antimicrobial stewardship as future healthcare professionals. This study aims to assess the use of antibiotics and knowledge of AMR among future healthcare professionals of a Nigerian University. Methods: Respondents’ knowledge of antimicrobial resistance, use of antibiotics, and source of antibiotics in the past 12 months was explored using a self-administered questionnaire. Multivariate analyses were used to evaluate the relationship between specific variables and respondents’ knowledge. Results: Of the 939 questionnaires administered to the students, 866 were filled given a response rate of 92.2 %. A total of (765; 88.3 %) of the respondents were aware that antimicrobial resistance makes it harder to eliminate the infection from the body as existing drugs become less effective. In all 824, (95.2 %) of the respondents had use antibiotics in the past 12 months. The use of antibiotics to treat malaria was self-reported by (175; 21.2 %). About half (432; 52.4 %) purchased the antibiotics from community pharmacies, while others obtained their antibiotics from the hospitals (192; 23.3 %), patent medicine stores (150; 18.2 %), and friends and family (50; 6.1 %) in the last 12 months. In all 506, (58.4 %) had good knowledge of antimicrobial resistance. Logistic regression shows that students in 3rd to 6th year 9.29 [AOR = 9.29, 95 % CI: (3.7–22.96)], had greater knowledge of antimicrobial resistance. Conclusions: The healthcare students demonstrated a moderate knowledge of AMR. This underscores the need to adopt several educational tactics to introduce the concepts of AMR to the students and ensure there are strict policies to regulate the flow of antibiotics. © 2021, The Author(s).","archive":"Scopus","container-title":"BMC Medical Education","DOI":"10.1186/s12909-021-02912-4","ISSN":"1472-6920","issue":"1","language":"English","source":"Scopus","title":"Antimicrobial stewardship: Assessment of knowledge, awareness of antimicrobial resistance and appropriate antibiotic use among healthcare students in a Nigerian University","title-short":"Antimicrobial stewardship","volume":"21","author":[{"family":"Akande-Sholabi","given":"W."},{"family":"Ajamu","given":"A.T."}],"issued":{"date-parts":[["2021"]]}}}],"schema":"https://github.com/citation-style-language/schema/raw/master/csl-citation.json"} </w:instrText>
            </w:r>
            <w:r>
              <w:rPr>
                <w:sz w:val="14"/>
                <w:szCs w:val="14"/>
                <w:lang w:val="en-GB"/>
              </w:rPr>
              <w:fldChar w:fldCharType="separate"/>
            </w:r>
            <w:r>
              <w:rPr>
                <w:sz w:val="14"/>
                <w:szCs w:val="14"/>
              </w:rPr>
              <w:t>(43)</w:t>
            </w:r>
            <w:r>
              <w:rPr>
                <w:sz w:val="14"/>
                <w:szCs w:val="14"/>
                <w:lang w:val="en-GB"/>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41AEB7FC" w14:textId="77777777" w:rsidR="00316D6C" w:rsidRDefault="00316D6C" w:rsidP="008E425B">
            <w:pPr>
              <w:widowControl w:val="0"/>
            </w:pPr>
            <w:r>
              <w:rPr>
                <w:sz w:val="14"/>
                <w:szCs w:val="14"/>
                <w:lang w:val="en-GB"/>
              </w:rPr>
              <w:t>August-November, 2019</w:t>
            </w:r>
          </w:p>
        </w:tc>
        <w:tc>
          <w:tcPr>
            <w:tcW w:w="810" w:type="dxa"/>
            <w:vMerge w:val="restart"/>
            <w:tcBorders>
              <w:top w:val="single" w:sz="4" w:space="0" w:color="000000"/>
              <w:left w:val="single" w:sz="4" w:space="0" w:color="000000"/>
              <w:bottom w:val="single" w:sz="4" w:space="0" w:color="000000"/>
              <w:right w:val="single" w:sz="4" w:space="0" w:color="000000"/>
            </w:tcBorders>
          </w:tcPr>
          <w:p w14:paraId="66D50880" w14:textId="77777777" w:rsidR="00316D6C" w:rsidRDefault="00316D6C" w:rsidP="008E425B">
            <w:pPr>
              <w:widowControl w:val="0"/>
            </w:pPr>
            <w:r>
              <w:rPr>
                <w:sz w:val="14"/>
                <w:szCs w:val="14"/>
                <w:lang w:val="en-GB"/>
              </w:rPr>
              <w:t>Nigeria</w:t>
            </w:r>
          </w:p>
        </w:tc>
        <w:tc>
          <w:tcPr>
            <w:tcW w:w="1440" w:type="dxa"/>
            <w:vMerge w:val="restart"/>
            <w:tcBorders>
              <w:top w:val="single" w:sz="4" w:space="0" w:color="000000"/>
              <w:left w:val="single" w:sz="4" w:space="0" w:color="000000"/>
              <w:bottom w:val="single" w:sz="4" w:space="0" w:color="000000"/>
              <w:right w:val="single" w:sz="4" w:space="0" w:color="000000"/>
            </w:tcBorders>
          </w:tcPr>
          <w:p w14:paraId="15B3FB0F" w14:textId="77777777" w:rsidR="00316D6C" w:rsidRDefault="00316D6C" w:rsidP="008E425B">
            <w:pPr>
              <w:widowControl w:val="0"/>
            </w:pPr>
            <w:r>
              <w:rPr>
                <w:sz w:val="14"/>
                <w:szCs w:val="14"/>
                <w:lang w:val="en-GB"/>
              </w:rPr>
              <w:t>University students</w:t>
            </w:r>
          </w:p>
        </w:tc>
        <w:tc>
          <w:tcPr>
            <w:tcW w:w="990" w:type="dxa"/>
            <w:vMerge w:val="restart"/>
            <w:tcBorders>
              <w:top w:val="single" w:sz="4" w:space="0" w:color="000000"/>
              <w:left w:val="single" w:sz="4" w:space="0" w:color="000000"/>
              <w:bottom w:val="single" w:sz="4" w:space="0" w:color="000000"/>
              <w:right w:val="single" w:sz="4" w:space="0" w:color="000000"/>
            </w:tcBorders>
          </w:tcPr>
          <w:p w14:paraId="34B318C9" w14:textId="77777777" w:rsidR="00316D6C" w:rsidRDefault="00316D6C" w:rsidP="008E425B">
            <w:pPr>
              <w:widowControl w:val="0"/>
            </w:pPr>
            <w:r>
              <w:rPr>
                <w:sz w:val="14"/>
                <w:szCs w:val="14"/>
                <w:lang w:val="en-GB"/>
              </w:rPr>
              <w:t>866</w:t>
            </w:r>
          </w:p>
        </w:tc>
        <w:tc>
          <w:tcPr>
            <w:tcW w:w="2611" w:type="dxa"/>
            <w:tcBorders>
              <w:top w:val="single" w:sz="4" w:space="0" w:color="000000"/>
              <w:left w:val="single" w:sz="4" w:space="0" w:color="000000"/>
              <w:bottom w:val="single" w:sz="4" w:space="0" w:color="000000"/>
              <w:right w:val="single" w:sz="4" w:space="0" w:color="000000"/>
            </w:tcBorders>
          </w:tcPr>
          <w:p w14:paraId="55CAA28C" w14:textId="77777777" w:rsidR="00316D6C" w:rsidRDefault="00316D6C" w:rsidP="008E425B">
            <w:pPr>
              <w:widowControl w:val="0"/>
            </w:pPr>
            <w:r>
              <w:rPr>
                <w:sz w:val="14"/>
                <w:szCs w:val="14"/>
                <w:lang w:val="en-GB"/>
              </w:rPr>
              <w:t>Knowledge of antimicrobial resistance</w:t>
            </w:r>
          </w:p>
        </w:tc>
        <w:tc>
          <w:tcPr>
            <w:tcW w:w="6478" w:type="dxa"/>
            <w:tcBorders>
              <w:top w:val="single" w:sz="4" w:space="0" w:color="000000"/>
              <w:left w:val="single" w:sz="4" w:space="0" w:color="000000"/>
              <w:bottom w:val="single" w:sz="4" w:space="0" w:color="000000"/>
              <w:right w:val="single" w:sz="4" w:space="0" w:color="000000"/>
            </w:tcBorders>
          </w:tcPr>
          <w:p w14:paraId="59CAB24B" w14:textId="77777777" w:rsidR="00316D6C" w:rsidRDefault="00316D6C" w:rsidP="008E425B">
            <w:pPr>
              <w:widowControl w:val="0"/>
            </w:pPr>
            <w:r>
              <w:rPr>
                <w:sz w:val="14"/>
                <w:szCs w:val="14"/>
                <w:lang w:val="en-GB"/>
              </w:rPr>
              <w:t>There was good knowledge of antimicrobial resistance (58.6%) with 88.3% of the students being aware of antimicrobial resistance and its implications.</w:t>
            </w:r>
          </w:p>
        </w:tc>
      </w:tr>
      <w:tr w:rsidR="00316D6C" w14:paraId="00981845" w14:textId="77777777" w:rsidTr="008E425B">
        <w:trPr>
          <w:trHeight w:val="195"/>
        </w:trPr>
        <w:tc>
          <w:tcPr>
            <w:tcW w:w="1079" w:type="dxa"/>
            <w:vMerge/>
            <w:tcBorders>
              <w:top w:val="single" w:sz="4" w:space="0" w:color="000000"/>
              <w:left w:val="single" w:sz="4" w:space="0" w:color="000000"/>
              <w:bottom w:val="single" w:sz="4" w:space="0" w:color="000000"/>
              <w:right w:val="single" w:sz="4" w:space="0" w:color="000000"/>
            </w:tcBorders>
          </w:tcPr>
          <w:p w14:paraId="7CB2B92A"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6F7686D4"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311F558C"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1A21B04E"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19756F03"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4930954A" w14:textId="77777777" w:rsidR="00316D6C" w:rsidRDefault="00316D6C" w:rsidP="008E425B">
            <w:pPr>
              <w:widowControl w:val="0"/>
            </w:pPr>
            <w:r>
              <w:rPr>
                <w:sz w:val="14"/>
                <w:szCs w:val="14"/>
                <w:lang w:val="en-GB"/>
              </w:rPr>
              <w:t>Antibiotic use</w:t>
            </w:r>
          </w:p>
        </w:tc>
        <w:tc>
          <w:tcPr>
            <w:tcW w:w="6478" w:type="dxa"/>
            <w:tcBorders>
              <w:top w:val="single" w:sz="4" w:space="0" w:color="000000"/>
              <w:left w:val="single" w:sz="4" w:space="0" w:color="000000"/>
              <w:bottom w:val="single" w:sz="4" w:space="0" w:color="000000"/>
              <w:right w:val="single" w:sz="4" w:space="0" w:color="000000"/>
            </w:tcBorders>
          </w:tcPr>
          <w:p w14:paraId="67DC117F" w14:textId="77777777" w:rsidR="00316D6C" w:rsidRDefault="00316D6C" w:rsidP="008E425B">
            <w:pPr>
              <w:widowControl w:val="0"/>
            </w:pPr>
            <w:r>
              <w:rPr>
                <w:sz w:val="14"/>
                <w:szCs w:val="14"/>
                <w:lang w:val="en-GB"/>
              </w:rPr>
              <w:t>95.2% of the respondents had used antibiotics in the past 12 months</w:t>
            </w:r>
          </w:p>
        </w:tc>
      </w:tr>
      <w:tr w:rsidR="00316D6C" w14:paraId="27566B45" w14:textId="77777777" w:rsidTr="008E425B">
        <w:trPr>
          <w:trHeight w:val="195"/>
        </w:trPr>
        <w:tc>
          <w:tcPr>
            <w:tcW w:w="1079" w:type="dxa"/>
            <w:vMerge/>
            <w:tcBorders>
              <w:top w:val="single" w:sz="4" w:space="0" w:color="000000"/>
              <w:left w:val="single" w:sz="4" w:space="0" w:color="000000"/>
              <w:bottom w:val="single" w:sz="4" w:space="0" w:color="000000"/>
              <w:right w:val="single" w:sz="4" w:space="0" w:color="000000"/>
            </w:tcBorders>
          </w:tcPr>
          <w:p w14:paraId="65E7CE74"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08E82B9C"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4DDDBB17"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4E5F3CC4"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36AB1C1F"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5D62A0D6" w14:textId="77777777" w:rsidR="00316D6C" w:rsidRDefault="00316D6C" w:rsidP="008E425B">
            <w:pPr>
              <w:widowControl w:val="0"/>
            </w:pPr>
            <w:r>
              <w:rPr>
                <w:sz w:val="14"/>
                <w:szCs w:val="14"/>
                <w:lang w:val="en-GB"/>
              </w:rPr>
              <w:t>Sources of antibiotics</w:t>
            </w:r>
          </w:p>
        </w:tc>
        <w:tc>
          <w:tcPr>
            <w:tcW w:w="6478" w:type="dxa"/>
            <w:tcBorders>
              <w:top w:val="single" w:sz="4" w:space="0" w:color="000000"/>
              <w:left w:val="single" w:sz="4" w:space="0" w:color="000000"/>
              <w:bottom w:val="single" w:sz="4" w:space="0" w:color="000000"/>
              <w:right w:val="single" w:sz="4" w:space="0" w:color="000000"/>
            </w:tcBorders>
          </w:tcPr>
          <w:p w14:paraId="2BC107D6" w14:textId="77777777" w:rsidR="00316D6C" w:rsidRDefault="00316D6C" w:rsidP="008E425B">
            <w:pPr>
              <w:widowControl w:val="0"/>
            </w:pPr>
            <w:r>
              <w:rPr>
                <w:sz w:val="14"/>
                <w:szCs w:val="14"/>
                <w:lang w:val="en-GB"/>
              </w:rPr>
              <w:t>Community pharmacies (52.4%), hospitals (23.3%), patent medicine vendors (18.2%), and family and friends (6.1%)</w:t>
            </w:r>
          </w:p>
        </w:tc>
      </w:tr>
      <w:tr w:rsidR="00316D6C" w14:paraId="057A902A" w14:textId="77777777" w:rsidTr="008E425B">
        <w:trPr>
          <w:trHeight w:val="117"/>
        </w:trPr>
        <w:tc>
          <w:tcPr>
            <w:tcW w:w="1079" w:type="dxa"/>
            <w:vMerge w:val="restart"/>
            <w:tcBorders>
              <w:top w:val="single" w:sz="4" w:space="0" w:color="000000"/>
              <w:left w:val="single" w:sz="4" w:space="0" w:color="000000"/>
              <w:bottom w:val="single" w:sz="4" w:space="0" w:color="000000"/>
              <w:right w:val="single" w:sz="4" w:space="0" w:color="000000"/>
            </w:tcBorders>
          </w:tcPr>
          <w:p w14:paraId="395DF754" w14:textId="77777777" w:rsidR="00316D6C" w:rsidRDefault="00316D6C" w:rsidP="008E425B">
            <w:pPr>
              <w:widowControl w:val="0"/>
            </w:pPr>
            <w:r>
              <w:rPr>
                <w:sz w:val="14"/>
                <w:szCs w:val="14"/>
              </w:rPr>
              <w:t>Akande-</w:t>
            </w:r>
            <w:proofErr w:type="spellStart"/>
            <w:r>
              <w:rPr>
                <w:sz w:val="14"/>
                <w:szCs w:val="14"/>
              </w:rPr>
              <w:t>Sholabi</w:t>
            </w:r>
            <w:proofErr w:type="spellEnd"/>
            <w:r>
              <w:rPr>
                <w:sz w:val="14"/>
                <w:szCs w:val="14"/>
              </w:rPr>
              <w:t xml:space="preserve"> &amp; </w:t>
            </w:r>
            <w:proofErr w:type="spellStart"/>
            <w:r>
              <w:rPr>
                <w:sz w:val="14"/>
                <w:szCs w:val="14"/>
              </w:rPr>
              <w:t>Oyesiji</w:t>
            </w:r>
            <w:proofErr w:type="spellEnd"/>
            <w:r>
              <w:rPr>
                <w:sz w:val="14"/>
                <w:szCs w:val="14"/>
              </w:rPr>
              <w:t xml:space="preserve"> et al. </w:t>
            </w:r>
            <w:r>
              <w:rPr>
                <w:lang w:val="en-ID"/>
              </w:rPr>
              <w:fldChar w:fldCharType="begin"/>
            </w:r>
            <w:r>
              <w:rPr>
                <w:sz w:val="14"/>
                <w:szCs w:val="14"/>
              </w:rPr>
              <w:instrText xml:space="preserve"> ADDIN ZOTERO_ITEM CSL_CITATION {"citationID":"AMbV0qY8","properties":{"formattedCitation":"(81)","plainCitation":"(81)","noteIndex":0},"citationItems":[{"id":1286,"uris":["http://zotero.org/users/11836539/items/FLIAHH5U"],"itemData":{"id":1286,"type":"article-journal","abstract":"In middle-income countries like Nigeria, the misuse of antibiotics by consumers is posing serious threats to public health. This is contributing to the alarming increase in antimicrobial resistance, which is reducing the effectiveness of antibiotics against common infections. This study therefore aimed to assess the knowledge, perceptions, and factors associated with antibiotics misuse among consumers visiting selected community pharmacies.","container-title":"Journal of Pharmaceutical Policy and Practice","DOI":"10.1186/s40545-023-00629-x","ISSN":"2052-3211","issue":"1","journalAbbreviation":"J of Pharm Policy and Pract","language":"en","page":"120","source":"Springer Link","title":"Antimicrobial stewardship: knowledge, perceptions, and factors associated with antibiotics misuse among consumer’s visiting the community pharmacies in a Nigeria Southwestern State","title-short":"Antimicrobial stewardship","volume":"16","author":[{"family":"Akande-Sholabi","given":"Wuraola"},{"family":"Oyesiji","given":"Eunice"}],"issued":{"date-parts":[["2023",10,11]]}}}],"schema":"https://github.com/citation-style-language/schema/raw/master/csl-citation.json"} </w:instrText>
            </w:r>
            <w:r>
              <w:rPr>
                <w:sz w:val="14"/>
                <w:szCs w:val="14"/>
              </w:rPr>
              <w:fldChar w:fldCharType="separate"/>
            </w:r>
            <w:r>
              <w:rPr>
                <w:sz w:val="14"/>
                <w:szCs w:val="14"/>
              </w:rPr>
              <w:t>(81)</w:t>
            </w:r>
            <w:r>
              <w:rPr>
                <w:sz w:val="14"/>
                <w:szCs w:val="14"/>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64E6335F" w14:textId="77777777" w:rsidR="00316D6C" w:rsidRDefault="00316D6C" w:rsidP="008E425B">
            <w:pPr>
              <w:widowControl w:val="0"/>
            </w:pPr>
            <w:r>
              <w:rPr>
                <w:sz w:val="14"/>
                <w:szCs w:val="14"/>
              </w:rPr>
              <w:t>-</w:t>
            </w:r>
          </w:p>
        </w:tc>
        <w:tc>
          <w:tcPr>
            <w:tcW w:w="810" w:type="dxa"/>
            <w:vMerge w:val="restart"/>
            <w:tcBorders>
              <w:top w:val="single" w:sz="4" w:space="0" w:color="000000"/>
              <w:left w:val="single" w:sz="4" w:space="0" w:color="000000"/>
              <w:bottom w:val="single" w:sz="4" w:space="0" w:color="000000"/>
              <w:right w:val="single" w:sz="4" w:space="0" w:color="000000"/>
            </w:tcBorders>
          </w:tcPr>
          <w:p w14:paraId="6E4DA5E4" w14:textId="77777777" w:rsidR="00316D6C" w:rsidRDefault="00316D6C" w:rsidP="008E425B">
            <w:pPr>
              <w:widowControl w:val="0"/>
            </w:pPr>
            <w:r>
              <w:rPr>
                <w:sz w:val="14"/>
                <w:szCs w:val="14"/>
                <w:lang w:val="en-GB"/>
              </w:rPr>
              <w:t>Nigeria</w:t>
            </w:r>
          </w:p>
        </w:tc>
        <w:tc>
          <w:tcPr>
            <w:tcW w:w="1440" w:type="dxa"/>
            <w:vMerge w:val="restart"/>
            <w:tcBorders>
              <w:top w:val="single" w:sz="4" w:space="0" w:color="000000"/>
              <w:left w:val="single" w:sz="4" w:space="0" w:color="000000"/>
              <w:bottom w:val="single" w:sz="4" w:space="0" w:color="000000"/>
              <w:right w:val="single" w:sz="4" w:space="0" w:color="000000"/>
            </w:tcBorders>
          </w:tcPr>
          <w:p w14:paraId="33E208A0" w14:textId="77777777" w:rsidR="00316D6C" w:rsidRDefault="00316D6C" w:rsidP="008E425B">
            <w:pPr>
              <w:widowControl w:val="0"/>
            </w:pPr>
            <w:r>
              <w:rPr>
                <w:sz w:val="14"/>
                <w:szCs w:val="14"/>
                <w:lang w:val="en-GB"/>
              </w:rPr>
              <w:t>Community members</w:t>
            </w:r>
          </w:p>
        </w:tc>
        <w:tc>
          <w:tcPr>
            <w:tcW w:w="990" w:type="dxa"/>
            <w:vMerge w:val="restart"/>
            <w:tcBorders>
              <w:top w:val="single" w:sz="4" w:space="0" w:color="000000"/>
              <w:left w:val="single" w:sz="4" w:space="0" w:color="000000"/>
              <w:bottom w:val="single" w:sz="4" w:space="0" w:color="000000"/>
              <w:right w:val="single" w:sz="4" w:space="0" w:color="000000"/>
            </w:tcBorders>
          </w:tcPr>
          <w:p w14:paraId="0171B214" w14:textId="77777777" w:rsidR="00316D6C" w:rsidRDefault="00316D6C" w:rsidP="008E425B">
            <w:pPr>
              <w:widowControl w:val="0"/>
            </w:pPr>
            <w:r>
              <w:rPr>
                <w:sz w:val="14"/>
                <w:szCs w:val="14"/>
                <w:lang w:val="en-GB"/>
              </w:rPr>
              <w:t>509</w:t>
            </w:r>
          </w:p>
        </w:tc>
        <w:tc>
          <w:tcPr>
            <w:tcW w:w="2611" w:type="dxa"/>
            <w:tcBorders>
              <w:top w:val="single" w:sz="4" w:space="0" w:color="000000"/>
              <w:left w:val="single" w:sz="4" w:space="0" w:color="000000"/>
              <w:bottom w:val="single" w:sz="4" w:space="0" w:color="000000"/>
              <w:right w:val="single" w:sz="4" w:space="0" w:color="000000"/>
            </w:tcBorders>
          </w:tcPr>
          <w:p w14:paraId="01C9557A" w14:textId="77777777" w:rsidR="00316D6C" w:rsidRDefault="00316D6C" w:rsidP="008E425B">
            <w:pPr>
              <w:widowControl w:val="0"/>
            </w:pPr>
            <w:r>
              <w:rPr>
                <w:sz w:val="14"/>
                <w:szCs w:val="14"/>
                <w:lang w:val="en-GB"/>
              </w:rPr>
              <w:t>Knowledge of antibiotics</w:t>
            </w:r>
          </w:p>
        </w:tc>
        <w:tc>
          <w:tcPr>
            <w:tcW w:w="6478" w:type="dxa"/>
            <w:tcBorders>
              <w:top w:val="single" w:sz="4" w:space="0" w:color="000000"/>
              <w:left w:val="single" w:sz="4" w:space="0" w:color="000000"/>
              <w:bottom w:val="single" w:sz="4" w:space="0" w:color="000000"/>
              <w:right w:val="single" w:sz="4" w:space="0" w:color="000000"/>
            </w:tcBorders>
          </w:tcPr>
          <w:p w14:paraId="23E0E33E" w14:textId="77777777" w:rsidR="00316D6C" w:rsidRDefault="00316D6C" w:rsidP="008E425B">
            <w:pPr>
              <w:widowControl w:val="0"/>
            </w:pPr>
            <w:r>
              <w:rPr>
                <w:sz w:val="14"/>
                <w:szCs w:val="14"/>
                <w:lang w:val="en-GB"/>
              </w:rPr>
              <w:t>95.9% of respondents agreed to the ability of antibiotics to eliminate bacterial infections, 60.7% claimed that antibiotics could cure all types of infections, 67.2% understood what antibiotic resistance was and 57.4% were not aware of antibiotic resistance.</w:t>
            </w:r>
          </w:p>
        </w:tc>
      </w:tr>
      <w:tr w:rsidR="00316D6C" w14:paraId="698703B7" w14:textId="77777777" w:rsidTr="008E425B">
        <w:trPr>
          <w:trHeight w:val="117"/>
        </w:trPr>
        <w:tc>
          <w:tcPr>
            <w:tcW w:w="1079" w:type="dxa"/>
            <w:vMerge/>
            <w:tcBorders>
              <w:top w:val="single" w:sz="4" w:space="0" w:color="000000"/>
              <w:left w:val="single" w:sz="4" w:space="0" w:color="000000"/>
              <w:bottom w:val="single" w:sz="4" w:space="0" w:color="000000"/>
              <w:right w:val="single" w:sz="4" w:space="0" w:color="000000"/>
            </w:tcBorders>
          </w:tcPr>
          <w:p w14:paraId="49F93CCA"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799DE2F0"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391819B5"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6C9F0CCB"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2CBAB1FF"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114B4CFF" w14:textId="77777777" w:rsidR="00316D6C" w:rsidRDefault="00316D6C" w:rsidP="008E425B">
            <w:pPr>
              <w:widowControl w:val="0"/>
            </w:pPr>
            <w:r>
              <w:rPr>
                <w:sz w:val="14"/>
                <w:szCs w:val="14"/>
                <w:lang w:val="en-GB"/>
              </w:rPr>
              <w:t>Perception on antibiotics</w:t>
            </w:r>
          </w:p>
        </w:tc>
        <w:tc>
          <w:tcPr>
            <w:tcW w:w="6478" w:type="dxa"/>
            <w:tcBorders>
              <w:top w:val="single" w:sz="4" w:space="0" w:color="000000"/>
              <w:left w:val="single" w:sz="4" w:space="0" w:color="000000"/>
              <w:bottom w:val="single" w:sz="4" w:space="0" w:color="000000"/>
              <w:right w:val="single" w:sz="4" w:space="0" w:color="000000"/>
            </w:tcBorders>
          </w:tcPr>
          <w:p w14:paraId="10D57F72" w14:textId="77777777" w:rsidR="00316D6C" w:rsidRDefault="00316D6C" w:rsidP="008E425B">
            <w:pPr>
              <w:widowControl w:val="0"/>
            </w:pPr>
            <w:r>
              <w:rPr>
                <w:sz w:val="14"/>
                <w:szCs w:val="14"/>
                <w:lang w:val="en-GB"/>
              </w:rPr>
              <w:t>74.5% held a positive perception, 85.1% concurred that it was not appropriate to purchase antibiotics without a doctor’s prescription, and 49.3% believed that antibiotic resistance could not spread to other individuals or cause death.</w:t>
            </w:r>
          </w:p>
        </w:tc>
      </w:tr>
      <w:tr w:rsidR="00316D6C" w14:paraId="4CFD356E" w14:textId="77777777" w:rsidTr="008E425B">
        <w:trPr>
          <w:trHeight w:val="117"/>
        </w:trPr>
        <w:tc>
          <w:tcPr>
            <w:tcW w:w="1079" w:type="dxa"/>
            <w:vMerge/>
            <w:tcBorders>
              <w:top w:val="single" w:sz="4" w:space="0" w:color="000000"/>
              <w:left w:val="single" w:sz="4" w:space="0" w:color="000000"/>
              <w:bottom w:val="single" w:sz="4" w:space="0" w:color="000000"/>
              <w:right w:val="single" w:sz="4" w:space="0" w:color="000000"/>
            </w:tcBorders>
          </w:tcPr>
          <w:p w14:paraId="7BA6725F"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3B7EA01F"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03D1979D"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1AB2070D"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3AC54D39"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3E3052D5" w14:textId="77777777" w:rsidR="00316D6C" w:rsidRDefault="00316D6C" w:rsidP="008E425B">
            <w:pPr>
              <w:widowControl w:val="0"/>
            </w:pPr>
            <w:r>
              <w:rPr>
                <w:sz w:val="14"/>
                <w:szCs w:val="14"/>
                <w:lang w:val="en-GB"/>
              </w:rPr>
              <w:t>Antibiotic use and misuse</w:t>
            </w:r>
          </w:p>
        </w:tc>
        <w:tc>
          <w:tcPr>
            <w:tcW w:w="6478" w:type="dxa"/>
            <w:tcBorders>
              <w:top w:val="single" w:sz="4" w:space="0" w:color="000000"/>
              <w:left w:val="single" w:sz="4" w:space="0" w:color="000000"/>
              <w:bottom w:val="single" w:sz="4" w:space="0" w:color="000000"/>
              <w:right w:val="single" w:sz="4" w:space="0" w:color="000000"/>
            </w:tcBorders>
          </w:tcPr>
          <w:p w14:paraId="5EE68806" w14:textId="77777777" w:rsidR="00316D6C" w:rsidRDefault="00316D6C" w:rsidP="008E425B">
            <w:pPr>
              <w:widowControl w:val="0"/>
            </w:pPr>
            <w:r>
              <w:rPr>
                <w:sz w:val="14"/>
                <w:szCs w:val="14"/>
                <w:lang w:val="en-GB"/>
              </w:rPr>
              <w:t>72.5% had used antibiotics in the last 12 months, with amoxicillin (42.4%) being the most frequently used. 38.9% reported to use antibiotics in treating malaria.</w:t>
            </w:r>
          </w:p>
        </w:tc>
      </w:tr>
      <w:tr w:rsidR="00316D6C" w14:paraId="6EFD3F45" w14:textId="77777777" w:rsidTr="008E425B">
        <w:trPr>
          <w:trHeight w:val="630"/>
        </w:trPr>
        <w:tc>
          <w:tcPr>
            <w:tcW w:w="1079" w:type="dxa"/>
            <w:vMerge/>
            <w:tcBorders>
              <w:top w:val="single" w:sz="4" w:space="0" w:color="000000"/>
              <w:left w:val="single" w:sz="4" w:space="0" w:color="000000"/>
              <w:bottom w:val="single" w:sz="4" w:space="0" w:color="000000"/>
              <w:right w:val="single" w:sz="4" w:space="0" w:color="000000"/>
            </w:tcBorders>
          </w:tcPr>
          <w:p w14:paraId="28F7A257"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3F1BB43B"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24DDFFFF"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73B294D4"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250475E3"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372B5C75" w14:textId="77777777" w:rsidR="00316D6C" w:rsidRDefault="00316D6C" w:rsidP="008E425B">
            <w:pPr>
              <w:widowControl w:val="0"/>
            </w:pPr>
            <w:r>
              <w:rPr>
                <w:sz w:val="14"/>
                <w:szCs w:val="14"/>
                <w:lang w:val="en-GB"/>
              </w:rPr>
              <w:t>Factors associated with antibiotic misuse</w:t>
            </w:r>
          </w:p>
        </w:tc>
        <w:tc>
          <w:tcPr>
            <w:tcW w:w="6478" w:type="dxa"/>
            <w:tcBorders>
              <w:top w:val="single" w:sz="4" w:space="0" w:color="000000"/>
              <w:left w:val="single" w:sz="4" w:space="0" w:color="000000"/>
              <w:bottom w:val="single" w:sz="4" w:space="0" w:color="000000"/>
              <w:right w:val="single" w:sz="4" w:space="0" w:color="000000"/>
            </w:tcBorders>
          </w:tcPr>
          <w:p w14:paraId="1586C9ED" w14:textId="77777777" w:rsidR="00316D6C" w:rsidRDefault="00316D6C" w:rsidP="008E425B">
            <w:pPr>
              <w:widowControl w:val="0"/>
            </w:pPr>
            <w:r>
              <w:rPr>
                <w:sz w:val="14"/>
                <w:szCs w:val="14"/>
                <w:lang w:val="en-GB"/>
              </w:rPr>
              <w:t>The major ones were the belief that antibiotics could relieve symptoms faster (75.8%), relying on past prescriptions from health professionals (77.4%), and perceived comfort in using antibiotics prescribed by pharmacists (73.7%).</w:t>
            </w:r>
          </w:p>
        </w:tc>
      </w:tr>
      <w:tr w:rsidR="00316D6C" w14:paraId="1A42E428" w14:textId="77777777" w:rsidTr="008E425B">
        <w:trPr>
          <w:trHeight w:val="195"/>
        </w:trPr>
        <w:tc>
          <w:tcPr>
            <w:tcW w:w="1079" w:type="dxa"/>
            <w:vMerge w:val="restart"/>
            <w:tcBorders>
              <w:top w:val="single" w:sz="4" w:space="0" w:color="000000"/>
              <w:left w:val="single" w:sz="4" w:space="0" w:color="000000"/>
              <w:bottom w:val="single" w:sz="4" w:space="0" w:color="000000"/>
              <w:right w:val="single" w:sz="4" w:space="0" w:color="000000"/>
            </w:tcBorders>
          </w:tcPr>
          <w:p w14:paraId="0471206C" w14:textId="77777777" w:rsidR="00316D6C" w:rsidRDefault="00316D6C" w:rsidP="008E425B">
            <w:pPr>
              <w:widowControl w:val="0"/>
            </w:pPr>
            <w:r>
              <w:rPr>
                <w:sz w:val="14"/>
                <w:szCs w:val="14"/>
              </w:rPr>
              <w:t xml:space="preserve">Asante  et al. </w:t>
            </w:r>
            <w:r>
              <w:rPr>
                <w:lang w:val="en-ID"/>
              </w:rPr>
              <w:fldChar w:fldCharType="begin"/>
            </w:r>
            <w:r>
              <w:rPr>
                <w:sz w:val="14"/>
                <w:szCs w:val="14"/>
              </w:rPr>
              <w:instrText xml:space="preserve"> ADDIN ZOTERO_ITEM CSL_CITATION {"citationID":"X7TG2FUz","properties":{"formattedCitation":"(99)","plainCitation":"(99)","noteIndex":0},"citationItems":[{"id":"OqG2TLxw/4nPG19TR","uris":["http://zotero.org/users/local/QGE0TkJv/items/T2PPXNJ5"],"itemData":{"id":2824,"type":"article-journal","abstract":"Background: Antibiotic resistance (ABR) has become a major public health challenge in most parts of the world including Ghana and is a major threat to gain in bacterial disease control. The role of prescribers in the control of antibiotics is identified as crucial in developing interventions to control ABR. To guide policy recommendations on ABR, a study was carried out among prescribers to identify gaps in their knowledge of ABR and to document their prescription practices. Method: A cross-sectional survey was conducted among prescribers from both public and private facilities in the Brong Ahafo Region of Ghana using both quantitative and qualitative methods in 2014. Results: Three hundred and seventy nine prescribers participated in the quantitative study and a subset of 33 participated in in-depth interviews. Majority (50.0%) of the prescribers interviewed were nurses. Most (51.0%) of the prescribers were located in hospitals. Knowledge of ABR was high among all the prescribers. About 80.0% percent of all prescribers agreed that the antibiotics that are currently used could lose its efficacy in future. There is no singular formal source of information on antibiotic resistance. The prescribers held a strong perception that antibiotic resistance is imminent though their knowledge on various resistant bacterial strains was limited. Prescribers attributed ABR burden to factors such as poor prescription practices and limited ABR control measures. The prescription practices of the prescribers vary but were mostly inappropriate among the lower cadre. Conclusion: The knowledge of ABR is high among prescribers. There is however a gap in the knowledge and perception of optimal antibiotic prescription practices among prescribers. There is the need for a formal source of information on ABR to support prescriber's antibiotic prescription practices. © 2017 The Author(s).","archive":"Scopus","container-title":"BMC Health Services Research","DOI":"10.1186/s12913-017-2365-2","ISSN":"1472-6963","issue":"1","language":"English","source":"Scopus","title":"Knowledge of antibiotic resistance and antibiotic prescription practices among prescribers in the Brong Ahafo Region of Ghana; A cross-sectional study","volume":"17","author":[{"family":"Asante","given":"K.P."},{"family":"Boamah","given":"E.A."},{"family":"Abdulai","given":"M.A."},{"family":"Buabeng","given":"K.O."},{"family":"Mahama","given":"E."},{"family":"Dzabeng","given":"F."},{"family":"Gavor","given":"E."},{"family":"Annan","given":"E.A."},{"family":"Owusu-Agyei","given":"S."},{"family":"Gyansa-Lutterodt","given":"M."}],"issued":{"date-parts":[["2017"]]}}}],"schema":"https://github.com/citation-style-language/schema/raw/master/csl-citation.json"} </w:instrText>
            </w:r>
            <w:r>
              <w:rPr>
                <w:sz w:val="14"/>
                <w:szCs w:val="14"/>
              </w:rPr>
              <w:fldChar w:fldCharType="separate"/>
            </w:r>
            <w:r>
              <w:rPr>
                <w:sz w:val="14"/>
                <w:szCs w:val="14"/>
              </w:rPr>
              <w:t>(99)</w:t>
            </w:r>
            <w:r>
              <w:rPr>
                <w:sz w:val="14"/>
                <w:szCs w:val="14"/>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02F58782" w14:textId="77777777" w:rsidR="00316D6C" w:rsidRDefault="00316D6C" w:rsidP="008E425B">
            <w:pPr>
              <w:widowControl w:val="0"/>
            </w:pPr>
            <w:r>
              <w:rPr>
                <w:sz w:val="14"/>
                <w:szCs w:val="14"/>
                <w:lang w:val="en-GB"/>
              </w:rPr>
              <w:t>January-March, 2014</w:t>
            </w:r>
          </w:p>
        </w:tc>
        <w:tc>
          <w:tcPr>
            <w:tcW w:w="810" w:type="dxa"/>
            <w:vMerge w:val="restart"/>
            <w:tcBorders>
              <w:top w:val="single" w:sz="4" w:space="0" w:color="000000"/>
              <w:left w:val="single" w:sz="4" w:space="0" w:color="000000"/>
              <w:bottom w:val="single" w:sz="4" w:space="0" w:color="000000"/>
              <w:right w:val="single" w:sz="4" w:space="0" w:color="000000"/>
            </w:tcBorders>
          </w:tcPr>
          <w:p w14:paraId="205C4984" w14:textId="77777777" w:rsidR="00316D6C" w:rsidRDefault="00316D6C" w:rsidP="008E425B">
            <w:pPr>
              <w:widowControl w:val="0"/>
            </w:pPr>
            <w:r>
              <w:rPr>
                <w:sz w:val="14"/>
                <w:szCs w:val="14"/>
                <w:lang w:val="en-GB"/>
              </w:rPr>
              <w:t>Ghana</w:t>
            </w:r>
          </w:p>
        </w:tc>
        <w:tc>
          <w:tcPr>
            <w:tcW w:w="1440" w:type="dxa"/>
            <w:vMerge w:val="restart"/>
            <w:tcBorders>
              <w:top w:val="single" w:sz="4" w:space="0" w:color="000000"/>
              <w:left w:val="single" w:sz="4" w:space="0" w:color="000000"/>
              <w:bottom w:val="single" w:sz="4" w:space="0" w:color="000000"/>
              <w:right w:val="single" w:sz="4" w:space="0" w:color="000000"/>
            </w:tcBorders>
          </w:tcPr>
          <w:p w14:paraId="0F7D04C8" w14:textId="77777777" w:rsidR="00316D6C" w:rsidRDefault="00316D6C" w:rsidP="008E425B">
            <w:pPr>
              <w:widowControl w:val="0"/>
            </w:pPr>
            <w:r>
              <w:rPr>
                <w:sz w:val="14"/>
                <w:szCs w:val="14"/>
                <w:lang w:val="en-GB"/>
              </w:rPr>
              <w:t>Prescribers</w:t>
            </w:r>
          </w:p>
        </w:tc>
        <w:tc>
          <w:tcPr>
            <w:tcW w:w="990" w:type="dxa"/>
            <w:vMerge w:val="restart"/>
            <w:tcBorders>
              <w:top w:val="single" w:sz="4" w:space="0" w:color="000000"/>
              <w:left w:val="single" w:sz="4" w:space="0" w:color="000000"/>
              <w:bottom w:val="single" w:sz="4" w:space="0" w:color="000000"/>
              <w:right w:val="single" w:sz="4" w:space="0" w:color="000000"/>
            </w:tcBorders>
          </w:tcPr>
          <w:p w14:paraId="4A2D1D22" w14:textId="77777777" w:rsidR="00316D6C" w:rsidRDefault="00316D6C" w:rsidP="008E425B">
            <w:pPr>
              <w:widowControl w:val="0"/>
            </w:pPr>
            <w:r>
              <w:rPr>
                <w:sz w:val="14"/>
                <w:szCs w:val="14"/>
                <w:lang w:val="en-GB"/>
              </w:rPr>
              <w:t>379</w:t>
            </w:r>
          </w:p>
        </w:tc>
        <w:tc>
          <w:tcPr>
            <w:tcW w:w="2611" w:type="dxa"/>
            <w:tcBorders>
              <w:top w:val="single" w:sz="4" w:space="0" w:color="000000"/>
              <w:left w:val="single" w:sz="4" w:space="0" w:color="000000"/>
              <w:bottom w:val="single" w:sz="4" w:space="0" w:color="000000"/>
              <w:right w:val="single" w:sz="4" w:space="0" w:color="000000"/>
            </w:tcBorders>
          </w:tcPr>
          <w:p w14:paraId="3FC38F32" w14:textId="77777777" w:rsidR="00316D6C" w:rsidRDefault="00316D6C" w:rsidP="008E425B">
            <w:pPr>
              <w:widowControl w:val="0"/>
            </w:pPr>
            <w:r>
              <w:rPr>
                <w:sz w:val="14"/>
                <w:szCs w:val="14"/>
                <w:lang w:val="en-GB"/>
              </w:rPr>
              <w:t>Knowledge of antibiotic resistance</w:t>
            </w:r>
          </w:p>
        </w:tc>
        <w:tc>
          <w:tcPr>
            <w:tcW w:w="6478" w:type="dxa"/>
            <w:tcBorders>
              <w:top w:val="single" w:sz="4" w:space="0" w:color="000000"/>
              <w:left w:val="single" w:sz="4" w:space="0" w:color="000000"/>
              <w:bottom w:val="single" w:sz="4" w:space="0" w:color="000000"/>
              <w:right w:val="single" w:sz="4" w:space="0" w:color="000000"/>
            </w:tcBorders>
          </w:tcPr>
          <w:p w14:paraId="4C5955F1" w14:textId="77777777" w:rsidR="00316D6C" w:rsidRDefault="00316D6C" w:rsidP="008E425B">
            <w:pPr>
              <w:widowControl w:val="0"/>
            </w:pPr>
            <w:r>
              <w:rPr>
                <w:sz w:val="14"/>
                <w:szCs w:val="14"/>
                <w:lang w:val="en-GB"/>
              </w:rPr>
              <w:t>Prescribers had high knowledge of antibiotic resistance with 81.8% of the opinion that current antibiotics could be ineffective shortly.</w:t>
            </w:r>
          </w:p>
        </w:tc>
      </w:tr>
      <w:tr w:rsidR="00316D6C" w14:paraId="20662994" w14:textId="77777777" w:rsidTr="008E425B">
        <w:trPr>
          <w:trHeight w:val="195"/>
        </w:trPr>
        <w:tc>
          <w:tcPr>
            <w:tcW w:w="1079" w:type="dxa"/>
            <w:vMerge/>
            <w:tcBorders>
              <w:top w:val="single" w:sz="4" w:space="0" w:color="000000"/>
              <w:left w:val="single" w:sz="4" w:space="0" w:color="000000"/>
              <w:bottom w:val="single" w:sz="4" w:space="0" w:color="000000"/>
              <w:right w:val="single" w:sz="4" w:space="0" w:color="000000"/>
            </w:tcBorders>
          </w:tcPr>
          <w:p w14:paraId="133791B3"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55DD3839"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22C2C564"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251B4946"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22D6C1E5"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23D94243" w14:textId="77777777" w:rsidR="00316D6C" w:rsidRDefault="00316D6C" w:rsidP="008E425B">
            <w:pPr>
              <w:widowControl w:val="0"/>
            </w:pPr>
            <w:r>
              <w:rPr>
                <w:sz w:val="14"/>
                <w:szCs w:val="14"/>
                <w:lang w:val="en-GB"/>
              </w:rPr>
              <w:t>Perception of antibiotic resistance</w:t>
            </w:r>
          </w:p>
        </w:tc>
        <w:tc>
          <w:tcPr>
            <w:tcW w:w="6478" w:type="dxa"/>
            <w:tcBorders>
              <w:top w:val="single" w:sz="4" w:space="0" w:color="000000"/>
              <w:left w:val="single" w:sz="4" w:space="0" w:color="000000"/>
              <w:bottom w:val="single" w:sz="4" w:space="0" w:color="000000"/>
              <w:right w:val="single" w:sz="4" w:space="0" w:color="000000"/>
            </w:tcBorders>
          </w:tcPr>
          <w:p w14:paraId="60CFD689" w14:textId="77777777" w:rsidR="00316D6C" w:rsidRDefault="00316D6C" w:rsidP="008E425B">
            <w:pPr>
              <w:widowControl w:val="0"/>
            </w:pPr>
            <w:r>
              <w:rPr>
                <w:sz w:val="14"/>
                <w:szCs w:val="14"/>
                <w:lang w:val="en-GB"/>
              </w:rPr>
              <w:t xml:space="preserve">Prescribers were aware of the significant threat posed by antibiotic resistance and attributed its cause to </w:t>
            </w:r>
            <w:r>
              <w:rPr>
                <w:sz w:val="14"/>
                <w:szCs w:val="14"/>
                <w:lang w:val="en-GB"/>
              </w:rPr>
              <w:lastRenderedPageBreak/>
              <w:t>irrational antibiotic prescription and overprescription, patient non-compliance, and poor regulations on antibiotic availability.</w:t>
            </w:r>
          </w:p>
        </w:tc>
      </w:tr>
      <w:tr w:rsidR="00316D6C" w14:paraId="70B612AF" w14:textId="77777777" w:rsidTr="008E425B">
        <w:trPr>
          <w:trHeight w:val="195"/>
        </w:trPr>
        <w:tc>
          <w:tcPr>
            <w:tcW w:w="1079" w:type="dxa"/>
            <w:vMerge/>
            <w:tcBorders>
              <w:top w:val="single" w:sz="4" w:space="0" w:color="000000"/>
              <w:left w:val="single" w:sz="4" w:space="0" w:color="000000"/>
              <w:bottom w:val="single" w:sz="4" w:space="0" w:color="000000"/>
              <w:right w:val="single" w:sz="4" w:space="0" w:color="000000"/>
            </w:tcBorders>
          </w:tcPr>
          <w:p w14:paraId="0A55C426"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17528DD2"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5517649D"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7D7BC521"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10468AFD"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7D4EB318" w14:textId="77777777" w:rsidR="00316D6C" w:rsidRDefault="00316D6C" w:rsidP="008E425B">
            <w:pPr>
              <w:widowControl w:val="0"/>
            </w:pPr>
            <w:r>
              <w:rPr>
                <w:sz w:val="14"/>
                <w:szCs w:val="14"/>
                <w:lang w:val="en-GB"/>
              </w:rPr>
              <w:t>Practices of antibiotic use</w:t>
            </w:r>
          </w:p>
        </w:tc>
        <w:tc>
          <w:tcPr>
            <w:tcW w:w="6478" w:type="dxa"/>
            <w:tcBorders>
              <w:top w:val="single" w:sz="4" w:space="0" w:color="000000"/>
              <w:left w:val="single" w:sz="4" w:space="0" w:color="000000"/>
              <w:bottom w:val="single" w:sz="4" w:space="0" w:color="000000"/>
              <w:right w:val="single" w:sz="4" w:space="0" w:color="000000"/>
            </w:tcBorders>
          </w:tcPr>
          <w:p w14:paraId="4F399FD8" w14:textId="77777777" w:rsidR="00316D6C" w:rsidRDefault="00316D6C" w:rsidP="008E425B">
            <w:pPr>
              <w:widowControl w:val="0"/>
            </w:pPr>
            <w:r>
              <w:rPr>
                <w:sz w:val="14"/>
                <w:szCs w:val="14"/>
                <w:lang w:val="en-GB"/>
              </w:rPr>
              <w:t>Antibiotic prescription practices were largely poor. Laboratory investigations were less frequently employed.</w:t>
            </w:r>
          </w:p>
        </w:tc>
      </w:tr>
      <w:tr w:rsidR="00316D6C" w14:paraId="7363EA35" w14:textId="77777777" w:rsidTr="008E425B">
        <w:trPr>
          <w:trHeight w:val="390"/>
        </w:trPr>
        <w:tc>
          <w:tcPr>
            <w:tcW w:w="1079" w:type="dxa"/>
            <w:vMerge w:val="restart"/>
            <w:tcBorders>
              <w:top w:val="single" w:sz="4" w:space="0" w:color="000000"/>
              <w:left w:val="single" w:sz="4" w:space="0" w:color="000000"/>
              <w:bottom w:val="single" w:sz="4" w:space="0" w:color="000000"/>
              <w:right w:val="single" w:sz="4" w:space="0" w:color="000000"/>
            </w:tcBorders>
          </w:tcPr>
          <w:p w14:paraId="13F7AF06" w14:textId="77777777" w:rsidR="00316D6C" w:rsidRDefault="00316D6C" w:rsidP="008E425B">
            <w:pPr>
              <w:widowControl w:val="0"/>
            </w:pPr>
            <w:proofErr w:type="spellStart"/>
            <w:r>
              <w:rPr>
                <w:sz w:val="14"/>
                <w:szCs w:val="14"/>
              </w:rPr>
              <w:t>Asekun-Olarinmoye</w:t>
            </w:r>
            <w:proofErr w:type="spellEnd"/>
            <w:r>
              <w:rPr>
                <w:sz w:val="14"/>
                <w:szCs w:val="14"/>
              </w:rPr>
              <w:t xml:space="preserve"> et  al. </w:t>
            </w:r>
            <w:r>
              <w:rPr>
                <w:lang w:val="en-ID"/>
              </w:rPr>
              <w:fldChar w:fldCharType="begin"/>
            </w:r>
            <w:r>
              <w:rPr>
                <w:sz w:val="14"/>
                <w:szCs w:val="14"/>
              </w:rPr>
              <w:instrText xml:space="preserve"> ADDIN ZOTERO_ITEM CSL_CITATION {"citationID":"IvaRaO8W","properties":{"formattedCitation":"(100)","plainCitation":"(100)","noteIndex":0},"citationItems":[{"id":"OqG2TLxw/yv0NXakr","uris":["http://zotero.org/users/local/QGE0TkJv/items/93A8QN4A"],"itemData":{"id":2827,"type":"article-journal","abstract":"Public attitude and knowledge of antibiotics are determinants of rational use of antibiotics and prevention of antimicrobial drug resistance. This study assessed perception and use of antimicrobials among staff members of a University in Southwestern Nigeria. Descriptive cross-sectional study among 450 staff members of Osun State University in Southwestern Nigeria using multistage sampling method was carried out. Semi-structured self-administered and pre-tested questionnaires were used in data collection. Data were analyzed using the SPSS software Version 17.0. Binary logistic regression models for the outcome variable of composite knowledge and attitude scores toward antimicrobials and their possible predictors were done and level of significance was set at p values ≤.05 and confidence interval of 95% for all inferential analyses. Mean age of respondents was 26.8 (±11.1) years, and 331 (73.6%) had up to tertiary-level education. One hundred eighty-three (40.7%) and 267 (59.3%) had good and poor knowledge scores, respectively; 175 (38.9%) had positive attitude whereas 275 (61.1%) had negative attitude toward the use of antibiotics. About 279 (62.0%) were informed about judicious use of antibiotics, 398 (88.4%) had ever used antibiotics in the past 1 year with the Ampicillin and Cloxacillin combinations being the most commonly used. Eighty-eight (22.1%) used antibiotics for more than 10 days as at the last use. Predictors for having good knowledge and attitude include age, educational status, and ever having used antibiotics. Inadequate knowledge and attitude toward antibiotics were observed, and this necessitates sustained health education campaign to stakeholders on rational use of antibiotics, especially toward prevention of antimicrobial resistance. © The Author(s) 2014.","archive":"Scopus","container-title":"SAGE Open","DOI":"10.1177/2158244014529778","ISSN":"2158-2440","issue":"2","language":"English","source":"Scopus","title":"Perceptions and use of antimicrobials among staff of a university community in Southwestern Nigeria","volume":"4","author":[{"family":"Asekun-Olarinmoye","given":"E.O."},{"family":"Akinwusi","given":"P.O."},{"family":"Adebimpe","given":"W.O."},{"family":"Omisore","given":"A.G."},{"family":"Isawumi","given":"M.A."},{"family":"Hassan","given":"M.B."},{"family":"Olowe","given":"O.A."},{"family":"Makanjuola","given":"O.B."},{"family":"Abiodun","given":"O.M."},{"family":"Olaitan","given":"J.O."},{"family":"Olaitan","given":"P.B."},{"family":"Alebiosu","given":"C.O."},{"family":"Adewole","given":"T.A."}],"issued":{"date-parts":[["2014"]]}}}],"schema":"https://github.com/citation-style-language/schema/raw/master/csl-citation.json"} </w:instrText>
            </w:r>
            <w:r>
              <w:rPr>
                <w:sz w:val="14"/>
                <w:szCs w:val="14"/>
              </w:rPr>
              <w:fldChar w:fldCharType="separate"/>
            </w:r>
            <w:r>
              <w:rPr>
                <w:sz w:val="14"/>
                <w:szCs w:val="14"/>
              </w:rPr>
              <w:t>(100)</w:t>
            </w:r>
            <w:r>
              <w:rPr>
                <w:sz w:val="14"/>
                <w:szCs w:val="14"/>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20023EF1" w14:textId="77777777" w:rsidR="00316D6C" w:rsidRDefault="00316D6C" w:rsidP="008E425B">
            <w:pPr>
              <w:widowControl w:val="0"/>
            </w:pPr>
            <w:r>
              <w:rPr>
                <w:sz w:val="14"/>
                <w:szCs w:val="14"/>
              </w:rPr>
              <w:t>-</w:t>
            </w:r>
          </w:p>
        </w:tc>
        <w:tc>
          <w:tcPr>
            <w:tcW w:w="810" w:type="dxa"/>
            <w:vMerge w:val="restart"/>
            <w:tcBorders>
              <w:top w:val="single" w:sz="4" w:space="0" w:color="000000"/>
              <w:left w:val="single" w:sz="4" w:space="0" w:color="000000"/>
              <w:bottom w:val="single" w:sz="4" w:space="0" w:color="000000"/>
              <w:right w:val="single" w:sz="4" w:space="0" w:color="000000"/>
            </w:tcBorders>
          </w:tcPr>
          <w:p w14:paraId="11355B27" w14:textId="77777777" w:rsidR="00316D6C" w:rsidRDefault="00316D6C" w:rsidP="008E425B">
            <w:pPr>
              <w:widowControl w:val="0"/>
            </w:pPr>
            <w:r>
              <w:rPr>
                <w:sz w:val="14"/>
                <w:szCs w:val="14"/>
              </w:rPr>
              <w:t>Nigeria</w:t>
            </w:r>
          </w:p>
        </w:tc>
        <w:tc>
          <w:tcPr>
            <w:tcW w:w="1440" w:type="dxa"/>
            <w:vMerge w:val="restart"/>
            <w:tcBorders>
              <w:top w:val="single" w:sz="4" w:space="0" w:color="000000"/>
              <w:left w:val="single" w:sz="4" w:space="0" w:color="000000"/>
              <w:bottom w:val="single" w:sz="4" w:space="0" w:color="000000"/>
              <w:right w:val="single" w:sz="4" w:space="0" w:color="000000"/>
            </w:tcBorders>
          </w:tcPr>
          <w:p w14:paraId="46F6921A" w14:textId="77777777" w:rsidR="00316D6C" w:rsidRDefault="00316D6C" w:rsidP="008E425B">
            <w:pPr>
              <w:widowControl w:val="0"/>
            </w:pPr>
            <w:r>
              <w:rPr>
                <w:sz w:val="14"/>
                <w:szCs w:val="14"/>
                <w:lang w:val="en-GB"/>
              </w:rPr>
              <w:t>University staff</w:t>
            </w:r>
          </w:p>
        </w:tc>
        <w:tc>
          <w:tcPr>
            <w:tcW w:w="990" w:type="dxa"/>
            <w:vMerge w:val="restart"/>
            <w:tcBorders>
              <w:top w:val="single" w:sz="4" w:space="0" w:color="000000"/>
              <w:left w:val="single" w:sz="4" w:space="0" w:color="000000"/>
              <w:bottom w:val="single" w:sz="4" w:space="0" w:color="000000"/>
              <w:right w:val="single" w:sz="4" w:space="0" w:color="000000"/>
            </w:tcBorders>
          </w:tcPr>
          <w:p w14:paraId="7C4FCC5A" w14:textId="77777777" w:rsidR="00316D6C" w:rsidRDefault="00316D6C" w:rsidP="008E425B">
            <w:pPr>
              <w:widowControl w:val="0"/>
            </w:pPr>
            <w:r>
              <w:rPr>
                <w:sz w:val="14"/>
                <w:szCs w:val="14"/>
                <w:lang w:val="en-GB"/>
              </w:rPr>
              <w:t>450</w:t>
            </w:r>
          </w:p>
        </w:tc>
        <w:tc>
          <w:tcPr>
            <w:tcW w:w="2611" w:type="dxa"/>
            <w:tcBorders>
              <w:top w:val="single" w:sz="4" w:space="0" w:color="000000"/>
              <w:left w:val="single" w:sz="4" w:space="0" w:color="000000"/>
              <w:bottom w:val="single" w:sz="4" w:space="0" w:color="000000"/>
              <w:right w:val="single" w:sz="4" w:space="0" w:color="000000"/>
            </w:tcBorders>
          </w:tcPr>
          <w:p w14:paraId="1C5FA1E4" w14:textId="77777777" w:rsidR="00316D6C" w:rsidRDefault="00316D6C" w:rsidP="008E425B">
            <w:pPr>
              <w:widowControl w:val="0"/>
            </w:pPr>
            <w:r>
              <w:rPr>
                <w:sz w:val="14"/>
                <w:szCs w:val="14"/>
                <w:lang w:val="en-GB"/>
              </w:rPr>
              <w:t>Knowledge of antimicrobial use</w:t>
            </w:r>
          </w:p>
        </w:tc>
        <w:tc>
          <w:tcPr>
            <w:tcW w:w="6478" w:type="dxa"/>
            <w:tcBorders>
              <w:top w:val="single" w:sz="4" w:space="0" w:color="000000"/>
              <w:left w:val="single" w:sz="4" w:space="0" w:color="000000"/>
              <w:bottom w:val="single" w:sz="4" w:space="0" w:color="000000"/>
              <w:right w:val="single" w:sz="4" w:space="0" w:color="000000"/>
            </w:tcBorders>
          </w:tcPr>
          <w:p w14:paraId="1BD271C9" w14:textId="77777777" w:rsidR="00316D6C" w:rsidRDefault="00316D6C" w:rsidP="008E425B">
            <w:pPr>
              <w:widowControl w:val="0"/>
            </w:pPr>
            <w:r>
              <w:rPr>
                <w:sz w:val="14"/>
                <w:szCs w:val="14"/>
                <w:lang w:val="en-GB"/>
              </w:rPr>
              <w:t>Only 40.7% had good knowledge while the majority (59.3%) had poor knowledge</w:t>
            </w:r>
          </w:p>
        </w:tc>
      </w:tr>
      <w:tr w:rsidR="00316D6C" w14:paraId="6F8D9889" w14:textId="77777777" w:rsidTr="008E425B">
        <w:trPr>
          <w:trHeight w:val="390"/>
        </w:trPr>
        <w:tc>
          <w:tcPr>
            <w:tcW w:w="1079" w:type="dxa"/>
            <w:vMerge/>
            <w:tcBorders>
              <w:top w:val="single" w:sz="4" w:space="0" w:color="000000"/>
              <w:left w:val="single" w:sz="4" w:space="0" w:color="000000"/>
              <w:bottom w:val="single" w:sz="4" w:space="0" w:color="000000"/>
              <w:right w:val="single" w:sz="4" w:space="0" w:color="000000"/>
            </w:tcBorders>
          </w:tcPr>
          <w:p w14:paraId="5B1CEA50"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7F55F106"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1F0C7DF3"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3D48960A"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24B0D168"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2E5E391B" w14:textId="77777777" w:rsidR="00316D6C" w:rsidRDefault="00316D6C" w:rsidP="008E425B">
            <w:pPr>
              <w:widowControl w:val="0"/>
            </w:pPr>
            <w:r>
              <w:rPr>
                <w:sz w:val="14"/>
                <w:szCs w:val="14"/>
                <w:lang w:val="en-GB"/>
              </w:rPr>
              <w:t>Attitude towards antimicrobial use</w:t>
            </w:r>
          </w:p>
        </w:tc>
        <w:tc>
          <w:tcPr>
            <w:tcW w:w="6478" w:type="dxa"/>
            <w:tcBorders>
              <w:top w:val="single" w:sz="4" w:space="0" w:color="000000"/>
              <w:left w:val="single" w:sz="4" w:space="0" w:color="000000"/>
              <w:bottom w:val="single" w:sz="4" w:space="0" w:color="000000"/>
              <w:right w:val="single" w:sz="4" w:space="0" w:color="000000"/>
            </w:tcBorders>
          </w:tcPr>
          <w:p w14:paraId="6FC18EBB" w14:textId="77777777" w:rsidR="00316D6C" w:rsidRDefault="00316D6C" w:rsidP="008E425B">
            <w:pPr>
              <w:widowControl w:val="0"/>
            </w:pPr>
            <w:r>
              <w:rPr>
                <w:sz w:val="14"/>
                <w:szCs w:val="14"/>
                <w:lang w:val="en-GB"/>
              </w:rPr>
              <w:t>Only 38.9% had a positive attitude while the majority (61.1%) had a poor attitude.</w:t>
            </w:r>
          </w:p>
        </w:tc>
      </w:tr>
      <w:tr w:rsidR="00316D6C" w14:paraId="58FD83F4" w14:textId="77777777" w:rsidTr="008E425B">
        <w:trPr>
          <w:trHeight w:val="390"/>
        </w:trPr>
        <w:tc>
          <w:tcPr>
            <w:tcW w:w="1079" w:type="dxa"/>
            <w:vMerge/>
            <w:tcBorders>
              <w:top w:val="single" w:sz="4" w:space="0" w:color="000000"/>
              <w:left w:val="single" w:sz="4" w:space="0" w:color="000000"/>
              <w:bottom w:val="single" w:sz="4" w:space="0" w:color="000000"/>
              <w:right w:val="single" w:sz="4" w:space="0" w:color="000000"/>
            </w:tcBorders>
          </w:tcPr>
          <w:p w14:paraId="2621C2AC"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7836008C"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4ABFE050"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3E0D34CE"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1BAF9137"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39629E4F" w14:textId="77777777" w:rsidR="00316D6C" w:rsidRDefault="00316D6C" w:rsidP="008E425B">
            <w:pPr>
              <w:widowControl w:val="0"/>
            </w:pPr>
            <w:r>
              <w:rPr>
                <w:sz w:val="14"/>
                <w:szCs w:val="14"/>
                <w:lang w:val="en-GB"/>
              </w:rPr>
              <w:t>Antibiotic use</w:t>
            </w:r>
          </w:p>
        </w:tc>
        <w:tc>
          <w:tcPr>
            <w:tcW w:w="6478" w:type="dxa"/>
            <w:tcBorders>
              <w:top w:val="single" w:sz="4" w:space="0" w:color="000000"/>
              <w:left w:val="single" w:sz="4" w:space="0" w:color="000000"/>
              <w:bottom w:val="single" w:sz="4" w:space="0" w:color="000000"/>
              <w:right w:val="single" w:sz="4" w:space="0" w:color="000000"/>
            </w:tcBorders>
          </w:tcPr>
          <w:p w14:paraId="17600070" w14:textId="77777777" w:rsidR="00316D6C" w:rsidRDefault="00316D6C" w:rsidP="008E425B">
            <w:pPr>
              <w:widowControl w:val="0"/>
            </w:pPr>
            <w:r>
              <w:rPr>
                <w:sz w:val="14"/>
                <w:szCs w:val="14"/>
                <w:lang w:val="en-GB"/>
              </w:rPr>
              <w:t xml:space="preserve">62% were rightly informed about antibiotic use, 88.4% had used antibiotics in the past year with </w:t>
            </w:r>
            <w:proofErr w:type="spellStart"/>
            <w:r>
              <w:rPr>
                <w:sz w:val="14"/>
                <w:szCs w:val="14"/>
              </w:rPr>
              <w:t>Ampicillin+Cloxacillin</w:t>
            </w:r>
            <w:proofErr w:type="spellEnd"/>
            <w:r>
              <w:rPr>
                <w:sz w:val="14"/>
                <w:szCs w:val="14"/>
                <w:lang w:val="en-GB"/>
              </w:rPr>
              <w:t xml:space="preserve"> (19.6%) being the most frequently used, and 51.8% self-medicating at times.</w:t>
            </w:r>
          </w:p>
        </w:tc>
      </w:tr>
      <w:tr w:rsidR="00316D6C" w14:paraId="491D7998" w14:textId="77777777" w:rsidTr="008E425B">
        <w:trPr>
          <w:trHeight w:val="293"/>
        </w:trPr>
        <w:tc>
          <w:tcPr>
            <w:tcW w:w="1079" w:type="dxa"/>
            <w:vMerge w:val="restart"/>
            <w:tcBorders>
              <w:top w:val="single" w:sz="4" w:space="0" w:color="000000"/>
              <w:left w:val="single" w:sz="4" w:space="0" w:color="000000"/>
              <w:bottom w:val="single" w:sz="4" w:space="0" w:color="000000"/>
              <w:right w:val="single" w:sz="4" w:space="0" w:color="000000"/>
            </w:tcBorders>
          </w:tcPr>
          <w:p w14:paraId="10BC1B7C" w14:textId="77777777" w:rsidR="00316D6C" w:rsidRDefault="00316D6C" w:rsidP="008E425B">
            <w:pPr>
              <w:widowControl w:val="0"/>
            </w:pPr>
            <w:r>
              <w:rPr>
                <w:sz w:val="14"/>
                <w:szCs w:val="14"/>
              </w:rPr>
              <w:t xml:space="preserve">Auta  et al. </w:t>
            </w:r>
            <w:r>
              <w:rPr>
                <w:lang w:val="en-ID"/>
              </w:rPr>
              <w:fldChar w:fldCharType="begin"/>
            </w:r>
            <w:r>
              <w:rPr>
                <w:sz w:val="14"/>
                <w:szCs w:val="14"/>
              </w:rPr>
              <w:instrText xml:space="preserve"> ADDIN ZOTERO_ITEM CSL_CITATION {"citationID":"MMxKjHhU","properties":{"formattedCitation":"(101)","plainCitation":"(101)","noteIndex":0},"citationItems":[{"id":"OqG2TLxw/prMfKzjj","uris":["http://zotero.org/users/local/QGE0TkJv/items/7F75RPYL"],"itemData":{"id":2833,"type":"article-journal","abstract":"Purpose: To assess the knowledge and attitude of consumers in Jos, Nigeria towards the use of antibiotics. Methods: A cross-sectional questionnaire survey involving 430 clients of registered community pharmacy outlets located in some communities in Jos, Nigeria was conducted in November, 2011. Data collected were analysed using SPSS version 16 and logistic regression was used to determine independent predictors of low antibiotic knowledge. Results: About 56.5 % of respondents reported using an antibiotic within a month preceding the survey, with a prevalence of 22.3 % of self-medication use of antibiotics among respondents. The antibiotic knowledge assessment test revealed that 30.5% of respondents had low knowledge; while 40.9% and 28.6 % of respondents had intermediate and high knowledge levels respectively. Respondents' educational level was the only demographic predictor (p &lt; 0.01) of low antibiotic knowledge found, as those with primary level of education were more likely (OR = 13.224; CI = 3.296-53.052) to have low antibiotic knowledge than those with tertiary education. Respondents showed negative attitude (&lt; 50 % positive response rate) in about 60 % of the attitude statements they responded to. The most common negative attitudes demonstrated by respondents were their expectation to be prescribed an antibiotic for cold (66.3 %) and taking an antibiotic when they have cold to get better quickly (60.9 %). However, respondents demonstrated positive attitudes in looking at the expiry dates of antibiotics before using them (93.3 %), and taking antibiotics according to the instructions on the label (84.2 %). Conclusion: The study showed that inadequate antibiotic knowledge and negative attitudes towards antibiotics use exists among consumers. © Pharmacotherapy Group, Faculty of Pharmacy, University of Benin, Benin City, 300001 Nigeria. All rights reserved.","archive":"Scopus","container-title":"Tropical Journal of Pharmaceutical Research","DOI":"10.4314/tjpr.v12i6.33","ISSN":"1596-9827","issue":"6","language":"English","page":"1087-1092","source":"Scopus","title":"Antibiotic use in some Nigerian communities: Knowledge and attitudes of consumers","title-short":"Antibiotic use in some Nigerian communities","volume":"12","author":[{"family":"Auta","given":"A."},{"family":"Banwat","given":"S.B."},{"family":"David","given":"S."},{"family":"Dangiwa","given":"D.A."},{"family":"Ogbole","given":"E."},{"family":"Tor-Anyiin","given":"A.J."}],"issued":{"date-parts":[["2013"]]}}}],"schema":"https://github.com/citation-style-language/schema/raw/master/csl-citation.json"} </w:instrText>
            </w:r>
            <w:r>
              <w:rPr>
                <w:sz w:val="14"/>
                <w:szCs w:val="14"/>
              </w:rPr>
              <w:fldChar w:fldCharType="separate"/>
            </w:r>
            <w:r>
              <w:rPr>
                <w:sz w:val="14"/>
                <w:szCs w:val="14"/>
              </w:rPr>
              <w:t>(101)</w:t>
            </w:r>
            <w:r>
              <w:rPr>
                <w:sz w:val="14"/>
                <w:szCs w:val="14"/>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1B77107B" w14:textId="77777777" w:rsidR="00316D6C" w:rsidRDefault="00316D6C" w:rsidP="008E425B">
            <w:pPr>
              <w:widowControl w:val="0"/>
            </w:pPr>
            <w:r>
              <w:rPr>
                <w:sz w:val="14"/>
                <w:szCs w:val="14"/>
                <w:lang w:val="en-GB"/>
              </w:rPr>
              <w:t>November, 2011</w:t>
            </w:r>
          </w:p>
        </w:tc>
        <w:tc>
          <w:tcPr>
            <w:tcW w:w="810" w:type="dxa"/>
            <w:vMerge w:val="restart"/>
            <w:tcBorders>
              <w:top w:val="single" w:sz="4" w:space="0" w:color="000000"/>
              <w:left w:val="single" w:sz="4" w:space="0" w:color="000000"/>
              <w:bottom w:val="single" w:sz="4" w:space="0" w:color="000000"/>
              <w:right w:val="single" w:sz="4" w:space="0" w:color="000000"/>
            </w:tcBorders>
          </w:tcPr>
          <w:p w14:paraId="41C00D82" w14:textId="77777777" w:rsidR="00316D6C" w:rsidRDefault="00316D6C" w:rsidP="008E425B">
            <w:pPr>
              <w:widowControl w:val="0"/>
            </w:pPr>
            <w:r>
              <w:rPr>
                <w:sz w:val="14"/>
                <w:szCs w:val="14"/>
                <w:lang w:val="en-GB"/>
              </w:rPr>
              <w:t>Nigeria</w:t>
            </w:r>
          </w:p>
        </w:tc>
        <w:tc>
          <w:tcPr>
            <w:tcW w:w="1440" w:type="dxa"/>
            <w:vMerge w:val="restart"/>
            <w:tcBorders>
              <w:top w:val="single" w:sz="4" w:space="0" w:color="000000"/>
              <w:left w:val="single" w:sz="4" w:space="0" w:color="000000"/>
              <w:bottom w:val="single" w:sz="4" w:space="0" w:color="000000"/>
              <w:right w:val="single" w:sz="4" w:space="0" w:color="000000"/>
            </w:tcBorders>
          </w:tcPr>
          <w:p w14:paraId="7FD3115C" w14:textId="77777777" w:rsidR="00316D6C" w:rsidRDefault="00316D6C" w:rsidP="008E425B">
            <w:pPr>
              <w:widowControl w:val="0"/>
            </w:pPr>
            <w:r>
              <w:rPr>
                <w:sz w:val="14"/>
                <w:szCs w:val="14"/>
                <w:lang w:val="en-GB"/>
              </w:rPr>
              <w:t>Community members</w:t>
            </w:r>
          </w:p>
        </w:tc>
        <w:tc>
          <w:tcPr>
            <w:tcW w:w="990" w:type="dxa"/>
            <w:vMerge w:val="restart"/>
            <w:tcBorders>
              <w:top w:val="single" w:sz="4" w:space="0" w:color="000000"/>
              <w:left w:val="single" w:sz="4" w:space="0" w:color="000000"/>
              <w:bottom w:val="single" w:sz="4" w:space="0" w:color="000000"/>
              <w:right w:val="single" w:sz="4" w:space="0" w:color="000000"/>
            </w:tcBorders>
          </w:tcPr>
          <w:p w14:paraId="5F4DEE28" w14:textId="77777777" w:rsidR="00316D6C" w:rsidRDefault="00316D6C" w:rsidP="008E425B">
            <w:pPr>
              <w:widowControl w:val="0"/>
            </w:pPr>
            <w:r>
              <w:rPr>
                <w:sz w:val="14"/>
                <w:szCs w:val="14"/>
                <w:lang w:val="en-GB"/>
              </w:rPr>
              <w:t>430</w:t>
            </w:r>
          </w:p>
        </w:tc>
        <w:tc>
          <w:tcPr>
            <w:tcW w:w="2611" w:type="dxa"/>
            <w:tcBorders>
              <w:top w:val="single" w:sz="4" w:space="0" w:color="000000"/>
              <w:left w:val="single" w:sz="4" w:space="0" w:color="000000"/>
              <w:bottom w:val="single" w:sz="4" w:space="0" w:color="000000"/>
              <w:right w:val="single" w:sz="4" w:space="0" w:color="000000"/>
            </w:tcBorders>
          </w:tcPr>
          <w:p w14:paraId="4BB6588F" w14:textId="77777777" w:rsidR="00316D6C" w:rsidRDefault="00316D6C" w:rsidP="008E425B">
            <w:pPr>
              <w:widowControl w:val="0"/>
            </w:pPr>
            <w:r>
              <w:rPr>
                <w:sz w:val="14"/>
                <w:szCs w:val="14"/>
                <w:lang w:val="en-GB"/>
              </w:rPr>
              <w:t>Knowledge of antibiotic use</w:t>
            </w:r>
          </w:p>
        </w:tc>
        <w:tc>
          <w:tcPr>
            <w:tcW w:w="6478" w:type="dxa"/>
            <w:tcBorders>
              <w:top w:val="single" w:sz="4" w:space="0" w:color="000000"/>
              <w:left w:val="single" w:sz="4" w:space="0" w:color="000000"/>
              <w:bottom w:val="single" w:sz="4" w:space="0" w:color="000000"/>
              <w:right w:val="single" w:sz="4" w:space="0" w:color="000000"/>
            </w:tcBorders>
          </w:tcPr>
          <w:p w14:paraId="2D705299" w14:textId="77777777" w:rsidR="00316D6C" w:rsidRDefault="00316D6C" w:rsidP="008E425B">
            <w:pPr>
              <w:widowControl w:val="0"/>
            </w:pPr>
            <w:r>
              <w:rPr>
                <w:sz w:val="14"/>
                <w:szCs w:val="14"/>
                <w:lang w:val="en-GB"/>
              </w:rPr>
              <w:t>56.5% of respondents had used antibiotics before the study. 40.9% had high knowledge with 28.6% and 22.3% having intermediate and low knowledge respectively.</w:t>
            </w:r>
          </w:p>
        </w:tc>
      </w:tr>
      <w:tr w:rsidR="00316D6C" w14:paraId="3B7CE5A3" w14:textId="77777777" w:rsidTr="008E425B">
        <w:trPr>
          <w:trHeight w:val="292"/>
        </w:trPr>
        <w:tc>
          <w:tcPr>
            <w:tcW w:w="1079" w:type="dxa"/>
            <w:vMerge/>
            <w:tcBorders>
              <w:top w:val="single" w:sz="4" w:space="0" w:color="000000"/>
              <w:left w:val="single" w:sz="4" w:space="0" w:color="000000"/>
              <w:bottom w:val="single" w:sz="4" w:space="0" w:color="000000"/>
              <w:right w:val="single" w:sz="4" w:space="0" w:color="000000"/>
            </w:tcBorders>
          </w:tcPr>
          <w:p w14:paraId="0ACE9709"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3284ED71"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3095D23B"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7EAEF487"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18E7C9BE"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0F334AAE" w14:textId="77777777" w:rsidR="00316D6C" w:rsidRDefault="00316D6C" w:rsidP="008E425B">
            <w:pPr>
              <w:widowControl w:val="0"/>
            </w:pPr>
            <w:r>
              <w:rPr>
                <w:sz w:val="14"/>
                <w:szCs w:val="14"/>
                <w:lang w:val="en-GB"/>
              </w:rPr>
              <w:t>Attitude toward antibiotic use</w:t>
            </w:r>
          </w:p>
        </w:tc>
        <w:tc>
          <w:tcPr>
            <w:tcW w:w="6478" w:type="dxa"/>
            <w:tcBorders>
              <w:top w:val="single" w:sz="4" w:space="0" w:color="000000"/>
              <w:left w:val="single" w:sz="4" w:space="0" w:color="000000"/>
              <w:bottom w:val="single" w:sz="4" w:space="0" w:color="000000"/>
              <w:right w:val="single" w:sz="4" w:space="0" w:color="000000"/>
            </w:tcBorders>
          </w:tcPr>
          <w:p w14:paraId="3DC4A1B8" w14:textId="77777777" w:rsidR="00316D6C" w:rsidRDefault="00316D6C" w:rsidP="008E425B">
            <w:pPr>
              <w:widowControl w:val="0"/>
            </w:pPr>
            <w:proofErr w:type="gramStart"/>
            <w:r>
              <w:rPr>
                <w:sz w:val="14"/>
                <w:szCs w:val="14"/>
                <w:lang w:val="en-GB"/>
              </w:rPr>
              <w:t>The majority of</w:t>
            </w:r>
            <w:proofErr w:type="gramEnd"/>
            <w:r>
              <w:rPr>
                <w:sz w:val="14"/>
                <w:szCs w:val="14"/>
                <w:lang w:val="en-GB"/>
              </w:rPr>
              <w:t xml:space="preserve"> the respondents demonstrated negative attitudes with less than 50% demonstrating positive attitudes.</w:t>
            </w:r>
          </w:p>
        </w:tc>
      </w:tr>
      <w:tr w:rsidR="00316D6C" w14:paraId="0B7662B3" w14:textId="77777777" w:rsidTr="008E425B">
        <w:trPr>
          <w:trHeight w:val="386"/>
        </w:trPr>
        <w:tc>
          <w:tcPr>
            <w:tcW w:w="1079" w:type="dxa"/>
            <w:vMerge w:val="restart"/>
            <w:tcBorders>
              <w:top w:val="single" w:sz="4" w:space="0" w:color="000000"/>
              <w:left w:val="single" w:sz="4" w:space="0" w:color="000000"/>
              <w:bottom w:val="single" w:sz="4" w:space="0" w:color="000000"/>
              <w:right w:val="single" w:sz="4" w:space="0" w:color="000000"/>
            </w:tcBorders>
          </w:tcPr>
          <w:p w14:paraId="4182773B" w14:textId="77777777" w:rsidR="00316D6C" w:rsidRDefault="00316D6C" w:rsidP="008E425B">
            <w:pPr>
              <w:widowControl w:val="0"/>
            </w:pPr>
            <w:r>
              <w:rPr>
                <w:sz w:val="14"/>
                <w:szCs w:val="14"/>
              </w:rPr>
              <w:t xml:space="preserve">Babatola  et al.  </w:t>
            </w:r>
            <w:r>
              <w:rPr>
                <w:lang w:val="en-ID"/>
              </w:rPr>
              <w:fldChar w:fldCharType="begin"/>
            </w:r>
            <w:r>
              <w:rPr>
                <w:sz w:val="14"/>
                <w:szCs w:val="14"/>
              </w:rPr>
              <w:instrText xml:space="preserve"> ADDIN ZOTERO_ITEM CSL_CITATION {"citationID":"sIPnreiM","properties":{"formattedCitation":"(102)","plainCitation":"(102)","noteIndex":0},"citationItems":[{"id":"OqG2TLxw/gXaWOFjn","uris":["http://zotero.org/users/local/QGE0TkJv/items/P3TF45LI"],"itemData":{"id":2794,"type":"article-journal","abstract":"Introduction: We assessed the knowledge of, attitude toward antimicrobial resistance (AMR) and practice of antimicrobial stewardship (AMS) among physicians in Nigeria to provide future guidance to the Nigerian National Action Plan for AMR. Methods: A descriptive cross-sectional questionnaire-based study explored the physicians’ self-reported practice of antibiotic prescribing, knowledge, attitude, and practice of AMR and components of ASPs. Results: The majority (217; 67.2%) of respondents prescribed antibiotics daily in their clinical practice AMR was recognized as a global and local problem by 308 (95.4%) and 262 (81.1%) respondents, respectively. Only 91 (28.2%) of respondents have ever heard of antibiotic stewardship. The median AMR knowledge score was 40 (19–45)out of 45while that for ASP was 46.0(32–57) out of 60. There was significant statistical difference between the ASP median scores among the medical specialties category (P value &lt;0.0001) More respondents had good knowledge of AMR than ASPs (82.7% versus 36.5%; p &lt; 0.0001). Conclusion: Respondents in this study were more knowledgeable about AMR than AMS and its core components. © 2020 Informa UK Limited, trading as Taylor &amp; Francis Group.","archive":"Scopus","container-title":"Expert Review of Anti-Infective Therapy","DOI":"10.1080/14787210.2021.1829474","ISSN":"1478-7210","issue":"4","language":"English","page":"537-546","source":"Scopus","title":"Addressing antimicrobial resistance in Nigerian hospitals: exploring physicians prescribing behavior, knowledge, and perception of antimicrobial resistance and stewardship programs","title-short":"Addressing antimicrobial resistance in Nigerian hospitals","volume":"19","author":[{"family":"Babatola","given":"A.O."},{"family":"Fadare","given":"J.O."},{"family":"Olatunya","given":"O.S."},{"family":"Obiako","given":"R."},{"family":"Enwere","given":"O."},{"family":"Kalungia","given":"A."},{"family":"Ojo","given":"T.O."},{"family":"Sunmonu","given":"T.A."},{"family":"Desalu","given":"O."},{"family":"Godman","given":"B."}],"issued":{"date-parts":[["2021"]]}}}],"schema":"https://github.com/citation-style-language/schema/raw/master/csl-citation.json"} </w:instrText>
            </w:r>
            <w:r>
              <w:rPr>
                <w:sz w:val="14"/>
                <w:szCs w:val="14"/>
              </w:rPr>
              <w:fldChar w:fldCharType="separate"/>
            </w:r>
            <w:r>
              <w:rPr>
                <w:sz w:val="14"/>
                <w:szCs w:val="14"/>
              </w:rPr>
              <w:t>(102)</w:t>
            </w:r>
            <w:r>
              <w:rPr>
                <w:sz w:val="14"/>
                <w:szCs w:val="14"/>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4524E42E" w14:textId="77777777" w:rsidR="00316D6C" w:rsidRDefault="00316D6C" w:rsidP="008E425B">
            <w:pPr>
              <w:widowControl w:val="0"/>
            </w:pPr>
            <w:r>
              <w:rPr>
                <w:sz w:val="14"/>
                <w:szCs w:val="14"/>
                <w:lang w:val="en-GB"/>
              </w:rPr>
              <w:t>April1-June 30, 2019</w:t>
            </w:r>
          </w:p>
        </w:tc>
        <w:tc>
          <w:tcPr>
            <w:tcW w:w="810" w:type="dxa"/>
            <w:vMerge w:val="restart"/>
            <w:tcBorders>
              <w:top w:val="single" w:sz="4" w:space="0" w:color="000000"/>
              <w:left w:val="single" w:sz="4" w:space="0" w:color="000000"/>
              <w:bottom w:val="single" w:sz="4" w:space="0" w:color="000000"/>
              <w:right w:val="single" w:sz="4" w:space="0" w:color="000000"/>
            </w:tcBorders>
          </w:tcPr>
          <w:p w14:paraId="33529912" w14:textId="77777777" w:rsidR="00316D6C" w:rsidRDefault="00316D6C" w:rsidP="008E425B">
            <w:pPr>
              <w:widowControl w:val="0"/>
            </w:pPr>
            <w:r>
              <w:rPr>
                <w:sz w:val="14"/>
                <w:szCs w:val="14"/>
                <w:lang w:val="en-GB"/>
              </w:rPr>
              <w:t>Nigeria</w:t>
            </w:r>
          </w:p>
        </w:tc>
        <w:tc>
          <w:tcPr>
            <w:tcW w:w="1440" w:type="dxa"/>
            <w:vMerge w:val="restart"/>
            <w:tcBorders>
              <w:top w:val="single" w:sz="4" w:space="0" w:color="000000"/>
              <w:left w:val="single" w:sz="4" w:space="0" w:color="000000"/>
              <w:bottom w:val="single" w:sz="4" w:space="0" w:color="000000"/>
              <w:right w:val="single" w:sz="4" w:space="0" w:color="000000"/>
            </w:tcBorders>
          </w:tcPr>
          <w:p w14:paraId="02C711A6" w14:textId="77777777" w:rsidR="00316D6C" w:rsidRDefault="00316D6C" w:rsidP="008E425B">
            <w:pPr>
              <w:widowControl w:val="0"/>
            </w:pPr>
            <w:r>
              <w:rPr>
                <w:sz w:val="14"/>
                <w:szCs w:val="14"/>
                <w:lang w:val="en-GB"/>
              </w:rPr>
              <w:t>Physicians</w:t>
            </w:r>
          </w:p>
        </w:tc>
        <w:tc>
          <w:tcPr>
            <w:tcW w:w="990" w:type="dxa"/>
            <w:vMerge w:val="restart"/>
            <w:tcBorders>
              <w:top w:val="single" w:sz="4" w:space="0" w:color="000000"/>
              <w:left w:val="single" w:sz="4" w:space="0" w:color="000000"/>
              <w:bottom w:val="single" w:sz="4" w:space="0" w:color="000000"/>
              <w:right w:val="single" w:sz="4" w:space="0" w:color="000000"/>
            </w:tcBorders>
          </w:tcPr>
          <w:p w14:paraId="29FCB312" w14:textId="77777777" w:rsidR="00316D6C" w:rsidRDefault="00316D6C" w:rsidP="008E425B">
            <w:pPr>
              <w:widowControl w:val="0"/>
            </w:pPr>
            <w:r>
              <w:rPr>
                <w:sz w:val="14"/>
                <w:szCs w:val="14"/>
                <w:lang w:val="en-GB"/>
              </w:rPr>
              <w:t>323</w:t>
            </w:r>
          </w:p>
        </w:tc>
        <w:tc>
          <w:tcPr>
            <w:tcW w:w="2611" w:type="dxa"/>
            <w:tcBorders>
              <w:top w:val="single" w:sz="4" w:space="0" w:color="000000"/>
              <w:left w:val="single" w:sz="4" w:space="0" w:color="000000"/>
              <w:bottom w:val="single" w:sz="4" w:space="0" w:color="000000"/>
              <w:right w:val="single" w:sz="4" w:space="0" w:color="000000"/>
            </w:tcBorders>
          </w:tcPr>
          <w:p w14:paraId="5E6E81FF" w14:textId="77777777" w:rsidR="00316D6C" w:rsidRDefault="00316D6C" w:rsidP="008E425B">
            <w:pPr>
              <w:widowControl w:val="0"/>
            </w:pPr>
            <w:r>
              <w:rPr>
                <w:sz w:val="14"/>
                <w:szCs w:val="14"/>
                <w:lang w:val="en-GB"/>
              </w:rPr>
              <w:t>Knowledge of AMR</w:t>
            </w:r>
          </w:p>
        </w:tc>
        <w:tc>
          <w:tcPr>
            <w:tcW w:w="6478" w:type="dxa"/>
            <w:tcBorders>
              <w:top w:val="single" w:sz="4" w:space="0" w:color="000000"/>
              <w:left w:val="single" w:sz="4" w:space="0" w:color="000000"/>
              <w:bottom w:val="single" w:sz="4" w:space="0" w:color="000000"/>
              <w:right w:val="single" w:sz="4" w:space="0" w:color="000000"/>
            </w:tcBorders>
          </w:tcPr>
          <w:p w14:paraId="507DF6EB" w14:textId="77777777" w:rsidR="00316D6C" w:rsidRDefault="00316D6C" w:rsidP="008E425B">
            <w:pPr>
              <w:widowControl w:val="0"/>
            </w:pPr>
            <w:r>
              <w:rPr>
                <w:sz w:val="14"/>
                <w:szCs w:val="14"/>
                <w:lang w:val="en-GB"/>
              </w:rPr>
              <w:t>82.7%, 14.6%, and 2.7% of the respondents had good, average, and poor knowledge respectively.</w:t>
            </w:r>
          </w:p>
        </w:tc>
      </w:tr>
      <w:tr w:rsidR="00316D6C" w14:paraId="60885D25" w14:textId="77777777" w:rsidTr="008E425B">
        <w:trPr>
          <w:trHeight w:val="450"/>
        </w:trPr>
        <w:tc>
          <w:tcPr>
            <w:tcW w:w="1079" w:type="dxa"/>
            <w:vMerge/>
            <w:tcBorders>
              <w:top w:val="single" w:sz="4" w:space="0" w:color="000000"/>
              <w:left w:val="single" w:sz="4" w:space="0" w:color="000000"/>
              <w:bottom w:val="single" w:sz="4" w:space="0" w:color="000000"/>
              <w:right w:val="single" w:sz="4" w:space="0" w:color="000000"/>
            </w:tcBorders>
          </w:tcPr>
          <w:p w14:paraId="57B531E3"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5D47A888"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211945CC"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61975529"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05AAECA0"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09446ABA" w14:textId="77777777" w:rsidR="00316D6C" w:rsidRDefault="00316D6C" w:rsidP="008E425B">
            <w:pPr>
              <w:widowControl w:val="0"/>
            </w:pPr>
            <w:r>
              <w:rPr>
                <w:sz w:val="14"/>
                <w:szCs w:val="14"/>
                <w:lang w:val="en-GB"/>
              </w:rPr>
              <w:t>Self-reported prescribing of antibiotics</w:t>
            </w:r>
          </w:p>
        </w:tc>
        <w:tc>
          <w:tcPr>
            <w:tcW w:w="6478" w:type="dxa"/>
            <w:tcBorders>
              <w:top w:val="single" w:sz="4" w:space="0" w:color="000000"/>
              <w:left w:val="single" w:sz="4" w:space="0" w:color="000000"/>
              <w:bottom w:val="single" w:sz="4" w:space="0" w:color="000000"/>
              <w:right w:val="single" w:sz="4" w:space="0" w:color="000000"/>
            </w:tcBorders>
          </w:tcPr>
          <w:p w14:paraId="20BF28AE" w14:textId="77777777" w:rsidR="00316D6C" w:rsidRDefault="00316D6C" w:rsidP="008E425B">
            <w:pPr>
              <w:widowControl w:val="0"/>
            </w:pPr>
            <w:r>
              <w:rPr>
                <w:sz w:val="14"/>
                <w:szCs w:val="14"/>
                <w:lang w:val="en-GB"/>
              </w:rPr>
              <w:t>55.5% routinely requested for laboratory investigations. Fluoroquinolones (74%) and 3</w:t>
            </w:r>
            <w:r>
              <w:rPr>
                <w:sz w:val="14"/>
                <w:szCs w:val="14"/>
                <w:vertAlign w:val="superscript"/>
                <w:lang w:val="en-GB"/>
              </w:rPr>
              <w:t>rd</w:t>
            </w:r>
            <w:r>
              <w:rPr>
                <w:sz w:val="14"/>
                <w:szCs w:val="14"/>
                <w:lang w:val="en-GB"/>
              </w:rPr>
              <w:t xml:space="preserve"> generation cephalosporins (72.1) were the most frequently prescribed.</w:t>
            </w:r>
          </w:p>
        </w:tc>
      </w:tr>
      <w:tr w:rsidR="00316D6C" w14:paraId="1DA869FC" w14:textId="77777777" w:rsidTr="008E425B">
        <w:trPr>
          <w:trHeight w:val="630"/>
        </w:trPr>
        <w:tc>
          <w:tcPr>
            <w:tcW w:w="1079" w:type="dxa"/>
            <w:vMerge/>
            <w:tcBorders>
              <w:top w:val="single" w:sz="4" w:space="0" w:color="000000"/>
              <w:left w:val="single" w:sz="4" w:space="0" w:color="000000"/>
              <w:bottom w:val="single" w:sz="4" w:space="0" w:color="000000"/>
              <w:right w:val="single" w:sz="4" w:space="0" w:color="000000"/>
            </w:tcBorders>
          </w:tcPr>
          <w:p w14:paraId="6A6A4EA6"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0B5819F6"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4DE8BC2C"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7487BA99"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160E7EE3"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45269551" w14:textId="77777777" w:rsidR="00316D6C" w:rsidRDefault="00316D6C" w:rsidP="008E425B">
            <w:pPr>
              <w:widowControl w:val="0"/>
            </w:pPr>
            <w:r>
              <w:rPr>
                <w:sz w:val="14"/>
                <w:szCs w:val="14"/>
                <w:lang w:val="en-GB"/>
              </w:rPr>
              <w:t>Knowledge and attitude towards Antimicrobial Stewardship Programs (ASP)</w:t>
            </w:r>
          </w:p>
        </w:tc>
        <w:tc>
          <w:tcPr>
            <w:tcW w:w="6478" w:type="dxa"/>
            <w:tcBorders>
              <w:top w:val="single" w:sz="4" w:space="0" w:color="000000"/>
              <w:left w:val="single" w:sz="4" w:space="0" w:color="000000"/>
              <w:bottom w:val="single" w:sz="4" w:space="0" w:color="000000"/>
              <w:right w:val="single" w:sz="4" w:space="0" w:color="000000"/>
            </w:tcBorders>
          </w:tcPr>
          <w:p w14:paraId="743B2FDF" w14:textId="77777777" w:rsidR="00316D6C" w:rsidRDefault="00316D6C" w:rsidP="008E425B">
            <w:pPr>
              <w:widowControl w:val="0"/>
            </w:pPr>
            <w:r>
              <w:rPr>
                <w:sz w:val="14"/>
                <w:szCs w:val="14"/>
                <w:lang w:val="en-GB"/>
              </w:rPr>
              <w:t>36.5%, 57.6%, and 5.9% had good, average, and poor knowledge of ASP respectively.</w:t>
            </w:r>
          </w:p>
        </w:tc>
      </w:tr>
      <w:tr w:rsidR="00316D6C" w14:paraId="695893C3" w14:textId="77777777" w:rsidTr="008E425B">
        <w:trPr>
          <w:trHeight w:val="390"/>
        </w:trPr>
        <w:tc>
          <w:tcPr>
            <w:tcW w:w="1079" w:type="dxa"/>
            <w:vMerge w:val="restart"/>
            <w:tcBorders>
              <w:top w:val="single" w:sz="4" w:space="0" w:color="000000"/>
              <w:left w:val="single" w:sz="4" w:space="0" w:color="000000"/>
              <w:bottom w:val="single" w:sz="4" w:space="0" w:color="000000"/>
              <w:right w:val="single" w:sz="4" w:space="0" w:color="000000"/>
            </w:tcBorders>
          </w:tcPr>
          <w:p w14:paraId="60F6B8A5" w14:textId="77777777" w:rsidR="00316D6C" w:rsidRDefault="00316D6C" w:rsidP="008E425B">
            <w:pPr>
              <w:widowControl w:val="0"/>
            </w:pPr>
            <w:proofErr w:type="spellStart"/>
            <w:r>
              <w:rPr>
                <w:sz w:val="14"/>
                <w:szCs w:val="14"/>
              </w:rPr>
              <w:t>Bedekelabou</w:t>
            </w:r>
            <w:proofErr w:type="spellEnd"/>
            <w:r>
              <w:rPr>
                <w:sz w:val="14"/>
                <w:szCs w:val="14"/>
              </w:rPr>
              <w:t xml:space="preserve">  et al. </w:t>
            </w:r>
            <w:r>
              <w:fldChar w:fldCharType="begin"/>
            </w:r>
            <w:r>
              <w:rPr>
                <w:sz w:val="14"/>
                <w:szCs w:val="14"/>
              </w:rPr>
              <w:instrText xml:space="preserve"> ADDIN ZOTERO_ITEM CSL_CITATION {"citationID":"yeJXQ7Mc","properties":{"formattedCitation":"(103)","plainCitation":"(103)","noteIndex":0},"citationItems":[{"id":"OqG2TLxw/TDGOADVi","uris":["http://zotero.org/users/local/QGE0TkJv/items/PLEBSUCP"],"itemData":{"id":2754,"type":"article-journal","abstract":"Background and Aim: Bacterial resistance to antibiotics has now become a threat to global public health. This study aimed to assess the knowledge, attitudes, and practices of health actors in relation to antibiotic resistance (ABR) in two African countries. Materials and Methods: A cross-sectional and descriptive questionnaire study was conducted in Ivory Coast and Togo from August 2020 to July 2021. Actors were interviewed both in person 63% (n = 141) and remotely due to COVID-19 restrictions. Qualitative variables were described by frequencies and quantitative variables by the mean and associated standard deviation. The bivariate analysis was conducted through the Chi-square test and exact Fisher test with an acceptable risk of 5%. Results: The results showed that 88% and 50% of the actors from Togo and Ivory Coast, respectively, had a good knowledge of ABR even if most of the stakeholders had limited knowledge of antibiotics that are banned or of critical importance in human and animal medicine. More than 75% of the actors had good perceptions in regard to ABR and these were significantly related to their profession. As for the factors leading to an increase in ABR, the interviewees perceived selfmedication in humans as the main contributing factor. Approximately 70% of the actors admitted to following inadequate practices in terms of the use and/or distribution of antibiotics, and 58% and 46% of them used preventive antibiotic therapy in Togo and Ivory Coast, respectively. Similarly, in the two countries, 39% and 69% of the actors, respectively, claimed that they do not systematically use the antibiogram, and 69% and 61% of drug distributors, also respectively, admitted to occasionally selling antibiotics without a prescription. Finally, more than 80% thought that the authorities in their country did not communicate sufficiently about ABR. Among the actions that could help to combat ABR, actors considered the strengthening of controls on the distribution of antibiotics and the education of nonprofessionals on the importance of antibiotic preservation as priorities. Conclusion: Although this first study had some limitations, that is, the low number of surveyed actors and non-standardized questionnaire used, it revealed that health actors in Togo and Ivory Coast have a good knowledge and perception in regard to antibiotics and ABR, but also follow inadequate practices. © Bedekelabou, et al. This article is an open access article distributed under the terms of the Creative Commons Attribution 4.0 International License (http://creativecommons.org/licenses/by/4.0/), which permits unrestricted use, distribution, and reproduction in any medium, provided you give appropriate credit to the original author(s) and the source, provide a link to the Creative Commons license, and indicate if changes were made. The Creative Commons Public Domain Dedication waiver (http://creativecommons.org/publicdomain/zero/1.0/) applies to the data made available in this article, unless otherwise stated.","archive":"Scopus","container-title":"International Journal of One Health","DOI":"10.14202/IJOH.2022.108-123","ISSN":"2455-5673","issue":"2","language":"English","page":"108-123","source":"Scopus","title":"First assessment of the knowledge, attitudes, and practices of health actors in Togo and Ivory Coast in regard to antibiotic resistance","volume":"8","author":[{"family":"Bedekelabou","given":"A.P."},{"family":"Oyetola","given":"D.W."},{"family":"Coulibaly","given":"Z.L."},{"family":"Akinsola","given":"O."},{"family":"Bada-Alambedji","given":"R."}],"issued":{"date-parts":[["2022"]]}}}],"schema":"https://github.com/citation-style-language/schema/raw/master/csl-citation.json"} </w:instrText>
            </w:r>
            <w:r>
              <w:rPr>
                <w:sz w:val="14"/>
                <w:szCs w:val="14"/>
              </w:rPr>
              <w:fldChar w:fldCharType="separate"/>
            </w:r>
            <w:r>
              <w:rPr>
                <w:sz w:val="14"/>
                <w:szCs w:val="14"/>
              </w:rPr>
              <w:t>(103)</w:t>
            </w:r>
            <w:r>
              <w:rPr>
                <w:sz w:val="14"/>
                <w:szCs w:val="14"/>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74167272" w14:textId="77777777" w:rsidR="00316D6C" w:rsidRDefault="00316D6C" w:rsidP="008E425B">
            <w:pPr>
              <w:widowControl w:val="0"/>
            </w:pPr>
            <w:r>
              <w:rPr>
                <w:sz w:val="14"/>
                <w:szCs w:val="14"/>
              </w:rPr>
              <w:t xml:space="preserve">August 1-October 1, </w:t>
            </w:r>
            <w:proofErr w:type="gramStart"/>
            <w:r>
              <w:rPr>
                <w:sz w:val="14"/>
                <w:szCs w:val="14"/>
              </w:rPr>
              <w:t>2020</w:t>
            </w:r>
            <w:proofErr w:type="gramEnd"/>
            <w:r>
              <w:rPr>
                <w:sz w:val="14"/>
                <w:szCs w:val="14"/>
              </w:rPr>
              <w:t xml:space="preserve"> and January 1-July 1, 2021</w:t>
            </w:r>
          </w:p>
        </w:tc>
        <w:tc>
          <w:tcPr>
            <w:tcW w:w="810" w:type="dxa"/>
            <w:vMerge w:val="restart"/>
            <w:tcBorders>
              <w:top w:val="single" w:sz="4" w:space="0" w:color="000000"/>
              <w:left w:val="single" w:sz="4" w:space="0" w:color="000000"/>
              <w:bottom w:val="single" w:sz="4" w:space="0" w:color="000000"/>
              <w:right w:val="single" w:sz="4" w:space="0" w:color="000000"/>
            </w:tcBorders>
          </w:tcPr>
          <w:p w14:paraId="1C317DD2" w14:textId="77777777" w:rsidR="00316D6C" w:rsidRDefault="00316D6C" w:rsidP="008E425B">
            <w:pPr>
              <w:widowControl w:val="0"/>
            </w:pPr>
            <w:r>
              <w:rPr>
                <w:sz w:val="14"/>
                <w:szCs w:val="14"/>
              </w:rPr>
              <w:t>Ivory Coast and Togo</w:t>
            </w:r>
          </w:p>
        </w:tc>
        <w:tc>
          <w:tcPr>
            <w:tcW w:w="1440" w:type="dxa"/>
            <w:vMerge w:val="restart"/>
            <w:tcBorders>
              <w:top w:val="single" w:sz="4" w:space="0" w:color="000000"/>
              <w:left w:val="single" w:sz="4" w:space="0" w:color="000000"/>
              <w:bottom w:val="single" w:sz="4" w:space="0" w:color="000000"/>
              <w:right w:val="single" w:sz="4" w:space="0" w:color="000000"/>
            </w:tcBorders>
          </w:tcPr>
          <w:p w14:paraId="31B4A540" w14:textId="77777777" w:rsidR="00316D6C" w:rsidRDefault="00316D6C" w:rsidP="008E425B">
            <w:pPr>
              <w:widowControl w:val="0"/>
            </w:pPr>
            <w:r>
              <w:rPr>
                <w:sz w:val="14"/>
                <w:szCs w:val="14"/>
              </w:rPr>
              <w:t>Human and animal health professionals</w:t>
            </w:r>
          </w:p>
        </w:tc>
        <w:tc>
          <w:tcPr>
            <w:tcW w:w="990" w:type="dxa"/>
            <w:vMerge w:val="restart"/>
            <w:tcBorders>
              <w:top w:val="single" w:sz="4" w:space="0" w:color="000000"/>
              <w:left w:val="single" w:sz="4" w:space="0" w:color="000000"/>
              <w:bottom w:val="single" w:sz="4" w:space="0" w:color="000000"/>
              <w:right w:val="single" w:sz="4" w:space="0" w:color="000000"/>
            </w:tcBorders>
          </w:tcPr>
          <w:p w14:paraId="7A34586C" w14:textId="77777777" w:rsidR="00316D6C" w:rsidRDefault="00316D6C" w:rsidP="008E425B">
            <w:pPr>
              <w:widowControl w:val="0"/>
            </w:pPr>
            <w:r>
              <w:rPr>
                <w:sz w:val="14"/>
                <w:szCs w:val="14"/>
              </w:rPr>
              <w:t>221</w:t>
            </w:r>
          </w:p>
        </w:tc>
        <w:tc>
          <w:tcPr>
            <w:tcW w:w="2611" w:type="dxa"/>
            <w:tcBorders>
              <w:top w:val="single" w:sz="4" w:space="0" w:color="000000"/>
              <w:left w:val="single" w:sz="4" w:space="0" w:color="000000"/>
              <w:bottom w:val="single" w:sz="4" w:space="0" w:color="000000"/>
              <w:right w:val="single" w:sz="4" w:space="0" w:color="000000"/>
            </w:tcBorders>
          </w:tcPr>
          <w:p w14:paraId="45310EB6" w14:textId="77777777" w:rsidR="00316D6C" w:rsidRDefault="00316D6C" w:rsidP="008E425B">
            <w:pPr>
              <w:widowControl w:val="0"/>
            </w:pPr>
            <w:r>
              <w:rPr>
                <w:sz w:val="14"/>
                <w:szCs w:val="14"/>
              </w:rPr>
              <w:t>Knowledge of antibiotic resistance</w:t>
            </w:r>
          </w:p>
        </w:tc>
        <w:tc>
          <w:tcPr>
            <w:tcW w:w="6478" w:type="dxa"/>
            <w:tcBorders>
              <w:top w:val="single" w:sz="4" w:space="0" w:color="000000"/>
              <w:left w:val="single" w:sz="4" w:space="0" w:color="000000"/>
              <w:bottom w:val="single" w:sz="4" w:space="0" w:color="000000"/>
              <w:right w:val="single" w:sz="4" w:space="0" w:color="000000"/>
            </w:tcBorders>
          </w:tcPr>
          <w:p w14:paraId="060E301E" w14:textId="77777777" w:rsidR="00316D6C" w:rsidRDefault="00316D6C" w:rsidP="008E425B">
            <w:pPr>
              <w:widowControl w:val="0"/>
            </w:pPr>
            <w:r>
              <w:rPr>
                <w:sz w:val="14"/>
                <w:szCs w:val="14"/>
              </w:rPr>
              <w:t xml:space="preserve">88% and 50% of </w:t>
            </w:r>
            <w:proofErr w:type="spellStart"/>
            <w:r>
              <w:rPr>
                <w:sz w:val="14"/>
                <w:szCs w:val="14"/>
              </w:rPr>
              <w:t>respo</w:t>
            </w:r>
            <w:r>
              <w:rPr>
                <w:sz w:val="14"/>
                <w:szCs w:val="14"/>
                <w:lang w:val="en-GB"/>
              </w:rPr>
              <w:t>ndents</w:t>
            </w:r>
            <w:proofErr w:type="spellEnd"/>
            <w:r>
              <w:rPr>
                <w:sz w:val="14"/>
                <w:szCs w:val="14"/>
                <w:lang w:val="en-GB"/>
              </w:rPr>
              <w:t xml:space="preserve"> had good knowledge in Togo and Ivory Coast respectively.</w:t>
            </w:r>
          </w:p>
        </w:tc>
      </w:tr>
      <w:tr w:rsidR="00316D6C" w14:paraId="743756AC" w14:textId="77777777" w:rsidTr="008E425B">
        <w:trPr>
          <w:trHeight w:val="390"/>
        </w:trPr>
        <w:tc>
          <w:tcPr>
            <w:tcW w:w="1079" w:type="dxa"/>
            <w:vMerge/>
            <w:tcBorders>
              <w:top w:val="single" w:sz="4" w:space="0" w:color="000000"/>
              <w:left w:val="single" w:sz="4" w:space="0" w:color="000000"/>
              <w:bottom w:val="single" w:sz="4" w:space="0" w:color="000000"/>
              <w:right w:val="single" w:sz="4" w:space="0" w:color="000000"/>
            </w:tcBorders>
          </w:tcPr>
          <w:p w14:paraId="062987C5"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024A4193"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75C24FEF"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3A81721F"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1303E834"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17EFDDAC" w14:textId="77777777" w:rsidR="00316D6C" w:rsidRDefault="00316D6C" w:rsidP="008E425B">
            <w:pPr>
              <w:widowControl w:val="0"/>
            </w:pPr>
            <w:r>
              <w:rPr>
                <w:sz w:val="14"/>
                <w:szCs w:val="14"/>
                <w:lang w:val="en-GB"/>
              </w:rPr>
              <w:t>Attitude towards antibiotic resistance</w:t>
            </w:r>
          </w:p>
        </w:tc>
        <w:tc>
          <w:tcPr>
            <w:tcW w:w="6478" w:type="dxa"/>
            <w:tcBorders>
              <w:top w:val="single" w:sz="4" w:space="0" w:color="000000"/>
              <w:left w:val="single" w:sz="4" w:space="0" w:color="000000"/>
              <w:bottom w:val="single" w:sz="4" w:space="0" w:color="000000"/>
              <w:right w:val="single" w:sz="4" w:space="0" w:color="000000"/>
            </w:tcBorders>
          </w:tcPr>
          <w:p w14:paraId="6817CD99" w14:textId="77777777" w:rsidR="00316D6C" w:rsidRDefault="00316D6C" w:rsidP="008E425B">
            <w:pPr>
              <w:widowControl w:val="0"/>
            </w:pPr>
            <w:r>
              <w:rPr>
                <w:sz w:val="14"/>
                <w:szCs w:val="14"/>
                <w:lang w:val="en-GB"/>
              </w:rPr>
              <w:t>More than 75% of respondents in both countries had good perceptions of the antibiotic resistance problem.</w:t>
            </w:r>
          </w:p>
        </w:tc>
      </w:tr>
      <w:tr w:rsidR="00316D6C" w14:paraId="68CE7131" w14:textId="77777777" w:rsidTr="008E425B">
        <w:trPr>
          <w:trHeight w:val="390"/>
        </w:trPr>
        <w:tc>
          <w:tcPr>
            <w:tcW w:w="1079" w:type="dxa"/>
            <w:vMerge/>
            <w:tcBorders>
              <w:top w:val="single" w:sz="4" w:space="0" w:color="000000"/>
              <w:left w:val="single" w:sz="4" w:space="0" w:color="000000"/>
              <w:bottom w:val="single" w:sz="4" w:space="0" w:color="000000"/>
              <w:right w:val="single" w:sz="4" w:space="0" w:color="000000"/>
            </w:tcBorders>
          </w:tcPr>
          <w:p w14:paraId="0A04FA80"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7C0AB745"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4225C9CD"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3EBBA181"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3F2F9825"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1FECABD2" w14:textId="77777777" w:rsidR="00316D6C" w:rsidRDefault="00316D6C" w:rsidP="008E425B">
            <w:pPr>
              <w:widowControl w:val="0"/>
            </w:pPr>
            <w:r>
              <w:rPr>
                <w:sz w:val="14"/>
                <w:szCs w:val="14"/>
                <w:lang w:val="en-GB"/>
              </w:rPr>
              <w:t>Practices regarding antibiotic use</w:t>
            </w:r>
          </w:p>
        </w:tc>
        <w:tc>
          <w:tcPr>
            <w:tcW w:w="6478" w:type="dxa"/>
            <w:tcBorders>
              <w:top w:val="single" w:sz="4" w:space="0" w:color="000000"/>
              <w:left w:val="single" w:sz="4" w:space="0" w:color="000000"/>
              <w:bottom w:val="single" w:sz="4" w:space="0" w:color="000000"/>
              <w:right w:val="single" w:sz="4" w:space="0" w:color="000000"/>
            </w:tcBorders>
          </w:tcPr>
          <w:p w14:paraId="55884BBD" w14:textId="77777777" w:rsidR="00316D6C" w:rsidRDefault="00316D6C" w:rsidP="008E425B">
            <w:pPr>
              <w:widowControl w:val="0"/>
            </w:pPr>
            <w:r>
              <w:rPr>
                <w:sz w:val="14"/>
                <w:szCs w:val="14"/>
              </w:rPr>
              <w:t xml:space="preserve">39% and 69% of the </w:t>
            </w:r>
            <w:r>
              <w:rPr>
                <w:sz w:val="14"/>
                <w:szCs w:val="14"/>
                <w:lang w:val="en-GB"/>
              </w:rPr>
              <w:t>respondents</w:t>
            </w:r>
            <w:r>
              <w:rPr>
                <w:sz w:val="14"/>
                <w:szCs w:val="14"/>
              </w:rPr>
              <w:t>, respectively, d</w:t>
            </w:r>
            <w:r>
              <w:rPr>
                <w:sz w:val="14"/>
                <w:szCs w:val="14"/>
                <w:lang w:val="en-GB"/>
              </w:rPr>
              <w:t>id</w:t>
            </w:r>
            <w:r>
              <w:rPr>
                <w:sz w:val="14"/>
                <w:szCs w:val="14"/>
              </w:rPr>
              <w:t xml:space="preserve"> not systematically use the antibiogram, and 69% and 61% of </w:t>
            </w:r>
            <w:r>
              <w:rPr>
                <w:sz w:val="14"/>
                <w:szCs w:val="14"/>
                <w:lang w:val="en-GB"/>
              </w:rPr>
              <w:t>pharmacists</w:t>
            </w:r>
            <w:r>
              <w:rPr>
                <w:sz w:val="14"/>
                <w:szCs w:val="14"/>
              </w:rPr>
              <w:t>, also respectively, admitted to occasionally selling antibiotics without a prescription</w:t>
            </w:r>
            <w:r>
              <w:rPr>
                <w:sz w:val="14"/>
                <w:szCs w:val="14"/>
                <w:lang w:val="en-GB"/>
              </w:rPr>
              <w:t>.</w:t>
            </w:r>
          </w:p>
        </w:tc>
      </w:tr>
      <w:tr w:rsidR="00316D6C" w14:paraId="1DA49890" w14:textId="77777777" w:rsidTr="008E425B">
        <w:trPr>
          <w:trHeight w:val="178"/>
        </w:trPr>
        <w:tc>
          <w:tcPr>
            <w:tcW w:w="1079" w:type="dxa"/>
            <w:vMerge w:val="restart"/>
            <w:tcBorders>
              <w:top w:val="single" w:sz="4" w:space="0" w:color="000000"/>
              <w:left w:val="single" w:sz="4" w:space="0" w:color="000000"/>
              <w:bottom w:val="single" w:sz="4" w:space="0" w:color="000000"/>
              <w:right w:val="single" w:sz="4" w:space="0" w:color="000000"/>
            </w:tcBorders>
          </w:tcPr>
          <w:p w14:paraId="52D95558" w14:textId="77777777" w:rsidR="00316D6C" w:rsidRDefault="00316D6C" w:rsidP="008E425B">
            <w:pPr>
              <w:widowControl w:val="0"/>
            </w:pPr>
            <w:r>
              <w:rPr>
                <w:sz w:val="14"/>
                <w:szCs w:val="14"/>
              </w:rPr>
              <w:t xml:space="preserve">Chen  et al. </w:t>
            </w:r>
            <w:r>
              <w:rPr>
                <w:lang w:val="en-ID"/>
              </w:rPr>
              <w:fldChar w:fldCharType="begin"/>
            </w:r>
            <w:r>
              <w:rPr>
                <w:sz w:val="14"/>
                <w:szCs w:val="14"/>
              </w:rPr>
              <w:instrText xml:space="preserve"> ADDIN ZOTERO_ITEM CSL_CITATION {"citationID":"fsbHAzHD","properties":{"formattedCitation":"(104)","plainCitation":"(104)","noteIndex":0},"citationItems":[{"id":"OqG2TLxw/1Pf2363K","uris":["http://zotero.org/users/local/QGE0TkJv/items/4AHXQJB4"],"itemData":{"id":2791,"type":"article-journal","abstract":"Objectives: Misuse of antibiotics, especially in low-and-middle-income countries is a major contributor to antimicrobial resistance. Medical students are antibiotic consumers and prescribers in the future. This study aimed to assess antibiotic knowledge and utilization among medical students in the Republic of Mali, and to determine the relationship between knowledge and health-seeking behavior in relation to antibiotic use. Methods: A cross-sectional survey was conducted in the only public medical university in Mali. The questionnaire explored knowledge about antibiotics of medical students, and health behaviors for self-limiting illness. Data were analyzed in SPSS. Results: A total of 446 medical students completed the questionnaire. The average knowledge score was 4.12 out of 10. Students with clinical experience performed higher (4.79 vs 3.74, p&lt; 0.01); 391(87.7%) medical students reported experience of self-limiting diseases in the past year. Of these 197(50.4%) went to see a doctor, 160 (81.2%) of whom were prescribed antibiotics: 151 medical students self-treated, with 121(80.1%) using antibiotics. Conclusions: This study shows poor knowledge and massive misuse of antibiotics among medical students in Mali. Promoting education on the mechanism of antibiotics, antimicrobial resistance and rational antibiotic use among medical students should be a priority in the medical school curriculum. © 2020 Informa UK Limited, trading as Taylor &amp; Francis Group.","archive":"Scopus","container-title":"Expert Review of Anti-Infective Therapy","DOI":"10.1080/14787210.2021.1857731","ISSN":"1478-7210","issue":"6","language":"English","page":"797-804","source":"Scopus","title":"Lack of antibiotic knowledge and misuse of antibiotics by medical students in Mali: a cross-sectional study","title-short":"Lack of antibiotic knowledge and misuse of antibiotics by medical students in Mali","volume":"19","author":[{"family":"Chen","given":"J."},{"family":"Sidibi","given":"A.M."},{"family":"Shen","given":"X."},{"family":"Dao","given":"K."},{"family":"Maiga","given":"A."},{"family":"Xie","given":"Y."},{"family":"Hesketh","given":"T."}],"issued":{"date-parts":[["2021"]]}}}],"schema":"https://github.com/citation-style-language/schema/raw/master/csl-citation.json"} </w:instrText>
            </w:r>
            <w:r>
              <w:rPr>
                <w:sz w:val="14"/>
                <w:szCs w:val="14"/>
              </w:rPr>
              <w:fldChar w:fldCharType="separate"/>
            </w:r>
            <w:r>
              <w:rPr>
                <w:sz w:val="14"/>
                <w:szCs w:val="14"/>
              </w:rPr>
              <w:t>(104)</w:t>
            </w:r>
            <w:r>
              <w:rPr>
                <w:sz w:val="14"/>
                <w:szCs w:val="14"/>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76ABE410" w14:textId="77777777" w:rsidR="00316D6C" w:rsidRDefault="00316D6C" w:rsidP="008E425B">
            <w:pPr>
              <w:widowControl w:val="0"/>
            </w:pPr>
            <w:r>
              <w:rPr>
                <w:sz w:val="14"/>
                <w:szCs w:val="14"/>
                <w:lang w:val="en-GB"/>
              </w:rPr>
              <w:t>July-August, 2019</w:t>
            </w:r>
          </w:p>
        </w:tc>
        <w:tc>
          <w:tcPr>
            <w:tcW w:w="810" w:type="dxa"/>
            <w:vMerge w:val="restart"/>
            <w:tcBorders>
              <w:top w:val="single" w:sz="4" w:space="0" w:color="000000"/>
              <w:left w:val="single" w:sz="4" w:space="0" w:color="000000"/>
              <w:bottom w:val="single" w:sz="4" w:space="0" w:color="000000"/>
              <w:right w:val="single" w:sz="4" w:space="0" w:color="000000"/>
            </w:tcBorders>
          </w:tcPr>
          <w:p w14:paraId="3B592483" w14:textId="77777777" w:rsidR="00316D6C" w:rsidRDefault="00316D6C" w:rsidP="008E425B">
            <w:pPr>
              <w:widowControl w:val="0"/>
            </w:pPr>
            <w:r>
              <w:rPr>
                <w:sz w:val="14"/>
                <w:szCs w:val="14"/>
                <w:lang w:val="en-GB"/>
              </w:rPr>
              <w:t>Mali</w:t>
            </w:r>
          </w:p>
        </w:tc>
        <w:tc>
          <w:tcPr>
            <w:tcW w:w="1440" w:type="dxa"/>
            <w:vMerge w:val="restart"/>
            <w:tcBorders>
              <w:top w:val="single" w:sz="4" w:space="0" w:color="000000"/>
              <w:left w:val="single" w:sz="4" w:space="0" w:color="000000"/>
              <w:bottom w:val="single" w:sz="4" w:space="0" w:color="000000"/>
              <w:right w:val="single" w:sz="4" w:space="0" w:color="000000"/>
            </w:tcBorders>
          </w:tcPr>
          <w:p w14:paraId="65DA823D" w14:textId="77777777" w:rsidR="00316D6C" w:rsidRDefault="00316D6C" w:rsidP="008E425B">
            <w:pPr>
              <w:widowControl w:val="0"/>
            </w:pPr>
            <w:r>
              <w:rPr>
                <w:sz w:val="14"/>
                <w:szCs w:val="14"/>
                <w:lang w:val="en-GB"/>
              </w:rPr>
              <w:t>Medical students</w:t>
            </w:r>
          </w:p>
        </w:tc>
        <w:tc>
          <w:tcPr>
            <w:tcW w:w="990" w:type="dxa"/>
            <w:vMerge w:val="restart"/>
            <w:tcBorders>
              <w:top w:val="single" w:sz="4" w:space="0" w:color="000000"/>
              <w:left w:val="single" w:sz="4" w:space="0" w:color="000000"/>
              <w:bottom w:val="single" w:sz="4" w:space="0" w:color="000000"/>
              <w:right w:val="single" w:sz="4" w:space="0" w:color="000000"/>
            </w:tcBorders>
          </w:tcPr>
          <w:p w14:paraId="0AC35766" w14:textId="77777777" w:rsidR="00316D6C" w:rsidRDefault="00316D6C" w:rsidP="008E425B">
            <w:pPr>
              <w:widowControl w:val="0"/>
            </w:pPr>
            <w:r>
              <w:rPr>
                <w:sz w:val="14"/>
                <w:szCs w:val="14"/>
                <w:lang w:val="en-GB"/>
              </w:rPr>
              <w:t>446</w:t>
            </w:r>
          </w:p>
        </w:tc>
        <w:tc>
          <w:tcPr>
            <w:tcW w:w="2611" w:type="dxa"/>
            <w:tcBorders>
              <w:top w:val="single" w:sz="4" w:space="0" w:color="000000"/>
              <w:left w:val="single" w:sz="4" w:space="0" w:color="000000"/>
              <w:bottom w:val="single" w:sz="4" w:space="0" w:color="000000"/>
              <w:right w:val="single" w:sz="4" w:space="0" w:color="000000"/>
            </w:tcBorders>
          </w:tcPr>
          <w:p w14:paraId="02FC937D" w14:textId="77777777" w:rsidR="00316D6C" w:rsidRDefault="00316D6C" w:rsidP="008E425B">
            <w:pPr>
              <w:widowControl w:val="0"/>
            </w:pPr>
            <w:r>
              <w:rPr>
                <w:sz w:val="14"/>
                <w:szCs w:val="14"/>
                <w:lang w:val="en-GB"/>
              </w:rPr>
              <w:t>Knowledge of antibiotic use</w:t>
            </w:r>
          </w:p>
        </w:tc>
        <w:tc>
          <w:tcPr>
            <w:tcW w:w="6478" w:type="dxa"/>
            <w:tcBorders>
              <w:top w:val="single" w:sz="4" w:space="0" w:color="000000"/>
              <w:left w:val="single" w:sz="4" w:space="0" w:color="000000"/>
              <w:bottom w:val="single" w:sz="4" w:space="0" w:color="000000"/>
              <w:right w:val="single" w:sz="4" w:space="0" w:color="000000"/>
            </w:tcBorders>
          </w:tcPr>
          <w:p w14:paraId="2EB2D510" w14:textId="77777777" w:rsidR="00316D6C" w:rsidRDefault="00316D6C" w:rsidP="008E425B">
            <w:pPr>
              <w:widowControl w:val="0"/>
            </w:pPr>
            <w:r>
              <w:rPr>
                <w:sz w:val="14"/>
                <w:szCs w:val="14"/>
                <w:lang w:val="en-GB"/>
              </w:rPr>
              <w:t>The average knowledge score was 4.2 out of 10. 61.7% believed that overuse of antibiotics could result in the development of antibiotic resistance and 57.6% agreed that misuse of antibiotics could result in increased antibiotic resistance</w:t>
            </w:r>
          </w:p>
        </w:tc>
      </w:tr>
      <w:tr w:rsidR="00316D6C" w14:paraId="49CB22AE" w14:textId="77777777" w:rsidTr="008E425B">
        <w:trPr>
          <w:trHeight w:val="407"/>
        </w:trPr>
        <w:tc>
          <w:tcPr>
            <w:tcW w:w="1079" w:type="dxa"/>
            <w:vMerge/>
            <w:tcBorders>
              <w:top w:val="single" w:sz="4" w:space="0" w:color="000000"/>
              <w:left w:val="single" w:sz="4" w:space="0" w:color="000000"/>
              <w:bottom w:val="single" w:sz="4" w:space="0" w:color="000000"/>
              <w:right w:val="single" w:sz="4" w:space="0" w:color="000000"/>
            </w:tcBorders>
          </w:tcPr>
          <w:p w14:paraId="4E7D9D4F"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4408C71A"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1FCAFD66"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4967FA6F"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34FF5FFF"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44129426" w14:textId="77777777" w:rsidR="00316D6C" w:rsidRDefault="00316D6C" w:rsidP="008E425B">
            <w:pPr>
              <w:widowControl w:val="0"/>
            </w:pPr>
            <w:r>
              <w:rPr>
                <w:sz w:val="14"/>
                <w:szCs w:val="14"/>
                <w:lang w:val="en-GB"/>
              </w:rPr>
              <w:t>Antibiotic use</w:t>
            </w:r>
          </w:p>
        </w:tc>
        <w:tc>
          <w:tcPr>
            <w:tcW w:w="6478" w:type="dxa"/>
            <w:tcBorders>
              <w:top w:val="single" w:sz="4" w:space="0" w:color="000000"/>
              <w:left w:val="single" w:sz="4" w:space="0" w:color="000000"/>
              <w:bottom w:val="single" w:sz="4" w:space="0" w:color="000000"/>
              <w:right w:val="single" w:sz="4" w:space="0" w:color="000000"/>
            </w:tcBorders>
          </w:tcPr>
          <w:p w14:paraId="17CA5FD5" w14:textId="77777777" w:rsidR="00316D6C" w:rsidRDefault="00316D6C" w:rsidP="008E425B">
            <w:pPr>
              <w:widowControl w:val="0"/>
            </w:pPr>
            <w:r>
              <w:rPr>
                <w:sz w:val="14"/>
                <w:szCs w:val="14"/>
                <w:lang w:val="en-GB"/>
              </w:rPr>
              <w:t>80.1% of 151 students self-medicated antibiotics and 71.1% bought the antibiotics without prescriptions</w:t>
            </w:r>
          </w:p>
        </w:tc>
      </w:tr>
      <w:tr w:rsidR="00316D6C" w14:paraId="117CB6EF" w14:textId="77777777" w:rsidTr="008E425B">
        <w:trPr>
          <w:trHeight w:val="531"/>
        </w:trPr>
        <w:tc>
          <w:tcPr>
            <w:tcW w:w="1079" w:type="dxa"/>
            <w:vMerge w:val="restart"/>
            <w:tcBorders>
              <w:top w:val="single" w:sz="4" w:space="0" w:color="000000"/>
              <w:left w:val="single" w:sz="4" w:space="0" w:color="000000"/>
              <w:bottom w:val="single" w:sz="4" w:space="0" w:color="000000"/>
              <w:right w:val="single" w:sz="4" w:space="0" w:color="000000"/>
            </w:tcBorders>
          </w:tcPr>
          <w:p w14:paraId="10FE3ED0" w14:textId="77777777" w:rsidR="00316D6C" w:rsidRDefault="00316D6C" w:rsidP="008E425B">
            <w:pPr>
              <w:widowControl w:val="0"/>
            </w:pPr>
            <w:r>
              <w:rPr>
                <w:sz w:val="14"/>
                <w:szCs w:val="14"/>
              </w:rPr>
              <w:t xml:space="preserve">Chukwu  et al. </w:t>
            </w:r>
            <w:r>
              <w:rPr>
                <w:lang w:val="en-ID"/>
              </w:rPr>
              <w:fldChar w:fldCharType="begin"/>
            </w:r>
            <w:r>
              <w:rPr>
                <w:sz w:val="14"/>
                <w:szCs w:val="14"/>
              </w:rPr>
              <w:instrText xml:space="preserve"> ADDIN ZOTERO_ITEM CSL_CITATION {"citationID":"fQJbIMIf","properties":{"formattedCitation":"(51)","plainCitation":"(51)","noteIndex":0},"citationItems":[{"id":"OqG2TLxw/AzCVBNQP","uris":["http://zotero.org/users/local/QGE0TkJv/items/6MP7BHWU"],"itemData":{"id":2803,"type":"article-journal","abstract":"Background: One of the objectives of the Global Action Plan by the World Health Organization (WHO) to contain antimicrobial resistance (AMR), is to improve global awareness through effective communication and education. Comprehensive information on the level of awareness of AMR among Nigerian public is deficient. This study was therefore designed to assess the current level of awareness and knowledge of the Nigerian public of AMR. Methods: Pre-tested and validated questionnaire was used to obtain information from the general public across the six geopolitical zones (North Central, North East, North West, South East, South South and South West) in Nigeria. Multi-stage sampling was used to select one state from each zone and respondents were selected through a multi-stage sampling technique. Responses to eight questions were used to grade the level of knowledge categorized as poor, fair and good. Collation and analysis of data were performed at the Microbiology Department of the Nigerian Institute of Medical Research (NIMR), Lagos, Nigeria, using SPSS version 24.0. Results: Questionnaires from 482 respondents comprising 242 (50.2%) females and 240 (49.8%) males from six states (Lagos, Ebonyi, Delta, Plateau, Borno and Jigawa) were analyzed. Of the 482 respondents, 322 (66.8%) had taken antibiotics in the last six months out of which 31.3% were without prescription. 26.1% of respondents believe they don't need to complete the dosage as long as they feel better. Although 272(56.5%) of the respondents were familiar with the term \"antibiotic resistance\", only 40(8.3%) had good knowledge of AMR. A majority (76.6%) believed that they were powerless to stop the spread of AMR. There was no association between the gender of respondents and knowledge of AMR (p = 0.13). However, respondents from Ebonyi and Delta states in southern Nigeria were more likely to have good knowledge of AMR (X2 = 53.22, P &amp;lt; 0.0001). The respondents in the urban area had a higher score for knowledge level compared to the rural dwellers, though this was not statistically significant within and across states. Conclusion: This survey provides an insight into the level of AMR awareness and antibiotic use in the wider Nigeria public. Our findings show that about a third of the general public consume antibiotics obtained without prescription. There is an overall poor understanding of antimicrobial resistance and/or proper use of antibiotics among respondents. It is critical that more holistic public enlightenment programs are carried out to increase awareness of AMR and promote responsible use of antibiotics. © 2020 The Author(s).","archive":"Scopus","container-title":"Antimicrobial Resistance and Infection Control","DOI":"10.1186/s13756-020-00739-0","ISSN":"2047-2994","issue":"1","language":"English","source":"Scopus","title":"A national survey of public awareness of antimicrobial resistance in Nigeria","volume":"9","author":[{"family":"Chukwu","given":"E.E."},{"family":"Oladele","given":"D.A."},{"family":"Awoderu","given":"O.B."},{"family":"Afocha","given":"E.E."},{"family":"Lawal","given":"R.G."},{"family":"Abdus-Salam","given":"I."},{"family":"Ogunsola","given":"F.T."},{"family":"Audu","given":"R.A."}],"issued":{"date-parts":[["2020"]]}}}],"schema":"https://github.com/citation-style-language/schema/raw/master/csl-citation.json"} </w:instrText>
            </w:r>
            <w:r>
              <w:rPr>
                <w:sz w:val="14"/>
                <w:szCs w:val="14"/>
              </w:rPr>
              <w:fldChar w:fldCharType="separate"/>
            </w:r>
            <w:r>
              <w:rPr>
                <w:sz w:val="14"/>
                <w:szCs w:val="14"/>
              </w:rPr>
              <w:t>(51)</w:t>
            </w:r>
            <w:r>
              <w:rPr>
                <w:sz w:val="14"/>
                <w:szCs w:val="14"/>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04BC5DA0" w14:textId="77777777" w:rsidR="00316D6C" w:rsidRDefault="00316D6C" w:rsidP="008E425B">
            <w:pPr>
              <w:widowControl w:val="0"/>
            </w:pPr>
            <w:r>
              <w:rPr>
                <w:sz w:val="14"/>
                <w:szCs w:val="14"/>
                <w:lang w:val="en-GB"/>
              </w:rPr>
              <w:t>June-November, 2019</w:t>
            </w:r>
          </w:p>
        </w:tc>
        <w:tc>
          <w:tcPr>
            <w:tcW w:w="810" w:type="dxa"/>
            <w:vMerge w:val="restart"/>
            <w:tcBorders>
              <w:top w:val="single" w:sz="4" w:space="0" w:color="000000"/>
              <w:left w:val="single" w:sz="4" w:space="0" w:color="000000"/>
              <w:bottom w:val="single" w:sz="4" w:space="0" w:color="000000"/>
              <w:right w:val="single" w:sz="4" w:space="0" w:color="000000"/>
            </w:tcBorders>
          </w:tcPr>
          <w:p w14:paraId="49606F1C" w14:textId="77777777" w:rsidR="00316D6C" w:rsidRDefault="00316D6C" w:rsidP="008E425B">
            <w:pPr>
              <w:widowControl w:val="0"/>
            </w:pPr>
            <w:r>
              <w:rPr>
                <w:sz w:val="14"/>
                <w:szCs w:val="14"/>
                <w:lang w:val="en-GB"/>
              </w:rPr>
              <w:t>Nigeria</w:t>
            </w:r>
          </w:p>
        </w:tc>
        <w:tc>
          <w:tcPr>
            <w:tcW w:w="1440" w:type="dxa"/>
            <w:vMerge w:val="restart"/>
            <w:tcBorders>
              <w:top w:val="single" w:sz="4" w:space="0" w:color="000000"/>
              <w:left w:val="single" w:sz="4" w:space="0" w:color="000000"/>
              <w:bottom w:val="single" w:sz="4" w:space="0" w:color="000000"/>
              <w:right w:val="single" w:sz="4" w:space="0" w:color="000000"/>
            </w:tcBorders>
          </w:tcPr>
          <w:p w14:paraId="1393508E" w14:textId="77777777" w:rsidR="00316D6C" w:rsidRDefault="00316D6C" w:rsidP="008E425B">
            <w:pPr>
              <w:widowControl w:val="0"/>
            </w:pPr>
            <w:r>
              <w:rPr>
                <w:sz w:val="14"/>
                <w:szCs w:val="14"/>
                <w:lang w:val="en-GB"/>
              </w:rPr>
              <w:t>Household members</w:t>
            </w:r>
          </w:p>
        </w:tc>
        <w:tc>
          <w:tcPr>
            <w:tcW w:w="990" w:type="dxa"/>
            <w:vMerge w:val="restart"/>
            <w:tcBorders>
              <w:top w:val="single" w:sz="4" w:space="0" w:color="000000"/>
              <w:left w:val="single" w:sz="4" w:space="0" w:color="000000"/>
              <w:bottom w:val="single" w:sz="4" w:space="0" w:color="000000"/>
              <w:right w:val="single" w:sz="4" w:space="0" w:color="000000"/>
            </w:tcBorders>
          </w:tcPr>
          <w:p w14:paraId="158600B9" w14:textId="77777777" w:rsidR="00316D6C" w:rsidRDefault="00316D6C" w:rsidP="008E425B">
            <w:pPr>
              <w:widowControl w:val="0"/>
            </w:pPr>
            <w:r>
              <w:rPr>
                <w:sz w:val="14"/>
                <w:szCs w:val="14"/>
                <w:lang w:val="en-GB"/>
              </w:rPr>
              <w:t>482</w:t>
            </w:r>
          </w:p>
        </w:tc>
        <w:tc>
          <w:tcPr>
            <w:tcW w:w="2611" w:type="dxa"/>
            <w:tcBorders>
              <w:top w:val="single" w:sz="4" w:space="0" w:color="000000"/>
              <w:left w:val="single" w:sz="4" w:space="0" w:color="000000"/>
              <w:bottom w:val="single" w:sz="4" w:space="0" w:color="000000"/>
              <w:right w:val="single" w:sz="4" w:space="0" w:color="000000"/>
            </w:tcBorders>
          </w:tcPr>
          <w:p w14:paraId="50D68855" w14:textId="77777777" w:rsidR="00316D6C" w:rsidRDefault="00316D6C" w:rsidP="008E425B">
            <w:pPr>
              <w:widowControl w:val="0"/>
            </w:pPr>
            <w:r>
              <w:rPr>
                <w:sz w:val="14"/>
                <w:szCs w:val="14"/>
                <w:lang w:val="en-GB"/>
              </w:rPr>
              <w:t>Antibiotic use</w:t>
            </w:r>
          </w:p>
        </w:tc>
        <w:tc>
          <w:tcPr>
            <w:tcW w:w="6478" w:type="dxa"/>
            <w:tcBorders>
              <w:top w:val="single" w:sz="4" w:space="0" w:color="000000"/>
              <w:left w:val="single" w:sz="4" w:space="0" w:color="000000"/>
              <w:bottom w:val="single" w:sz="4" w:space="0" w:color="000000"/>
              <w:right w:val="single" w:sz="4" w:space="0" w:color="000000"/>
            </w:tcBorders>
          </w:tcPr>
          <w:p w14:paraId="5138F786" w14:textId="77777777" w:rsidR="00316D6C" w:rsidRDefault="00316D6C" w:rsidP="008E425B">
            <w:pPr>
              <w:widowControl w:val="0"/>
            </w:pPr>
            <w:r>
              <w:rPr>
                <w:sz w:val="14"/>
                <w:szCs w:val="14"/>
                <w:lang w:val="en-GB"/>
              </w:rPr>
              <w:t>70.3%, 14.5%, and 2.1% bought antibiotics from pharmacies, chemists, and hawkers respectively. The most consumed antibiotics were Ampicillin/Cloxacillin (54.4%) and Ampicillin (41.7%) with the least consumed being Clindamycin (3.7%)</w:t>
            </w:r>
          </w:p>
        </w:tc>
      </w:tr>
      <w:tr w:rsidR="00316D6C" w14:paraId="2FAB46E2" w14:textId="77777777" w:rsidTr="008E425B">
        <w:trPr>
          <w:trHeight w:val="630"/>
        </w:trPr>
        <w:tc>
          <w:tcPr>
            <w:tcW w:w="1079" w:type="dxa"/>
            <w:vMerge/>
            <w:tcBorders>
              <w:top w:val="single" w:sz="4" w:space="0" w:color="000000"/>
              <w:left w:val="single" w:sz="4" w:space="0" w:color="000000"/>
              <w:bottom w:val="single" w:sz="4" w:space="0" w:color="000000"/>
              <w:right w:val="single" w:sz="4" w:space="0" w:color="000000"/>
            </w:tcBorders>
          </w:tcPr>
          <w:p w14:paraId="7882ADD6"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4853E1BA"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5507877E"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1CE5CE55"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37295963"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485701E2" w14:textId="77777777" w:rsidR="00316D6C" w:rsidRDefault="00316D6C" w:rsidP="008E425B">
            <w:pPr>
              <w:widowControl w:val="0"/>
            </w:pPr>
            <w:r>
              <w:rPr>
                <w:sz w:val="14"/>
                <w:szCs w:val="14"/>
                <w:lang w:val="en-GB"/>
              </w:rPr>
              <w:t>Knowledge of antibiotics and antibiotic resistance</w:t>
            </w:r>
          </w:p>
        </w:tc>
        <w:tc>
          <w:tcPr>
            <w:tcW w:w="6478" w:type="dxa"/>
            <w:tcBorders>
              <w:top w:val="single" w:sz="4" w:space="0" w:color="000000"/>
              <w:left w:val="single" w:sz="4" w:space="0" w:color="000000"/>
              <w:bottom w:val="single" w:sz="4" w:space="0" w:color="000000"/>
              <w:right w:val="single" w:sz="4" w:space="0" w:color="000000"/>
            </w:tcBorders>
          </w:tcPr>
          <w:p w14:paraId="4CF0098D" w14:textId="77777777" w:rsidR="00316D6C" w:rsidRDefault="00316D6C" w:rsidP="008E425B">
            <w:pPr>
              <w:widowControl w:val="0"/>
            </w:pPr>
            <w:r>
              <w:rPr>
                <w:sz w:val="14"/>
                <w:szCs w:val="14"/>
                <w:lang w:val="en-GB"/>
              </w:rPr>
              <w:t>Only 8.3% of respondents had good knowledge with 58.7% and 33% having fair and poor knowledge respectively. The major sources of knowledge were doctors/nurses (50%), pharmacists (31.3%), and family/friends (15.1%).</w:t>
            </w:r>
          </w:p>
        </w:tc>
      </w:tr>
      <w:tr w:rsidR="00316D6C" w14:paraId="3DFD2D1D" w14:textId="77777777" w:rsidTr="008E425B">
        <w:trPr>
          <w:trHeight w:val="360"/>
        </w:trPr>
        <w:tc>
          <w:tcPr>
            <w:tcW w:w="1079" w:type="dxa"/>
            <w:vMerge w:val="restart"/>
            <w:tcBorders>
              <w:top w:val="single" w:sz="4" w:space="0" w:color="000000"/>
              <w:left w:val="single" w:sz="4" w:space="0" w:color="000000"/>
              <w:bottom w:val="single" w:sz="4" w:space="0" w:color="000000"/>
              <w:right w:val="single" w:sz="4" w:space="0" w:color="000000"/>
            </w:tcBorders>
          </w:tcPr>
          <w:p w14:paraId="58CB0BB7" w14:textId="77777777" w:rsidR="00316D6C" w:rsidRDefault="00316D6C" w:rsidP="008E425B">
            <w:pPr>
              <w:widowControl w:val="0"/>
            </w:pPr>
            <w:r>
              <w:rPr>
                <w:sz w:val="14"/>
                <w:szCs w:val="14"/>
              </w:rPr>
              <w:t xml:space="preserve">Chukwu  et al. </w:t>
            </w:r>
            <w:r>
              <w:rPr>
                <w:lang w:val="en-ID"/>
              </w:rPr>
              <w:fldChar w:fldCharType="begin"/>
            </w:r>
            <w:r>
              <w:rPr>
                <w:sz w:val="14"/>
                <w:szCs w:val="14"/>
              </w:rPr>
              <w:instrText xml:space="preserve"> ADDIN ZOTERO_ITEM CSL_CITATION {"citationID":"gFT02pTv","properties":{"formattedCitation":"(52)","plainCitation":"(52)","noteIndex":0},"citationItems":[{"id":"OqG2TLxw/9XjRiPmH","uris":["http://zotero.org/users/local/QGE0TkJv/items/X2T89JJC"],"itemData":{"id":2776,"type":"article-journal","abstract":"Background: Antimicrobial resistance (AMR) is a global problem compromising the effective treatment of infectious diseases. The World Health Organization (WHO) is encouraging and promoting awareness creation among health workers as one of its strategies to reduce the rate of emergence and transmission of AMR. Available data on the prescribing behavior of healthcare workers (HCWs) in Nigeria remains incomplete. This study was designed to provide an up-to-date estimate of the knowledge, attitude and antibiotic prescribing behavior of HCWs in Nigeria. Methods: This is a cross-sectional study. Self-administered questionnaires were distributed to healthcare workers selected from six states, one each from the 6 geopolitical zones in Nigeria. A multi-stage sampling technique was used to reflect the three tiers of healthcare: primary, secondary and tertiary levels. Quantitative data was summarized using descriptive statistics. All data analysis was done using the Statistical package for social sciences version 26.0. Results: Of the 420 questionnaires distributed, 358 (85.2%) responded. The mean year of practice of the respondents was 9.32 ± 7.8 years. About a half (50.3%) agreed that their prescribing behavior could promote antimicrobial resistance. 49.2% had a good knowledge of AMR and physicians had significantly better knowledge than other HCWs (X2 = 69.59, P &amp;lt; 0.001). Several participants prescribed antibiotics for common viral infections such as sore throats (75.7%), measles (37.7%), common cold and flu (21.2%). Over 60.3% admitted prescribing antibiotics just to be on the safe side. In general, 70.9% of the respondents frequently or moderately use practice guidelines while 25.7% often apply the delayed antibiotic prescription (DAP) strategy to reduce antimicrobial prescription. Conclusion: This study reveals an overall moderate level of knowledge of AMR and attitude towards minimizing the emergence of antimicrobial resistance though this did not translate significantly to practice. Further efforts must be made in order to improve rational prescription of antimicrobials among HCWs in Nigeria. © 2020, The Author(s).","archive":"Scopus","container-title":"BMC Infectious Diseases","DOI":"10.1186/s12879-020-05689-x","ISSN":"1471-2334","issue":"1","language":"English","source":"Scopus","title":"Antimicrobial resistance awareness and antibiotic prescribing behavior among healthcare workers in Nigeria: a national survey","title-short":"Antimicrobial resistance awareness and antibiotic prescribing behavior among healthcare workers in Nigeria","volume":"21","author":[{"family":"Chukwu","given":"E.E."},{"family":"Oladele","given":"D.A."},{"family":"Enwuru","given":"C.A."},{"family":"Gogwan","given":"P.L."},{"family":"Abuh","given":"D."},{"family":"Audu","given":"R.A."},{"family":"Ogunsola","given":"F.T."}],"issued":{"date-parts":[["2021"]]}}}],"schema":"https://github.com/citation-style-language/schema/raw/master/csl-citation.json"} </w:instrText>
            </w:r>
            <w:r>
              <w:rPr>
                <w:sz w:val="14"/>
                <w:szCs w:val="14"/>
              </w:rPr>
              <w:fldChar w:fldCharType="separate"/>
            </w:r>
            <w:r>
              <w:rPr>
                <w:sz w:val="14"/>
                <w:szCs w:val="14"/>
              </w:rPr>
              <w:t>(52)</w:t>
            </w:r>
            <w:r>
              <w:rPr>
                <w:sz w:val="14"/>
                <w:szCs w:val="14"/>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008D4D7E" w14:textId="77777777" w:rsidR="00316D6C" w:rsidRDefault="00316D6C" w:rsidP="008E425B">
            <w:pPr>
              <w:widowControl w:val="0"/>
            </w:pPr>
            <w:r>
              <w:rPr>
                <w:sz w:val="14"/>
                <w:szCs w:val="14"/>
                <w:lang w:val="en-GB"/>
              </w:rPr>
              <w:t>June-November, 2019</w:t>
            </w:r>
          </w:p>
        </w:tc>
        <w:tc>
          <w:tcPr>
            <w:tcW w:w="810" w:type="dxa"/>
            <w:vMerge w:val="restart"/>
            <w:tcBorders>
              <w:top w:val="single" w:sz="4" w:space="0" w:color="000000"/>
              <w:left w:val="single" w:sz="4" w:space="0" w:color="000000"/>
              <w:bottom w:val="single" w:sz="4" w:space="0" w:color="000000"/>
              <w:right w:val="single" w:sz="4" w:space="0" w:color="000000"/>
            </w:tcBorders>
          </w:tcPr>
          <w:p w14:paraId="47E27E5D" w14:textId="77777777" w:rsidR="00316D6C" w:rsidRDefault="00316D6C" w:rsidP="008E425B">
            <w:pPr>
              <w:widowControl w:val="0"/>
            </w:pPr>
            <w:r>
              <w:rPr>
                <w:sz w:val="14"/>
                <w:szCs w:val="14"/>
                <w:lang w:val="en-GB"/>
              </w:rPr>
              <w:t>Nigeria</w:t>
            </w:r>
          </w:p>
        </w:tc>
        <w:tc>
          <w:tcPr>
            <w:tcW w:w="1440" w:type="dxa"/>
            <w:vMerge w:val="restart"/>
            <w:tcBorders>
              <w:top w:val="single" w:sz="4" w:space="0" w:color="000000"/>
              <w:left w:val="single" w:sz="4" w:space="0" w:color="000000"/>
              <w:bottom w:val="single" w:sz="4" w:space="0" w:color="000000"/>
              <w:right w:val="single" w:sz="4" w:space="0" w:color="000000"/>
            </w:tcBorders>
          </w:tcPr>
          <w:p w14:paraId="57169A57" w14:textId="77777777" w:rsidR="00316D6C" w:rsidRDefault="00316D6C" w:rsidP="008E425B">
            <w:pPr>
              <w:widowControl w:val="0"/>
            </w:pPr>
            <w:r>
              <w:rPr>
                <w:sz w:val="14"/>
                <w:szCs w:val="14"/>
                <w:lang w:val="en-GB"/>
              </w:rPr>
              <w:t>Health workers</w:t>
            </w:r>
          </w:p>
        </w:tc>
        <w:tc>
          <w:tcPr>
            <w:tcW w:w="990" w:type="dxa"/>
            <w:vMerge w:val="restart"/>
            <w:tcBorders>
              <w:top w:val="single" w:sz="4" w:space="0" w:color="000000"/>
              <w:left w:val="single" w:sz="4" w:space="0" w:color="000000"/>
              <w:bottom w:val="single" w:sz="4" w:space="0" w:color="000000"/>
              <w:right w:val="single" w:sz="4" w:space="0" w:color="000000"/>
            </w:tcBorders>
          </w:tcPr>
          <w:p w14:paraId="192BD7C5" w14:textId="77777777" w:rsidR="00316D6C" w:rsidRDefault="00316D6C" w:rsidP="008E425B">
            <w:pPr>
              <w:widowControl w:val="0"/>
            </w:pPr>
            <w:r>
              <w:rPr>
                <w:sz w:val="14"/>
                <w:szCs w:val="14"/>
                <w:lang w:val="en-GB"/>
              </w:rPr>
              <w:t>358</w:t>
            </w:r>
          </w:p>
        </w:tc>
        <w:tc>
          <w:tcPr>
            <w:tcW w:w="2611" w:type="dxa"/>
            <w:tcBorders>
              <w:top w:val="single" w:sz="4" w:space="0" w:color="000000"/>
              <w:left w:val="single" w:sz="4" w:space="0" w:color="000000"/>
              <w:bottom w:val="single" w:sz="4" w:space="0" w:color="000000"/>
              <w:right w:val="single" w:sz="4" w:space="0" w:color="000000"/>
            </w:tcBorders>
          </w:tcPr>
          <w:p w14:paraId="42016414" w14:textId="77777777" w:rsidR="00316D6C" w:rsidRDefault="00316D6C" w:rsidP="008E425B">
            <w:pPr>
              <w:widowControl w:val="0"/>
            </w:pPr>
            <w:r>
              <w:rPr>
                <w:sz w:val="14"/>
                <w:szCs w:val="14"/>
                <w:lang w:val="en-GB"/>
              </w:rPr>
              <w:t>Awareness of AMR</w:t>
            </w:r>
          </w:p>
        </w:tc>
        <w:tc>
          <w:tcPr>
            <w:tcW w:w="6478" w:type="dxa"/>
            <w:tcBorders>
              <w:top w:val="single" w:sz="4" w:space="0" w:color="000000"/>
              <w:left w:val="single" w:sz="4" w:space="0" w:color="000000"/>
              <w:bottom w:val="single" w:sz="4" w:space="0" w:color="000000"/>
              <w:right w:val="single" w:sz="4" w:space="0" w:color="000000"/>
            </w:tcBorders>
          </w:tcPr>
          <w:p w14:paraId="4A691FFE" w14:textId="77777777" w:rsidR="00316D6C" w:rsidRDefault="00316D6C" w:rsidP="008E425B">
            <w:pPr>
              <w:widowControl w:val="0"/>
            </w:pPr>
            <w:r>
              <w:rPr>
                <w:sz w:val="14"/>
                <w:szCs w:val="14"/>
                <w:lang w:val="en-GB"/>
              </w:rPr>
              <w:t>85.2% believed that AMR was relevant to their work.</w:t>
            </w:r>
          </w:p>
        </w:tc>
      </w:tr>
      <w:tr w:rsidR="00316D6C" w14:paraId="3DDC1409" w14:textId="77777777" w:rsidTr="008E425B">
        <w:trPr>
          <w:trHeight w:val="270"/>
        </w:trPr>
        <w:tc>
          <w:tcPr>
            <w:tcW w:w="1079" w:type="dxa"/>
            <w:vMerge/>
            <w:tcBorders>
              <w:top w:val="single" w:sz="4" w:space="0" w:color="000000"/>
              <w:left w:val="single" w:sz="4" w:space="0" w:color="000000"/>
              <w:bottom w:val="single" w:sz="4" w:space="0" w:color="000000"/>
              <w:right w:val="single" w:sz="4" w:space="0" w:color="000000"/>
            </w:tcBorders>
          </w:tcPr>
          <w:p w14:paraId="34B88335"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258E61A5"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6244C52A"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034CCE61"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349604DA"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7A450014" w14:textId="77777777" w:rsidR="00316D6C" w:rsidRDefault="00316D6C" w:rsidP="008E425B">
            <w:pPr>
              <w:widowControl w:val="0"/>
            </w:pPr>
            <w:r>
              <w:rPr>
                <w:sz w:val="14"/>
                <w:szCs w:val="14"/>
                <w:lang w:val="en-GB"/>
              </w:rPr>
              <w:t>Knowledge of AMR</w:t>
            </w:r>
          </w:p>
        </w:tc>
        <w:tc>
          <w:tcPr>
            <w:tcW w:w="6478" w:type="dxa"/>
            <w:tcBorders>
              <w:top w:val="single" w:sz="4" w:space="0" w:color="000000"/>
              <w:left w:val="single" w:sz="4" w:space="0" w:color="000000"/>
              <w:bottom w:val="single" w:sz="4" w:space="0" w:color="000000"/>
              <w:right w:val="single" w:sz="4" w:space="0" w:color="000000"/>
            </w:tcBorders>
          </w:tcPr>
          <w:p w14:paraId="4420EACA" w14:textId="77777777" w:rsidR="00316D6C" w:rsidRDefault="00316D6C" w:rsidP="008E425B">
            <w:pPr>
              <w:widowControl w:val="0"/>
            </w:pPr>
            <w:r>
              <w:rPr>
                <w:sz w:val="14"/>
                <w:szCs w:val="14"/>
                <w:lang w:val="en-GB"/>
              </w:rPr>
              <w:t>49.2%, 47.2%, and 3.6% had good, fair, and poor knowledge respectively.</w:t>
            </w:r>
          </w:p>
        </w:tc>
      </w:tr>
      <w:tr w:rsidR="00316D6C" w14:paraId="39FAF31B" w14:textId="77777777" w:rsidTr="008E425B">
        <w:trPr>
          <w:trHeight w:val="620"/>
        </w:trPr>
        <w:tc>
          <w:tcPr>
            <w:tcW w:w="1079" w:type="dxa"/>
            <w:vMerge/>
            <w:tcBorders>
              <w:top w:val="single" w:sz="4" w:space="0" w:color="000000"/>
              <w:left w:val="single" w:sz="4" w:space="0" w:color="000000"/>
              <w:bottom w:val="single" w:sz="4" w:space="0" w:color="000000"/>
              <w:right w:val="single" w:sz="4" w:space="0" w:color="000000"/>
            </w:tcBorders>
          </w:tcPr>
          <w:p w14:paraId="3EF97024"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024FEAE0"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4EF24607"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3F754C4B"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11FCAA3F"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251BF3ED" w14:textId="77777777" w:rsidR="00316D6C" w:rsidRDefault="00316D6C" w:rsidP="008E425B">
            <w:pPr>
              <w:widowControl w:val="0"/>
            </w:pPr>
            <w:r>
              <w:rPr>
                <w:sz w:val="14"/>
                <w:szCs w:val="14"/>
                <w:lang w:val="en-GB"/>
              </w:rPr>
              <w:t>Prescribing behaviour</w:t>
            </w:r>
          </w:p>
        </w:tc>
        <w:tc>
          <w:tcPr>
            <w:tcW w:w="6478" w:type="dxa"/>
            <w:tcBorders>
              <w:top w:val="single" w:sz="4" w:space="0" w:color="000000"/>
              <w:left w:val="single" w:sz="4" w:space="0" w:color="000000"/>
              <w:bottom w:val="single" w:sz="4" w:space="0" w:color="000000"/>
              <w:right w:val="single" w:sz="4" w:space="0" w:color="000000"/>
            </w:tcBorders>
          </w:tcPr>
          <w:p w14:paraId="3C69980D" w14:textId="77777777" w:rsidR="00316D6C" w:rsidRDefault="00316D6C" w:rsidP="008E425B">
            <w:pPr>
              <w:widowControl w:val="0"/>
            </w:pPr>
            <w:r>
              <w:rPr>
                <w:sz w:val="14"/>
                <w:szCs w:val="14"/>
                <w:lang w:val="en-GB"/>
              </w:rPr>
              <w:t xml:space="preserve">Antibiotics were prescribed for common viral infections such as sore throats (75.7%), measles (37.7%), common cold and flu (21.2%). </w:t>
            </w:r>
            <w:r>
              <w:rPr>
                <w:sz w:val="14"/>
                <w:szCs w:val="14"/>
              </w:rPr>
              <w:t>70.9%</w:t>
            </w:r>
            <w:r>
              <w:rPr>
                <w:sz w:val="14"/>
                <w:szCs w:val="14"/>
                <w:lang w:val="en-GB"/>
              </w:rPr>
              <w:t xml:space="preserve"> </w:t>
            </w:r>
            <w:r>
              <w:rPr>
                <w:sz w:val="14"/>
                <w:szCs w:val="14"/>
              </w:rPr>
              <w:t>frequently or moderately use</w:t>
            </w:r>
            <w:r>
              <w:rPr>
                <w:sz w:val="14"/>
                <w:szCs w:val="14"/>
                <w:lang w:val="en-GB"/>
              </w:rPr>
              <w:t xml:space="preserve">d </w:t>
            </w:r>
            <w:r>
              <w:rPr>
                <w:sz w:val="14"/>
                <w:szCs w:val="14"/>
              </w:rPr>
              <w:t xml:space="preserve">practice guidelines while 25.7% </w:t>
            </w:r>
            <w:r>
              <w:rPr>
                <w:sz w:val="14"/>
                <w:szCs w:val="14"/>
                <w:lang w:val="en-GB"/>
              </w:rPr>
              <w:t xml:space="preserve">adopted </w:t>
            </w:r>
            <w:r>
              <w:rPr>
                <w:sz w:val="14"/>
                <w:szCs w:val="14"/>
              </w:rPr>
              <w:t>the delayed antibiotic prescription (DAP) strategy to reduce antimicrobial prescription.</w:t>
            </w:r>
          </w:p>
        </w:tc>
      </w:tr>
      <w:tr w:rsidR="00316D6C" w14:paraId="0A44FC19" w14:textId="77777777" w:rsidTr="008E425B">
        <w:trPr>
          <w:trHeight w:val="640"/>
        </w:trPr>
        <w:tc>
          <w:tcPr>
            <w:tcW w:w="1079" w:type="dxa"/>
            <w:tcBorders>
              <w:top w:val="single" w:sz="4" w:space="0" w:color="000000"/>
              <w:left w:val="single" w:sz="4" w:space="0" w:color="000000"/>
              <w:bottom w:val="single" w:sz="4" w:space="0" w:color="000000"/>
              <w:right w:val="single" w:sz="4" w:space="0" w:color="000000"/>
            </w:tcBorders>
          </w:tcPr>
          <w:p w14:paraId="6B4D181D" w14:textId="77777777" w:rsidR="00316D6C" w:rsidRDefault="00316D6C" w:rsidP="008E425B">
            <w:pPr>
              <w:widowControl w:val="0"/>
            </w:pPr>
            <w:r>
              <w:rPr>
                <w:sz w:val="14"/>
                <w:szCs w:val="14"/>
              </w:rPr>
              <w:lastRenderedPageBreak/>
              <w:t xml:space="preserve">Donkor  et al. </w:t>
            </w:r>
            <w:r>
              <w:rPr>
                <w:lang w:val="en-ID"/>
              </w:rPr>
              <w:fldChar w:fldCharType="begin"/>
            </w:r>
            <w:r>
              <w:rPr>
                <w:sz w:val="14"/>
                <w:szCs w:val="14"/>
              </w:rPr>
              <w:instrText xml:space="preserve"> ADDIN ZOTERO_ITEM CSL_CITATION {"citationID":"jLuwSLT5","properties":{"formattedCitation":"(78)","plainCitation":"(78)","noteIndex":0},"citationItems":[{"id":"OqG2TLxw/WACK2cVD","uris":["http://zotero.org/users/local/QGE0TkJv/items/CMA8S557"],"itemData":{"id":2697,"type":"article-journal","abstract":"The study was carried out to estimate the prevalence of self-medication with antibiotics among tertiary level students in Accra (Ghana) and evaluate factors associated with the practice. This was a descriptive cross-sectional study and involved face-to-face interviews of 600 respondents selected by convenient sampling. Prevalence of self medication was 70% (95% CI: 66.3–73.7), and the practice was significantly lower among medically inclined students (OR: 0.2, 95% CI: 0.1–0.4, p &lt; 0.001). Among the respondents who practiced self medication, the most common frequency of antibiotic usage was at intervals of one month (30%, 95% CI: 25.6–34.4%), and the most common antibiotic used was amoxacillin (23.9%, 95% CI: 21.0–26.8%). Treatment failure were reported by 35% (95% CI: 30.5–39.6%) of the respondents, and the main reasons cited for self medication were that, it was less expensive compared to medical care in the hospital and secondly, medical care in hospitals were associated with long delays. Forty nine percent (95% CI: 44.2–53.8%) of the respondents had poor knowledge about the health implications of irrational use of antibiotics, and 46% (95% CI: 41.2–50.8%) did not comply with the completion of the full course of antibiotics. Self medication among tertiary students in Accra is an important public health problem and this may reflect the situation among tertiary students in the whole of Ghana.","container-title":"International Journal of Environmental Research and Public Health","DOI":"10.3390/ijerph9103519","ISSN":"1660-4601","issue":"10","language":"en","page":"3519-3529","source":"www.mdpi.com","title":"Self-Medication Practices with Antibiotics among Tertiary Level Students in Accra, Ghana: A Cross-Sectional Study","title-short":"Self-Medication Practices with Antibiotics among Tertiary Level Students in Accra, Ghana","volume":"9","author":[{"family":"Donkor","given":"Eric S."},{"family":"Tetteh-Quarcoo","given":"Patience B."},{"family":"Nartey","given":"Patrick"},{"family":"Agyeman","given":"Isaac O."}],"issued":{"date-parts":[["2012",10]]}}}],"schema":"https://github.com/citation-style-language/schema/raw/master/csl-citation.json"} </w:instrText>
            </w:r>
            <w:r>
              <w:rPr>
                <w:sz w:val="14"/>
                <w:szCs w:val="14"/>
              </w:rPr>
              <w:fldChar w:fldCharType="separate"/>
            </w:r>
            <w:r>
              <w:rPr>
                <w:sz w:val="14"/>
                <w:szCs w:val="14"/>
              </w:rPr>
              <w:t>(78)</w:t>
            </w:r>
            <w:r>
              <w:rPr>
                <w:sz w:val="14"/>
                <w:szCs w:val="14"/>
              </w:rPr>
              <w:fldChar w:fldCharType="end"/>
            </w:r>
          </w:p>
        </w:tc>
        <w:tc>
          <w:tcPr>
            <w:tcW w:w="1081" w:type="dxa"/>
            <w:tcBorders>
              <w:top w:val="single" w:sz="4" w:space="0" w:color="000000"/>
              <w:left w:val="single" w:sz="4" w:space="0" w:color="000000"/>
              <w:bottom w:val="single" w:sz="4" w:space="0" w:color="000000"/>
              <w:right w:val="single" w:sz="4" w:space="0" w:color="000000"/>
            </w:tcBorders>
          </w:tcPr>
          <w:p w14:paraId="07A3116A" w14:textId="77777777" w:rsidR="00316D6C" w:rsidRDefault="00316D6C" w:rsidP="008E425B">
            <w:pPr>
              <w:widowControl w:val="0"/>
            </w:pPr>
            <w:proofErr w:type="gramStart"/>
            <w:r>
              <w:rPr>
                <w:sz w:val="14"/>
                <w:szCs w:val="14"/>
                <w:lang w:val="en-GB"/>
              </w:rPr>
              <w:t>September,</w:t>
            </w:r>
            <w:proofErr w:type="gramEnd"/>
            <w:r>
              <w:rPr>
                <w:sz w:val="14"/>
                <w:szCs w:val="14"/>
                <w:lang w:val="en-GB"/>
              </w:rPr>
              <w:t xml:space="preserve"> 2007-April, 2008</w:t>
            </w:r>
          </w:p>
        </w:tc>
        <w:tc>
          <w:tcPr>
            <w:tcW w:w="810" w:type="dxa"/>
            <w:tcBorders>
              <w:top w:val="single" w:sz="4" w:space="0" w:color="000000"/>
              <w:left w:val="single" w:sz="4" w:space="0" w:color="000000"/>
              <w:bottom w:val="single" w:sz="4" w:space="0" w:color="000000"/>
              <w:right w:val="single" w:sz="4" w:space="0" w:color="000000"/>
            </w:tcBorders>
          </w:tcPr>
          <w:p w14:paraId="15DFD32C" w14:textId="77777777" w:rsidR="00316D6C" w:rsidRDefault="00316D6C" w:rsidP="008E425B">
            <w:pPr>
              <w:widowControl w:val="0"/>
            </w:pPr>
            <w:r>
              <w:rPr>
                <w:sz w:val="14"/>
                <w:szCs w:val="14"/>
                <w:lang w:val="en-GB"/>
              </w:rPr>
              <w:t>Ghana</w:t>
            </w:r>
          </w:p>
        </w:tc>
        <w:tc>
          <w:tcPr>
            <w:tcW w:w="1440" w:type="dxa"/>
            <w:tcBorders>
              <w:top w:val="single" w:sz="4" w:space="0" w:color="000000"/>
              <w:left w:val="single" w:sz="4" w:space="0" w:color="000000"/>
              <w:bottom w:val="single" w:sz="4" w:space="0" w:color="000000"/>
              <w:right w:val="single" w:sz="4" w:space="0" w:color="000000"/>
            </w:tcBorders>
          </w:tcPr>
          <w:p w14:paraId="46B4F349" w14:textId="77777777" w:rsidR="00316D6C" w:rsidRDefault="00316D6C" w:rsidP="008E425B">
            <w:pPr>
              <w:widowControl w:val="0"/>
            </w:pPr>
            <w:r>
              <w:rPr>
                <w:sz w:val="14"/>
                <w:szCs w:val="14"/>
                <w:lang w:val="en-GB"/>
              </w:rPr>
              <w:t>Tertiary students</w:t>
            </w:r>
          </w:p>
        </w:tc>
        <w:tc>
          <w:tcPr>
            <w:tcW w:w="990" w:type="dxa"/>
            <w:tcBorders>
              <w:top w:val="single" w:sz="4" w:space="0" w:color="000000"/>
              <w:left w:val="single" w:sz="4" w:space="0" w:color="000000"/>
              <w:bottom w:val="single" w:sz="4" w:space="0" w:color="000000"/>
              <w:right w:val="single" w:sz="4" w:space="0" w:color="000000"/>
            </w:tcBorders>
          </w:tcPr>
          <w:p w14:paraId="26E6091E" w14:textId="77777777" w:rsidR="00316D6C" w:rsidRDefault="00316D6C" w:rsidP="008E425B">
            <w:pPr>
              <w:widowControl w:val="0"/>
            </w:pPr>
            <w:r>
              <w:rPr>
                <w:sz w:val="14"/>
                <w:szCs w:val="14"/>
                <w:lang w:val="en-GB"/>
              </w:rPr>
              <w:t>600</w:t>
            </w:r>
          </w:p>
        </w:tc>
        <w:tc>
          <w:tcPr>
            <w:tcW w:w="2611" w:type="dxa"/>
            <w:tcBorders>
              <w:top w:val="single" w:sz="4" w:space="0" w:color="000000"/>
              <w:left w:val="single" w:sz="4" w:space="0" w:color="000000"/>
              <w:bottom w:val="single" w:sz="4" w:space="0" w:color="000000"/>
              <w:right w:val="single" w:sz="4" w:space="0" w:color="000000"/>
            </w:tcBorders>
          </w:tcPr>
          <w:p w14:paraId="61F89651" w14:textId="77777777" w:rsidR="00316D6C" w:rsidRDefault="00316D6C" w:rsidP="008E425B">
            <w:pPr>
              <w:widowControl w:val="0"/>
            </w:pPr>
            <w:r>
              <w:rPr>
                <w:sz w:val="14"/>
                <w:szCs w:val="14"/>
                <w:lang w:val="en-GB"/>
              </w:rPr>
              <w:t>Self-medication</w:t>
            </w:r>
          </w:p>
        </w:tc>
        <w:tc>
          <w:tcPr>
            <w:tcW w:w="6478" w:type="dxa"/>
            <w:tcBorders>
              <w:top w:val="single" w:sz="4" w:space="0" w:color="000000"/>
              <w:left w:val="single" w:sz="4" w:space="0" w:color="000000"/>
              <w:bottom w:val="single" w:sz="4" w:space="0" w:color="000000"/>
              <w:right w:val="single" w:sz="4" w:space="0" w:color="000000"/>
            </w:tcBorders>
          </w:tcPr>
          <w:p w14:paraId="18AB9A23" w14:textId="77777777" w:rsidR="00316D6C" w:rsidRDefault="00316D6C" w:rsidP="008E425B">
            <w:pPr>
              <w:widowControl w:val="0"/>
            </w:pPr>
            <w:r>
              <w:rPr>
                <w:sz w:val="14"/>
                <w:szCs w:val="14"/>
                <w:lang w:val="en-GB"/>
              </w:rPr>
              <w:t>70% of respondents self-medicated with antibiotics with the majority (30%) doing it at 1month interval frequency. The major reasons were cost-effectiveness compared to hospital care (40.5%), and long delays in assessing hospital care (40.5%).</w:t>
            </w:r>
          </w:p>
        </w:tc>
      </w:tr>
      <w:tr w:rsidR="00316D6C" w14:paraId="23B2F8C0" w14:textId="77777777" w:rsidTr="008E425B">
        <w:trPr>
          <w:trHeight w:val="268"/>
        </w:trPr>
        <w:tc>
          <w:tcPr>
            <w:tcW w:w="1079" w:type="dxa"/>
            <w:vMerge w:val="restart"/>
            <w:tcBorders>
              <w:top w:val="single" w:sz="4" w:space="0" w:color="000000"/>
              <w:left w:val="single" w:sz="4" w:space="0" w:color="000000"/>
              <w:bottom w:val="single" w:sz="4" w:space="0" w:color="000000"/>
              <w:right w:val="single" w:sz="4" w:space="0" w:color="000000"/>
            </w:tcBorders>
          </w:tcPr>
          <w:p w14:paraId="1387F439" w14:textId="77777777" w:rsidR="00316D6C" w:rsidRDefault="00316D6C" w:rsidP="008E425B">
            <w:pPr>
              <w:widowControl w:val="0"/>
            </w:pPr>
            <w:proofErr w:type="spellStart"/>
            <w:r>
              <w:rPr>
                <w:sz w:val="14"/>
                <w:szCs w:val="14"/>
              </w:rPr>
              <w:t>Effah</w:t>
            </w:r>
            <w:proofErr w:type="spellEnd"/>
            <w:r>
              <w:rPr>
                <w:sz w:val="14"/>
                <w:szCs w:val="14"/>
              </w:rPr>
              <w:t xml:space="preserve">  et al. </w:t>
            </w:r>
            <w:r>
              <w:rPr>
                <w:lang w:val="en-ID"/>
              </w:rPr>
              <w:fldChar w:fldCharType="begin"/>
            </w:r>
            <w:r>
              <w:rPr>
                <w:sz w:val="14"/>
                <w:szCs w:val="14"/>
              </w:rPr>
              <w:instrText xml:space="preserve"> ADDIN ZOTERO_ITEM CSL_CITATION {"citationID":"FZdke04h","properties":{"formattedCitation":"(54)","plainCitation":"(54)","noteIndex":0},"citationItems":[{"id":"OqG2TLxw/HSdDGBhC","uris":["http://zotero.org/users/local/QGE0TkJv/items/QQUC39ZM"],"itemData":{"id":2691,"type":"article-journal","abstract":"This study was designed to assess the awareness and knowledge of antibiotic usage and antibiotic resistance among the general public in the Cape Coast metropolis of Ghana. It also tries to decipher whether the level of education and the professional status of an individual has a positive association with the level of knowledge on antibiotic resistance.","container-title":"Antimicrobial Resistance &amp; Infection Control","DOI":"10.1186/s13756-020-00768-9","ISSN":"2047-2994","issue":"1","journalAbbreviation":"Antimicrobial Resistance &amp; Infection Control","page":"105","source":"BioMed Central","title":"A population-base survey on knowledge, attitude and awareness of the general public on antibiotic use and resistance","volume":"9","author":[{"family":"Effah","given":"Clement Yaw"},{"family":"Amoah","given":"Adwoa Nyantakyiwaa"},{"family":"Liu","given":"Hong"},{"family":"Agboyibor","given":"Clement"},{"family":"Miao","given":"Lijun"},{"family":"Wang","given":"Jing"},{"family":"Wu","given":"Yongjun"}],"issued":{"date-parts":[["2020",7,11]]}}}],"schema":"https://github.com/citation-style-language/schema/raw/master/csl-citation.json"} </w:instrText>
            </w:r>
            <w:r>
              <w:rPr>
                <w:sz w:val="14"/>
                <w:szCs w:val="14"/>
              </w:rPr>
              <w:fldChar w:fldCharType="separate"/>
            </w:r>
            <w:r>
              <w:rPr>
                <w:sz w:val="14"/>
                <w:szCs w:val="14"/>
              </w:rPr>
              <w:t>(54)</w:t>
            </w:r>
            <w:r>
              <w:rPr>
                <w:sz w:val="14"/>
                <w:szCs w:val="14"/>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61B0D777" w14:textId="77777777" w:rsidR="00316D6C" w:rsidRDefault="00316D6C" w:rsidP="008E425B">
            <w:pPr>
              <w:widowControl w:val="0"/>
            </w:pPr>
            <w:r>
              <w:rPr>
                <w:sz w:val="14"/>
                <w:szCs w:val="14"/>
                <w:lang w:val="en-GB"/>
              </w:rPr>
              <w:t>August-November, 2019</w:t>
            </w:r>
          </w:p>
        </w:tc>
        <w:tc>
          <w:tcPr>
            <w:tcW w:w="810" w:type="dxa"/>
            <w:vMerge w:val="restart"/>
            <w:tcBorders>
              <w:top w:val="single" w:sz="4" w:space="0" w:color="000000"/>
              <w:left w:val="single" w:sz="4" w:space="0" w:color="000000"/>
              <w:bottom w:val="single" w:sz="4" w:space="0" w:color="000000"/>
              <w:right w:val="single" w:sz="4" w:space="0" w:color="000000"/>
            </w:tcBorders>
          </w:tcPr>
          <w:p w14:paraId="5846E93D" w14:textId="77777777" w:rsidR="00316D6C" w:rsidRDefault="00316D6C" w:rsidP="008E425B">
            <w:pPr>
              <w:widowControl w:val="0"/>
            </w:pPr>
            <w:r>
              <w:rPr>
                <w:sz w:val="14"/>
                <w:szCs w:val="14"/>
                <w:lang w:val="en-GB"/>
              </w:rPr>
              <w:t>Ghana</w:t>
            </w:r>
          </w:p>
        </w:tc>
        <w:tc>
          <w:tcPr>
            <w:tcW w:w="1440" w:type="dxa"/>
            <w:vMerge w:val="restart"/>
            <w:tcBorders>
              <w:top w:val="single" w:sz="4" w:space="0" w:color="000000"/>
              <w:left w:val="single" w:sz="4" w:space="0" w:color="000000"/>
              <w:bottom w:val="single" w:sz="4" w:space="0" w:color="000000"/>
              <w:right w:val="single" w:sz="4" w:space="0" w:color="000000"/>
            </w:tcBorders>
          </w:tcPr>
          <w:p w14:paraId="336EB06A" w14:textId="77777777" w:rsidR="00316D6C" w:rsidRDefault="00316D6C" w:rsidP="008E425B">
            <w:pPr>
              <w:widowControl w:val="0"/>
            </w:pPr>
            <w:r>
              <w:rPr>
                <w:sz w:val="14"/>
                <w:szCs w:val="14"/>
                <w:lang w:val="en-GB"/>
              </w:rPr>
              <w:t>General public</w:t>
            </w:r>
          </w:p>
        </w:tc>
        <w:tc>
          <w:tcPr>
            <w:tcW w:w="990" w:type="dxa"/>
            <w:vMerge w:val="restart"/>
            <w:tcBorders>
              <w:top w:val="single" w:sz="4" w:space="0" w:color="000000"/>
              <w:left w:val="single" w:sz="4" w:space="0" w:color="000000"/>
              <w:bottom w:val="single" w:sz="4" w:space="0" w:color="000000"/>
              <w:right w:val="single" w:sz="4" w:space="0" w:color="000000"/>
            </w:tcBorders>
          </w:tcPr>
          <w:p w14:paraId="38729186" w14:textId="77777777" w:rsidR="00316D6C" w:rsidRDefault="00316D6C" w:rsidP="008E425B">
            <w:pPr>
              <w:widowControl w:val="0"/>
            </w:pPr>
            <w:r>
              <w:rPr>
                <w:sz w:val="14"/>
                <w:szCs w:val="14"/>
                <w:lang w:val="en-GB"/>
              </w:rPr>
              <w:t>632</w:t>
            </w:r>
          </w:p>
        </w:tc>
        <w:tc>
          <w:tcPr>
            <w:tcW w:w="2611" w:type="dxa"/>
            <w:tcBorders>
              <w:top w:val="single" w:sz="4" w:space="0" w:color="000000"/>
              <w:left w:val="single" w:sz="4" w:space="0" w:color="000000"/>
              <w:bottom w:val="single" w:sz="4" w:space="0" w:color="000000"/>
              <w:right w:val="single" w:sz="4" w:space="0" w:color="000000"/>
            </w:tcBorders>
          </w:tcPr>
          <w:p w14:paraId="1E45924E" w14:textId="77777777" w:rsidR="00316D6C" w:rsidRDefault="00316D6C" w:rsidP="008E425B">
            <w:pPr>
              <w:widowControl w:val="0"/>
            </w:pPr>
            <w:r>
              <w:rPr>
                <w:sz w:val="14"/>
                <w:szCs w:val="14"/>
                <w:lang w:val="en-GB"/>
              </w:rPr>
              <w:t>Knowledge of antibiotic use and resistance</w:t>
            </w:r>
          </w:p>
        </w:tc>
        <w:tc>
          <w:tcPr>
            <w:tcW w:w="6478" w:type="dxa"/>
            <w:tcBorders>
              <w:top w:val="single" w:sz="4" w:space="0" w:color="000000"/>
              <w:left w:val="single" w:sz="4" w:space="0" w:color="000000"/>
              <w:bottom w:val="single" w:sz="4" w:space="0" w:color="000000"/>
              <w:right w:val="single" w:sz="4" w:space="0" w:color="000000"/>
            </w:tcBorders>
          </w:tcPr>
          <w:p w14:paraId="6E0A7EE5" w14:textId="77777777" w:rsidR="00316D6C" w:rsidRDefault="00316D6C" w:rsidP="008E425B">
            <w:pPr>
              <w:widowControl w:val="0"/>
            </w:pPr>
            <w:r>
              <w:rPr>
                <w:sz w:val="14"/>
                <w:szCs w:val="14"/>
                <w:lang w:val="en-GB"/>
              </w:rPr>
              <w:t>25%, 40%, and 35% had low, moderate, and high knowledge. 75.9% were aware of the development of resistance against antibiotics by bacteria, and 34.8% and 33.7% knew that antibiotic-resistant bacteria could be transferred among persons and between animals and humans respectively.</w:t>
            </w:r>
          </w:p>
        </w:tc>
      </w:tr>
      <w:tr w:rsidR="00316D6C" w14:paraId="043AE97B" w14:textId="77777777" w:rsidTr="008E425B">
        <w:trPr>
          <w:trHeight w:val="587"/>
        </w:trPr>
        <w:tc>
          <w:tcPr>
            <w:tcW w:w="1079" w:type="dxa"/>
            <w:vMerge/>
            <w:tcBorders>
              <w:top w:val="single" w:sz="4" w:space="0" w:color="000000"/>
              <w:left w:val="single" w:sz="4" w:space="0" w:color="000000"/>
              <w:bottom w:val="single" w:sz="4" w:space="0" w:color="000000"/>
              <w:right w:val="single" w:sz="4" w:space="0" w:color="000000"/>
            </w:tcBorders>
          </w:tcPr>
          <w:p w14:paraId="23FDA469"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54990EA2"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0ED3496D"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5AB495A4"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5CDD9383"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3B70E7C0" w14:textId="77777777" w:rsidR="00316D6C" w:rsidRDefault="00316D6C" w:rsidP="008E425B">
            <w:pPr>
              <w:widowControl w:val="0"/>
            </w:pPr>
            <w:r>
              <w:rPr>
                <w:sz w:val="14"/>
                <w:szCs w:val="14"/>
                <w:lang w:val="en-GB"/>
              </w:rPr>
              <w:t>Attitude towards antibiotic use and resistance</w:t>
            </w:r>
          </w:p>
        </w:tc>
        <w:tc>
          <w:tcPr>
            <w:tcW w:w="6478" w:type="dxa"/>
            <w:tcBorders>
              <w:top w:val="single" w:sz="4" w:space="0" w:color="000000"/>
              <w:left w:val="single" w:sz="4" w:space="0" w:color="000000"/>
              <w:bottom w:val="single" w:sz="4" w:space="0" w:color="000000"/>
              <w:right w:val="single" w:sz="4" w:space="0" w:color="000000"/>
            </w:tcBorders>
          </w:tcPr>
          <w:p w14:paraId="75777E73" w14:textId="77777777" w:rsidR="00316D6C" w:rsidRDefault="00316D6C" w:rsidP="008E425B">
            <w:pPr>
              <w:widowControl w:val="0"/>
            </w:pPr>
            <w:r>
              <w:rPr>
                <w:sz w:val="14"/>
                <w:szCs w:val="14"/>
                <w:lang w:val="en-GB"/>
              </w:rPr>
              <w:t>39.7% waited to see if their infections would go away without medication, 62.2% relied on hand hygiene to reduce the spread of common infections and 73.1% used a doctor’s prescription to buy antibiotics from pharmacies.</w:t>
            </w:r>
          </w:p>
        </w:tc>
      </w:tr>
      <w:tr w:rsidR="00316D6C" w14:paraId="576C4364" w14:textId="77777777" w:rsidTr="008E425B">
        <w:trPr>
          <w:trHeight w:val="401"/>
        </w:trPr>
        <w:tc>
          <w:tcPr>
            <w:tcW w:w="1079" w:type="dxa"/>
            <w:vMerge w:val="restart"/>
            <w:tcBorders>
              <w:top w:val="single" w:sz="4" w:space="0" w:color="000000"/>
              <w:left w:val="single" w:sz="4" w:space="0" w:color="000000"/>
              <w:bottom w:val="single" w:sz="4" w:space="0" w:color="000000"/>
              <w:right w:val="single" w:sz="4" w:space="0" w:color="000000"/>
            </w:tcBorders>
          </w:tcPr>
          <w:p w14:paraId="631BD625" w14:textId="77777777" w:rsidR="00316D6C" w:rsidRDefault="00316D6C" w:rsidP="008E425B">
            <w:pPr>
              <w:widowControl w:val="0"/>
            </w:pPr>
            <w:proofErr w:type="spellStart"/>
            <w:r>
              <w:rPr>
                <w:sz w:val="14"/>
                <w:szCs w:val="14"/>
              </w:rPr>
              <w:t>Kretchy</w:t>
            </w:r>
            <w:proofErr w:type="spellEnd"/>
            <w:r>
              <w:rPr>
                <w:sz w:val="14"/>
                <w:szCs w:val="14"/>
              </w:rPr>
              <w:t xml:space="preserve">  et al. </w:t>
            </w:r>
            <w:r>
              <w:rPr>
                <w:lang w:val="en-ID"/>
              </w:rPr>
              <w:fldChar w:fldCharType="begin"/>
            </w:r>
            <w:r>
              <w:rPr>
                <w:sz w:val="14"/>
                <w:szCs w:val="14"/>
              </w:rPr>
              <w:instrText xml:space="preserve"> ADDIN ZOTERO_ITEM CSL_CITATION {"citationID":"jx75Qxn7","properties":{"formattedCitation":"(83)","plainCitation":"(83)","noteIndex":0},"citationItems":[{"id":"OqG2TLxw/wpnEoaDV","uris":["http://zotero.org/users/local/QGE0TkJv/items/HCDQ6LCV"],"itemData":{"id":2779,"type":"article-journal","abstract":"Antibiotic self-medication (ASM) is widespread, thus contributing to the increasing global burden of antimicrobial resistance. Even though there exists sufficient research on urban communities, knowledge on ASM among rural dwellers in Accra is limited. The aim of the study was to investigate the prevalence and risks of antibiotic self-medication among residents of the rural community of Abokobi sub-municipality of Greater Accra Region of Ghana. A community-based cross-sectional survey with multistage random sampling was used in recruiting 350 adult residents of Abokobi, from 18 years and above. A researcher-assisted questionnaire was then used to gather quantitative information from the participants. The overall prevalence of ASM was 36% (95% CI: 34.6 - 42.8). The major intentions for antibiotic self-medication were past successful experience 82 (47%) and ease of purchase of antibiotics 64 (36%). Others practiced self-medication as a result of self-reported health problems such as gastrointestinal infection 81 (46%) and fever 19 (11%). The predominant antibiotic used in self- medication was amoxicillin 94 (53%). The risk factors associated with ASM among participants were tertiary education (aOR = 0.07, 95% CI: 0.01–1.08) and subscription to the National Health Insurance Scheme (NHIS) (aOR = 2.32, 95% CI: 0.97–5.38). Antibiotic self-medication rates are quite high among rural dwellers of Accra, Ghana. Therefore, governments and pharmaceutical agencies responsible for regulations of medicines have to effectively educate residents about the policy on appropriate use of antibiotics, strictly enforce the laws and take appropriate actions on medication outlets dispensing antibiotics without prescriptions in rural settings of LMICs. © 2021","archive":"Scopus","container-title":"Scientific African","DOI":"10.1016/j.sciaf.2021.e01006","ISSN":"2468-2276","language":"English","source":"Scopus","title":"The prevalence and risks of antibiotic self-medication in residents of a rural community in Accra, Ghana","volume":"14","author":[{"family":"Kretchy","given":"J.-P."},{"family":"Adase","given":"S.K."},{"family":"Gyansa-Lutterodt","given":"M."}],"issued":{"date-parts":[["2021"]]}}}],"schema":"https://github.com/citation-style-language/schema/raw/master/csl-citation.json"} </w:instrText>
            </w:r>
            <w:r>
              <w:rPr>
                <w:sz w:val="14"/>
                <w:szCs w:val="14"/>
              </w:rPr>
              <w:fldChar w:fldCharType="separate"/>
            </w:r>
            <w:r>
              <w:rPr>
                <w:sz w:val="14"/>
                <w:szCs w:val="14"/>
              </w:rPr>
              <w:t>(83)</w:t>
            </w:r>
            <w:r>
              <w:rPr>
                <w:sz w:val="14"/>
                <w:szCs w:val="14"/>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3DF327B4" w14:textId="77777777" w:rsidR="00316D6C" w:rsidRDefault="00316D6C" w:rsidP="008E425B">
            <w:pPr>
              <w:widowControl w:val="0"/>
            </w:pPr>
            <w:r>
              <w:rPr>
                <w:sz w:val="14"/>
                <w:szCs w:val="14"/>
              </w:rPr>
              <w:t>-</w:t>
            </w:r>
          </w:p>
        </w:tc>
        <w:tc>
          <w:tcPr>
            <w:tcW w:w="810" w:type="dxa"/>
            <w:vMerge w:val="restart"/>
            <w:tcBorders>
              <w:top w:val="single" w:sz="4" w:space="0" w:color="000000"/>
              <w:left w:val="single" w:sz="4" w:space="0" w:color="000000"/>
              <w:bottom w:val="single" w:sz="4" w:space="0" w:color="000000"/>
              <w:right w:val="single" w:sz="4" w:space="0" w:color="000000"/>
            </w:tcBorders>
          </w:tcPr>
          <w:p w14:paraId="3446EB33" w14:textId="77777777" w:rsidR="00316D6C" w:rsidRDefault="00316D6C" w:rsidP="008E425B">
            <w:pPr>
              <w:widowControl w:val="0"/>
            </w:pPr>
            <w:r>
              <w:rPr>
                <w:sz w:val="14"/>
                <w:szCs w:val="14"/>
                <w:lang w:val="en-GB"/>
              </w:rPr>
              <w:t>Ghana</w:t>
            </w:r>
          </w:p>
        </w:tc>
        <w:tc>
          <w:tcPr>
            <w:tcW w:w="1440" w:type="dxa"/>
            <w:vMerge w:val="restart"/>
            <w:tcBorders>
              <w:top w:val="single" w:sz="4" w:space="0" w:color="000000"/>
              <w:left w:val="single" w:sz="4" w:space="0" w:color="000000"/>
              <w:bottom w:val="single" w:sz="4" w:space="0" w:color="000000"/>
              <w:right w:val="single" w:sz="4" w:space="0" w:color="000000"/>
            </w:tcBorders>
          </w:tcPr>
          <w:p w14:paraId="1FB9CFF5" w14:textId="77777777" w:rsidR="00316D6C" w:rsidRDefault="00316D6C" w:rsidP="008E425B">
            <w:pPr>
              <w:widowControl w:val="0"/>
            </w:pPr>
            <w:r>
              <w:rPr>
                <w:sz w:val="14"/>
                <w:szCs w:val="14"/>
                <w:lang w:val="en-GB"/>
              </w:rPr>
              <w:t>Adult residents</w:t>
            </w:r>
          </w:p>
        </w:tc>
        <w:tc>
          <w:tcPr>
            <w:tcW w:w="990" w:type="dxa"/>
            <w:vMerge w:val="restart"/>
            <w:tcBorders>
              <w:top w:val="single" w:sz="4" w:space="0" w:color="000000"/>
              <w:left w:val="single" w:sz="4" w:space="0" w:color="000000"/>
              <w:bottom w:val="single" w:sz="4" w:space="0" w:color="000000"/>
              <w:right w:val="single" w:sz="4" w:space="0" w:color="000000"/>
            </w:tcBorders>
          </w:tcPr>
          <w:p w14:paraId="366BA7F8" w14:textId="77777777" w:rsidR="00316D6C" w:rsidRDefault="00316D6C" w:rsidP="008E425B">
            <w:pPr>
              <w:widowControl w:val="0"/>
            </w:pPr>
            <w:r>
              <w:rPr>
                <w:sz w:val="14"/>
                <w:szCs w:val="14"/>
                <w:lang w:val="en-GB"/>
              </w:rPr>
              <w:t>350</w:t>
            </w:r>
          </w:p>
        </w:tc>
        <w:tc>
          <w:tcPr>
            <w:tcW w:w="2611" w:type="dxa"/>
            <w:tcBorders>
              <w:top w:val="single" w:sz="4" w:space="0" w:color="000000"/>
              <w:left w:val="single" w:sz="4" w:space="0" w:color="000000"/>
              <w:bottom w:val="single" w:sz="4" w:space="0" w:color="000000"/>
              <w:right w:val="single" w:sz="4" w:space="0" w:color="000000"/>
            </w:tcBorders>
          </w:tcPr>
          <w:p w14:paraId="5B17B740" w14:textId="77777777" w:rsidR="00316D6C" w:rsidRDefault="00316D6C" w:rsidP="008E425B">
            <w:pPr>
              <w:widowControl w:val="0"/>
            </w:pPr>
            <w:r>
              <w:rPr>
                <w:sz w:val="14"/>
                <w:szCs w:val="14"/>
                <w:lang w:val="en-GB"/>
              </w:rPr>
              <w:t>Antibiotic self-medication</w:t>
            </w:r>
          </w:p>
        </w:tc>
        <w:tc>
          <w:tcPr>
            <w:tcW w:w="6478" w:type="dxa"/>
            <w:tcBorders>
              <w:top w:val="single" w:sz="4" w:space="0" w:color="000000"/>
              <w:left w:val="single" w:sz="4" w:space="0" w:color="000000"/>
              <w:bottom w:val="single" w:sz="4" w:space="0" w:color="000000"/>
              <w:right w:val="single" w:sz="4" w:space="0" w:color="000000"/>
            </w:tcBorders>
          </w:tcPr>
          <w:p w14:paraId="37DDEA24" w14:textId="77777777" w:rsidR="00316D6C" w:rsidRDefault="00316D6C" w:rsidP="008E425B">
            <w:pPr>
              <w:widowControl w:val="0"/>
            </w:pPr>
            <w:r>
              <w:rPr>
                <w:sz w:val="14"/>
                <w:szCs w:val="14"/>
                <w:lang w:val="en-GB"/>
              </w:rPr>
              <w:t>There was a 36% prevalence within the past year. The commonly used antibiotics were amoxicillin (53%), ampicillin (23%), and tetracycline (21%). Among the reasons for self-medicating were past successful experience (47%), ease of antibiotic purchase (36%), and infection being minor to require medical attention (36%).</w:t>
            </w:r>
          </w:p>
        </w:tc>
      </w:tr>
      <w:tr w:rsidR="00316D6C" w14:paraId="7B5F055B" w14:textId="77777777" w:rsidTr="008E425B">
        <w:trPr>
          <w:trHeight w:val="401"/>
        </w:trPr>
        <w:tc>
          <w:tcPr>
            <w:tcW w:w="1079" w:type="dxa"/>
            <w:vMerge/>
            <w:tcBorders>
              <w:top w:val="single" w:sz="4" w:space="0" w:color="000000"/>
              <w:left w:val="single" w:sz="4" w:space="0" w:color="000000"/>
              <w:bottom w:val="single" w:sz="4" w:space="0" w:color="000000"/>
              <w:right w:val="single" w:sz="4" w:space="0" w:color="000000"/>
            </w:tcBorders>
          </w:tcPr>
          <w:p w14:paraId="6F6224C6"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2329AAC8"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10896F09"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03755E7A"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48B61642"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0C80B4B3" w14:textId="77777777" w:rsidR="00316D6C" w:rsidRDefault="00316D6C" w:rsidP="008E425B">
            <w:pPr>
              <w:widowControl w:val="0"/>
            </w:pPr>
            <w:r>
              <w:rPr>
                <w:sz w:val="14"/>
                <w:szCs w:val="14"/>
                <w:lang w:val="en-GB"/>
              </w:rPr>
              <w:t>Where antibiotics were purchased</w:t>
            </w:r>
          </w:p>
        </w:tc>
        <w:tc>
          <w:tcPr>
            <w:tcW w:w="6478" w:type="dxa"/>
            <w:tcBorders>
              <w:top w:val="single" w:sz="4" w:space="0" w:color="000000"/>
              <w:left w:val="single" w:sz="4" w:space="0" w:color="000000"/>
              <w:bottom w:val="single" w:sz="4" w:space="0" w:color="000000"/>
              <w:right w:val="single" w:sz="4" w:space="0" w:color="000000"/>
            </w:tcBorders>
          </w:tcPr>
          <w:p w14:paraId="40A0FEE2" w14:textId="77777777" w:rsidR="00316D6C" w:rsidRDefault="00316D6C" w:rsidP="008E425B">
            <w:pPr>
              <w:widowControl w:val="0"/>
            </w:pPr>
            <w:r>
              <w:rPr>
                <w:sz w:val="14"/>
                <w:szCs w:val="14"/>
                <w:lang w:val="en-GB"/>
              </w:rPr>
              <w:t>Community pharmacies (39%), chemical shops (29%), herbal shops (0.6%), and drug peddlers (0.6%).</w:t>
            </w:r>
          </w:p>
        </w:tc>
      </w:tr>
      <w:tr w:rsidR="00316D6C" w14:paraId="09D66F23" w14:textId="77777777" w:rsidTr="008E425B">
        <w:trPr>
          <w:trHeight w:val="565"/>
        </w:trPr>
        <w:tc>
          <w:tcPr>
            <w:tcW w:w="1079" w:type="dxa"/>
            <w:tcBorders>
              <w:top w:val="single" w:sz="4" w:space="0" w:color="000000"/>
              <w:left w:val="single" w:sz="4" w:space="0" w:color="000000"/>
              <w:bottom w:val="single" w:sz="4" w:space="0" w:color="000000"/>
              <w:right w:val="single" w:sz="4" w:space="0" w:color="000000"/>
            </w:tcBorders>
          </w:tcPr>
          <w:p w14:paraId="075D6B6C" w14:textId="77777777" w:rsidR="00316D6C" w:rsidRDefault="00316D6C" w:rsidP="008E425B">
            <w:pPr>
              <w:widowControl w:val="0"/>
            </w:pPr>
            <w:r>
              <w:rPr>
                <w:sz w:val="14"/>
                <w:szCs w:val="14"/>
                <w:lang w:eastAsia="zh-CN"/>
              </w:rPr>
              <w:t xml:space="preserve">Kukula  et al. </w:t>
            </w:r>
            <w:r>
              <w:rPr>
                <w:lang w:val="en-ID" w:eastAsia="en-GB"/>
              </w:rPr>
              <w:fldChar w:fldCharType="begin"/>
            </w:r>
            <w:r>
              <w:rPr>
                <w:sz w:val="14"/>
                <w:szCs w:val="14"/>
                <w:lang w:eastAsia="zh-CN"/>
              </w:rPr>
              <w:instrText xml:space="preserve"> ADDIN ZOTERO_ITEM CSL_CITATION {"citationID":"NW47OB6l","properties":{"unsorted":true,"formattedCitation":"(60)","plainCitation":"(60)","noteIndex":0},"citationItems":[{"id":"OqG2TLxw/i4kmg2tz","uris":["http://zotero.org/users/local/QGE0TkJv/items/3BRULACW"],"itemData":{"id":2721,"type":"article-journal","abstract":"Background: The aim was to explore behavioral factors relating to the prescription and communication of prescription-adherence messages for patients with acute febrile illness, from which to develop a training-and-communication (T&amp;C) intervention to be delivered as part of a clinical trial. Methods: The study undertook a content analysis of primary, qualitative data collection using in-depth interviews and focus group discussions, informed by the Capability, Opportunity, Motivation (COM-B) theory of behavior, the Theoretical Domains Framework (TDF), and Behavior Change Wheel (BCW) approach, in health facilities (39 health workers) and communities (66 community members) in the Shai-Osudoku District of Ghana. Results: Health workers perceive that prescribers' and dispensers' communication with patients is influenced by the following factors: patient's educational level, existing disease conditions, health worker's workload, patient's religion, language barrier between health worker and patient, outcome of laboratory results, and medicine availability. Community members' adherence to prescription was influenced by the availability of money and affordability of medicine (outside of provision by the national health insurance scheme), the severity of the condition, work schedule, and forgetfulness. Conclusions: Our study contributes to knowledge on nesting qualitative methods in a clinical trial and reveals factors that affect the antibiotic prescription communication process. Tailored messages for patient-specific needs can shape antibiotic prescription adherence behavior and ultimately contribute to decreasing the incidence of antibiotic resistance. © 2023 The Author(s). Published by Oxford University Press on behalf of Infectious Diseases Society of America.","archive":"Scopus","container-title":"Clinical Infectious Diseases","DOI":"10.1093/cid/ciad327","ISSN":"1058-4838","language":"English","page":"S182-S190","source":"Scopus","title":"Understanding Health Worker and Community Antibiotic Prescription-Adherence Practices for Acute Febrile Illness: A Nested Qualitative Study in the Shai-Osudoku District of Ghana and the Development of a Training-and-Communication Intervention","title-short":"Understanding Health Worker and Community Antibiotic Prescription-Adherence Practices for Acute Febrile Illness","volume":"77","author":[{"family":"Kukula","given":"V.A."},{"family":"Odopey","given":"S."},{"family":"Arthur","given":"E."},{"family":"Odonkor","given":"G."},{"family":"Awini","given":"E."},{"family":"Adjei","given":"A."},{"family":"Salami","given":"O."},{"family":"Nkeramahame","given":"J."},{"family":"Horgan","given":"P."},{"family":"Olliaro","given":"P."},{"family":"Williams","given":"J."},{"family":"Baiden","given":"R."}],"issued":{"date-parts":[["2023"]]}}}],"schema":"https://github.com/citation-style-language/schema/raw/master/csl-citation.json"} </w:instrText>
            </w:r>
            <w:r>
              <w:rPr>
                <w:sz w:val="14"/>
                <w:szCs w:val="14"/>
                <w:lang w:eastAsia="zh-CN"/>
              </w:rPr>
              <w:fldChar w:fldCharType="separate"/>
            </w:r>
            <w:r>
              <w:rPr>
                <w:sz w:val="14"/>
                <w:szCs w:val="14"/>
                <w:lang w:eastAsia="zh-CN"/>
              </w:rPr>
              <w:t>(60)</w:t>
            </w:r>
            <w:r>
              <w:rPr>
                <w:sz w:val="14"/>
                <w:szCs w:val="14"/>
                <w:lang w:eastAsia="zh-CN"/>
              </w:rPr>
              <w:fldChar w:fldCharType="end"/>
            </w:r>
          </w:p>
        </w:tc>
        <w:tc>
          <w:tcPr>
            <w:tcW w:w="1081" w:type="dxa"/>
            <w:tcBorders>
              <w:top w:val="single" w:sz="4" w:space="0" w:color="000000"/>
              <w:left w:val="single" w:sz="4" w:space="0" w:color="000000"/>
              <w:bottom w:val="single" w:sz="4" w:space="0" w:color="000000"/>
              <w:right w:val="single" w:sz="4" w:space="0" w:color="000000"/>
            </w:tcBorders>
          </w:tcPr>
          <w:p w14:paraId="25EECF59" w14:textId="77777777" w:rsidR="00316D6C" w:rsidRDefault="00316D6C" w:rsidP="008E425B">
            <w:pPr>
              <w:widowControl w:val="0"/>
            </w:pPr>
            <w:r>
              <w:rPr>
                <w:sz w:val="14"/>
                <w:szCs w:val="14"/>
                <w:lang w:val="en-GB" w:eastAsia="zh-CN"/>
              </w:rPr>
              <w:t>November-December, 2019</w:t>
            </w:r>
          </w:p>
        </w:tc>
        <w:tc>
          <w:tcPr>
            <w:tcW w:w="810" w:type="dxa"/>
            <w:tcBorders>
              <w:top w:val="single" w:sz="4" w:space="0" w:color="000000"/>
              <w:left w:val="single" w:sz="4" w:space="0" w:color="000000"/>
              <w:bottom w:val="single" w:sz="4" w:space="0" w:color="000000"/>
              <w:right w:val="single" w:sz="4" w:space="0" w:color="000000"/>
            </w:tcBorders>
          </w:tcPr>
          <w:p w14:paraId="55955D40" w14:textId="77777777" w:rsidR="00316D6C" w:rsidRDefault="00316D6C" w:rsidP="008E425B">
            <w:pPr>
              <w:widowControl w:val="0"/>
            </w:pPr>
            <w:r>
              <w:rPr>
                <w:sz w:val="14"/>
                <w:szCs w:val="14"/>
                <w:lang w:eastAsia="zh-CN"/>
              </w:rPr>
              <w:t>Ghana</w:t>
            </w:r>
          </w:p>
        </w:tc>
        <w:tc>
          <w:tcPr>
            <w:tcW w:w="1440" w:type="dxa"/>
            <w:tcBorders>
              <w:top w:val="single" w:sz="4" w:space="0" w:color="000000"/>
              <w:left w:val="single" w:sz="4" w:space="0" w:color="000000"/>
              <w:bottom w:val="single" w:sz="4" w:space="0" w:color="000000"/>
              <w:right w:val="single" w:sz="4" w:space="0" w:color="000000"/>
            </w:tcBorders>
          </w:tcPr>
          <w:p w14:paraId="5E274ADF" w14:textId="77777777" w:rsidR="00316D6C" w:rsidRDefault="00316D6C" w:rsidP="008E425B">
            <w:pPr>
              <w:widowControl w:val="0"/>
            </w:pPr>
            <w:r>
              <w:rPr>
                <w:sz w:val="14"/>
                <w:szCs w:val="14"/>
                <w:lang w:val="en-GB" w:eastAsia="zh-CN"/>
              </w:rPr>
              <w:t>Health workers and community members</w:t>
            </w:r>
          </w:p>
        </w:tc>
        <w:tc>
          <w:tcPr>
            <w:tcW w:w="990" w:type="dxa"/>
            <w:tcBorders>
              <w:top w:val="single" w:sz="4" w:space="0" w:color="000000"/>
              <w:left w:val="single" w:sz="4" w:space="0" w:color="000000"/>
              <w:bottom w:val="single" w:sz="4" w:space="0" w:color="000000"/>
              <w:right w:val="single" w:sz="4" w:space="0" w:color="000000"/>
            </w:tcBorders>
          </w:tcPr>
          <w:p w14:paraId="2470390F" w14:textId="77777777" w:rsidR="00316D6C" w:rsidRDefault="00316D6C" w:rsidP="008E425B">
            <w:pPr>
              <w:widowControl w:val="0"/>
            </w:pPr>
            <w:r>
              <w:rPr>
                <w:sz w:val="14"/>
                <w:szCs w:val="14"/>
                <w:lang w:val="en-GB" w:eastAsia="zh-CN"/>
              </w:rPr>
              <w:t>105</w:t>
            </w:r>
          </w:p>
        </w:tc>
        <w:tc>
          <w:tcPr>
            <w:tcW w:w="2611" w:type="dxa"/>
            <w:tcBorders>
              <w:top w:val="single" w:sz="4" w:space="0" w:color="000000"/>
              <w:left w:val="single" w:sz="4" w:space="0" w:color="000000"/>
              <w:bottom w:val="single" w:sz="4" w:space="0" w:color="000000"/>
              <w:right w:val="single" w:sz="4" w:space="0" w:color="000000"/>
            </w:tcBorders>
          </w:tcPr>
          <w:p w14:paraId="0049CB72" w14:textId="77777777" w:rsidR="00316D6C" w:rsidRDefault="00316D6C" w:rsidP="008E425B">
            <w:pPr>
              <w:widowControl w:val="0"/>
            </w:pPr>
            <w:r>
              <w:rPr>
                <w:sz w:val="14"/>
                <w:szCs w:val="14"/>
                <w:lang w:val="en-GB" w:eastAsia="zh-CN"/>
              </w:rPr>
              <w:t>Antibiotic adherence</w:t>
            </w:r>
          </w:p>
        </w:tc>
        <w:tc>
          <w:tcPr>
            <w:tcW w:w="6478" w:type="dxa"/>
            <w:tcBorders>
              <w:top w:val="single" w:sz="4" w:space="0" w:color="000000"/>
              <w:left w:val="single" w:sz="4" w:space="0" w:color="000000"/>
              <w:bottom w:val="single" w:sz="4" w:space="0" w:color="000000"/>
              <w:right w:val="single" w:sz="4" w:space="0" w:color="000000"/>
            </w:tcBorders>
          </w:tcPr>
          <w:p w14:paraId="2A0E8378" w14:textId="77777777" w:rsidR="00316D6C" w:rsidRDefault="00316D6C" w:rsidP="008E425B">
            <w:pPr>
              <w:widowControl w:val="0"/>
            </w:pPr>
            <w:r>
              <w:rPr>
                <w:sz w:val="14"/>
                <w:szCs w:val="14"/>
                <w:lang w:val="en-GB" w:eastAsia="zh-CN"/>
              </w:rPr>
              <w:t>Several factors including the patient’s educationa</w:t>
            </w:r>
            <w:r>
              <w:rPr>
                <w:sz w:val="14"/>
                <w:szCs w:val="14"/>
                <w:lang w:val="en-GB"/>
              </w:rPr>
              <w:t>l level, the economic status workload of health workers, the language barrier, and medication availability affect antibiotic adherence.</w:t>
            </w:r>
          </w:p>
        </w:tc>
      </w:tr>
      <w:tr w:rsidR="00316D6C" w14:paraId="62C13636" w14:textId="77777777" w:rsidTr="008E425B">
        <w:trPr>
          <w:trHeight w:val="450"/>
        </w:trPr>
        <w:tc>
          <w:tcPr>
            <w:tcW w:w="1079" w:type="dxa"/>
            <w:vMerge w:val="restart"/>
            <w:tcBorders>
              <w:top w:val="single" w:sz="4" w:space="0" w:color="000000"/>
              <w:left w:val="single" w:sz="4" w:space="0" w:color="000000"/>
              <w:bottom w:val="single" w:sz="4" w:space="0" w:color="000000"/>
              <w:right w:val="single" w:sz="4" w:space="0" w:color="000000"/>
            </w:tcBorders>
          </w:tcPr>
          <w:p w14:paraId="027239BB" w14:textId="77777777" w:rsidR="00316D6C" w:rsidRDefault="00316D6C" w:rsidP="008E425B">
            <w:pPr>
              <w:widowControl w:val="0"/>
            </w:pPr>
            <w:r>
              <w:rPr>
                <w:sz w:val="14"/>
                <w:szCs w:val="14"/>
                <w:lang w:eastAsia="zh-CN"/>
              </w:rPr>
              <w:t xml:space="preserve">Manga et al. </w:t>
            </w:r>
            <w:r>
              <w:rPr>
                <w:lang w:val="en-ID" w:eastAsia="en-GB"/>
              </w:rPr>
              <w:fldChar w:fldCharType="begin"/>
            </w:r>
            <w:r>
              <w:rPr>
                <w:sz w:val="14"/>
                <w:szCs w:val="14"/>
                <w:lang w:eastAsia="zh-CN"/>
              </w:rPr>
              <w:instrText xml:space="preserve"> ADDIN ZOTERO_ITEM CSL_CITATION {"citationID":"1qiP48O2","properties":{"formattedCitation":"(84)","plainCitation":"(84)","noteIndex":0},"citationItems":[{"id":"OqG2TLxw/2AxEhJoT","uris":["http://zotero.org/users/local/QGE0TkJv/items/62LQEG5X"],"itemData":{"id":2782,"type":"article-journal","abstract":"Introduction: antibiotic overprescribing is associated with antibiotic resistance worldwide but worst in developing nations. Minimal information exists on the antibiotic prescribing habits of essentially all cadres of healthcare workers in Nigeria, but particularly primary healthcare (PHC) workers. Our aim was to explore antibiotic prescribing habits of Nigerian primary healthcare workers in the context of increasing antibiotic resistance which has a direct effect on healthcare associated infections (HCAIs) and patient safety worldwide. Methods: a questionnaire-based cross-sectional study was conducted among 442 primary healthcare workers across three Northern Nigerian states of Gombe, Sokoto and Kwara. Data obtained was analysed using SPSS version 20. Results: antibiotic prescription rate was 98.2%. The most commonly prescribed antibiotics were Amoxicillin (71.7%) and Ampicillin/Cloxacillin (70.1%) while the least was Meropenem (4.1%). Major indicators of antibiotics abuse include unconfirmed typhoid fever (96.1%), non-specific vaginal discharge (95.4%), fresh trauma wound (91.3%), non-specific diarrhoea (87.1%) and common cold (85.9%). Additionally, about one-third of the respondents also routinely prescribe antibiotics to healthy birds (31.5%) and animals (18.3%). Identified reasons attributed to antibiotic overprescribing from the participants´ perspectives include lack of awareness (87.0%), lack of penalty (79.4%), desire to help patients (76.5%), pressure from sales representatives (61.0%) and patients´ pressure (58.3%). Overall, majority (85.8%) of respondents agrees that overprescribing is a cause of antimicrobial resistance. Conclusion: overprescribing of antibiotics is common among PHC workers and could contribute significantly to the rising scourge of antimicrobial resistance and poses a threat to patient safety and associated increased burden of HCAIs. © Mohammed Mohammed Manga et al.","archive":"Scopus","container-title":"Pan African Medical Journal One Health","DOI":"10.11604/pamj-oh.2021.5.19.30847","ISSN":"2707-2800","language":"English","source":"Scopus","title":"Antibiotic prescribing habits among primary healthcare workers in Northern Nigeria: a concern for patient safety in the era of global antimicrobial resistance","title-short":"Antibiotic prescribing habits among primary healthcare workers in Northern Nigeria","volume":"5","author":[{"family":"Manga","given":"M.M."},{"family":"Mohammed","given":"Y."},{"family":"Suleiman","given":"S."},{"family":"Fowotade","given":"A."},{"family":"Yunusa-Kaltungo","given":"Z."},{"family":"Usman","given":"M."},{"family":"Abulfathi","given":"A.A."},{"family":"Saddiq","given":"M.I."}],"issued":{"date-parts":[["2021"]]}}}],"schema":"https://github.com/citation-style-language/schema/raw/master/csl-citation.json"} </w:instrText>
            </w:r>
            <w:r>
              <w:rPr>
                <w:sz w:val="14"/>
                <w:szCs w:val="14"/>
                <w:lang w:eastAsia="zh-CN"/>
              </w:rPr>
              <w:fldChar w:fldCharType="separate"/>
            </w:r>
            <w:r>
              <w:rPr>
                <w:sz w:val="14"/>
                <w:szCs w:val="14"/>
                <w:lang w:eastAsia="zh-CN"/>
              </w:rPr>
              <w:t>(84)</w:t>
            </w:r>
            <w:r>
              <w:rPr>
                <w:sz w:val="14"/>
                <w:szCs w:val="14"/>
                <w:lang w:eastAsia="zh-CN"/>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731D6E42" w14:textId="77777777" w:rsidR="00316D6C" w:rsidRDefault="00316D6C" w:rsidP="008E425B">
            <w:pPr>
              <w:widowControl w:val="0"/>
            </w:pPr>
            <w:r>
              <w:rPr>
                <w:sz w:val="14"/>
                <w:szCs w:val="14"/>
                <w:lang w:eastAsia="zh-CN"/>
              </w:rPr>
              <w:t>-</w:t>
            </w:r>
          </w:p>
        </w:tc>
        <w:tc>
          <w:tcPr>
            <w:tcW w:w="810" w:type="dxa"/>
            <w:vMerge w:val="restart"/>
            <w:tcBorders>
              <w:top w:val="single" w:sz="4" w:space="0" w:color="000000"/>
              <w:left w:val="single" w:sz="4" w:space="0" w:color="000000"/>
              <w:bottom w:val="single" w:sz="4" w:space="0" w:color="000000"/>
              <w:right w:val="single" w:sz="4" w:space="0" w:color="000000"/>
            </w:tcBorders>
          </w:tcPr>
          <w:p w14:paraId="4B1BC414" w14:textId="77777777" w:rsidR="00316D6C" w:rsidRDefault="00316D6C" w:rsidP="008E425B">
            <w:pPr>
              <w:widowControl w:val="0"/>
            </w:pPr>
            <w:r>
              <w:rPr>
                <w:sz w:val="14"/>
                <w:szCs w:val="14"/>
                <w:lang w:val="en-GB" w:eastAsia="zh-CN"/>
              </w:rPr>
              <w:t>Nigeria</w:t>
            </w:r>
          </w:p>
        </w:tc>
        <w:tc>
          <w:tcPr>
            <w:tcW w:w="1440" w:type="dxa"/>
            <w:vMerge w:val="restart"/>
            <w:tcBorders>
              <w:top w:val="single" w:sz="4" w:space="0" w:color="000000"/>
              <w:left w:val="single" w:sz="4" w:space="0" w:color="000000"/>
              <w:bottom w:val="single" w:sz="4" w:space="0" w:color="000000"/>
              <w:right w:val="single" w:sz="4" w:space="0" w:color="000000"/>
            </w:tcBorders>
          </w:tcPr>
          <w:p w14:paraId="033E059E" w14:textId="77777777" w:rsidR="00316D6C" w:rsidRDefault="00316D6C" w:rsidP="008E425B">
            <w:pPr>
              <w:widowControl w:val="0"/>
            </w:pPr>
            <w:r>
              <w:rPr>
                <w:sz w:val="14"/>
                <w:szCs w:val="14"/>
                <w:lang w:val="en-GB" w:eastAsia="zh-CN"/>
              </w:rPr>
              <w:t>Primary health workers</w:t>
            </w:r>
          </w:p>
        </w:tc>
        <w:tc>
          <w:tcPr>
            <w:tcW w:w="990" w:type="dxa"/>
            <w:vMerge w:val="restart"/>
            <w:tcBorders>
              <w:top w:val="single" w:sz="4" w:space="0" w:color="000000"/>
              <w:left w:val="single" w:sz="4" w:space="0" w:color="000000"/>
              <w:bottom w:val="single" w:sz="4" w:space="0" w:color="000000"/>
              <w:right w:val="single" w:sz="4" w:space="0" w:color="000000"/>
            </w:tcBorders>
          </w:tcPr>
          <w:p w14:paraId="7D6A2369" w14:textId="77777777" w:rsidR="00316D6C" w:rsidRDefault="00316D6C" w:rsidP="008E425B">
            <w:pPr>
              <w:widowControl w:val="0"/>
            </w:pPr>
            <w:r>
              <w:rPr>
                <w:sz w:val="14"/>
                <w:szCs w:val="14"/>
                <w:lang w:val="en-GB" w:eastAsia="zh-CN"/>
              </w:rPr>
              <w:t>442</w:t>
            </w:r>
          </w:p>
        </w:tc>
        <w:tc>
          <w:tcPr>
            <w:tcW w:w="2611" w:type="dxa"/>
            <w:tcBorders>
              <w:top w:val="single" w:sz="4" w:space="0" w:color="000000"/>
              <w:left w:val="single" w:sz="4" w:space="0" w:color="000000"/>
              <w:bottom w:val="single" w:sz="4" w:space="0" w:color="000000"/>
              <w:right w:val="single" w:sz="4" w:space="0" w:color="000000"/>
            </w:tcBorders>
          </w:tcPr>
          <w:p w14:paraId="6BDD6902" w14:textId="77777777" w:rsidR="00316D6C" w:rsidRDefault="00316D6C" w:rsidP="008E425B">
            <w:pPr>
              <w:widowControl w:val="0"/>
            </w:pPr>
            <w:r>
              <w:rPr>
                <w:sz w:val="14"/>
                <w:szCs w:val="14"/>
                <w:lang w:val="en-GB" w:eastAsia="zh-CN"/>
              </w:rPr>
              <w:t>Antibiotic prescribing</w:t>
            </w:r>
          </w:p>
        </w:tc>
        <w:tc>
          <w:tcPr>
            <w:tcW w:w="6478" w:type="dxa"/>
            <w:tcBorders>
              <w:top w:val="single" w:sz="4" w:space="0" w:color="000000"/>
              <w:left w:val="single" w:sz="4" w:space="0" w:color="000000"/>
              <w:bottom w:val="single" w:sz="4" w:space="0" w:color="000000"/>
              <w:right w:val="single" w:sz="4" w:space="0" w:color="000000"/>
            </w:tcBorders>
          </w:tcPr>
          <w:p w14:paraId="281257DB" w14:textId="77777777" w:rsidR="00316D6C" w:rsidRDefault="00316D6C" w:rsidP="008E425B">
            <w:pPr>
              <w:widowControl w:val="0"/>
            </w:pPr>
            <w:r>
              <w:rPr>
                <w:sz w:val="14"/>
                <w:szCs w:val="14"/>
                <w:lang w:val="en-GB" w:eastAsia="zh-CN"/>
              </w:rPr>
              <w:t xml:space="preserve">The prescription rate was 98.2%. The </w:t>
            </w:r>
            <w:proofErr w:type="gramStart"/>
            <w:r>
              <w:rPr>
                <w:sz w:val="14"/>
                <w:szCs w:val="14"/>
                <w:lang w:val="en-GB" w:eastAsia="zh-CN"/>
              </w:rPr>
              <w:t>most commonly prescribed</w:t>
            </w:r>
            <w:proofErr w:type="gramEnd"/>
            <w:r>
              <w:rPr>
                <w:sz w:val="14"/>
                <w:szCs w:val="14"/>
                <w:lang w:val="en-GB" w:eastAsia="zh-CN"/>
              </w:rPr>
              <w:t xml:space="preserve"> were Amoxycillin (71.7%)</w:t>
            </w:r>
            <w:r>
              <w:rPr>
                <w:sz w:val="14"/>
                <w:szCs w:val="14"/>
                <w:lang w:val="en-GB"/>
              </w:rPr>
              <w:t>, Ampicillin/Cloxacillin (70.1%), and Metronidazole (69.7%) while Meropenem (4.1%) was the least prescribed.</w:t>
            </w:r>
          </w:p>
        </w:tc>
      </w:tr>
      <w:tr w:rsidR="00316D6C" w14:paraId="3E9F0A06" w14:textId="77777777" w:rsidTr="008E425B">
        <w:trPr>
          <w:trHeight w:val="267"/>
        </w:trPr>
        <w:tc>
          <w:tcPr>
            <w:tcW w:w="1079" w:type="dxa"/>
            <w:vMerge/>
            <w:tcBorders>
              <w:top w:val="single" w:sz="4" w:space="0" w:color="000000"/>
              <w:left w:val="single" w:sz="4" w:space="0" w:color="000000"/>
              <w:bottom w:val="single" w:sz="4" w:space="0" w:color="000000"/>
              <w:right w:val="single" w:sz="4" w:space="0" w:color="000000"/>
            </w:tcBorders>
          </w:tcPr>
          <w:p w14:paraId="2949A4AA"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093EC895"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48A19FCB"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7B7C1A44"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630895A4"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5B61A6FE" w14:textId="77777777" w:rsidR="00316D6C" w:rsidRDefault="00316D6C" w:rsidP="008E425B">
            <w:pPr>
              <w:widowControl w:val="0"/>
            </w:pPr>
            <w:r>
              <w:rPr>
                <w:sz w:val="14"/>
                <w:szCs w:val="14"/>
                <w:lang w:val="en-GB"/>
              </w:rPr>
              <w:t>Antibiotic misuse</w:t>
            </w:r>
          </w:p>
        </w:tc>
        <w:tc>
          <w:tcPr>
            <w:tcW w:w="6478" w:type="dxa"/>
            <w:tcBorders>
              <w:top w:val="single" w:sz="4" w:space="0" w:color="000000"/>
              <w:left w:val="single" w:sz="4" w:space="0" w:color="000000"/>
              <w:bottom w:val="single" w:sz="4" w:space="0" w:color="000000"/>
              <w:right w:val="single" w:sz="4" w:space="0" w:color="000000"/>
            </w:tcBorders>
          </w:tcPr>
          <w:p w14:paraId="4C504620" w14:textId="77777777" w:rsidR="00316D6C" w:rsidRDefault="00316D6C" w:rsidP="008E425B">
            <w:pPr>
              <w:widowControl w:val="0"/>
            </w:pPr>
            <w:r>
              <w:rPr>
                <w:sz w:val="14"/>
                <w:szCs w:val="14"/>
              </w:rPr>
              <w:t>Major indicators include unconfirmed typhoid fever (96.1%), non-specific vaginal discharge (95.4%), fresh trauma wound (91.3%), non-specific diarrhea (87.1%), and common cold (85.9%)</w:t>
            </w:r>
            <w:r>
              <w:rPr>
                <w:sz w:val="14"/>
                <w:szCs w:val="14"/>
                <w:lang w:val="en-GB"/>
              </w:rPr>
              <w:t>. 85.8% of respondents concurred that overprescribing was a cause of antibiotic resistance.</w:t>
            </w:r>
          </w:p>
        </w:tc>
      </w:tr>
      <w:tr w:rsidR="00316D6C" w14:paraId="008E92A6" w14:textId="77777777" w:rsidTr="008E425B">
        <w:trPr>
          <w:trHeight w:val="178"/>
        </w:trPr>
        <w:tc>
          <w:tcPr>
            <w:tcW w:w="1079" w:type="dxa"/>
            <w:vMerge w:val="restart"/>
            <w:tcBorders>
              <w:top w:val="single" w:sz="4" w:space="0" w:color="000000"/>
              <w:left w:val="single" w:sz="4" w:space="0" w:color="000000"/>
              <w:bottom w:val="single" w:sz="4" w:space="0" w:color="000000"/>
              <w:right w:val="single" w:sz="4" w:space="0" w:color="000000"/>
            </w:tcBorders>
          </w:tcPr>
          <w:p w14:paraId="76505E32" w14:textId="77777777" w:rsidR="00316D6C" w:rsidRDefault="00316D6C" w:rsidP="008E425B">
            <w:pPr>
              <w:widowControl w:val="0"/>
            </w:pPr>
            <w:proofErr w:type="spellStart"/>
            <w:r>
              <w:rPr>
                <w:sz w:val="14"/>
                <w:szCs w:val="14"/>
              </w:rPr>
              <w:t>Ogoina</w:t>
            </w:r>
            <w:proofErr w:type="spellEnd"/>
            <w:r>
              <w:rPr>
                <w:sz w:val="14"/>
                <w:szCs w:val="14"/>
              </w:rPr>
              <w:t xml:space="preserve"> et al. </w:t>
            </w:r>
            <w:r>
              <w:rPr>
                <w:lang w:val="en-ID"/>
              </w:rPr>
              <w:fldChar w:fldCharType="begin"/>
            </w:r>
            <w:r>
              <w:rPr>
                <w:sz w:val="14"/>
                <w:szCs w:val="14"/>
              </w:rPr>
              <w:instrText xml:space="preserve"> ADDIN ZOTERO_ITEM CSL_CITATION {"citationID":"v2W4NrGl","properties":{"formattedCitation":"(69)","plainCitation":"(69)","noteIndex":0},"citationItems":[{"id":"OqG2TLxw/NmbPp4xT","uris":["http://zotero.org/users/local/QGE0TkJv/items/JVRK7XQL"],"itemData":{"id":2773,"type":"article-journal","abstract":"Background: As part of the Global Action Plan against antimicrobial resistance (AMR), countries are required to generate local evidence to inform context-specific implementation of national action plans against AMR (NAPAR). We aimed to evaluate the knowledge, attitude, and practice (KAP) regarding antibiotic prescriptions (APR) and AMR among physicians in tertiary hospitals in Nigeria, and to determine predictors of KAP of APR and AMR. Methods: In this cross-sectional study, we enrolled physicians practicing in tertiary hospitals from all six geopolitical zones of Nigeria. Implementation of an antimicrobial stewardship programmes (ASP) by each selected hospital were assessed using a 12 item ASP checklist. We used a structured self-administered questionnaire to assess the KAP of APR and AMR. Frequency of prescriptions of 18 different antibiotics in the prior 6 months was assessed using a Likert’s scale. KAP and prescription (Pr) scores were classified as good (score ≥ 80%) or average/poor (score &lt; 80%). Independent predictors of good knowledge, attitude, and practice (KAPPr) were ascertained using an unconditional logistic regression model. Results: A total of 1324 physicians out of 1778 (74% response rate) practicing in 12 tertiary hospitals in 11 states across all six geopolitical zones participated in the study. None of the participating hospitals had a formal ASP programme and majority did not implement antimicrobial stewardship strategies. The median KAPPr scores were 71.1%, 77%, 75% and 53.3%, for the knowledge, attitude, practice, and prescription components, respectively. Only 22.3%, 40.3%, 31.6% and 31.7% of study respondents had good KAPPr, respectively. All respondents had prescribed one or more antibiotics in the prior 6 months, mostly Amoxicillin-clavulanate (98%), fluoroquinolones (97%), and ceftriaxone (96.8%). About 68% of respondents had prescribed antibiotics from the World Health Organization reserve group. Prior AMR training, professional rank, department, and hospital of practice were independently associated with good KAPPr. Conclusions: Our study suggests gaps in knowledge and attitude of APR and AMR with inappropriate prescriptions of antibiotics among physicians practicing in tertiary hospitals in Nigeria. Nigeria’s NAPAR should also target establishment and improvement of ASP in hospitals and address institutional, educational, and professional factors that may influence emergence of AMR in Nigeria. © 2021, The Author(s).","archive":"Scopus","container-title":"Antimicrobial Resistance and Infection Control","DOI":"10.1186/s13756-021-00940-9","ISSN":"2047-2994","issue":"1","language":"English","source":"Scopus","title":"Predictors of antibiotic prescriptions: a knowledge, attitude and practice survey among physicians in tertiary hospitals in Nigeria","title-short":"Predictors of antibiotic prescriptions","volume":"10","author":[{"family":"Ogoina","given":"D."},{"family":"Iliyasu","given":"G."},{"family":"Kwaghe","given":"V."},{"family":"Otu","given":"A."},{"family":"Akase","given":"I.E."},{"family":"Adekanmbi","given":"O."},{"family":"Mahmood","given":"D."},{"family":"Iroezindu","given":"M."},{"family":"Aliyu","given":"S."},{"family":"Oyeyemi","given":"A.S."},{"family":"Rotifa","given":"S."},{"family":"Adeiza","given":"M.A."},{"family":"Unigwe","given":"U.S."},{"family":"Mmerem","given":"J.I."},{"family":"Dayyab","given":"F.M."},{"family":"Habib","given":"Z.G."},{"family":"Otokpa","given":"D."},{"family":"Effa","given":"E."},{"family":"Habib","given":"A.G."}],"issued":{"date-parts":[["2021"]]}}}],"schema":"https://github.com/citation-style-language/schema/raw/master/csl-citation.json"} </w:instrText>
            </w:r>
            <w:r>
              <w:rPr>
                <w:sz w:val="14"/>
                <w:szCs w:val="14"/>
              </w:rPr>
              <w:fldChar w:fldCharType="separate"/>
            </w:r>
            <w:r>
              <w:rPr>
                <w:sz w:val="14"/>
                <w:szCs w:val="14"/>
              </w:rPr>
              <w:t>(69)</w:t>
            </w:r>
            <w:r>
              <w:rPr>
                <w:sz w:val="14"/>
                <w:szCs w:val="14"/>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043A9216" w14:textId="77777777" w:rsidR="00316D6C" w:rsidRDefault="00316D6C" w:rsidP="008E425B">
            <w:pPr>
              <w:widowControl w:val="0"/>
            </w:pPr>
            <w:proofErr w:type="gramStart"/>
            <w:r>
              <w:rPr>
                <w:sz w:val="14"/>
                <w:szCs w:val="14"/>
                <w:lang w:val="en-GB"/>
              </w:rPr>
              <w:t>October,</w:t>
            </w:r>
            <w:proofErr w:type="gramEnd"/>
            <w:r>
              <w:rPr>
                <w:sz w:val="14"/>
                <w:szCs w:val="14"/>
                <w:lang w:val="en-GB"/>
              </w:rPr>
              <w:t xml:space="preserve"> 2018-February, 2019</w:t>
            </w:r>
          </w:p>
        </w:tc>
        <w:tc>
          <w:tcPr>
            <w:tcW w:w="810" w:type="dxa"/>
            <w:vMerge w:val="restart"/>
            <w:tcBorders>
              <w:top w:val="single" w:sz="4" w:space="0" w:color="000000"/>
              <w:left w:val="single" w:sz="4" w:space="0" w:color="000000"/>
              <w:bottom w:val="single" w:sz="4" w:space="0" w:color="000000"/>
              <w:right w:val="single" w:sz="4" w:space="0" w:color="000000"/>
            </w:tcBorders>
          </w:tcPr>
          <w:p w14:paraId="56031B73" w14:textId="77777777" w:rsidR="00316D6C" w:rsidRDefault="00316D6C" w:rsidP="008E425B">
            <w:pPr>
              <w:widowControl w:val="0"/>
            </w:pPr>
            <w:r>
              <w:rPr>
                <w:sz w:val="14"/>
                <w:szCs w:val="14"/>
                <w:lang w:val="en-GB"/>
              </w:rPr>
              <w:t>Nigeria</w:t>
            </w:r>
          </w:p>
        </w:tc>
        <w:tc>
          <w:tcPr>
            <w:tcW w:w="1440" w:type="dxa"/>
            <w:vMerge w:val="restart"/>
            <w:tcBorders>
              <w:top w:val="single" w:sz="4" w:space="0" w:color="000000"/>
              <w:left w:val="single" w:sz="4" w:space="0" w:color="000000"/>
              <w:bottom w:val="single" w:sz="4" w:space="0" w:color="000000"/>
              <w:right w:val="single" w:sz="4" w:space="0" w:color="000000"/>
            </w:tcBorders>
          </w:tcPr>
          <w:p w14:paraId="5040F33A" w14:textId="77777777" w:rsidR="00316D6C" w:rsidRDefault="00316D6C" w:rsidP="008E425B">
            <w:pPr>
              <w:widowControl w:val="0"/>
            </w:pPr>
            <w:r>
              <w:rPr>
                <w:sz w:val="14"/>
                <w:szCs w:val="14"/>
                <w:lang w:val="en-GB"/>
              </w:rPr>
              <w:t>Physicians</w:t>
            </w:r>
          </w:p>
        </w:tc>
        <w:tc>
          <w:tcPr>
            <w:tcW w:w="990" w:type="dxa"/>
            <w:vMerge w:val="restart"/>
            <w:tcBorders>
              <w:top w:val="single" w:sz="4" w:space="0" w:color="000000"/>
              <w:left w:val="single" w:sz="4" w:space="0" w:color="000000"/>
              <w:bottom w:val="single" w:sz="4" w:space="0" w:color="000000"/>
              <w:right w:val="single" w:sz="4" w:space="0" w:color="000000"/>
            </w:tcBorders>
          </w:tcPr>
          <w:p w14:paraId="66BFD9DA" w14:textId="77777777" w:rsidR="00316D6C" w:rsidRDefault="00316D6C" w:rsidP="008E425B">
            <w:pPr>
              <w:widowControl w:val="0"/>
            </w:pPr>
            <w:r>
              <w:rPr>
                <w:sz w:val="14"/>
                <w:szCs w:val="14"/>
                <w:lang w:val="en-GB"/>
              </w:rPr>
              <w:t>1778</w:t>
            </w:r>
          </w:p>
        </w:tc>
        <w:tc>
          <w:tcPr>
            <w:tcW w:w="2611" w:type="dxa"/>
            <w:tcBorders>
              <w:top w:val="single" w:sz="4" w:space="0" w:color="000000"/>
              <w:left w:val="single" w:sz="4" w:space="0" w:color="000000"/>
              <w:bottom w:val="single" w:sz="4" w:space="0" w:color="000000"/>
              <w:right w:val="single" w:sz="4" w:space="0" w:color="000000"/>
            </w:tcBorders>
          </w:tcPr>
          <w:p w14:paraId="69155B9B" w14:textId="77777777" w:rsidR="00316D6C" w:rsidRDefault="00316D6C" w:rsidP="008E425B">
            <w:pPr>
              <w:widowControl w:val="0"/>
            </w:pPr>
            <w:r>
              <w:rPr>
                <w:sz w:val="14"/>
                <w:szCs w:val="14"/>
                <w:lang w:val="en-GB"/>
              </w:rPr>
              <w:t>Knowledge of antibiotic use and AMR</w:t>
            </w:r>
          </w:p>
        </w:tc>
        <w:tc>
          <w:tcPr>
            <w:tcW w:w="6478" w:type="dxa"/>
            <w:tcBorders>
              <w:top w:val="single" w:sz="4" w:space="0" w:color="000000"/>
              <w:left w:val="single" w:sz="4" w:space="0" w:color="000000"/>
              <w:bottom w:val="single" w:sz="4" w:space="0" w:color="000000"/>
              <w:right w:val="single" w:sz="4" w:space="0" w:color="000000"/>
            </w:tcBorders>
          </w:tcPr>
          <w:p w14:paraId="73683A39" w14:textId="77777777" w:rsidR="00316D6C" w:rsidRDefault="00316D6C" w:rsidP="008E425B">
            <w:pPr>
              <w:widowControl w:val="0"/>
            </w:pPr>
            <w:r>
              <w:rPr>
                <w:sz w:val="14"/>
                <w:szCs w:val="14"/>
                <w:lang w:val="en-GB"/>
              </w:rPr>
              <w:t>More than 80% had heard of rational antibiotic prescription, 49% to 83% were aware of antibiotic-resistant organisms, 85.4% knew that antibiotics should only be stopped after completion of the course, and 90% knew that frequent use of antibiotics could result in the development of antibiotic resistance.</w:t>
            </w:r>
          </w:p>
        </w:tc>
      </w:tr>
      <w:tr w:rsidR="00316D6C" w14:paraId="7A0DAA2B" w14:textId="77777777" w:rsidTr="008E425B">
        <w:trPr>
          <w:trHeight w:val="176"/>
        </w:trPr>
        <w:tc>
          <w:tcPr>
            <w:tcW w:w="1079" w:type="dxa"/>
            <w:vMerge/>
            <w:tcBorders>
              <w:top w:val="single" w:sz="4" w:space="0" w:color="000000"/>
              <w:left w:val="single" w:sz="4" w:space="0" w:color="000000"/>
              <w:bottom w:val="single" w:sz="4" w:space="0" w:color="000000"/>
              <w:right w:val="single" w:sz="4" w:space="0" w:color="000000"/>
            </w:tcBorders>
          </w:tcPr>
          <w:p w14:paraId="789C9A2E"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2AD3D98A"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1C4D47B2"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5BC432DB"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10DFE86F"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78E49AE0" w14:textId="77777777" w:rsidR="00316D6C" w:rsidRDefault="00316D6C" w:rsidP="008E425B">
            <w:pPr>
              <w:widowControl w:val="0"/>
            </w:pPr>
            <w:r>
              <w:rPr>
                <w:sz w:val="14"/>
                <w:szCs w:val="14"/>
                <w:lang w:val="en-GB"/>
              </w:rPr>
              <w:t>Attitude towards antibiotic prescription and AMR</w:t>
            </w:r>
          </w:p>
        </w:tc>
        <w:tc>
          <w:tcPr>
            <w:tcW w:w="6478" w:type="dxa"/>
            <w:tcBorders>
              <w:top w:val="single" w:sz="4" w:space="0" w:color="000000"/>
              <w:left w:val="single" w:sz="4" w:space="0" w:color="000000"/>
              <w:bottom w:val="single" w:sz="4" w:space="0" w:color="000000"/>
              <w:right w:val="single" w:sz="4" w:space="0" w:color="000000"/>
            </w:tcBorders>
          </w:tcPr>
          <w:p w14:paraId="7516782F" w14:textId="77777777" w:rsidR="00316D6C" w:rsidRDefault="00316D6C" w:rsidP="008E425B">
            <w:pPr>
              <w:widowControl w:val="0"/>
            </w:pPr>
            <w:proofErr w:type="gramStart"/>
            <w:r>
              <w:rPr>
                <w:sz w:val="14"/>
                <w:szCs w:val="14"/>
                <w:lang w:val="en-GB"/>
              </w:rPr>
              <w:t>The majority of</w:t>
            </w:r>
            <w:proofErr w:type="gramEnd"/>
            <w:r>
              <w:rPr>
                <w:sz w:val="14"/>
                <w:szCs w:val="14"/>
                <w:lang w:val="en-GB"/>
              </w:rPr>
              <w:t xml:space="preserve"> the respondents agreed that AMR is a serious public health concern globally and in Nigeria, 62% and 29.5% sometimes prescribed antibiotics based on mistrust of laboratory results and recommendations of pharmaceutical companies respectively.</w:t>
            </w:r>
          </w:p>
        </w:tc>
      </w:tr>
      <w:tr w:rsidR="00316D6C" w14:paraId="5EFEA176" w14:textId="77777777" w:rsidTr="008E425B">
        <w:trPr>
          <w:trHeight w:val="176"/>
        </w:trPr>
        <w:tc>
          <w:tcPr>
            <w:tcW w:w="1079" w:type="dxa"/>
            <w:vMerge/>
            <w:tcBorders>
              <w:top w:val="single" w:sz="4" w:space="0" w:color="000000"/>
              <w:left w:val="single" w:sz="4" w:space="0" w:color="000000"/>
              <w:bottom w:val="single" w:sz="4" w:space="0" w:color="000000"/>
              <w:right w:val="single" w:sz="4" w:space="0" w:color="000000"/>
            </w:tcBorders>
          </w:tcPr>
          <w:p w14:paraId="794620A3"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125F1882"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653C007A"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49EB2C93"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5E19DE97"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217D22DF" w14:textId="77777777" w:rsidR="00316D6C" w:rsidRDefault="00316D6C" w:rsidP="008E425B">
            <w:pPr>
              <w:widowControl w:val="0"/>
            </w:pPr>
            <w:r>
              <w:rPr>
                <w:sz w:val="14"/>
                <w:szCs w:val="14"/>
                <w:lang w:val="en-GB"/>
              </w:rPr>
              <w:t>Antibiotic prescriptions</w:t>
            </w:r>
          </w:p>
        </w:tc>
        <w:tc>
          <w:tcPr>
            <w:tcW w:w="6478" w:type="dxa"/>
            <w:tcBorders>
              <w:top w:val="single" w:sz="4" w:space="0" w:color="000000"/>
              <w:left w:val="single" w:sz="4" w:space="0" w:color="000000"/>
              <w:bottom w:val="single" w:sz="4" w:space="0" w:color="000000"/>
              <w:right w:val="single" w:sz="4" w:space="0" w:color="000000"/>
            </w:tcBorders>
          </w:tcPr>
          <w:p w14:paraId="58AF7A96" w14:textId="77777777" w:rsidR="00316D6C" w:rsidRDefault="00316D6C" w:rsidP="008E425B">
            <w:pPr>
              <w:widowControl w:val="0"/>
            </w:pPr>
            <w:r>
              <w:rPr>
                <w:sz w:val="14"/>
                <w:szCs w:val="14"/>
                <w:lang w:val="en-GB"/>
              </w:rPr>
              <w:t>The most frequently prescribed antibiotics were Amoxicillin-Clavulanate (98%), Ciprofloxacin/</w:t>
            </w:r>
            <w:proofErr w:type="spellStart"/>
            <w:r>
              <w:rPr>
                <w:sz w:val="14"/>
                <w:szCs w:val="14"/>
                <w:lang w:val="en-GB"/>
              </w:rPr>
              <w:t>Ofoxacin</w:t>
            </w:r>
            <w:proofErr w:type="spellEnd"/>
            <w:r>
              <w:rPr>
                <w:sz w:val="14"/>
                <w:szCs w:val="14"/>
                <w:lang w:val="en-GB"/>
              </w:rPr>
              <w:t xml:space="preserve"> (97%), Ceftriaxone (69.8%), and Metronidazole (69.5%)</w:t>
            </w:r>
          </w:p>
        </w:tc>
      </w:tr>
      <w:tr w:rsidR="00316D6C" w14:paraId="777FBF05" w14:textId="77777777" w:rsidTr="008E425B">
        <w:trPr>
          <w:trHeight w:val="450"/>
        </w:trPr>
        <w:tc>
          <w:tcPr>
            <w:tcW w:w="1079" w:type="dxa"/>
            <w:tcBorders>
              <w:top w:val="single" w:sz="4" w:space="0" w:color="000000"/>
              <w:left w:val="single" w:sz="4" w:space="0" w:color="000000"/>
              <w:bottom w:val="single" w:sz="4" w:space="0" w:color="000000"/>
              <w:right w:val="single" w:sz="4" w:space="0" w:color="000000"/>
            </w:tcBorders>
          </w:tcPr>
          <w:p w14:paraId="698504F4" w14:textId="77777777" w:rsidR="00316D6C" w:rsidRDefault="00316D6C" w:rsidP="008E425B">
            <w:pPr>
              <w:widowControl w:val="0"/>
            </w:pPr>
            <w:r>
              <w:rPr>
                <w:sz w:val="14"/>
                <w:szCs w:val="14"/>
              </w:rPr>
              <w:t xml:space="preserve">Ogunleye et al.  </w:t>
            </w:r>
            <w:r>
              <w:rPr>
                <w:lang w:val="en-ID"/>
              </w:rPr>
              <w:fldChar w:fldCharType="begin"/>
            </w:r>
            <w:r>
              <w:rPr>
                <w:sz w:val="14"/>
                <w:szCs w:val="14"/>
              </w:rPr>
              <w:instrText xml:space="preserve"> ADDIN ZOTERO_ITEM CSL_CITATION {"citationID":"6x1vtEq9","properties":{"formattedCitation":"(85)","plainCitation":"(85)","noteIndex":0},"citationItems":[{"id":"OqG2TLxw/lBMhoNhD","uris":["http://zotero.org/users/local/QGE0TkJv/items/JWH3WSYS"],"itemData":{"id":2706,"type":"article-journal","abstract":"Objectives: The problem of antimicrobial resistance (AMR) has assumed pandemic dimensions especially among low-and middle-income countries such as Nigeria. Irrational use of currently available antimicrobial agents is a major contributory factor. There remains a paucity of documented information on the determinants of antibiotic prescribing among physicians in Nigeria to guide future strategies to reduce AMR. This study therefore aimed to investigate the patterns and determinants of antibiotic prescribing among doctors in a tertiary hospital in Nigeria as the first step to improve future antibiotic use in hospitals. Methods: A cross-sectional survey of the determinants of antibiotic prescribing among doctors in the Lagos State University Teaching Hospital, Ikeja, was performed using a structured questionnaire. Information was obtained about the doctors and the factors determining their prescription of antibiotics. The results were summarized using descriptive statistics with Statistical Package for Social Science. Results: Ninety-eight respondents were studied with a mean age of 36.24(9.01) years, a mean duration of practice of 10.68(9.25) years, and mainly males (64.3%). Ninety-seven percent prescribe antibiotics frequently, mostly based on clinical judgment and experience with rare laboratory supports. Factors of cost, drug availability, and information from pharmaceutical representatives influenced antibiotic prescribing. There were indications of nonexistence or nonfunctional institutional policies and guidelines regarding antimicrobial therapies. Conclusion: There is an urgent need to institute evidence-based institutional policies and guidelines for improving antimicrobial use among hospitals in Nigeria. This is already being followed up.","container-title":"Hospital Practice","DOI":"10.1080/21548331.2018.1475997","ISSN":"2154-8331","issue":"1","page":"53-58","source":"Taylor and Francis+NEJM","title":"Determinants of antibiotic prescribing among doctors in a Nigerian urban tertiary hospital","volume":"47","author":[{"family":"Ogunleye","given":"Olayinka O."},{"family":"Fadare","given":"Joseph O."},{"family":"Yinka-Ogunleye","given":"Adesola F."},{"family":"Anand Paramadhas","given":"Bene D."},{"family":"Godman","given":"Brian"}],"issued":{"date-parts":[["2019",1,1]]}}}],"schema":"https://github.com/citation-style-language/schema/raw/master/csl-citation.json"} </w:instrText>
            </w:r>
            <w:r>
              <w:rPr>
                <w:sz w:val="14"/>
                <w:szCs w:val="14"/>
              </w:rPr>
              <w:fldChar w:fldCharType="separate"/>
            </w:r>
            <w:r>
              <w:rPr>
                <w:sz w:val="14"/>
                <w:szCs w:val="14"/>
              </w:rPr>
              <w:t>(85)</w:t>
            </w:r>
            <w:r>
              <w:rPr>
                <w:sz w:val="14"/>
                <w:szCs w:val="14"/>
              </w:rPr>
              <w:fldChar w:fldCharType="end"/>
            </w:r>
          </w:p>
        </w:tc>
        <w:tc>
          <w:tcPr>
            <w:tcW w:w="1081" w:type="dxa"/>
            <w:tcBorders>
              <w:top w:val="single" w:sz="4" w:space="0" w:color="000000"/>
              <w:left w:val="single" w:sz="4" w:space="0" w:color="000000"/>
              <w:bottom w:val="single" w:sz="4" w:space="0" w:color="000000"/>
              <w:right w:val="single" w:sz="4" w:space="0" w:color="000000"/>
            </w:tcBorders>
          </w:tcPr>
          <w:p w14:paraId="2F1C03B8" w14:textId="77777777" w:rsidR="00316D6C" w:rsidRDefault="00316D6C" w:rsidP="008E425B">
            <w:pPr>
              <w:widowControl w:val="0"/>
            </w:pPr>
            <w:r>
              <w:rPr>
                <w:sz w:val="14"/>
                <w:szCs w:val="14"/>
              </w:rPr>
              <w:t>-</w:t>
            </w:r>
          </w:p>
        </w:tc>
        <w:tc>
          <w:tcPr>
            <w:tcW w:w="810" w:type="dxa"/>
            <w:tcBorders>
              <w:top w:val="single" w:sz="4" w:space="0" w:color="000000"/>
              <w:left w:val="single" w:sz="4" w:space="0" w:color="000000"/>
              <w:bottom w:val="single" w:sz="4" w:space="0" w:color="000000"/>
              <w:right w:val="single" w:sz="4" w:space="0" w:color="000000"/>
            </w:tcBorders>
          </w:tcPr>
          <w:p w14:paraId="60C78614" w14:textId="77777777" w:rsidR="00316D6C" w:rsidRDefault="00316D6C" w:rsidP="008E425B">
            <w:pPr>
              <w:widowControl w:val="0"/>
            </w:pPr>
            <w:r>
              <w:rPr>
                <w:sz w:val="14"/>
                <w:szCs w:val="14"/>
                <w:lang w:val="en-GB"/>
              </w:rPr>
              <w:t>Nigeria</w:t>
            </w:r>
          </w:p>
        </w:tc>
        <w:tc>
          <w:tcPr>
            <w:tcW w:w="1440" w:type="dxa"/>
            <w:tcBorders>
              <w:top w:val="single" w:sz="4" w:space="0" w:color="000000"/>
              <w:left w:val="single" w:sz="4" w:space="0" w:color="000000"/>
              <w:bottom w:val="single" w:sz="4" w:space="0" w:color="000000"/>
              <w:right w:val="single" w:sz="4" w:space="0" w:color="000000"/>
            </w:tcBorders>
          </w:tcPr>
          <w:p w14:paraId="616F9E1B" w14:textId="77777777" w:rsidR="00316D6C" w:rsidRDefault="00316D6C" w:rsidP="008E425B">
            <w:pPr>
              <w:widowControl w:val="0"/>
            </w:pPr>
            <w:r>
              <w:rPr>
                <w:sz w:val="14"/>
                <w:szCs w:val="14"/>
                <w:lang w:val="en-GB"/>
              </w:rPr>
              <w:t>Physicians</w:t>
            </w:r>
          </w:p>
        </w:tc>
        <w:tc>
          <w:tcPr>
            <w:tcW w:w="990" w:type="dxa"/>
            <w:tcBorders>
              <w:top w:val="single" w:sz="4" w:space="0" w:color="000000"/>
              <w:left w:val="single" w:sz="4" w:space="0" w:color="000000"/>
              <w:bottom w:val="single" w:sz="4" w:space="0" w:color="000000"/>
              <w:right w:val="single" w:sz="4" w:space="0" w:color="000000"/>
            </w:tcBorders>
          </w:tcPr>
          <w:p w14:paraId="121160C8" w14:textId="77777777" w:rsidR="00316D6C" w:rsidRDefault="00316D6C" w:rsidP="008E425B">
            <w:pPr>
              <w:widowControl w:val="0"/>
            </w:pPr>
            <w:r>
              <w:rPr>
                <w:sz w:val="14"/>
                <w:szCs w:val="14"/>
                <w:lang w:val="en-GB"/>
              </w:rPr>
              <w:t>98</w:t>
            </w:r>
          </w:p>
        </w:tc>
        <w:tc>
          <w:tcPr>
            <w:tcW w:w="2611" w:type="dxa"/>
            <w:tcBorders>
              <w:top w:val="single" w:sz="4" w:space="0" w:color="000000"/>
              <w:left w:val="single" w:sz="4" w:space="0" w:color="000000"/>
              <w:bottom w:val="single" w:sz="4" w:space="0" w:color="000000"/>
              <w:right w:val="single" w:sz="4" w:space="0" w:color="000000"/>
            </w:tcBorders>
          </w:tcPr>
          <w:p w14:paraId="3FBA8C82" w14:textId="77777777" w:rsidR="00316D6C" w:rsidRDefault="00316D6C" w:rsidP="008E425B">
            <w:pPr>
              <w:widowControl w:val="0"/>
            </w:pPr>
            <w:r>
              <w:rPr>
                <w:sz w:val="14"/>
                <w:szCs w:val="14"/>
                <w:lang w:val="en-GB"/>
              </w:rPr>
              <w:t>Antibiotics prescription</w:t>
            </w:r>
          </w:p>
        </w:tc>
        <w:tc>
          <w:tcPr>
            <w:tcW w:w="6478" w:type="dxa"/>
            <w:tcBorders>
              <w:top w:val="single" w:sz="4" w:space="0" w:color="000000"/>
              <w:left w:val="single" w:sz="4" w:space="0" w:color="000000"/>
              <w:bottom w:val="single" w:sz="4" w:space="0" w:color="000000"/>
              <w:right w:val="single" w:sz="4" w:space="0" w:color="000000"/>
            </w:tcBorders>
          </w:tcPr>
          <w:p w14:paraId="72AD2560" w14:textId="77777777" w:rsidR="00316D6C" w:rsidRDefault="00316D6C" w:rsidP="008E425B">
            <w:pPr>
              <w:widowControl w:val="0"/>
            </w:pPr>
            <w:r>
              <w:rPr>
                <w:sz w:val="14"/>
                <w:szCs w:val="14"/>
                <w:lang w:val="en-GB"/>
              </w:rPr>
              <w:t>The major influencing factors were drug promotional and marketing influences (97.9%), clinical judgment without laboratory results (93.9%), experience (87.8%), cost to patients (80.6%), and drug availability (80.6%)</w:t>
            </w:r>
          </w:p>
        </w:tc>
      </w:tr>
      <w:tr w:rsidR="00316D6C" w14:paraId="32F624B9" w14:textId="77777777" w:rsidTr="008E425B">
        <w:trPr>
          <w:trHeight w:val="666"/>
        </w:trPr>
        <w:tc>
          <w:tcPr>
            <w:tcW w:w="1079" w:type="dxa"/>
            <w:vMerge w:val="restart"/>
            <w:tcBorders>
              <w:top w:val="single" w:sz="4" w:space="0" w:color="000000"/>
              <w:left w:val="single" w:sz="4" w:space="0" w:color="000000"/>
              <w:bottom w:val="single" w:sz="4" w:space="0" w:color="000000"/>
              <w:right w:val="single" w:sz="4" w:space="0" w:color="000000"/>
            </w:tcBorders>
          </w:tcPr>
          <w:p w14:paraId="7AD0196D" w14:textId="77777777" w:rsidR="00316D6C" w:rsidRDefault="00316D6C" w:rsidP="008E425B">
            <w:pPr>
              <w:widowControl w:val="0"/>
            </w:pPr>
            <w:proofErr w:type="spellStart"/>
            <w:r>
              <w:rPr>
                <w:sz w:val="14"/>
                <w:szCs w:val="14"/>
              </w:rPr>
              <w:t>Okedo</w:t>
            </w:r>
            <w:proofErr w:type="spellEnd"/>
            <w:r>
              <w:rPr>
                <w:sz w:val="14"/>
                <w:szCs w:val="14"/>
              </w:rPr>
              <w:t xml:space="preserve">-Alex  et al. </w:t>
            </w:r>
            <w:r>
              <w:rPr>
                <w:lang w:val="en-ID"/>
              </w:rPr>
              <w:fldChar w:fldCharType="begin"/>
            </w:r>
            <w:r>
              <w:rPr>
                <w:sz w:val="14"/>
                <w:szCs w:val="14"/>
              </w:rPr>
              <w:instrText xml:space="preserve"> ADDIN ZOTERO_ITEM CSL_CITATION {"citationID":"TtyD9HJh","properties":{"formattedCitation":"(70)","plainCitation":"(70)","noteIndex":0},"citationItems":[{"id":"OqG2TLxw/D7PFgd0e","uris":["http://zotero.org/users/local/QGE0TkJv/items/3BHL6QWS"],"itemData":{"id":2809,"type":"article-journal","abstract":"Background Antimicrobial resistance presents a growing concern worldwide. Medical students are potential antimicrobial prescribers and stewards following graduation as doctors. The aim of this study was to assess the knowledge regarding antibiotic use and resistance among pre-final year and final year medical school students of Ebonyi State University, Nigeria. Methods A cross-sectional study was conducted among all the 184 pre-final and final year medical students of the College of Medicine at Ebonyi State University, Nigeria. Information was collected in April 2018 using a semi-structured, self-administered questionnaire and data were analysed with Epi-Info Version 7.2. Analytical decisions were considered significant at P &lt; 0.05. Results Respondents were mostly males (62.5%), aged 20-29 years (68.9%) with 60.9% of them in the final year class. Eighty-seven percent of them desired more education on antibiotic use and resistance. Majority 119 (64.7%) respondents had good knowledge of antibiotic use and resistance, however, 39% incorrectly answered that bacteria cause common cold. Only 103 (56.0%) of them had positive practice of antibiotic use. While 8.2% of respondents always consulted a doctor before starting an antibiotic. 37.2% of them never discarded their remaining leftover medications. Knowledge was associated with respondent’s gender (P=0.035) while practice was associated with the class of study (P&lt;0.001). Conclusion There was good knowledge of antibiotic use and resistance, however, practice levels were poor. There is need to enrich existing courses and training about antibiotic use in the curriculum of the medical schools with more emphasis on antimicrobial stewardship. © 2019 The College of Medicine and the Medical Association of Malawi.","archive":"Scopus","container-title":"Malawi Medical Journal","DOI":"10.4314/mmj.v31i2.5","ISSN":"1995-7262","issue":"2","language":"English","page":"133-137","source":"Scopus","title":"Knowledge of antibiotic use and resistance among students of a medical school in Nigeria","volume":"31","author":[{"family":"Okedo-Alex","given":"I."},{"family":"Madubueze","given":"U.C."},{"family":"Umeokonkwo","given":"C.D."},{"family":"Oka","given":"O.U."},{"family":"Adeke","given":"A.S."},{"family":"Okeke","given":"K.C."}],"issued":{"date-parts":[["2019"]]}}}],"schema":"https://github.com/citation-style-language/schema/raw/master/csl-citation.json"} </w:instrText>
            </w:r>
            <w:r>
              <w:rPr>
                <w:sz w:val="14"/>
                <w:szCs w:val="14"/>
              </w:rPr>
              <w:fldChar w:fldCharType="separate"/>
            </w:r>
            <w:r>
              <w:rPr>
                <w:sz w:val="14"/>
                <w:szCs w:val="14"/>
              </w:rPr>
              <w:t>(70)</w:t>
            </w:r>
            <w:r>
              <w:rPr>
                <w:sz w:val="14"/>
                <w:szCs w:val="14"/>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1C6C591F" w14:textId="77777777" w:rsidR="00316D6C" w:rsidRDefault="00316D6C" w:rsidP="008E425B">
            <w:pPr>
              <w:widowControl w:val="0"/>
            </w:pPr>
            <w:r>
              <w:rPr>
                <w:sz w:val="14"/>
                <w:szCs w:val="14"/>
                <w:lang w:val="en-GB"/>
              </w:rPr>
              <w:t>April 2018</w:t>
            </w:r>
          </w:p>
        </w:tc>
        <w:tc>
          <w:tcPr>
            <w:tcW w:w="810" w:type="dxa"/>
            <w:vMerge w:val="restart"/>
            <w:tcBorders>
              <w:top w:val="single" w:sz="4" w:space="0" w:color="000000"/>
              <w:left w:val="single" w:sz="4" w:space="0" w:color="000000"/>
              <w:bottom w:val="single" w:sz="4" w:space="0" w:color="000000"/>
              <w:right w:val="single" w:sz="4" w:space="0" w:color="000000"/>
            </w:tcBorders>
          </w:tcPr>
          <w:p w14:paraId="03A3AABF" w14:textId="77777777" w:rsidR="00316D6C" w:rsidRDefault="00316D6C" w:rsidP="008E425B">
            <w:pPr>
              <w:widowControl w:val="0"/>
            </w:pPr>
            <w:r>
              <w:rPr>
                <w:sz w:val="14"/>
                <w:szCs w:val="14"/>
              </w:rPr>
              <w:t>Nigeria</w:t>
            </w:r>
          </w:p>
        </w:tc>
        <w:tc>
          <w:tcPr>
            <w:tcW w:w="1440" w:type="dxa"/>
            <w:vMerge w:val="restart"/>
            <w:tcBorders>
              <w:top w:val="single" w:sz="4" w:space="0" w:color="000000"/>
              <w:left w:val="single" w:sz="4" w:space="0" w:color="000000"/>
              <w:bottom w:val="single" w:sz="4" w:space="0" w:color="000000"/>
              <w:right w:val="single" w:sz="4" w:space="0" w:color="000000"/>
            </w:tcBorders>
          </w:tcPr>
          <w:p w14:paraId="38DA0281" w14:textId="77777777" w:rsidR="00316D6C" w:rsidRDefault="00316D6C" w:rsidP="008E425B">
            <w:pPr>
              <w:widowControl w:val="0"/>
            </w:pPr>
            <w:r>
              <w:rPr>
                <w:sz w:val="14"/>
                <w:szCs w:val="14"/>
                <w:lang w:val="en-GB"/>
              </w:rPr>
              <w:t>Medical students</w:t>
            </w:r>
          </w:p>
        </w:tc>
        <w:tc>
          <w:tcPr>
            <w:tcW w:w="990" w:type="dxa"/>
            <w:vMerge w:val="restart"/>
            <w:tcBorders>
              <w:top w:val="single" w:sz="4" w:space="0" w:color="000000"/>
              <w:left w:val="single" w:sz="4" w:space="0" w:color="000000"/>
              <w:bottom w:val="single" w:sz="4" w:space="0" w:color="000000"/>
              <w:right w:val="single" w:sz="4" w:space="0" w:color="000000"/>
            </w:tcBorders>
          </w:tcPr>
          <w:p w14:paraId="1E9EF3A5" w14:textId="77777777" w:rsidR="00316D6C" w:rsidRDefault="00316D6C" w:rsidP="008E425B">
            <w:pPr>
              <w:widowControl w:val="0"/>
            </w:pPr>
            <w:r>
              <w:rPr>
                <w:sz w:val="14"/>
                <w:szCs w:val="14"/>
                <w:lang w:val="en-GB"/>
              </w:rPr>
              <w:t>184</w:t>
            </w:r>
          </w:p>
        </w:tc>
        <w:tc>
          <w:tcPr>
            <w:tcW w:w="2611" w:type="dxa"/>
            <w:tcBorders>
              <w:top w:val="single" w:sz="4" w:space="0" w:color="000000"/>
              <w:left w:val="single" w:sz="4" w:space="0" w:color="000000"/>
              <w:bottom w:val="single" w:sz="4" w:space="0" w:color="000000"/>
              <w:right w:val="single" w:sz="4" w:space="0" w:color="000000"/>
            </w:tcBorders>
          </w:tcPr>
          <w:p w14:paraId="52F5C02E" w14:textId="77777777" w:rsidR="00316D6C" w:rsidRDefault="00316D6C" w:rsidP="008E425B">
            <w:pPr>
              <w:widowControl w:val="0"/>
            </w:pPr>
            <w:r>
              <w:rPr>
                <w:sz w:val="14"/>
                <w:szCs w:val="14"/>
                <w:lang w:val="en-GB"/>
              </w:rPr>
              <w:t>Knowledge of AMR</w:t>
            </w:r>
          </w:p>
        </w:tc>
        <w:tc>
          <w:tcPr>
            <w:tcW w:w="6478" w:type="dxa"/>
            <w:tcBorders>
              <w:top w:val="single" w:sz="4" w:space="0" w:color="000000"/>
              <w:left w:val="single" w:sz="4" w:space="0" w:color="000000"/>
              <w:bottom w:val="single" w:sz="4" w:space="0" w:color="000000"/>
              <w:right w:val="single" w:sz="4" w:space="0" w:color="000000"/>
            </w:tcBorders>
          </w:tcPr>
          <w:p w14:paraId="38DA8A3D" w14:textId="77777777" w:rsidR="00316D6C" w:rsidRDefault="00316D6C" w:rsidP="008E425B">
            <w:pPr>
              <w:widowControl w:val="0"/>
            </w:pPr>
            <w:r>
              <w:rPr>
                <w:sz w:val="14"/>
                <w:szCs w:val="14"/>
                <w:lang w:val="en-GB"/>
              </w:rPr>
              <w:t>96.2% attributed AMR to the misuse of antimicrobial drugs, 98.4% knew that AMR was a public health issue, and 64.7% had good knowledge of AMR and antibiotic usage.</w:t>
            </w:r>
          </w:p>
        </w:tc>
      </w:tr>
      <w:tr w:rsidR="00316D6C" w14:paraId="44B171B0" w14:textId="77777777" w:rsidTr="008E425B">
        <w:trPr>
          <w:trHeight w:val="403"/>
        </w:trPr>
        <w:tc>
          <w:tcPr>
            <w:tcW w:w="1079" w:type="dxa"/>
            <w:vMerge/>
            <w:tcBorders>
              <w:top w:val="single" w:sz="4" w:space="0" w:color="000000"/>
              <w:left w:val="single" w:sz="4" w:space="0" w:color="000000"/>
              <w:bottom w:val="single" w:sz="4" w:space="0" w:color="000000"/>
              <w:right w:val="single" w:sz="4" w:space="0" w:color="000000"/>
            </w:tcBorders>
          </w:tcPr>
          <w:p w14:paraId="27EB8987"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1207BBFD"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4DC39860"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63B96EF1"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5BE20C1C"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09F771FB" w14:textId="77777777" w:rsidR="00316D6C" w:rsidRDefault="00316D6C" w:rsidP="008E425B">
            <w:pPr>
              <w:widowControl w:val="0"/>
            </w:pPr>
            <w:r>
              <w:rPr>
                <w:sz w:val="14"/>
                <w:szCs w:val="14"/>
                <w:lang w:val="en-GB"/>
              </w:rPr>
              <w:t>Antibiotic use</w:t>
            </w:r>
          </w:p>
        </w:tc>
        <w:tc>
          <w:tcPr>
            <w:tcW w:w="6478" w:type="dxa"/>
            <w:tcBorders>
              <w:top w:val="single" w:sz="4" w:space="0" w:color="000000"/>
              <w:left w:val="single" w:sz="4" w:space="0" w:color="000000"/>
              <w:bottom w:val="single" w:sz="4" w:space="0" w:color="000000"/>
              <w:right w:val="single" w:sz="4" w:space="0" w:color="000000"/>
            </w:tcBorders>
          </w:tcPr>
          <w:p w14:paraId="74DC5B8F" w14:textId="77777777" w:rsidR="00316D6C" w:rsidRDefault="00316D6C" w:rsidP="008E425B">
            <w:pPr>
              <w:widowControl w:val="0"/>
            </w:pPr>
            <w:r>
              <w:rPr>
                <w:sz w:val="14"/>
                <w:szCs w:val="14"/>
                <w:lang w:val="en-GB"/>
              </w:rPr>
              <w:t>56% practiced good antibiotic usage while 44% had bad practice.</w:t>
            </w:r>
          </w:p>
        </w:tc>
      </w:tr>
      <w:tr w:rsidR="00316D6C" w14:paraId="256C64BB" w14:textId="77777777" w:rsidTr="008E425B">
        <w:trPr>
          <w:trHeight w:val="540"/>
        </w:trPr>
        <w:tc>
          <w:tcPr>
            <w:tcW w:w="1079" w:type="dxa"/>
            <w:vMerge w:val="restart"/>
            <w:tcBorders>
              <w:top w:val="single" w:sz="4" w:space="0" w:color="000000"/>
              <w:left w:val="single" w:sz="4" w:space="0" w:color="000000"/>
              <w:bottom w:val="single" w:sz="4" w:space="0" w:color="000000"/>
              <w:right w:val="single" w:sz="4" w:space="0" w:color="000000"/>
            </w:tcBorders>
          </w:tcPr>
          <w:p w14:paraId="666346C6" w14:textId="77777777" w:rsidR="00316D6C" w:rsidRDefault="00316D6C" w:rsidP="008E425B">
            <w:pPr>
              <w:widowControl w:val="0"/>
            </w:pPr>
            <w:r>
              <w:rPr>
                <w:sz w:val="14"/>
                <w:szCs w:val="14"/>
              </w:rPr>
              <w:t xml:space="preserve">Opoku  et al. </w:t>
            </w:r>
            <w:r>
              <w:rPr>
                <w:lang w:val="en-ID"/>
              </w:rPr>
              <w:fldChar w:fldCharType="begin"/>
            </w:r>
            <w:r>
              <w:rPr>
                <w:sz w:val="14"/>
                <w:szCs w:val="14"/>
              </w:rPr>
              <w:instrText xml:space="preserve"> ADDIN ZOTERO_ITEM CSL_CITATION {"citationID":"VqpnrtRB","properties":{"formattedCitation":"(72)","plainCitation":"(72)","noteIndex":0},"citationItems":[{"id":"OqG2TLxw/TU678Auo","uris":["http://zotero.org/users/local/QGE0TkJv/items/UZHJJNSI"],"itemData":{"id":2693,"type":"article-journal","abstract":"Misguided prescription of antibiotics is an important contributor towards the emergence and spread of antibiotic resistance. The absence of effective interventions to control antibiotic use leads to increased consumption beyond the needed requirements. Antibiotic stewardship interventions must be appropriately targeted and assessed to enhance the controlled use of antibiotics. The objective of this study was to determine the factors associated with antibiotic prescription to febrile outpatients who seek care in health facilities within the Greater Accra region of Ghana.","container-title":"BMC Health Services Research","DOI":"10.1186/s12913-020-05771-9","ISSN":"1472-6963","issue":"1","journalAbbreviation":"BMC Health Services Research","page":"978","source":"BioMed Central","title":"Antibiotic prescription for febrile outpatients: a health facility-based secondary data analysis for the Greater Accra region of Ghana","title-short":"Antibiotic prescription for febrile outpatients","volume":"20","author":[{"family":"Opoku","given":"Michael Mireku"},{"family":"Bonful","given":"Harriet Affran"},{"family":"Koram","given":"Kwadwo Ansah"}],"issued":{"date-parts":[["2020",10,27]]}}}],"schema":"https://github.com/citation-style-language/schema/raw/master/csl-citation.json"} </w:instrText>
            </w:r>
            <w:r>
              <w:rPr>
                <w:sz w:val="14"/>
                <w:szCs w:val="14"/>
              </w:rPr>
              <w:fldChar w:fldCharType="separate"/>
            </w:r>
            <w:r>
              <w:rPr>
                <w:sz w:val="14"/>
                <w:szCs w:val="14"/>
              </w:rPr>
              <w:t>(72)</w:t>
            </w:r>
            <w:r>
              <w:rPr>
                <w:sz w:val="14"/>
                <w:szCs w:val="14"/>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099F11F8" w14:textId="77777777" w:rsidR="00316D6C" w:rsidRDefault="00316D6C" w:rsidP="008E425B">
            <w:pPr>
              <w:widowControl w:val="0"/>
            </w:pPr>
            <w:r>
              <w:rPr>
                <w:sz w:val="14"/>
                <w:szCs w:val="14"/>
                <w:lang w:val="en-GB"/>
              </w:rPr>
              <w:t>October-December, 2015</w:t>
            </w:r>
          </w:p>
        </w:tc>
        <w:tc>
          <w:tcPr>
            <w:tcW w:w="810" w:type="dxa"/>
            <w:vMerge w:val="restart"/>
            <w:tcBorders>
              <w:top w:val="single" w:sz="4" w:space="0" w:color="000000"/>
              <w:left w:val="single" w:sz="4" w:space="0" w:color="000000"/>
              <w:bottom w:val="single" w:sz="4" w:space="0" w:color="000000"/>
              <w:right w:val="single" w:sz="4" w:space="0" w:color="000000"/>
            </w:tcBorders>
          </w:tcPr>
          <w:p w14:paraId="36810A1F" w14:textId="77777777" w:rsidR="00316D6C" w:rsidRDefault="00316D6C" w:rsidP="008E425B">
            <w:pPr>
              <w:widowControl w:val="0"/>
            </w:pPr>
            <w:r>
              <w:rPr>
                <w:sz w:val="14"/>
                <w:szCs w:val="14"/>
                <w:lang w:val="en-GB"/>
              </w:rPr>
              <w:t>Ghana</w:t>
            </w:r>
          </w:p>
        </w:tc>
        <w:tc>
          <w:tcPr>
            <w:tcW w:w="1440" w:type="dxa"/>
            <w:vMerge w:val="restart"/>
            <w:tcBorders>
              <w:top w:val="single" w:sz="4" w:space="0" w:color="000000"/>
              <w:left w:val="single" w:sz="4" w:space="0" w:color="000000"/>
              <w:bottom w:val="single" w:sz="4" w:space="0" w:color="000000"/>
              <w:right w:val="single" w:sz="4" w:space="0" w:color="000000"/>
            </w:tcBorders>
          </w:tcPr>
          <w:p w14:paraId="0F6E157D" w14:textId="77777777" w:rsidR="00316D6C" w:rsidRDefault="00316D6C" w:rsidP="008E425B">
            <w:pPr>
              <w:widowControl w:val="0"/>
            </w:pPr>
            <w:r>
              <w:rPr>
                <w:sz w:val="14"/>
                <w:szCs w:val="14"/>
                <w:lang w:val="en-GB"/>
              </w:rPr>
              <w:t>Febrile outpatients</w:t>
            </w:r>
          </w:p>
        </w:tc>
        <w:tc>
          <w:tcPr>
            <w:tcW w:w="990" w:type="dxa"/>
            <w:vMerge w:val="restart"/>
            <w:tcBorders>
              <w:top w:val="single" w:sz="4" w:space="0" w:color="000000"/>
              <w:left w:val="single" w:sz="4" w:space="0" w:color="000000"/>
              <w:bottom w:val="single" w:sz="4" w:space="0" w:color="000000"/>
              <w:right w:val="single" w:sz="4" w:space="0" w:color="000000"/>
            </w:tcBorders>
          </w:tcPr>
          <w:p w14:paraId="0D3B282B" w14:textId="77777777" w:rsidR="00316D6C" w:rsidRDefault="00316D6C" w:rsidP="008E425B">
            <w:pPr>
              <w:widowControl w:val="0"/>
            </w:pPr>
            <w:r>
              <w:rPr>
                <w:sz w:val="14"/>
                <w:szCs w:val="14"/>
                <w:lang w:val="en-GB"/>
              </w:rPr>
              <w:t>2519</w:t>
            </w:r>
          </w:p>
        </w:tc>
        <w:tc>
          <w:tcPr>
            <w:tcW w:w="2611" w:type="dxa"/>
            <w:tcBorders>
              <w:top w:val="single" w:sz="4" w:space="0" w:color="000000"/>
              <w:left w:val="single" w:sz="4" w:space="0" w:color="000000"/>
              <w:bottom w:val="single" w:sz="4" w:space="0" w:color="000000"/>
              <w:right w:val="single" w:sz="4" w:space="0" w:color="000000"/>
            </w:tcBorders>
          </w:tcPr>
          <w:p w14:paraId="31809F3C" w14:textId="77777777" w:rsidR="00316D6C" w:rsidRDefault="00316D6C" w:rsidP="008E425B">
            <w:pPr>
              <w:widowControl w:val="0"/>
            </w:pPr>
            <w:r>
              <w:rPr>
                <w:sz w:val="14"/>
                <w:szCs w:val="14"/>
                <w:lang w:val="en-GB"/>
              </w:rPr>
              <w:t>Antibiotic prescription</w:t>
            </w:r>
          </w:p>
        </w:tc>
        <w:tc>
          <w:tcPr>
            <w:tcW w:w="6478" w:type="dxa"/>
            <w:tcBorders>
              <w:top w:val="single" w:sz="4" w:space="0" w:color="000000"/>
              <w:left w:val="single" w:sz="4" w:space="0" w:color="000000"/>
              <w:bottom w:val="single" w:sz="4" w:space="0" w:color="000000"/>
              <w:right w:val="single" w:sz="4" w:space="0" w:color="000000"/>
            </w:tcBorders>
          </w:tcPr>
          <w:p w14:paraId="2E69A1AE" w14:textId="77777777" w:rsidR="00316D6C" w:rsidRDefault="00316D6C" w:rsidP="008E425B">
            <w:pPr>
              <w:widowControl w:val="0"/>
            </w:pPr>
            <w:r>
              <w:rPr>
                <w:sz w:val="14"/>
                <w:szCs w:val="14"/>
                <w:lang w:val="en-GB"/>
              </w:rPr>
              <w:t>70.11% of the participants were prescribed antibiotics, and amongst these, 74.6% of those for whom no laboratory investigation was requested were prescribed antibiotics.</w:t>
            </w:r>
          </w:p>
        </w:tc>
      </w:tr>
      <w:tr w:rsidR="00316D6C" w14:paraId="0EBEFCB8" w14:textId="77777777" w:rsidTr="008E425B">
        <w:trPr>
          <w:trHeight w:val="630"/>
        </w:trPr>
        <w:tc>
          <w:tcPr>
            <w:tcW w:w="1079" w:type="dxa"/>
            <w:vMerge/>
            <w:tcBorders>
              <w:top w:val="single" w:sz="4" w:space="0" w:color="000000"/>
              <w:left w:val="single" w:sz="4" w:space="0" w:color="000000"/>
              <w:bottom w:val="single" w:sz="4" w:space="0" w:color="000000"/>
              <w:right w:val="single" w:sz="4" w:space="0" w:color="000000"/>
            </w:tcBorders>
          </w:tcPr>
          <w:p w14:paraId="4A612F94"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0D6B0BD9"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5EB23775"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7606631C"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6E1520AE"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3B93A8A0" w14:textId="77777777" w:rsidR="00316D6C" w:rsidRDefault="00316D6C" w:rsidP="008E425B">
            <w:pPr>
              <w:widowControl w:val="0"/>
            </w:pPr>
            <w:r>
              <w:rPr>
                <w:sz w:val="14"/>
                <w:szCs w:val="14"/>
                <w:lang w:val="en-GB"/>
              </w:rPr>
              <w:t>Factors associated with antibiotic prescription</w:t>
            </w:r>
          </w:p>
        </w:tc>
        <w:tc>
          <w:tcPr>
            <w:tcW w:w="6478" w:type="dxa"/>
            <w:tcBorders>
              <w:top w:val="single" w:sz="4" w:space="0" w:color="000000"/>
              <w:left w:val="single" w:sz="4" w:space="0" w:color="000000"/>
              <w:bottom w:val="single" w:sz="4" w:space="0" w:color="000000"/>
              <w:right w:val="single" w:sz="4" w:space="0" w:color="000000"/>
            </w:tcBorders>
          </w:tcPr>
          <w:p w14:paraId="2AB8CDE1" w14:textId="77777777" w:rsidR="00316D6C" w:rsidRDefault="00316D6C" w:rsidP="008E425B">
            <w:pPr>
              <w:widowControl w:val="0"/>
            </w:pPr>
            <w:r>
              <w:rPr>
                <w:sz w:val="14"/>
                <w:szCs w:val="14"/>
                <w:lang w:val="en-GB"/>
              </w:rPr>
              <w:t>Prescriber’s years of experience, age of the patient, presenting symptoms like cough and difficulty in swallowing, laboratory tests, and diagnoses like skin disease, UTI, and typhoid fever.</w:t>
            </w:r>
          </w:p>
        </w:tc>
      </w:tr>
      <w:tr w:rsidR="00316D6C" w14:paraId="636F3AE7" w14:textId="77777777" w:rsidTr="008E425B">
        <w:trPr>
          <w:trHeight w:val="401"/>
        </w:trPr>
        <w:tc>
          <w:tcPr>
            <w:tcW w:w="1079" w:type="dxa"/>
            <w:vMerge w:val="restart"/>
            <w:tcBorders>
              <w:top w:val="single" w:sz="4" w:space="0" w:color="000000"/>
              <w:left w:val="single" w:sz="4" w:space="0" w:color="000000"/>
              <w:bottom w:val="single" w:sz="4" w:space="0" w:color="000000"/>
              <w:right w:val="single" w:sz="4" w:space="0" w:color="000000"/>
            </w:tcBorders>
          </w:tcPr>
          <w:p w14:paraId="4FF1D95D" w14:textId="77777777" w:rsidR="00316D6C" w:rsidRDefault="00316D6C" w:rsidP="008E425B">
            <w:pPr>
              <w:widowControl w:val="0"/>
            </w:pPr>
            <w:proofErr w:type="spellStart"/>
            <w:r>
              <w:rPr>
                <w:sz w:val="14"/>
                <w:szCs w:val="14"/>
              </w:rPr>
              <w:t>Osemene</w:t>
            </w:r>
            <w:proofErr w:type="spellEnd"/>
            <w:r>
              <w:rPr>
                <w:sz w:val="14"/>
                <w:szCs w:val="14"/>
              </w:rPr>
              <w:t xml:space="preserve"> &amp; </w:t>
            </w:r>
            <w:proofErr w:type="spellStart"/>
            <w:r>
              <w:rPr>
                <w:sz w:val="14"/>
                <w:szCs w:val="14"/>
              </w:rPr>
              <w:t>Lamikanra</w:t>
            </w:r>
            <w:proofErr w:type="spellEnd"/>
            <w:r>
              <w:rPr>
                <w:sz w:val="14"/>
                <w:szCs w:val="14"/>
              </w:rPr>
              <w:t xml:space="preserve">. </w:t>
            </w:r>
            <w:r>
              <w:rPr>
                <w:lang w:val="en-ID"/>
              </w:rPr>
              <w:lastRenderedPageBreak/>
              <w:fldChar w:fldCharType="begin"/>
            </w:r>
            <w:r>
              <w:rPr>
                <w:sz w:val="14"/>
                <w:szCs w:val="14"/>
              </w:rPr>
              <w:instrText xml:space="preserve"> ADDIN ZOTERO_ITEM CSL_CITATION {"citationID":"mTzQ4IOm","properties":{"formattedCitation":"(86)","plainCitation":"(86)","noteIndex":0},"citationItems":[{"id":"OqG2TLxw/pC0PiaOM","uris":["http://zotero.org/users/local/QGE0TkJv/items/44I5T9Y9"],"itemData":{"id":2836,"type":"article-journal","abstract":"Purpose: To estimate the prevalence of self-medication with antibiotics and antimalarials among university students in southwestern Nigeria and evaluate the factors associated with self-medication. Methods: A pre-tested questionnaire was used to collect data from 2000 university students using a convenient sampling technique. Prevalence of the practice of self-medication was estimated in percentages while factors associated with self-medication were evaluated using multiple regression analysis. Results: The prevalence of the practice of self-medication was high among the age group of 25 - 44 years but lower in the 15 - 24 and ≥ 45 year age groups, respectively. Females exhibited higher prevalence of self-medication than males. Among undergraduates, self-medication increased as the students' class level in the university increased. Postgraduate students exhibited low prevalence of selfmedication practices. Self-medication was significantly associated with age, gender and students' class level in the university at p̀ &lt; 0.001. A majority, 982 (53.8 %), of the students used antibiotics for selfmedication while 845 (46.3 %) used anti-malarial drugs for self-medication. Sources of drugs for selfmedication were patent medicines store (901 or 49.3 %), community pharmacies (531 or 29.1 %), friends (210 or 11.5 %), relatives (130 or 7.1 %) and left-over drugs from previous prescriptions (55 or 3.0 %). Conclusion: The study revealed that age, gender and students' level in the university influenced selfmedication practices. The use of antibiotics in self-medication calls for urgent health policy intervention. © Pharmacotherapy Group, Faculty of Pharmacy, University of Benin, Benin City, 300001 Nigeria. All rights reserved.","archive":"Scopus","container-title":"Tropical Journal of Pharmaceutical Research","DOI":"10.4314/tjpr.v11i4.21","ISSN":"1596-5996","issue":"4","language":"English","page":"683-689","source":"Scopus","title":"A study of the prevalence of self-medication practice among university students in southwestern Nigeria","volume":"11","author":[{"family":"Osemene","given":"K.P."},{"family":"Lamikanra","given":"A."}],"issued":{"date-parts":[["2012"]]}}}],"schema":"https://github.com/citation-style-language/schema/raw/master/csl-citation.json"} </w:instrText>
            </w:r>
            <w:r>
              <w:rPr>
                <w:sz w:val="14"/>
                <w:szCs w:val="14"/>
              </w:rPr>
              <w:fldChar w:fldCharType="separate"/>
            </w:r>
            <w:r>
              <w:rPr>
                <w:sz w:val="14"/>
                <w:szCs w:val="14"/>
              </w:rPr>
              <w:t>(86)</w:t>
            </w:r>
            <w:r>
              <w:rPr>
                <w:sz w:val="14"/>
                <w:szCs w:val="14"/>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0C2C994F" w14:textId="77777777" w:rsidR="00316D6C" w:rsidRDefault="00316D6C" w:rsidP="008E425B">
            <w:pPr>
              <w:widowControl w:val="0"/>
            </w:pPr>
            <w:r>
              <w:rPr>
                <w:sz w:val="14"/>
                <w:szCs w:val="14"/>
              </w:rPr>
              <w:lastRenderedPageBreak/>
              <w:t>-</w:t>
            </w:r>
          </w:p>
        </w:tc>
        <w:tc>
          <w:tcPr>
            <w:tcW w:w="810" w:type="dxa"/>
            <w:vMerge w:val="restart"/>
            <w:tcBorders>
              <w:top w:val="single" w:sz="4" w:space="0" w:color="000000"/>
              <w:left w:val="single" w:sz="4" w:space="0" w:color="000000"/>
              <w:bottom w:val="single" w:sz="4" w:space="0" w:color="000000"/>
              <w:right w:val="single" w:sz="4" w:space="0" w:color="000000"/>
            </w:tcBorders>
          </w:tcPr>
          <w:p w14:paraId="26021AFB" w14:textId="77777777" w:rsidR="00316D6C" w:rsidRDefault="00316D6C" w:rsidP="008E425B">
            <w:pPr>
              <w:widowControl w:val="0"/>
            </w:pPr>
            <w:r>
              <w:rPr>
                <w:sz w:val="14"/>
                <w:szCs w:val="14"/>
              </w:rPr>
              <w:t>Nigeria</w:t>
            </w:r>
          </w:p>
        </w:tc>
        <w:tc>
          <w:tcPr>
            <w:tcW w:w="1440" w:type="dxa"/>
            <w:vMerge w:val="restart"/>
            <w:tcBorders>
              <w:top w:val="single" w:sz="4" w:space="0" w:color="000000"/>
              <w:left w:val="single" w:sz="4" w:space="0" w:color="000000"/>
              <w:bottom w:val="single" w:sz="4" w:space="0" w:color="000000"/>
              <w:right w:val="single" w:sz="4" w:space="0" w:color="000000"/>
            </w:tcBorders>
          </w:tcPr>
          <w:p w14:paraId="39D1DA43" w14:textId="77777777" w:rsidR="00316D6C" w:rsidRDefault="00316D6C" w:rsidP="008E425B">
            <w:pPr>
              <w:widowControl w:val="0"/>
            </w:pPr>
            <w:r>
              <w:rPr>
                <w:sz w:val="14"/>
                <w:szCs w:val="14"/>
                <w:lang w:val="en-GB"/>
              </w:rPr>
              <w:t>University students</w:t>
            </w:r>
          </w:p>
        </w:tc>
        <w:tc>
          <w:tcPr>
            <w:tcW w:w="990" w:type="dxa"/>
            <w:vMerge w:val="restart"/>
            <w:tcBorders>
              <w:top w:val="single" w:sz="4" w:space="0" w:color="000000"/>
              <w:left w:val="single" w:sz="4" w:space="0" w:color="000000"/>
              <w:bottom w:val="single" w:sz="4" w:space="0" w:color="000000"/>
              <w:right w:val="single" w:sz="4" w:space="0" w:color="000000"/>
            </w:tcBorders>
          </w:tcPr>
          <w:p w14:paraId="42AF1654" w14:textId="77777777" w:rsidR="00316D6C" w:rsidRDefault="00316D6C" w:rsidP="008E425B">
            <w:pPr>
              <w:widowControl w:val="0"/>
            </w:pPr>
            <w:r>
              <w:rPr>
                <w:sz w:val="14"/>
                <w:szCs w:val="14"/>
                <w:lang w:val="en-GB"/>
              </w:rPr>
              <w:t>2000</w:t>
            </w:r>
          </w:p>
        </w:tc>
        <w:tc>
          <w:tcPr>
            <w:tcW w:w="2611" w:type="dxa"/>
            <w:tcBorders>
              <w:top w:val="single" w:sz="4" w:space="0" w:color="000000"/>
              <w:left w:val="single" w:sz="4" w:space="0" w:color="000000"/>
              <w:bottom w:val="single" w:sz="4" w:space="0" w:color="000000"/>
              <w:right w:val="single" w:sz="4" w:space="0" w:color="000000"/>
            </w:tcBorders>
          </w:tcPr>
          <w:p w14:paraId="51F87420" w14:textId="77777777" w:rsidR="00316D6C" w:rsidRDefault="00316D6C" w:rsidP="008E425B">
            <w:pPr>
              <w:widowControl w:val="0"/>
            </w:pPr>
            <w:r>
              <w:rPr>
                <w:sz w:val="14"/>
                <w:szCs w:val="14"/>
                <w:lang w:val="en-GB"/>
              </w:rPr>
              <w:t>Self-medication</w:t>
            </w:r>
          </w:p>
        </w:tc>
        <w:tc>
          <w:tcPr>
            <w:tcW w:w="6478" w:type="dxa"/>
            <w:tcBorders>
              <w:top w:val="single" w:sz="4" w:space="0" w:color="000000"/>
              <w:left w:val="single" w:sz="4" w:space="0" w:color="000000"/>
              <w:bottom w:val="single" w:sz="4" w:space="0" w:color="000000"/>
              <w:right w:val="single" w:sz="4" w:space="0" w:color="000000"/>
            </w:tcBorders>
          </w:tcPr>
          <w:p w14:paraId="438BC0C6" w14:textId="77777777" w:rsidR="00316D6C" w:rsidRDefault="00316D6C" w:rsidP="008E425B">
            <w:pPr>
              <w:widowControl w:val="0"/>
            </w:pPr>
            <w:r>
              <w:rPr>
                <w:sz w:val="14"/>
                <w:szCs w:val="14"/>
                <w:lang w:val="en-GB"/>
              </w:rPr>
              <w:t>53.8% of respondents self-medicated with antibiotics.</w:t>
            </w:r>
          </w:p>
        </w:tc>
      </w:tr>
      <w:tr w:rsidR="00316D6C" w14:paraId="30638C01" w14:textId="77777777" w:rsidTr="008E425B">
        <w:trPr>
          <w:trHeight w:val="499"/>
        </w:trPr>
        <w:tc>
          <w:tcPr>
            <w:tcW w:w="1079" w:type="dxa"/>
            <w:vMerge/>
            <w:tcBorders>
              <w:top w:val="single" w:sz="4" w:space="0" w:color="000000"/>
              <w:left w:val="single" w:sz="4" w:space="0" w:color="000000"/>
              <w:bottom w:val="single" w:sz="4" w:space="0" w:color="000000"/>
              <w:right w:val="single" w:sz="4" w:space="0" w:color="000000"/>
            </w:tcBorders>
          </w:tcPr>
          <w:p w14:paraId="3D339AFE"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7FCDCB66"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1501130D"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65448B19"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119932D3"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3D3F7BFB" w14:textId="77777777" w:rsidR="00316D6C" w:rsidRDefault="00316D6C" w:rsidP="008E425B">
            <w:pPr>
              <w:widowControl w:val="0"/>
            </w:pPr>
            <w:r>
              <w:rPr>
                <w:sz w:val="14"/>
                <w:szCs w:val="14"/>
                <w:lang w:val="en-GB"/>
              </w:rPr>
              <w:t>Reasons for self-medication</w:t>
            </w:r>
          </w:p>
        </w:tc>
        <w:tc>
          <w:tcPr>
            <w:tcW w:w="6478" w:type="dxa"/>
            <w:tcBorders>
              <w:top w:val="single" w:sz="4" w:space="0" w:color="000000"/>
              <w:left w:val="single" w:sz="4" w:space="0" w:color="000000"/>
              <w:bottom w:val="single" w:sz="4" w:space="0" w:color="000000"/>
              <w:right w:val="single" w:sz="4" w:space="0" w:color="000000"/>
            </w:tcBorders>
          </w:tcPr>
          <w:p w14:paraId="47840FEB" w14:textId="77777777" w:rsidR="00316D6C" w:rsidRDefault="00316D6C" w:rsidP="008E425B">
            <w:pPr>
              <w:widowControl w:val="0"/>
            </w:pPr>
            <w:r>
              <w:rPr>
                <w:sz w:val="14"/>
                <w:szCs w:val="14"/>
                <w:lang w:val="en-GB"/>
              </w:rPr>
              <w:t xml:space="preserve">UTI (43.5%), typhoid fever (4.9%), dysentery (10%), </w:t>
            </w:r>
            <w:r>
              <w:rPr>
                <w:sz w:val="14"/>
                <w:szCs w:val="14"/>
              </w:rPr>
              <w:t>cough and catarrh (6.8 %), diarrhea (10.2%), malaria (5.5 %), sore throat (15.3 %), otitis media (2.0 %) and pneumonia (1.8 %)</w:t>
            </w:r>
          </w:p>
        </w:tc>
      </w:tr>
      <w:tr w:rsidR="00316D6C" w14:paraId="03181858" w14:textId="77777777" w:rsidTr="008E425B">
        <w:trPr>
          <w:trHeight w:val="450"/>
        </w:trPr>
        <w:tc>
          <w:tcPr>
            <w:tcW w:w="1079" w:type="dxa"/>
            <w:vMerge/>
            <w:tcBorders>
              <w:top w:val="single" w:sz="4" w:space="0" w:color="000000"/>
              <w:left w:val="single" w:sz="4" w:space="0" w:color="000000"/>
              <w:bottom w:val="single" w:sz="4" w:space="0" w:color="000000"/>
              <w:right w:val="single" w:sz="4" w:space="0" w:color="000000"/>
            </w:tcBorders>
          </w:tcPr>
          <w:p w14:paraId="75FECFD6"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4B783DE7"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5EEB95D1"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0EDF5709"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291A9B29"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7CBF31C8" w14:textId="77777777" w:rsidR="00316D6C" w:rsidRDefault="00316D6C" w:rsidP="008E425B">
            <w:pPr>
              <w:widowControl w:val="0"/>
            </w:pPr>
            <w:r>
              <w:rPr>
                <w:sz w:val="14"/>
                <w:szCs w:val="14"/>
                <w:lang w:val="en-GB"/>
              </w:rPr>
              <w:t>Sources of antibiotics</w:t>
            </w:r>
          </w:p>
        </w:tc>
        <w:tc>
          <w:tcPr>
            <w:tcW w:w="6478" w:type="dxa"/>
            <w:tcBorders>
              <w:top w:val="single" w:sz="4" w:space="0" w:color="000000"/>
              <w:left w:val="single" w:sz="4" w:space="0" w:color="000000"/>
              <w:bottom w:val="single" w:sz="4" w:space="0" w:color="000000"/>
              <w:right w:val="single" w:sz="4" w:space="0" w:color="000000"/>
            </w:tcBorders>
          </w:tcPr>
          <w:p w14:paraId="4DE5C735" w14:textId="77777777" w:rsidR="00316D6C" w:rsidRDefault="00316D6C" w:rsidP="008E425B">
            <w:pPr>
              <w:widowControl w:val="0"/>
            </w:pPr>
            <w:r>
              <w:rPr>
                <w:sz w:val="14"/>
                <w:szCs w:val="14"/>
                <w:lang w:val="en-GB"/>
              </w:rPr>
              <w:t>P</w:t>
            </w:r>
            <w:proofErr w:type="spellStart"/>
            <w:r>
              <w:rPr>
                <w:sz w:val="14"/>
                <w:szCs w:val="14"/>
              </w:rPr>
              <w:t>atent</w:t>
            </w:r>
            <w:proofErr w:type="spellEnd"/>
            <w:r>
              <w:rPr>
                <w:sz w:val="14"/>
                <w:szCs w:val="14"/>
              </w:rPr>
              <w:t xml:space="preserve"> medicine stores</w:t>
            </w:r>
            <w:r>
              <w:rPr>
                <w:sz w:val="14"/>
                <w:szCs w:val="14"/>
                <w:lang w:val="en-GB"/>
              </w:rPr>
              <w:t xml:space="preserve"> </w:t>
            </w:r>
            <w:r>
              <w:rPr>
                <w:sz w:val="14"/>
                <w:szCs w:val="14"/>
              </w:rPr>
              <w:t>(49.3 %), community pharmacies (29.1 %), friends (11.5 %), relatives (7.1 %), and left</w:t>
            </w:r>
            <w:r>
              <w:rPr>
                <w:sz w:val="14"/>
                <w:szCs w:val="14"/>
                <w:lang w:val="en-GB"/>
              </w:rPr>
              <w:t>-</w:t>
            </w:r>
            <w:r>
              <w:rPr>
                <w:sz w:val="14"/>
                <w:szCs w:val="14"/>
              </w:rPr>
              <w:t>over drugs from previous prescriptions 55 (3.0 %).</w:t>
            </w:r>
          </w:p>
        </w:tc>
      </w:tr>
      <w:tr w:rsidR="00316D6C" w14:paraId="009F3B62" w14:textId="77777777" w:rsidTr="008E425B">
        <w:trPr>
          <w:trHeight w:val="354"/>
        </w:trPr>
        <w:tc>
          <w:tcPr>
            <w:tcW w:w="1079" w:type="dxa"/>
            <w:vMerge w:val="restart"/>
            <w:tcBorders>
              <w:top w:val="single" w:sz="4" w:space="0" w:color="000000"/>
              <w:left w:val="single" w:sz="4" w:space="0" w:color="000000"/>
              <w:bottom w:val="single" w:sz="4" w:space="0" w:color="000000"/>
              <w:right w:val="single" w:sz="4" w:space="0" w:color="000000"/>
            </w:tcBorders>
          </w:tcPr>
          <w:p w14:paraId="4E6AA483" w14:textId="77777777" w:rsidR="00316D6C" w:rsidRDefault="00316D6C" w:rsidP="008E425B">
            <w:pPr>
              <w:widowControl w:val="0"/>
            </w:pPr>
            <w:proofErr w:type="spellStart"/>
            <w:r>
              <w:rPr>
                <w:sz w:val="14"/>
                <w:szCs w:val="14"/>
              </w:rPr>
              <w:t>Otieku</w:t>
            </w:r>
            <w:proofErr w:type="spellEnd"/>
            <w:r>
              <w:rPr>
                <w:sz w:val="14"/>
                <w:szCs w:val="14"/>
              </w:rPr>
              <w:t xml:space="preserve">  et al. </w:t>
            </w:r>
            <w:r>
              <w:rPr>
                <w:lang w:val="en-ID"/>
              </w:rPr>
              <w:fldChar w:fldCharType="begin"/>
            </w:r>
            <w:r>
              <w:rPr>
                <w:sz w:val="14"/>
                <w:szCs w:val="14"/>
              </w:rPr>
              <w:instrText xml:space="preserve"> ADDIN ZOTERO_ITEM CSL_CITATION {"citationID":"nF0QKq2x","properties":{"formattedCitation":"(73)","plainCitation":"(73)","noteIndex":0},"citationItems":[{"id":"OqG2TLxw/W8aAPQ30","uris":["http://zotero.org/users/local/QGE0TkJv/items/7SV3WYHN"],"itemData":{"id":2686,"type":"article-journal","abstract":"Objective To evaluate knowledge of antimicrobial resistance (AMR), to study how the judgement of health value (HVJ) and economic value (EVJ) affects antibiotic use, and to understand if access to information on AMR implications may influence perceived AMR mitigation strategies.\nDesign A quasi-experimental study with interviews performed before and after an intervention where hospital staff collected data and provided one group of participants with information about the health and economic implications of antibiotic use and resistance compared with a control group not receiving the intervention.\nSetting Korle-Bu and Komfo Anokye Teaching Hospitals, Ghana.\nParticipants Adult patients aged 18 years and older seeking outpatient care.\nMain outcome measures We measured three outcomes: (1) level of knowledge of the health and economic implications of AMR; (2) HVJ and EVJ behaviours influencing antibiotic use and (3) differences in perceived AMR mitigation strategy between participants exposed and not exposed to the intervention.\nResults Most participants had a general knowledge of the health and economic implications of antibiotic use and AMR. Nonetheless, a sizeable proportion disagreed or disagreed to some extent that AMR may lead to reduced productivity/indirect costs (71% (95% CI 66% to 76%)), increased provider costs (87% (95% CI 84% to 91%)) and costs for carers of AMR patients/societal costs (59% (95% CI 53% to 64%)). Both HVJ-driven and EVJ-driven behaviours influenced antibiotic use, but the latter was a better predictor (reliability coefficient &gt;0.87). Compared with the unexposed group, participants exposed to the intervention were more likely to recommend restrictive access to antibiotics (p&lt;0.01) and pay slightly more for a health treatment strategy to reduce their risk of AMR (p&lt;0.01).\nConclusion There is a knowledge gap about antibiotic use and the implications of AMR. Access to AMR information at the point of care could be a successful way to mitigate the prevalence and implications of AMR.","container-title":"BMJ Open","DOI":"10.1136/bmjopen-2022-065233","ISSN":"2044-6055, 2044-6055","issue":"2","language":"en","page":"e065233","source":"bmjopen.bmj.com","title":"Knowledge, attitudes and practices regarding antimicrobial use and resistance among healthcare seekers in two tertiary hospitals in Ghana: a quasi-experimental study","title-short":"Knowledge, attitudes and practices regarding antimicrobial use and resistance among healthcare seekers in two tertiary hospitals in Ghana","volume":"13","author":[{"family":"Otieku","given":"Evans"},{"family":"Fenny","given":"Ama Pokuaa"},{"family":"Labi","given":"Appiah-Koran"},{"family":"Owusu-Ofori","given":"Alex Kwame"},{"family":"Kurtzhals","given":"Jørgen"},{"family":"Enemark","given":"Ulrika"}],"issued":{"date-parts":[["2023",2,1]]}}}],"schema":"https://github.com/citation-style-language/schema/raw/master/csl-citation.json"} </w:instrText>
            </w:r>
            <w:r>
              <w:rPr>
                <w:sz w:val="14"/>
                <w:szCs w:val="14"/>
              </w:rPr>
              <w:fldChar w:fldCharType="separate"/>
            </w:r>
            <w:r>
              <w:rPr>
                <w:sz w:val="14"/>
                <w:szCs w:val="14"/>
              </w:rPr>
              <w:t>(73)</w:t>
            </w:r>
            <w:r>
              <w:rPr>
                <w:sz w:val="14"/>
                <w:szCs w:val="14"/>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6C360670" w14:textId="77777777" w:rsidR="00316D6C" w:rsidRDefault="00316D6C" w:rsidP="008E425B">
            <w:pPr>
              <w:widowControl w:val="0"/>
            </w:pPr>
            <w:r>
              <w:rPr>
                <w:sz w:val="14"/>
                <w:szCs w:val="14"/>
                <w:lang w:val="en-GB"/>
              </w:rPr>
              <w:t>July-September, 2021</w:t>
            </w:r>
          </w:p>
        </w:tc>
        <w:tc>
          <w:tcPr>
            <w:tcW w:w="810" w:type="dxa"/>
            <w:vMerge w:val="restart"/>
            <w:tcBorders>
              <w:top w:val="single" w:sz="4" w:space="0" w:color="000000"/>
              <w:left w:val="single" w:sz="4" w:space="0" w:color="000000"/>
              <w:bottom w:val="single" w:sz="4" w:space="0" w:color="000000"/>
              <w:right w:val="single" w:sz="4" w:space="0" w:color="000000"/>
            </w:tcBorders>
          </w:tcPr>
          <w:p w14:paraId="6FA1E727" w14:textId="77777777" w:rsidR="00316D6C" w:rsidRDefault="00316D6C" w:rsidP="008E425B">
            <w:pPr>
              <w:widowControl w:val="0"/>
            </w:pPr>
            <w:r>
              <w:rPr>
                <w:sz w:val="14"/>
                <w:szCs w:val="14"/>
                <w:lang w:val="en-GB"/>
              </w:rPr>
              <w:t>Ghana</w:t>
            </w:r>
          </w:p>
        </w:tc>
        <w:tc>
          <w:tcPr>
            <w:tcW w:w="1440" w:type="dxa"/>
            <w:vMerge w:val="restart"/>
            <w:tcBorders>
              <w:top w:val="single" w:sz="4" w:space="0" w:color="000000"/>
              <w:left w:val="single" w:sz="4" w:space="0" w:color="000000"/>
              <w:bottom w:val="single" w:sz="4" w:space="0" w:color="000000"/>
              <w:right w:val="single" w:sz="4" w:space="0" w:color="000000"/>
            </w:tcBorders>
          </w:tcPr>
          <w:p w14:paraId="312DB5BC" w14:textId="77777777" w:rsidR="00316D6C" w:rsidRDefault="00316D6C" w:rsidP="008E425B">
            <w:pPr>
              <w:widowControl w:val="0"/>
            </w:pPr>
            <w:r>
              <w:rPr>
                <w:sz w:val="14"/>
                <w:szCs w:val="14"/>
                <w:lang w:val="en-GB"/>
              </w:rPr>
              <w:t>Outpatients</w:t>
            </w:r>
          </w:p>
        </w:tc>
        <w:tc>
          <w:tcPr>
            <w:tcW w:w="990" w:type="dxa"/>
            <w:vMerge w:val="restart"/>
            <w:tcBorders>
              <w:top w:val="single" w:sz="4" w:space="0" w:color="000000"/>
              <w:left w:val="single" w:sz="4" w:space="0" w:color="000000"/>
              <w:bottom w:val="single" w:sz="4" w:space="0" w:color="000000"/>
              <w:right w:val="single" w:sz="4" w:space="0" w:color="000000"/>
            </w:tcBorders>
          </w:tcPr>
          <w:p w14:paraId="41A1BCCC" w14:textId="77777777" w:rsidR="00316D6C" w:rsidRDefault="00316D6C" w:rsidP="008E425B">
            <w:pPr>
              <w:widowControl w:val="0"/>
            </w:pPr>
            <w:r>
              <w:rPr>
                <w:sz w:val="14"/>
                <w:szCs w:val="14"/>
                <w:lang w:val="en-GB"/>
              </w:rPr>
              <w:t>800</w:t>
            </w:r>
          </w:p>
        </w:tc>
        <w:tc>
          <w:tcPr>
            <w:tcW w:w="2611" w:type="dxa"/>
            <w:tcBorders>
              <w:top w:val="single" w:sz="4" w:space="0" w:color="000000"/>
              <w:left w:val="single" w:sz="4" w:space="0" w:color="000000"/>
              <w:bottom w:val="single" w:sz="4" w:space="0" w:color="000000"/>
              <w:right w:val="single" w:sz="4" w:space="0" w:color="000000"/>
            </w:tcBorders>
          </w:tcPr>
          <w:p w14:paraId="74D4AD3B" w14:textId="77777777" w:rsidR="00316D6C" w:rsidRDefault="00316D6C" w:rsidP="008E425B">
            <w:pPr>
              <w:widowControl w:val="0"/>
            </w:pPr>
            <w:r>
              <w:rPr>
                <w:sz w:val="14"/>
                <w:szCs w:val="14"/>
                <w:lang w:val="en-GB"/>
              </w:rPr>
              <w:t>Knowledge of antibiotic use and AMR</w:t>
            </w:r>
          </w:p>
        </w:tc>
        <w:tc>
          <w:tcPr>
            <w:tcW w:w="6478" w:type="dxa"/>
            <w:tcBorders>
              <w:top w:val="single" w:sz="4" w:space="0" w:color="000000"/>
              <w:left w:val="single" w:sz="4" w:space="0" w:color="000000"/>
              <w:bottom w:val="single" w:sz="4" w:space="0" w:color="000000"/>
              <w:right w:val="single" w:sz="4" w:space="0" w:color="000000"/>
            </w:tcBorders>
          </w:tcPr>
          <w:p w14:paraId="1E06A972" w14:textId="77777777" w:rsidR="00316D6C" w:rsidRDefault="00316D6C" w:rsidP="008E425B">
            <w:pPr>
              <w:widowControl w:val="0"/>
            </w:pPr>
            <w:r>
              <w:rPr>
                <w:sz w:val="14"/>
                <w:szCs w:val="14"/>
                <w:lang w:val="en-GB"/>
              </w:rPr>
              <w:t>87.3% of participants knew about antibiotics while less than 40% knew about antibiotic resistance or AMR</w:t>
            </w:r>
          </w:p>
        </w:tc>
      </w:tr>
      <w:tr w:rsidR="00316D6C" w14:paraId="285F16ED" w14:textId="77777777" w:rsidTr="008E425B">
        <w:trPr>
          <w:trHeight w:val="636"/>
        </w:trPr>
        <w:tc>
          <w:tcPr>
            <w:tcW w:w="1079" w:type="dxa"/>
            <w:vMerge/>
            <w:tcBorders>
              <w:top w:val="single" w:sz="4" w:space="0" w:color="000000"/>
              <w:left w:val="single" w:sz="4" w:space="0" w:color="000000"/>
              <w:bottom w:val="single" w:sz="4" w:space="0" w:color="000000"/>
              <w:right w:val="single" w:sz="4" w:space="0" w:color="000000"/>
            </w:tcBorders>
          </w:tcPr>
          <w:p w14:paraId="77B5BE38"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124F5D37"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09B7B12B"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67147C36"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17EE094C"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21E76EBF" w14:textId="77777777" w:rsidR="00316D6C" w:rsidRDefault="00316D6C" w:rsidP="008E425B">
            <w:pPr>
              <w:widowControl w:val="0"/>
            </w:pPr>
            <w:r>
              <w:rPr>
                <w:sz w:val="14"/>
                <w:szCs w:val="14"/>
                <w:lang w:val="en-GB"/>
              </w:rPr>
              <w:t>Reasons for antibiotic use</w:t>
            </w:r>
          </w:p>
        </w:tc>
        <w:tc>
          <w:tcPr>
            <w:tcW w:w="6478" w:type="dxa"/>
            <w:tcBorders>
              <w:top w:val="single" w:sz="4" w:space="0" w:color="000000"/>
              <w:left w:val="single" w:sz="4" w:space="0" w:color="000000"/>
              <w:bottom w:val="single" w:sz="4" w:space="0" w:color="000000"/>
              <w:right w:val="single" w:sz="4" w:space="0" w:color="000000"/>
            </w:tcBorders>
          </w:tcPr>
          <w:p w14:paraId="46904976" w14:textId="77777777" w:rsidR="00316D6C" w:rsidRDefault="00316D6C" w:rsidP="008E425B">
            <w:pPr>
              <w:widowControl w:val="0"/>
            </w:pPr>
            <w:r>
              <w:rPr>
                <w:sz w:val="14"/>
                <w:szCs w:val="14"/>
                <w:lang w:val="en-GB"/>
              </w:rPr>
              <w:t>Past effective antibiotics (70%), a recommendation from a known person (69%), prescribed by a health professional (73%), media advertisement (77%), and bacterial infections such as UTIs (76%)</w:t>
            </w:r>
          </w:p>
        </w:tc>
      </w:tr>
      <w:tr w:rsidR="00316D6C" w14:paraId="6F935BC1" w14:textId="77777777" w:rsidTr="008E425B">
        <w:trPr>
          <w:trHeight w:val="531"/>
        </w:trPr>
        <w:tc>
          <w:tcPr>
            <w:tcW w:w="1079" w:type="dxa"/>
            <w:vMerge w:val="restart"/>
            <w:tcBorders>
              <w:top w:val="single" w:sz="4" w:space="0" w:color="000000"/>
              <w:left w:val="single" w:sz="4" w:space="0" w:color="000000"/>
              <w:bottom w:val="single" w:sz="4" w:space="0" w:color="000000"/>
              <w:right w:val="single" w:sz="4" w:space="0" w:color="000000"/>
            </w:tcBorders>
          </w:tcPr>
          <w:p w14:paraId="62FF3A84" w14:textId="77777777" w:rsidR="00316D6C" w:rsidRDefault="00316D6C" w:rsidP="008E425B">
            <w:pPr>
              <w:widowControl w:val="0"/>
            </w:pPr>
            <w:r>
              <w:rPr>
                <w:sz w:val="14"/>
                <w:szCs w:val="14"/>
              </w:rPr>
              <w:t xml:space="preserve">Owusu-Ofori  et al. </w:t>
            </w:r>
            <w:r>
              <w:rPr>
                <w:lang w:val="en-ID"/>
              </w:rPr>
              <w:fldChar w:fldCharType="begin"/>
            </w:r>
            <w:r>
              <w:rPr>
                <w:sz w:val="14"/>
                <w:szCs w:val="14"/>
              </w:rPr>
              <w:instrText xml:space="preserve"> ADDIN ZOTERO_ITEM CSL_CITATION {"citationID":"vpt8CdEe","properties":{"formattedCitation":"(74)","plainCitation":"(74)","noteIndex":0},"citationItems":[{"id":"OqG2TLxw/F7CfLyZY","uris":["http://zotero.org/users/local/QGE0TkJv/items/TQPSXT8Y"],"itemData":{"id":2684,"type":"article-journal","abstract":"Objectives: Antimicrobial resistance (AMR) is one of the biggest challenges facing mankind. Inappropriate uses of antibiotics including self-medication promote the increase and spread of AMR. Self-medication has not been well-studied among students. This study was undertaken to determine students of healthcare programmes self-medication practices and attitudes in relation to AMR.Materials and Methods: This was a cross-sectional survey that used a pretested self-administered questionnaire to elicit responses from first-year students of healthcare programmes at the Kwame Nkrumah University of Science and Technology, Ghana from January 2018 to August 2019.Results: Two hundred and eighty students were recruited with 264 of them returning the questionnaire, giving a response rate of 94.3%. Majority were female (68.9%) and participants ages ranged from 16 to 34 years with a mean age (SD) of 19.5 (1.88) years. 136 students (56.2%) had previously purchased antibiotics without a prescription and 78.3% expressed satisfaction with the outcome of self-medication. Amoxicillin (78%) was the most frequent antibiotic bought without a prescription. Majority (76.3%) agreed that self-medication can lead to AMR. Majority (77.0%) believed that antibiotic abuse is a problem in Ghana and 94.8% agreed that the introduction of a course in the University on the rational use of antibiotic will help improve student's knowledge and practices.Conclusion: Self-medication is common among participants despite their knowledge that inappropriate use of antibiotic may lead to resistance. Innovative ways including the introduction of new curricula may help to improve knowledge and to curb wrong attitudes and practices related to antibiotic misuse and ultimately to overcome the problem of AMR.","container-title":"Frontiers in Public Health","ISSN":"2296-2565","source":"Frontiers","title":"Self-Medication and Antimicrobial Resistance: A Survey of Students Studying Healthcare Programmes at a Tertiary Institution in Ghana","title-short":"Self-Medication and Antimicrobial Resistance","URL":"https://www.frontiersin.org/journals/public-health/articles/10.3389/fpubh.2021.706290","volume":"9","author":[{"family":"Owusu-Ofori","given":"Alex K."},{"family":"Darko","given":"Eric"},{"family":"Danquah","given":"Cynthia A."},{"family":"Agyarko-Poku","given":"Thomas"},{"family":"Buabeng","given":"Kwame Ohene"}],"accessed":{"date-parts":[["2024",2,28]]},"issued":{"date-parts":[["2021"]]}}}],"schema":"https://github.com/citation-style-language/schema/raw/master/csl-citation.json"} </w:instrText>
            </w:r>
            <w:r>
              <w:rPr>
                <w:sz w:val="14"/>
                <w:szCs w:val="14"/>
              </w:rPr>
              <w:fldChar w:fldCharType="separate"/>
            </w:r>
            <w:r>
              <w:rPr>
                <w:sz w:val="14"/>
                <w:szCs w:val="14"/>
              </w:rPr>
              <w:t>(74)</w:t>
            </w:r>
            <w:r>
              <w:rPr>
                <w:sz w:val="14"/>
                <w:szCs w:val="14"/>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7474D189" w14:textId="77777777" w:rsidR="00316D6C" w:rsidRDefault="00316D6C" w:rsidP="008E425B">
            <w:pPr>
              <w:widowControl w:val="0"/>
            </w:pPr>
            <w:proofErr w:type="gramStart"/>
            <w:r>
              <w:rPr>
                <w:sz w:val="14"/>
                <w:szCs w:val="14"/>
                <w:lang w:val="en-GB"/>
              </w:rPr>
              <w:t>January,</w:t>
            </w:r>
            <w:proofErr w:type="gramEnd"/>
            <w:r>
              <w:rPr>
                <w:sz w:val="14"/>
                <w:szCs w:val="14"/>
                <w:lang w:val="en-GB"/>
              </w:rPr>
              <w:t xml:space="preserve"> 2018-August, 2019</w:t>
            </w:r>
          </w:p>
        </w:tc>
        <w:tc>
          <w:tcPr>
            <w:tcW w:w="810" w:type="dxa"/>
            <w:vMerge w:val="restart"/>
            <w:tcBorders>
              <w:top w:val="single" w:sz="4" w:space="0" w:color="000000"/>
              <w:left w:val="single" w:sz="4" w:space="0" w:color="000000"/>
              <w:bottom w:val="single" w:sz="4" w:space="0" w:color="000000"/>
              <w:right w:val="single" w:sz="4" w:space="0" w:color="000000"/>
            </w:tcBorders>
          </w:tcPr>
          <w:p w14:paraId="40977113" w14:textId="77777777" w:rsidR="00316D6C" w:rsidRDefault="00316D6C" w:rsidP="008E425B">
            <w:pPr>
              <w:widowControl w:val="0"/>
            </w:pPr>
            <w:r>
              <w:rPr>
                <w:sz w:val="14"/>
                <w:szCs w:val="14"/>
                <w:lang w:val="en-GB"/>
              </w:rPr>
              <w:t>Ghana</w:t>
            </w:r>
          </w:p>
        </w:tc>
        <w:tc>
          <w:tcPr>
            <w:tcW w:w="1440" w:type="dxa"/>
            <w:vMerge w:val="restart"/>
            <w:tcBorders>
              <w:top w:val="single" w:sz="4" w:space="0" w:color="000000"/>
              <w:left w:val="single" w:sz="4" w:space="0" w:color="000000"/>
              <w:bottom w:val="single" w:sz="4" w:space="0" w:color="000000"/>
              <w:right w:val="single" w:sz="4" w:space="0" w:color="000000"/>
            </w:tcBorders>
          </w:tcPr>
          <w:p w14:paraId="0CD9CCEF" w14:textId="77777777" w:rsidR="00316D6C" w:rsidRDefault="00316D6C" w:rsidP="008E425B">
            <w:pPr>
              <w:widowControl w:val="0"/>
            </w:pPr>
            <w:r>
              <w:rPr>
                <w:sz w:val="14"/>
                <w:szCs w:val="14"/>
                <w:lang w:val="en-GB"/>
              </w:rPr>
              <w:t>University students</w:t>
            </w:r>
          </w:p>
        </w:tc>
        <w:tc>
          <w:tcPr>
            <w:tcW w:w="990" w:type="dxa"/>
            <w:vMerge w:val="restart"/>
            <w:tcBorders>
              <w:top w:val="single" w:sz="4" w:space="0" w:color="000000"/>
              <w:left w:val="single" w:sz="4" w:space="0" w:color="000000"/>
              <w:bottom w:val="single" w:sz="4" w:space="0" w:color="000000"/>
              <w:right w:val="single" w:sz="4" w:space="0" w:color="000000"/>
            </w:tcBorders>
          </w:tcPr>
          <w:p w14:paraId="1A9796F0" w14:textId="77777777" w:rsidR="00316D6C" w:rsidRDefault="00316D6C" w:rsidP="008E425B">
            <w:pPr>
              <w:widowControl w:val="0"/>
            </w:pPr>
            <w:r>
              <w:rPr>
                <w:sz w:val="14"/>
                <w:szCs w:val="14"/>
                <w:lang w:val="en-GB"/>
              </w:rPr>
              <w:t>280</w:t>
            </w:r>
          </w:p>
        </w:tc>
        <w:tc>
          <w:tcPr>
            <w:tcW w:w="2611" w:type="dxa"/>
            <w:tcBorders>
              <w:top w:val="single" w:sz="4" w:space="0" w:color="000000"/>
              <w:left w:val="single" w:sz="4" w:space="0" w:color="000000"/>
              <w:bottom w:val="single" w:sz="4" w:space="0" w:color="000000"/>
              <w:right w:val="single" w:sz="4" w:space="0" w:color="000000"/>
            </w:tcBorders>
          </w:tcPr>
          <w:p w14:paraId="44862BCF" w14:textId="77777777" w:rsidR="00316D6C" w:rsidRDefault="00316D6C" w:rsidP="008E425B">
            <w:pPr>
              <w:widowControl w:val="0"/>
            </w:pPr>
            <w:r>
              <w:rPr>
                <w:sz w:val="14"/>
                <w:szCs w:val="14"/>
                <w:lang w:val="en-GB"/>
              </w:rPr>
              <w:t>Self-medication</w:t>
            </w:r>
          </w:p>
        </w:tc>
        <w:tc>
          <w:tcPr>
            <w:tcW w:w="6478" w:type="dxa"/>
            <w:tcBorders>
              <w:top w:val="single" w:sz="4" w:space="0" w:color="000000"/>
              <w:left w:val="single" w:sz="4" w:space="0" w:color="000000"/>
              <w:bottom w:val="single" w:sz="4" w:space="0" w:color="000000"/>
              <w:right w:val="single" w:sz="4" w:space="0" w:color="000000"/>
            </w:tcBorders>
          </w:tcPr>
          <w:p w14:paraId="6A4B8DFF" w14:textId="77777777" w:rsidR="00316D6C" w:rsidRDefault="00316D6C" w:rsidP="008E425B">
            <w:pPr>
              <w:widowControl w:val="0"/>
            </w:pPr>
            <w:r>
              <w:rPr>
                <w:sz w:val="14"/>
                <w:szCs w:val="14"/>
                <w:lang w:val="en-GB"/>
              </w:rPr>
              <w:t xml:space="preserve">The </w:t>
            </w:r>
            <w:proofErr w:type="gramStart"/>
            <w:r>
              <w:rPr>
                <w:sz w:val="14"/>
                <w:szCs w:val="14"/>
                <w:lang w:val="en-GB"/>
              </w:rPr>
              <w:t>most commonly used</w:t>
            </w:r>
            <w:proofErr w:type="gramEnd"/>
            <w:r>
              <w:rPr>
                <w:sz w:val="14"/>
                <w:szCs w:val="14"/>
                <w:lang w:val="en-GB"/>
              </w:rPr>
              <w:t xml:space="preserve"> antibiotics were Amoxicillin (72.4%), Metronidazole (6.8%), Ciprofloxacin (6%) and Erythromycin (3.2%)</w:t>
            </w:r>
          </w:p>
        </w:tc>
      </w:tr>
      <w:tr w:rsidR="00316D6C" w14:paraId="09F3AA08" w14:textId="77777777" w:rsidTr="008E425B">
        <w:trPr>
          <w:trHeight w:val="529"/>
        </w:trPr>
        <w:tc>
          <w:tcPr>
            <w:tcW w:w="1079" w:type="dxa"/>
            <w:vMerge/>
            <w:tcBorders>
              <w:top w:val="single" w:sz="4" w:space="0" w:color="000000"/>
              <w:left w:val="single" w:sz="4" w:space="0" w:color="000000"/>
              <w:bottom w:val="single" w:sz="4" w:space="0" w:color="000000"/>
              <w:right w:val="single" w:sz="4" w:space="0" w:color="000000"/>
            </w:tcBorders>
          </w:tcPr>
          <w:p w14:paraId="0333FF71"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7CDB3D22"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01C52C35"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043D9233"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491E50B2"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2B0AA6E8" w14:textId="77777777" w:rsidR="00316D6C" w:rsidRDefault="00316D6C" w:rsidP="008E425B">
            <w:pPr>
              <w:widowControl w:val="0"/>
            </w:pPr>
            <w:r>
              <w:rPr>
                <w:sz w:val="14"/>
                <w:szCs w:val="14"/>
                <w:lang w:val="en-GB"/>
              </w:rPr>
              <w:t>Reasons for self-medication</w:t>
            </w:r>
          </w:p>
        </w:tc>
        <w:tc>
          <w:tcPr>
            <w:tcW w:w="6478" w:type="dxa"/>
            <w:tcBorders>
              <w:top w:val="single" w:sz="4" w:space="0" w:color="000000"/>
              <w:left w:val="single" w:sz="4" w:space="0" w:color="000000"/>
              <w:bottom w:val="single" w:sz="4" w:space="0" w:color="000000"/>
              <w:right w:val="single" w:sz="4" w:space="0" w:color="000000"/>
            </w:tcBorders>
          </w:tcPr>
          <w:p w14:paraId="52B1CC33" w14:textId="77777777" w:rsidR="00316D6C" w:rsidRDefault="00316D6C" w:rsidP="008E425B">
            <w:pPr>
              <w:widowControl w:val="0"/>
            </w:pPr>
            <w:r>
              <w:rPr>
                <w:sz w:val="14"/>
                <w:szCs w:val="14"/>
                <w:lang w:val="en-GB"/>
              </w:rPr>
              <w:t>Major reasons include convenience (55.2%), cost saving (27.9%), and not trusting doctor (2.2%)</w:t>
            </w:r>
          </w:p>
        </w:tc>
      </w:tr>
      <w:tr w:rsidR="00316D6C" w14:paraId="194A2F2E" w14:textId="77777777" w:rsidTr="008E425B">
        <w:trPr>
          <w:trHeight w:val="529"/>
        </w:trPr>
        <w:tc>
          <w:tcPr>
            <w:tcW w:w="1079" w:type="dxa"/>
            <w:vMerge/>
            <w:tcBorders>
              <w:top w:val="single" w:sz="4" w:space="0" w:color="000000"/>
              <w:left w:val="single" w:sz="4" w:space="0" w:color="000000"/>
              <w:bottom w:val="single" w:sz="4" w:space="0" w:color="000000"/>
              <w:right w:val="single" w:sz="4" w:space="0" w:color="000000"/>
            </w:tcBorders>
          </w:tcPr>
          <w:p w14:paraId="63CE9ECA"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08AE99D5"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2D5029D1"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7760FB8F"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5E9F8579"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28D05BC9" w14:textId="77777777" w:rsidR="00316D6C" w:rsidRDefault="00316D6C" w:rsidP="008E425B">
            <w:pPr>
              <w:widowControl w:val="0"/>
            </w:pPr>
            <w:r>
              <w:rPr>
                <w:sz w:val="14"/>
                <w:szCs w:val="14"/>
                <w:lang w:val="en-GB"/>
              </w:rPr>
              <w:t>Sources of antibiotics</w:t>
            </w:r>
          </w:p>
        </w:tc>
        <w:tc>
          <w:tcPr>
            <w:tcW w:w="6478" w:type="dxa"/>
            <w:tcBorders>
              <w:top w:val="single" w:sz="4" w:space="0" w:color="000000"/>
              <w:left w:val="single" w:sz="4" w:space="0" w:color="000000"/>
              <w:bottom w:val="single" w:sz="4" w:space="0" w:color="000000"/>
              <w:right w:val="single" w:sz="4" w:space="0" w:color="000000"/>
            </w:tcBorders>
          </w:tcPr>
          <w:p w14:paraId="5C5DE5EA" w14:textId="77777777" w:rsidR="00316D6C" w:rsidRDefault="00316D6C" w:rsidP="008E425B">
            <w:pPr>
              <w:widowControl w:val="0"/>
            </w:pPr>
            <w:r>
              <w:rPr>
                <w:sz w:val="14"/>
                <w:szCs w:val="14"/>
                <w:lang w:val="en-GB"/>
              </w:rPr>
              <w:t>Pharmacies (83%), leftover antibiotics from family and friends (4.6%), leftover antibiotics from previous prescriptions (7.6%)</w:t>
            </w:r>
          </w:p>
        </w:tc>
      </w:tr>
      <w:tr w:rsidR="00316D6C" w14:paraId="6035F7BC" w14:textId="77777777" w:rsidTr="008E425B">
        <w:trPr>
          <w:trHeight w:val="176"/>
        </w:trPr>
        <w:tc>
          <w:tcPr>
            <w:tcW w:w="1079" w:type="dxa"/>
            <w:vMerge/>
            <w:tcBorders>
              <w:top w:val="single" w:sz="4" w:space="0" w:color="000000"/>
              <w:left w:val="single" w:sz="4" w:space="0" w:color="000000"/>
              <w:bottom w:val="single" w:sz="4" w:space="0" w:color="000000"/>
              <w:right w:val="single" w:sz="4" w:space="0" w:color="000000"/>
            </w:tcBorders>
          </w:tcPr>
          <w:p w14:paraId="4E00C423"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0E71570C"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2D252327"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04C26710"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30F886C3"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4956B849" w14:textId="77777777" w:rsidR="00316D6C" w:rsidRDefault="00316D6C" w:rsidP="008E425B">
            <w:pPr>
              <w:widowControl w:val="0"/>
            </w:pPr>
            <w:r>
              <w:rPr>
                <w:sz w:val="14"/>
                <w:szCs w:val="14"/>
                <w:lang w:val="en-GB"/>
              </w:rPr>
              <w:t>Knowledge of antibiotic use and AMR</w:t>
            </w:r>
          </w:p>
        </w:tc>
        <w:tc>
          <w:tcPr>
            <w:tcW w:w="6478" w:type="dxa"/>
            <w:tcBorders>
              <w:top w:val="single" w:sz="4" w:space="0" w:color="000000"/>
              <w:left w:val="single" w:sz="4" w:space="0" w:color="000000"/>
              <w:bottom w:val="single" w:sz="4" w:space="0" w:color="000000"/>
              <w:right w:val="single" w:sz="4" w:space="0" w:color="000000"/>
            </w:tcBorders>
          </w:tcPr>
          <w:p w14:paraId="1EE8B35F" w14:textId="77777777" w:rsidR="00316D6C" w:rsidRDefault="00316D6C" w:rsidP="008E425B">
            <w:pPr>
              <w:widowControl w:val="0"/>
            </w:pPr>
            <w:r>
              <w:rPr>
                <w:sz w:val="14"/>
                <w:szCs w:val="14"/>
                <w:lang w:val="en-GB"/>
              </w:rPr>
              <w:t>94.1% knew that antibiotics were used to treat bacterial infections, 73% knew of AMR</w:t>
            </w:r>
          </w:p>
        </w:tc>
      </w:tr>
      <w:tr w:rsidR="00316D6C" w14:paraId="7042E738" w14:textId="77777777" w:rsidTr="008E425B">
        <w:trPr>
          <w:trHeight w:val="176"/>
        </w:trPr>
        <w:tc>
          <w:tcPr>
            <w:tcW w:w="1079" w:type="dxa"/>
            <w:vMerge/>
            <w:tcBorders>
              <w:top w:val="single" w:sz="4" w:space="0" w:color="000000"/>
              <w:left w:val="single" w:sz="4" w:space="0" w:color="000000"/>
              <w:bottom w:val="single" w:sz="4" w:space="0" w:color="000000"/>
              <w:right w:val="single" w:sz="4" w:space="0" w:color="000000"/>
            </w:tcBorders>
          </w:tcPr>
          <w:p w14:paraId="116DD84B"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3E0F656D"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6FB2D891"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3B2B27F0"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01A8065F"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2609185F" w14:textId="77777777" w:rsidR="00316D6C" w:rsidRDefault="00316D6C" w:rsidP="008E425B">
            <w:pPr>
              <w:widowControl w:val="0"/>
            </w:pPr>
            <w:r>
              <w:rPr>
                <w:sz w:val="14"/>
                <w:szCs w:val="14"/>
                <w:lang w:val="en-GB"/>
              </w:rPr>
              <w:t>Attitude toward antibiotic use</w:t>
            </w:r>
          </w:p>
        </w:tc>
        <w:tc>
          <w:tcPr>
            <w:tcW w:w="6478" w:type="dxa"/>
            <w:tcBorders>
              <w:top w:val="single" w:sz="4" w:space="0" w:color="000000"/>
              <w:left w:val="single" w:sz="4" w:space="0" w:color="000000"/>
              <w:bottom w:val="single" w:sz="4" w:space="0" w:color="000000"/>
              <w:right w:val="single" w:sz="4" w:space="0" w:color="000000"/>
            </w:tcBorders>
          </w:tcPr>
          <w:p w14:paraId="45F8AE48" w14:textId="77777777" w:rsidR="00316D6C" w:rsidRDefault="00316D6C" w:rsidP="008E425B">
            <w:pPr>
              <w:widowControl w:val="0"/>
            </w:pPr>
            <w:r>
              <w:rPr>
                <w:sz w:val="14"/>
                <w:szCs w:val="14"/>
                <w:lang w:val="en-GB"/>
              </w:rPr>
              <w:t>90.7% had previously misused antibiotics, and 77% agreed that antibiotic resistance was a problem in Ghana</w:t>
            </w:r>
          </w:p>
        </w:tc>
      </w:tr>
      <w:tr w:rsidR="00316D6C" w14:paraId="0E724D64" w14:textId="77777777" w:rsidTr="008E425B">
        <w:trPr>
          <w:trHeight w:val="178"/>
        </w:trPr>
        <w:tc>
          <w:tcPr>
            <w:tcW w:w="1079" w:type="dxa"/>
            <w:vMerge w:val="restart"/>
            <w:tcBorders>
              <w:top w:val="single" w:sz="4" w:space="0" w:color="000000"/>
              <w:left w:val="single" w:sz="4" w:space="0" w:color="000000"/>
              <w:bottom w:val="single" w:sz="4" w:space="0" w:color="000000"/>
              <w:right w:val="single" w:sz="4" w:space="0" w:color="000000"/>
            </w:tcBorders>
          </w:tcPr>
          <w:p w14:paraId="51AD3672" w14:textId="77777777" w:rsidR="00316D6C" w:rsidRDefault="00316D6C" w:rsidP="008E425B">
            <w:pPr>
              <w:widowControl w:val="0"/>
            </w:pPr>
            <w:r>
              <w:rPr>
                <w:sz w:val="14"/>
                <w:szCs w:val="14"/>
              </w:rPr>
              <w:t xml:space="preserve">Popoola  et al. </w:t>
            </w:r>
            <w:r>
              <w:rPr>
                <w:lang w:val="en-ID"/>
              </w:rPr>
              <w:fldChar w:fldCharType="begin"/>
            </w:r>
            <w:r>
              <w:rPr>
                <w:sz w:val="14"/>
                <w:szCs w:val="14"/>
              </w:rPr>
              <w:instrText xml:space="preserve"> ADDIN ZOTERO_ITEM CSL_CITATION {"citationID":"KgRtKJSg","properties":{"formattedCitation":"(87)","plainCitation":"(87)","noteIndex":0},"citationItems":[{"id":"OqG2TLxw/o43XlsUW","uris":["http://zotero.org/users/local/QGE0TkJv/items/NULCZU9T"],"itemData":{"id":2710,"type":"article-journal","abstract":"Introduction\nAntimicrobial resistance (AMR) is a growing global public health concern that was directly responsible for 1.27 million deaths and indirectly associated with 4.95 million deaths in 2019. Antibiotic resistance (ABR) occurs naturally, but its prevalence has been accelerated broadly due to antibiotic misuse and overuse, poor infection control practices, and availability of substandard and falsified medicines.\nObjectives\nTo assess antibiotic use and knowledge of ABR among graduates of tertiary education in Nigeria and evaluate if tertiary education, academic background (science, social sciences, or the arts) and years post-graduation significantly impact antibiotic use and awareness of antibiotic resistance.\nResult\nDespite having tertiary education, 47.7 % of respondents self-medicate with antibiotics, 54.9 % of respondents don't carry out laboratory investigations before using antibiotics, and 70.1 % reduce or stop taking antibiotics on feeling better. Inconvenience, limited access to doctors and financial constraint were the most common reasons for self-medication. Academic background, age, gender and years post-graduation had no statistically significant effect on self-medication practices (p-value&gt;0.05). Inappropriate antibiotic use for viral-infections like sore throat, cold and flu, and diarrhoea was reported in 50.2, 42.6 and 40.2 % of respondents, respectively. Amoxicillin (54.2 %), metronidazole (48.2 %), and ciprofloxacin (45.6 %) were the most used antibiotics. Pharmacists were the most consulted health professionals before antibiotics were used, and the internet is the most common source of information on antibiotic resistance. Most-respondents, 85.5 %, correctly identified that antibiotic misuse contributes to ABR.\nConclusion\nThe increased knowledge and awareness of ABR among respondents did not translate into proper antibiotic use, emphasizing the need for more stringent regulations on antibiotic dispensing and prescribing. Health sector reforms focused on utilizing technology like telemedicine to improve convenient access to health care, and multiple health insurance schemes to reduce out-of-pocket spending should be prioritized to improve health equity and universal health coverage (UHC).","container-title":"Scientific African","DOI":"10.1016/j.sciaf.2023.e01978","ISSN":"2468-2276","journalAbbreviation":"Scientific African","page":"e01978","source":"ScienceDirect","title":"A national survey of the antibiotic use, self-medication practices, and knowledge of antibiotic resistance among graduates of tertiary institutions in Nigeria","volume":"23","author":[{"family":"Popoola","given":"Olanrewaju Olamide"},{"family":"Adepitan","given":"Damilola Samson"},{"family":"Adeyemi","given":"Adebowale Sylvester"},{"family":"Oladeru","given":"Opeyemi Fortunate"},{"family":"Yusuff","given":"Sodiq Inaolaji"}],"issued":{"date-parts":[["2024",3,1]]}}}],"schema":"https://github.com/citation-style-language/schema/raw/master/csl-citation.json"} </w:instrText>
            </w:r>
            <w:r>
              <w:rPr>
                <w:sz w:val="14"/>
                <w:szCs w:val="14"/>
              </w:rPr>
              <w:fldChar w:fldCharType="separate"/>
            </w:r>
            <w:r>
              <w:rPr>
                <w:sz w:val="14"/>
                <w:szCs w:val="14"/>
              </w:rPr>
              <w:t>(87)</w:t>
            </w:r>
            <w:r>
              <w:rPr>
                <w:sz w:val="14"/>
                <w:szCs w:val="14"/>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7D0E8ADA" w14:textId="77777777" w:rsidR="00316D6C" w:rsidRDefault="00316D6C" w:rsidP="008E425B">
            <w:pPr>
              <w:widowControl w:val="0"/>
            </w:pPr>
            <w:r>
              <w:rPr>
                <w:sz w:val="14"/>
                <w:szCs w:val="14"/>
              </w:rPr>
              <w:t>-</w:t>
            </w:r>
          </w:p>
        </w:tc>
        <w:tc>
          <w:tcPr>
            <w:tcW w:w="810" w:type="dxa"/>
            <w:vMerge w:val="restart"/>
            <w:tcBorders>
              <w:top w:val="single" w:sz="4" w:space="0" w:color="000000"/>
              <w:left w:val="single" w:sz="4" w:space="0" w:color="000000"/>
              <w:bottom w:val="single" w:sz="4" w:space="0" w:color="000000"/>
              <w:right w:val="single" w:sz="4" w:space="0" w:color="000000"/>
            </w:tcBorders>
          </w:tcPr>
          <w:p w14:paraId="31F1CC6D" w14:textId="77777777" w:rsidR="00316D6C" w:rsidRDefault="00316D6C" w:rsidP="008E425B">
            <w:pPr>
              <w:widowControl w:val="0"/>
            </w:pPr>
            <w:r>
              <w:rPr>
                <w:sz w:val="14"/>
                <w:szCs w:val="14"/>
                <w:lang w:val="en-GB"/>
              </w:rPr>
              <w:t>Nigeria</w:t>
            </w:r>
          </w:p>
        </w:tc>
        <w:tc>
          <w:tcPr>
            <w:tcW w:w="1440" w:type="dxa"/>
            <w:vMerge w:val="restart"/>
            <w:tcBorders>
              <w:top w:val="single" w:sz="4" w:space="0" w:color="000000"/>
              <w:left w:val="single" w:sz="4" w:space="0" w:color="000000"/>
              <w:bottom w:val="single" w:sz="4" w:space="0" w:color="000000"/>
              <w:right w:val="single" w:sz="4" w:space="0" w:color="000000"/>
            </w:tcBorders>
          </w:tcPr>
          <w:p w14:paraId="243C358F" w14:textId="77777777" w:rsidR="00316D6C" w:rsidRDefault="00316D6C" w:rsidP="008E425B">
            <w:pPr>
              <w:widowControl w:val="0"/>
            </w:pPr>
            <w:r>
              <w:rPr>
                <w:sz w:val="14"/>
                <w:szCs w:val="14"/>
                <w:lang w:val="en-GB"/>
              </w:rPr>
              <w:t>Tertiary graduates</w:t>
            </w:r>
          </w:p>
        </w:tc>
        <w:tc>
          <w:tcPr>
            <w:tcW w:w="990" w:type="dxa"/>
            <w:vMerge w:val="restart"/>
            <w:tcBorders>
              <w:top w:val="single" w:sz="4" w:space="0" w:color="000000"/>
              <w:left w:val="single" w:sz="4" w:space="0" w:color="000000"/>
              <w:bottom w:val="single" w:sz="4" w:space="0" w:color="000000"/>
              <w:right w:val="single" w:sz="4" w:space="0" w:color="000000"/>
            </w:tcBorders>
          </w:tcPr>
          <w:p w14:paraId="34DF7F20" w14:textId="77777777" w:rsidR="00316D6C" w:rsidRDefault="00316D6C" w:rsidP="008E425B">
            <w:pPr>
              <w:widowControl w:val="0"/>
            </w:pPr>
            <w:r>
              <w:rPr>
                <w:sz w:val="14"/>
                <w:szCs w:val="14"/>
                <w:lang w:val="en-GB"/>
              </w:rPr>
              <w:t>537</w:t>
            </w:r>
          </w:p>
        </w:tc>
        <w:tc>
          <w:tcPr>
            <w:tcW w:w="2611" w:type="dxa"/>
            <w:tcBorders>
              <w:top w:val="single" w:sz="4" w:space="0" w:color="000000"/>
              <w:left w:val="single" w:sz="4" w:space="0" w:color="000000"/>
              <w:bottom w:val="single" w:sz="4" w:space="0" w:color="000000"/>
              <w:right w:val="single" w:sz="4" w:space="0" w:color="000000"/>
            </w:tcBorders>
          </w:tcPr>
          <w:p w14:paraId="7D1CAFBC" w14:textId="77777777" w:rsidR="00316D6C" w:rsidRDefault="00316D6C" w:rsidP="008E425B">
            <w:pPr>
              <w:widowControl w:val="0"/>
            </w:pPr>
            <w:r>
              <w:rPr>
                <w:sz w:val="14"/>
                <w:szCs w:val="14"/>
                <w:lang w:val="en-GB"/>
              </w:rPr>
              <w:t>Self-medication</w:t>
            </w:r>
          </w:p>
        </w:tc>
        <w:tc>
          <w:tcPr>
            <w:tcW w:w="6478" w:type="dxa"/>
            <w:tcBorders>
              <w:top w:val="single" w:sz="4" w:space="0" w:color="000000"/>
              <w:left w:val="single" w:sz="4" w:space="0" w:color="000000"/>
              <w:bottom w:val="single" w:sz="4" w:space="0" w:color="000000"/>
              <w:right w:val="single" w:sz="4" w:space="0" w:color="000000"/>
            </w:tcBorders>
          </w:tcPr>
          <w:p w14:paraId="508EB994" w14:textId="77777777" w:rsidR="00316D6C" w:rsidRDefault="00316D6C" w:rsidP="008E425B">
            <w:pPr>
              <w:widowControl w:val="0"/>
            </w:pPr>
            <w:r>
              <w:rPr>
                <w:sz w:val="14"/>
                <w:szCs w:val="14"/>
                <w:lang w:val="en-GB"/>
              </w:rPr>
              <w:t>47.7% admitted to buying antibiotics without prescriptions.</w:t>
            </w:r>
            <w:r>
              <w:rPr>
                <w:color w:val="1F1F1F"/>
                <w:sz w:val="14"/>
                <w:szCs w:val="14"/>
              </w:rPr>
              <w:t xml:space="preserve"> </w:t>
            </w:r>
            <w:r>
              <w:rPr>
                <w:sz w:val="14"/>
                <w:szCs w:val="14"/>
              </w:rPr>
              <w:t xml:space="preserve">Inappropriate antibiotic use for viral infections like sore throat, cold and flu, and </w:t>
            </w:r>
            <w:proofErr w:type="spellStart"/>
            <w:r>
              <w:rPr>
                <w:sz w:val="14"/>
                <w:szCs w:val="14"/>
              </w:rPr>
              <w:t>diarrhoea</w:t>
            </w:r>
            <w:proofErr w:type="spellEnd"/>
            <w:r>
              <w:rPr>
                <w:sz w:val="14"/>
                <w:szCs w:val="14"/>
              </w:rPr>
              <w:t xml:space="preserve"> was reported in 50.2, 42.6, and 40.2 % of respondents, respectively.</w:t>
            </w:r>
          </w:p>
        </w:tc>
      </w:tr>
      <w:tr w:rsidR="00316D6C" w14:paraId="127E0CD3" w14:textId="77777777" w:rsidTr="008E425B">
        <w:trPr>
          <w:trHeight w:val="361"/>
        </w:trPr>
        <w:tc>
          <w:tcPr>
            <w:tcW w:w="1079" w:type="dxa"/>
            <w:vMerge/>
            <w:tcBorders>
              <w:top w:val="single" w:sz="4" w:space="0" w:color="000000"/>
              <w:left w:val="single" w:sz="4" w:space="0" w:color="000000"/>
              <w:bottom w:val="single" w:sz="4" w:space="0" w:color="000000"/>
              <w:right w:val="single" w:sz="4" w:space="0" w:color="000000"/>
            </w:tcBorders>
          </w:tcPr>
          <w:p w14:paraId="520FBB03"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40863915"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7848B00B"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179698E6"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07746F9F"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18EAE5DB" w14:textId="77777777" w:rsidR="00316D6C" w:rsidRDefault="00316D6C" w:rsidP="008E425B">
            <w:pPr>
              <w:widowControl w:val="0"/>
            </w:pPr>
            <w:r>
              <w:rPr>
                <w:sz w:val="14"/>
                <w:szCs w:val="14"/>
                <w:lang w:val="en-GB"/>
              </w:rPr>
              <w:t>Reasons for self-medication</w:t>
            </w:r>
          </w:p>
        </w:tc>
        <w:tc>
          <w:tcPr>
            <w:tcW w:w="6478" w:type="dxa"/>
            <w:tcBorders>
              <w:top w:val="single" w:sz="4" w:space="0" w:color="000000"/>
              <w:left w:val="single" w:sz="4" w:space="0" w:color="000000"/>
              <w:bottom w:val="single" w:sz="4" w:space="0" w:color="000000"/>
              <w:right w:val="single" w:sz="4" w:space="0" w:color="000000"/>
            </w:tcBorders>
          </w:tcPr>
          <w:p w14:paraId="0680B3CA" w14:textId="77777777" w:rsidR="00316D6C" w:rsidRDefault="00316D6C" w:rsidP="008E425B">
            <w:pPr>
              <w:widowControl w:val="0"/>
            </w:pPr>
            <w:r>
              <w:rPr>
                <w:sz w:val="14"/>
                <w:szCs w:val="14"/>
                <w:lang w:val="en-GB"/>
              </w:rPr>
              <w:t>Convenience (41.2%), limited access to health professionals (23.4%), and financial constraints (23.1%)</w:t>
            </w:r>
          </w:p>
        </w:tc>
      </w:tr>
      <w:tr w:rsidR="00316D6C" w14:paraId="5BB402B3" w14:textId="77777777" w:rsidTr="008E425B">
        <w:trPr>
          <w:trHeight w:val="415"/>
        </w:trPr>
        <w:tc>
          <w:tcPr>
            <w:tcW w:w="1079" w:type="dxa"/>
            <w:vMerge/>
            <w:tcBorders>
              <w:top w:val="single" w:sz="4" w:space="0" w:color="000000"/>
              <w:left w:val="single" w:sz="4" w:space="0" w:color="000000"/>
              <w:bottom w:val="single" w:sz="4" w:space="0" w:color="000000"/>
              <w:right w:val="single" w:sz="4" w:space="0" w:color="000000"/>
            </w:tcBorders>
          </w:tcPr>
          <w:p w14:paraId="08BEB639"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17616BB2"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0F6D4DFB"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6F554024"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348A9A7E"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44559F87" w14:textId="77777777" w:rsidR="00316D6C" w:rsidRDefault="00316D6C" w:rsidP="008E425B">
            <w:pPr>
              <w:widowControl w:val="0"/>
            </w:pPr>
            <w:r>
              <w:rPr>
                <w:sz w:val="14"/>
                <w:szCs w:val="14"/>
                <w:lang w:val="en-GB"/>
              </w:rPr>
              <w:t>Antibiotic use</w:t>
            </w:r>
          </w:p>
        </w:tc>
        <w:tc>
          <w:tcPr>
            <w:tcW w:w="6478" w:type="dxa"/>
            <w:tcBorders>
              <w:top w:val="single" w:sz="4" w:space="0" w:color="000000"/>
              <w:left w:val="single" w:sz="4" w:space="0" w:color="000000"/>
              <w:bottom w:val="single" w:sz="4" w:space="0" w:color="000000"/>
              <w:right w:val="single" w:sz="4" w:space="0" w:color="000000"/>
            </w:tcBorders>
          </w:tcPr>
          <w:p w14:paraId="23D5CA06" w14:textId="77777777" w:rsidR="00316D6C" w:rsidRDefault="00316D6C" w:rsidP="008E425B">
            <w:pPr>
              <w:widowControl w:val="0"/>
            </w:pPr>
            <w:r>
              <w:rPr>
                <w:sz w:val="14"/>
                <w:szCs w:val="14"/>
                <w:lang w:val="en-GB"/>
              </w:rPr>
              <w:t xml:space="preserve">The </w:t>
            </w:r>
            <w:proofErr w:type="gramStart"/>
            <w:r>
              <w:rPr>
                <w:sz w:val="14"/>
                <w:szCs w:val="14"/>
                <w:lang w:val="en-GB"/>
              </w:rPr>
              <w:t>most commonly used</w:t>
            </w:r>
            <w:proofErr w:type="gramEnd"/>
            <w:r>
              <w:rPr>
                <w:sz w:val="14"/>
                <w:szCs w:val="14"/>
                <w:lang w:val="en-GB"/>
              </w:rPr>
              <w:t xml:space="preserve"> were </w:t>
            </w:r>
            <w:r>
              <w:rPr>
                <w:sz w:val="14"/>
                <w:szCs w:val="14"/>
              </w:rPr>
              <w:t xml:space="preserve">Amoxicillin (54.2 %), </w:t>
            </w:r>
            <w:r>
              <w:rPr>
                <w:sz w:val="14"/>
                <w:szCs w:val="14"/>
                <w:lang w:val="en-GB"/>
              </w:rPr>
              <w:t>M</w:t>
            </w:r>
            <w:proofErr w:type="spellStart"/>
            <w:r>
              <w:rPr>
                <w:sz w:val="14"/>
                <w:szCs w:val="14"/>
              </w:rPr>
              <w:t>etronidazole</w:t>
            </w:r>
            <w:proofErr w:type="spellEnd"/>
            <w:r>
              <w:rPr>
                <w:sz w:val="14"/>
                <w:szCs w:val="14"/>
              </w:rPr>
              <w:t xml:space="preserve"> (48.2 %), and </w:t>
            </w:r>
            <w:r>
              <w:rPr>
                <w:sz w:val="14"/>
                <w:szCs w:val="14"/>
                <w:lang w:val="en-GB"/>
              </w:rPr>
              <w:t>C</w:t>
            </w:r>
            <w:proofErr w:type="spellStart"/>
            <w:r>
              <w:rPr>
                <w:sz w:val="14"/>
                <w:szCs w:val="14"/>
              </w:rPr>
              <w:t>iprofloxacin</w:t>
            </w:r>
            <w:proofErr w:type="spellEnd"/>
            <w:r>
              <w:rPr>
                <w:sz w:val="14"/>
                <w:szCs w:val="14"/>
              </w:rPr>
              <w:t xml:space="preserve"> (45.6 %)</w:t>
            </w:r>
            <w:r>
              <w:rPr>
                <w:sz w:val="14"/>
                <w:szCs w:val="14"/>
                <w:lang w:val="en-GB"/>
              </w:rPr>
              <w:t>.</w:t>
            </w:r>
          </w:p>
        </w:tc>
      </w:tr>
      <w:tr w:rsidR="00316D6C" w14:paraId="3E162A14" w14:textId="77777777" w:rsidTr="008E425B">
        <w:trPr>
          <w:trHeight w:val="176"/>
        </w:trPr>
        <w:tc>
          <w:tcPr>
            <w:tcW w:w="1079" w:type="dxa"/>
            <w:vMerge/>
            <w:tcBorders>
              <w:top w:val="single" w:sz="4" w:space="0" w:color="000000"/>
              <w:left w:val="single" w:sz="4" w:space="0" w:color="000000"/>
              <w:bottom w:val="single" w:sz="4" w:space="0" w:color="000000"/>
              <w:right w:val="single" w:sz="4" w:space="0" w:color="000000"/>
            </w:tcBorders>
          </w:tcPr>
          <w:p w14:paraId="23D8618C"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3F230D81"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3EC9D8F1"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60946F8A"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3987E0BE"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2CC5AA2C" w14:textId="77777777" w:rsidR="00316D6C" w:rsidRDefault="00316D6C" w:rsidP="008E425B">
            <w:pPr>
              <w:widowControl w:val="0"/>
            </w:pPr>
            <w:r>
              <w:rPr>
                <w:sz w:val="14"/>
                <w:szCs w:val="14"/>
                <w:lang w:val="en-GB"/>
              </w:rPr>
              <w:t>Where antibiotics are purchased</w:t>
            </w:r>
          </w:p>
        </w:tc>
        <w:tc>
          <w:tcPr>
            <w:tcW w:w="6478" w:type="dxa"/>
            <w:tcBorders>
              <w:top w:val="single" w:sz="4" w:space="0" w:color="000000"/>
              <w:left w:val="single" w:sz="4" w:space="0" w:color="000000"/>
              <w:bottom w:val="single" w:sz="4" w:space="0" w:color="000000"/>
              <w:right w:val="single" w:sz="4" w:space="0" w:color="000000"/>
            </w:tcBorders>
          </w:tcPr>
          <w:p w14:paraId="361E28F6" w14:textId="77777777" w:rsidR="00316D6C" w:rsidRDefault="00316D6C" w:rsidP="008E425B">
            <w:pPr>
              <w:widowControl w:val="0"/>
            </w:pPr>
            <w:r>
              <w:rPr>
                <w:sz w:val="14"/>
                <w:szCs w:val="14"/>
                <w:lang w:val="en-GB"/>
              </w:rPr>
              <w:t>Pharmacies (85.6%), hospitals (7.8%), and roadside medicine vendors (4.3%)</w:t>
            </w:r>
          </w:p>
        </w:tc>
      </w:tr>
      <w:tr w:rsidR="00316D6C" w14:paraId="0421C692" w14:textId="77777777" w:rsidTr="008E425B">
        <w:trPr>
          <w:trHeight w:val="178"/>
        </w:trPr>
        <w:tc>
          <w:tcPr>
            <w:tcW w:w="1079" w:type="dxa"/>
            <w:vMerge w:val="restart"/>
            <w:tcBorders>
              <w:top w:val="single" w:sz="4" w:space="0" w:color="000000"/>
              <w:left w:val="single" w:sz="4" w:space="0" w:color="000000"/>
              <w:bottom w:val="single" w:sz="4" w:space="0" w:color="000000"/>
              <w:right w:val="single" w:sz="4" w:space="0" w:color="000000"/>
            </w:tcBorders>
          </w:tcPr>
          <w:p w14:paraId="73590A65" w14:textId="77777777" w:rsidR="00316D6C" w:rsidRDefault="00316D6C" w:rsidP="008E425B">
            <w:pPr>
              <w:widowControl w:val="0"/>
            </w:pPr>
            <w:r>
              <w:rPr>
                <w:sz w:val="14"/>
                <w:szCs w:val="14"/>
              </w:rPr>
              <w:t xml:space="preserve">Salihu </w:t>
            </w:r>
            <w:proofErr w:type="spellStart"/>
            <w:r>
              <w:rPr>
                <w:sz w:val="14"/>
                <w:szCs w:val="14"/>
              </w:rPr>
              <w:t>Dadari</w:t>
            </w:r>
            <w:proofErr w:type="spellEnd"/>
            <w:r>
              <w:rPr>
                <w:sz w:val="14"/>
                <w:szCs w:val="14"/>
              </w:rPr>
              <w:t xml:space="preserve"> et al. </w:t>
            </w:r>
            <w:r>
              <w:rPr>
                <w:lang w:val="en-ID"/>
              </w:rPr>
              <w:fldChar w:fldCharType="begin"/>
            </w:r>
            <w:r>
              <w:rPr>
                <w:sz w:val="14"/>
                <w:szCs w:val="14"/>
              </w:rPr>
              <w:instrText xml:space="preserve"> ADDIN ZOTERO_ITEM CSL_CITATION {"citationID":"aNjC6AWc","properties":{"formattedCitation":"(88)","plainCitation":"(88)","noteIndex":0},"citationItems":[{"id":"OqG2TLxw/2LdZLj8H","uris":["http://zotero.org/users/local/QGE0TkJv/items/HVMH6J7V"],"itemData":{"id":2704,"type":"article-journal","abstract":"This project explores the relationship between sociodemographic status and antibiotic use, practices and knowledge about the concept of antibiotic resistance among breastfeeding mothers. A pre-tested questionnaire was administered to breastfeeding mothers in six public hospitals in Kaduna state of Nigeria. Socio-demographic characteristics using univariate analysis were compared with antibiotic use, knowledge and practices. Multivariable logistic regression models were performed to know the potential predictors of a better knowledge and understanding about antibiotics resistance. A total of 321 breastfeeding mothers took part in the survey with 25.27% believing that antibiotics are used to treat fever, common cold, bacterial and viral infections and 43.7% declaring not having heard of the term before, 45.7% do not believe that antibiotics taken by the mother could affect the baby and 74.58% believe that antibiotics resistance is when their body becomes resistant to antibiotics. Multivariable models showed that the unemployed and those with lower levels of education are more prone to antibiotics misuse. This study demonstrates that breastfeeding mothers have a lack of adequate knowledge and understanding regarding the use of antibiotics and antibiotic resistance. Maternal misuse while breastfeeding could contribute to the development of antibiotic resistance, mainly in the intestinal microbiota in children.","container-title":"Journal of Infection and Public Health","DOI":"10.1016/j.jiph.2019.05.008","ISSN":"1876-0341","issue":"12","journalAbbreviation":"Journal of Infection and Public Health","page":"2072-2079","source":"ScienceDirect","title":"Antibiotics use, knowledge and practices on antibiotic resistance among breastfeeding mothers in Kaduna state (Nigeria)","volume":"13","author":[{"family":"Salihu Dadari","given":"Hambal I."}],"issued":{"date-parts":[["2020",12,1]]}}}],"schema":"https://github.com/citation-style-language/schema/raw/master/csl-citation.json"} </w:instrText>
            </w:r>
            <w:r>
              <w:rPr>
                <w:sz w:val="14"/>
                <w:szCs w:val="14"/>
              </w:rPr>
              <w:fldChar w:fldCharType="separate"/>
            </w:r>
            <w:r>
              <w:rPr>
                <w:sz w:val="14"/>
                <w:szCs w:val="14"/>
              </w:rPr>
              <w:t>(88)</w:t>
            </w:r>
            <w:r>
              <w:rPr>
                <w:sz w:val="14"/>
                <w:szCs w:val="14"/>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39F0A952" w14:textId="77777777" w:rsidR="00316D6C" w:rsidRDefault="00316D6C" w:rsidP="008E425B">
            <w:pPr>
              <w:widowControl w:val="0"/>
            </w:pPr>
            <w:r>
              <w:rPr>
                <w:sz w:val="14"/>
                <w:szCs w:val="14"/>
              </w:rPr>
              <w:t>-</w:t>
            </w:r>
          </w:p>
        </w:tc>
        <w:tc>
          <w:tcPr>
            <w:tcW w:w="810" w:type="dxa"/>
            <w:vMerge w:val="restart"/>
            <w:tcBorders>
              <w:top w:val="single" w:sz="4" w:space="0" w:color="000000"/>
              <w:left w:val="single" w:sz="4" w:space="0" w:color="000000"/>
              <w:bottom w:val="single" w:sz="4" w:space="0" w:color="000000"/>
              <w:right w:val="single" w:sz="4" w:space="0" w:color="000000"/>
            </w:tcBorders>
          </w:tcPr>
          <w:p w14:paraId="609C8687" w14:textId="77777777" w:rsidR="00316D6C" w:rsidRDefault="00316D6C" w:rsidP="008E425B">
            <w:pPr>
              <w:widowControl w:val="0"/>
            </w:pPr>
            <w:r>
              <w:rPr>
                <w:sz w:val="14"/>
                <w:szCs w:val="14"/>
                <w:lang w:val="en-GB"/>
              </w:rPr>
              <w:t>Nigeria</w:t>
            </w:r>
          </w:p>
        </w:tc>
        <w:tc>
          <w:tcPr>
            <w:tcW w:w="1440" w:type="dxa"/>
            <w:vMerge w:val="restart"/>
            <w:tcBorders>
              <w:top w:val="single" w:sz="4" w:space="0" w:color="000000"/>
              <w:left w:val="single" w:sz="4" w:space="0" w:color="000000"/>
              <w:bottom w:val="single" w:sz="4" w:space="0" w:color="000000"/>
              <w:right w:val="single" w:sz="4" w:space="0" w:color="000000"/>
            </w:tcBorders>
          </w:tcPr>
          <w:p w14:paraId="6FE1DDC7" w14:textId="77777777" w:rsidR="00316D6C" w:rsidRDefault="00316D6C" w:rsidP="008E425B">
            <w:pPr>
              <w:widowControl w:val="0"/>
            </w:pPr>
            <w:r>
              <w:rPr>
                <w:sz w:val="14"/>
                <w:szCs w:val="14"/>
                <w:lang w:val="en-GB"/>
              </w:rPr>
              <w:t>Breastfeeding mothers</w:t>
            </w:r>
          </w:p>
        </w:tc>
        <w:tc>
          <w:tcPr>
            <w:tcW w:w="990" w:type="dxa"/>
            <w:vMerge w:val="restart"/>
            <w:tcBorders>
              <w:top w:val="single" w:sz="4" w:space="0" w:color="000000"/>
              <w:left w:val="single" w:sz="4" w:space="0" w:color="000000"/>
              <w:bottom w:val="single" w:sz="4" w:space="0" w:color="000000"/>
              <w:right w:val="single" w:sz="4" w:space="0" w:color="000000"/>
            </w:tcBorders>
          </w:tcPr>
          <w:p w14:paraId="47061B58" w14:textId="77777777" w:rsidR="00316D6C" w:rsidRDefault="00316D6C" w:rsidP="008E425B">
            <w:pPr>
              <w:widowControl w:val="0"/>
            </w:pPr>
            <w:r>
              <w:rPr>
                <w:sz w:val="14"/>
                <w:szCs w:val="14"/>
                <w:lang w:val="en-GB"/>
              </w:rPr>
              <w:t>321</w:t>
            </w:r>
          </w:p>
        </w:tc>
        <w:tc>
          <w:tcPr>
            <w:tcW w:w="2611" w:type="dxa"/>
            <w:tcBorders>
              <w:top w:val="single" w:sz="4" w:space="0" w:color="000000"/>
              <w:left w:val="single" w:sz="4" w:space="0" w:color="000000"/>
              <w:bottom w:val="single" w:sz="4" w:space="0" w:color="000000"/>
              <w:right w:val="single" w:sz="4" w:space="0" w:color="000000"/>
            </w:tcBorders>
          </w:tcPr>
          <w:p w14:paraId="5053E924" w14:textId="77777777" w:rsidR="00316D6C" w:rsidRDefault="00316D6C" w:rsidP="008E425B">
            <w:pPr>
              <w:widowControl w:val="0"/>
            </w:pPr>
            <w:r>
              <w:rPr>
                <w:sz w:val="14"/>
                <w:szCs w:val="14"/>
                <w:lang w:val="en-GB"/>
              </w:rPr>
              <w:t>Knowledge of antibiotic use and resistance</w:t>
            </w:r>
          </w:p>
        </w:tc>
        <w:tc>
          <w:tcPr>
            <w:tcW w:w="6478" w:type="dxa"/>
            <w:tcBorders>
              <w:top w:val="single" w:sz="4" w:space="0" w:color="000000"/>
              <w:left w:val="single" w:sz="4" w:space="0" w:color="000000"/>
              <w:bottom w:val="single" w:sz="4" w:space="0" w:color="000000"/>
              <w:right w:val="single" w:sz="4" w:space="0" w:color="000000"/>
            </w:tcBorders>
          </w:tcPr>
          <w:p w14:paraId="3E23F2AE" w14:textId="77777777" w:rsidR="00316D6C" w:rsidRDefault="00316D6C" w:rsidP="008E425B">
            <w:pPr>
              <w:widowControl w:val="0"/>
            </w:pPr>
            <w:r>
              <w:rPr>
                <w:sz w:val="14"/>
                <w:szCs w:val="14"/>
                <w:lang w:val="en-GB"/>
              </w:rPr>
              <w:t>50.55% believed that antibiotics were used to treat bacterial infections, 72.35% believed that it was wrong to use left-over antibiotics, 43.65% had not heard of antibiotic resistance before</w:t>
            </w:r>
          </w:p>
        </w:tc>
      </w:tr>
      <w:tr w:rsidR="00316D6C" w14:paraId="7B758013" w14:textId="77777777" w:rsidTr="008E425B">
        <w:trPr>
          <w:trHeight w:val="265"/>
        </w:trPr>
        <w:tc>
          <w:tcPr>
            <w:tcW w:w="1079" w:type="dxa"/>
            <w:vMerge/>
            <w:tcBorders>
              <w:top w:val="single" w:sz="4" w:space="0" w:color="000000"/>
              <w:left w:val="single" w:sz="4" w:space="0" w:color="000000"/>
              <w:bottom w:val="single" w:sz="4" w:space="0" w:color="000000"/>
              <w:right w:val="single" w:sz="4" w:space="0" w:color="000000"/>
            </w:tcBorders>
          </w:tcPr>
          <w:p w14:paraId="1ECB7BD9"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7F5AFF22"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60FAAA3E"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0B620623"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4A92189F"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61C77688" w14:textId="77777777" w:rsidR="00316D6C" w:rsidRDefault="00316D6C" w:rsidP="008E425B">
            <w:pPr>
              <w:widowControl w:val="0"/>
            </w:pPr>
            <w:r>
              <w:rPr>
                <w:sz w:val="14"/>
                <w:szCs w:val="14"/>
                <w:lang w:val="en-GB"/>
              </w:rPr>
              <w:t>Attitude toward antibiotic use</w:t>
            </w:r>
          </w:p>
        </w:tc>
        <w:tc>
          <w:tcPr>
            <w:tcW w:w="6478" w:type="dxa"/>
            <w:tcBorders>
              <w:top w:val="single" w:sz="4" w:space="0" w:color="000000"/>
              <w:left w:val="single" w:sz="4" w:space="0" w:color="000000"/>
              <w:bottom w:val="single" w:sz="4" w:space="0" w:color="000000"/>
              <w:right w:val="single" w:sz="4" w:space="0" w:color="000000"/>
            </w:tcBorders>
          </w:tcPr>
          <w:p w14:paraId="3C1B3964" w14:textId="77777777" w:rsidR="00316D6C" w:rsidRDefault="00316D6C" w:rsidP="008E425B">
            <w:pPr>
              <w:widowControl w:val="0"/>
            </w:pPr>
            <w:r>
              <w:rPr>
                <w:sz w:val="14"/>
                <w:szCs w:val="14"/>
              </w:rPr>
              <w:t>39.79% t</w:t>
            </w:r>
            <w:proofErr w:type="spellStart"/>
            <w:r>
              <w:rPr>
                <w:sz w:val="14"/>
                <w:szCs w:val="14"/>
                <w:lang w:val="en-GB"/>
              </w:rPr>
              <w:t>ook</w:t>
            </w:r>
            <w:proofErr w:type="spellEnd"/>
            <w:r>
              <w:rPr>
                <w:sz w:val="14"/>
                <w:szCs w:val="14"/>
              </w:rPr>
              <w:t xml:space="preserve"> their drugs before breastfeeding</w:t>
            </w:r>
            <w:r>
              <w:rPr>
                <w:sz w:val="14"/>
                <w:szCs w:val="14"/>
                <w:lang w:val="en-GB"/>
              </w:rPr>
              <w:t xml:space="preserve">, </w:t>
            </w:r>
            <w:r>
              <w:rPr>
                <w:sz w:val="14"/>
                <w:szCs w:val="14"/>
              </w:rPr>
              <w:t>22.89% t</w:t>
            </w:r>
            <w:proofErr w:type="spellStart"/>
            <w:r>
              <w:rPr>
                <w:sz w:val="14"/>
                <w:szCs w:val="14"/>
                <w:lang w:val="en-GB"/>
              </w:rPr>
              <w:t>ook</w:t>
            </w:r>
            <w:proofErr w:type="spellEnd"/>
            <w:r>
              <w:rPr>
                <w:sz w:val="14"/>
                <w:szCs w:val="14"/>
              </w:rPr>
              <w:t xml:space="preserve"> their drugs after breastfeeding</w:t>
            </w:r>
            <w:r>
              <w:rPr>
                <w:sz w:val="14"/>
                <w:szCs w:val="14"/>
                <w:lang w:val="en-GB"/>
              </w:rPr>
              <w:t xml:space="preserve">, and </w:t>
            </w:r>
            <w:r>
              <w:rPr>
                <w:sz w:val="14"/>
                <w:szCs w:val="14"/>
              </w:rPr>
              <w:t>16.90% t</w:t>
            </w:r>
            <w:proofErr w:type="spellStart"/>
            <w:r>
              <w:rPr>
                <w:sz w:val="14"/>
                <w:szCs w:val="14"/>
                <w:lang w:val="en-GB"/>
              </w:rPr>
              <w:t>ook</w:t>
            </w:r>
            <w:proofErr w:type="spellEnd"/>
            <w:r>
              <w:rPr>
                <w:sz w:val="14"/>
                <w:szCs w:val="14"/>
              </w:rPr>
              <w:t xml:space="preserve"> their antibiotics during breastfeeding.</w:t>
            </w:r>
          </w:p>
        </w:tc>
      </w:tr>
      <w:tr w:rsidR="00316D6C" w14:paraId="450CE76F" w14:textId="77777777" w:rsidTr="008E425B">
        <w:trPr>
          <w:trHeight w:val="265"/>
        </w:trPr>
        <w:tc>
          <w:tcPr>
            <w:tcW w:w="1079" w:type="dxa"/>
            <w:vMerge/>
            <w:tcBorders>
              <w:top w:val="single" w:sz="4" w:space="0" w:color="000000"/>
              <w:left w:val="single" w:sz="4" w:space="0" w:color="000000"/>
              <w:bottom w:val="single" w:sz="4" w:space="0" w:color="000000"/>
              <w:right w:val="single" w:sz="4" w:space="0" w:color="000000"/>
            </w:tcBorders>
          </w:tcPr>
          <w:p w14:paraId="65BF556E"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783D58F7"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648AED2C"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40B98B20"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291B11CF"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0E86FB1C" w14:textId="77777777" w:rsidR="00316D6C" w:rsidRDefault="00316D6C" w:rsidP="008E425B">
            <w:pPr>
              <w:widowControl w:val="0"/>
            </w:pPr>
            <w:r>
              <w:rPr>
                <w:sz w:val="14"/>
                <w:szCs w:val="14"/>
                <w:lang w:val="en-GB"/>
              </w:rPr>
              <w:t>Where antibiotics are purchased</w:t>
            </w:r>
          </w:p>
        </w:tc>
        <w:tc>
          <w:tcPr>
            <w:tcW w:w="6478" w:type="dxa"/>
            <w:tcBorders>
              <w:top w:val="single" w:sz="4" w:space="0" w:color="000000"/>
              <w:left w:val="single" w:sz="4" w:space="0" w:color="000000"/>
              <w:bottom w:val="single" w:sz="4" w:space="0" w:color="000000"/>
              <w:right w:val="single" w:sz="4" w:space="0" w:color="000000"/>
            </w:tcBorders>
          </w:tcPr>
          <w:p w14:paraId="6B5C0A88" w14:textId="77777777" w:rsidR="00316D6C" w:rsidRDefault="00316D6C" w:rsidP="008E425B">
            <w:pPr>
              <w:widowControl w:val="0"/>
            </w:pPr>
            <w:r>
              <w:rPr>
                <w:sz w:val="14"/>
                <w:szCs w:val="14"/>
                <w:lang w:val="en-GB"/>
              </w:rPr>
              <w:t>64.07% bought their antibiotics from pharmacies</w:t>
            </w:r>
          </w:p>
        </w:tc>
      </w:tr>
      <w:tr w:rsidR="00316D6C" w14:paraId="04C0A9D9" w14:textId="77777777" w:rsidTr="008E425B">
        <w:trPr>
          <w:trHeight w:val="176"/>
        </w:trPr>
        <w:tc>
          <w:tcPr>
            <w:tcW w:w="1079" w:type="dxa"/>
            <w:vMerge/>
            <w:tcBorders>
              <w:top w:val="single" w:sz="4" w:space="0" w:color="000000"/>
              <w:left w:val="single" w:sz="4" w:space="0" w:color="000000"/>
              <w:bottom w:val="single" w:sz="4" w:space="0" w:color="000000"/>
              <w:right w:val="single" w:sz="4" w:space="0" w:color="000000"/>
            </w:tcBorders>
          </w:tcPr>
          <w:p w14:paraId="1B177A0C"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6EB1E756"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3A04CB4C"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64F80297"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19884ED9"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1D459534" w14:textId="77777777" w:rsidR="00316D6C" w:rsidRDefault="00316D6C" w:rsidP="008E425B">
            <w:pPr>
              <w:widowControl w:val="0"/>
            </w:pPr>
            <w:r>
              <w:rPr>
                <w:sz w:val="14"/>
                <w:szCs w:val="14"/>
                <w:lang w:val="en-GB"/>
              </w:rPr>
              <w:t>Antibiotic use</w:t>
            </w:r>
          </w:p>
        </w:tc>
        <w:tc>
          <w:tcPr>
            <w:tcW w:w="6478" w:type="dxa"/>
            <w:tcBorders>
              <w:top w:val="single" w:sz="4" w:space="0" w:color="000000"/>
              <w:left w:val="single" w:sz="4" w:space="0" w:color="000000"/>
              <w:bottom w:val="single" w:sz="4" w:space="0" w:color="000000"/>
              <w:right w:val="single" w:sz="4" w:space="0" w:color="000000"/>
            </w:tcBorders>
          </w:tcPr>
          <w:p w14:paraId="1179B27A" w14:textId="77777777" w:rsidR="00316D6C" w:rsidRDefault="00316D6C" w:rsidP="008E425B">
            <w:pPr>
              <w:widowControl w:val="0"/>
            </w:pPr>
            <w:proofErr w:type="spellStart"/>
            <w:r>
              <w:rPr>
                <w:sz w:val="14"/>
                <w:szCs w:val="14"/>
                <w:lang w:val="en-GB"/>
              </w:rPr>
              <w:t>Penicillins</w:t>
            </w:r>
            <w:proofErr w:type="spellEnd"/>
            <w:r>
              <w:rPr>
                <w:sz w:val="14"/>
                <w:szCs w:val="14"/>
                <w:lang w:val="en-GB"/>
              </w:rPr>
              <w:t xml:space="preserve"> (65.53%), Nitro-</w:t>
            </w:r>
            <w:proofErr w:type="spellStart"/>
            <w:r>
              <w:rPr>
                <w:sz w:val="14"/>
                <w:szCs w:val="14"/>
                <w:lang w:val="en-GB"/>
              </w:rPr>
              <w:t>imidazoles</w:t>
            </w:r>
            <w:proofErr w:type="spellEnd"/>
            <w:r>
              <w:rPr>
                <w:sz w:val="14"/>
                <w:szCs w:val="14"/>
                <w:lang w:val="en-GB"/>
              </w:rPr>
              <w:t xml:space="preserve"> (14.04%), Quinolones (7.23%), and Cotrimoxazole (4.68%) were the most used</w:t>
            </w:r>
          </w:p>
        </w:tc>
      </w:tr>
      <w:tr w:rsidR="00316D6C" w14:paraId="3B01E5B6" w14:textId="77777777" w:rsidTr="008E425B">
        <w:trPr>
          <w:trHeight w:val="178"/>
        </w:trPr>
        <w:tc>
          <w:tcPr>
            <w:tcW w:w="1079" w:type="dxa"/>
            <w:vMerge w:val="restart"/>
            <w:tcBorders>
              <w:top w:val="single" w:sz="4" w:space="0" w:color="000000"/>
              <w:left w:val="single" w:sz="4" w:space="0" w:color="000000"/>
              <w:bottom w:val="single" w:sz="4" w:space="0" w:color="000000"/>
              <w:right w:val="single" w:sz="4" w:space="0" w:color="000000"/>
            </w:tcBorders>
          </w:tcPr>
          <w:p w14:paraId="6E408DCC" w14:textId="77777777" w:rsidR="00316D6C" w:rsidRDefault="00316D6C" w:rsidP="008E425B">
            <w:pPr>
              <w:widowControl w:val="0"/>
            </w:pPr>
            <w:r>
              <w:rPr>
                <w:sz w:val="14"/>
                <w:szCs w:val="14"/>
              </w:rPr>
              <w:t xml:space="preserve">Sanya  et al. </w:t>
            </w:r>
            <w:r>
              <w:rPr>
                <w:lang w:val="en-ID"/>
              </w:rPr>
              <w:fldChar w:fldCharType="begin"/>
            </w:r>
            <w:r>
              <w:rPr>
                <w:sz w:val="14"/>
                <w:szCs w:val="14"/>
              </w:rPr>
              <w:instrText xml:space="preserve"> ADDIN ZOTERO_ITEM CSL_CITATION {"citationID":"GHTycTY9","properties":{"formattedCitation":"(79)","plainCitation":"(79)","noteIndex":0},"citationItems":[{"id":"OqG2TLxw/bJI7XdeP","uris":["http://zotero.org/users/local/QGE0TkJv/items/XGVCAIP2"],"itemData":{"id":2830,"type":"article-journal","abstract":"Background: Antibiotic misuse is a major contributory factor to treatment failure, antibiotic resistance and high healthcare costs. Objectives: To evaluate level of self-reported antibiotic misuse among non-medical undergraduate students of a Nigerian university. Methods: Respondents' knowledge of antibiotics and disposal system for left-over antibiotics were explored using a structured questionnaire. Data were summarized with descriptive statistics. Chi square was used to evaluate relationship between specific categorical variables and respondents' opinions with p&lt;0.05. Results: More than half the respondents obtained their antibiotics through doctor's prescriptions (273; 68.3%). The study revealed gross antibiotic misuse with majority, (298;74.5%) either by keeping left-over antibiotics for future use or throwing it away with refuse. Respondents (289; 72.3%) sometimes forgot to take the antibiotics. Financial constraints (73; 18.3%), long duration of treatment (70; 17.5%), side effects experienced (60;15.0%), polypharmacy (56;14.0%), tablet size (45;11.3%), and perceived low level of confidence in the prescriber (11; 2.8%) were major reasons for non-adherence. Course of study of respondents had no significant effect on respondents' knowledge or adherence (p&gt;0.05). Conclusion: Misuse of antibiotics among non-medical undergraduate students in a Nigerian university setting is pervasive suggesting an urgent need for enlightenment on rational use and disposal of antibiotics.","archive":"Scopus","container-title":"African Health Sciences","DOI":"10.4314/ahs.v13i4.41","ISSN":"1680-6905","issue":"4","language":"English","page":"1149-1155","source":"Scopus","title":"Use of antibiotics among non-medical students in a Nigerian University","volume":"13","author":[{"family":"Sanya","given":"T.E."},{"family":"Fakeye","given":"T.O."},{"family":"Adisa","given":"R."},{"family":"Segun","given":"J.S."}],"issued":{"date-parts":[["2013"]]}}}],"schema":"https://github.com/citation-style-language/schema/raw/master/csl-citation.json"} </w:instrText>
            </w:r>
            <w:r>
              <w:rPr>
                <w:sz w:val="14"/>
                <w:szCs w:val="14"/>
              </w:rPr>
              <w:fldChar w:fldCharType="separate"/>
            </w:r>
            <w:r>
              <w:rPr>
                <w:sz w:val="14"/>
                <w:szCs w:val="14"/>
              </w:rPr>
              <w:t>(79)</w:t>
            </w:r>
            <w:r>
              <w:rPr>
                <w:sz w:val="14"/>
                <w:szCs w:val="14"/>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3D8CAC24" w14:textId="77777777" w:rsidR="00316D6C" w:rsidRDefault="00316D6C" w:rsidP="008E425B">
            <w:pPr>
              <w:widowControl w:val="0"/>
            </w:pPr>
            <w:r>
              <w:rPr>
                <w:sz w:val="14"/>
                <w:szCs w:val="14"/>
                <w:lang w:val="en-GB"/>
              </w:rPr>
              <w:t>February-June, 2012</w:t>
            </w:r>
          </w:p>
        </w:tc>
        <w:tc>
          <w:tcPr>
            <w:tcW w:w="810" w:type="dxa"/>
            <w:vMerge w:val="restart"/>
            <w:tcBorders>
              <w:top w:val="single" w:sz="4" w:space="0" w:color="000000"/>
              <w:left w:val="single" w:sz="4" w:space="0" w:color="000000"/>
              <w:bottom w:val="single" w:sz="4" w:space="0" w:color="000000"/>
              <w:right w:val="single" w:sz="4" w:space="0" w:color="000000"/>
            </w:tcBorders>
          </w:tcPr>
          <w:p w14:paraId="58B4C39C" w14:textId="77777777" w:rsidR="00316D6C" w:rsidRDefault="00316D6C" w:rsidP="008E425B">
            <w:pPr>
              <w:widowControl w:val="0"/>
            </w:pPr>
            <w:r>
              <w:rPr>
                <w:sz w:val="14"/>
                <w:szCs w:val="14"/>
                <w:lang w:val="en-GB"/>
              </w:rPr>
              <w:t>Nigeria</w:t>
            </w:r>
          </w:p>
        </w:tc>
        <w:tc>
          <w:tcPr>
            <w:tcW w:w="1440" w:type="dxa"/>
            <w:vMerge w:val="restart"/>
            <w:tcBorders>
              <w:top w:val="single" w:sz="4" w:space="0" w:color="000000"/>
              <w:left w:val="single" w:sz="4" w:space="0" w:color="000000"/>
              <w:bottom w:val="single" w:sz="4" w:space="0" w:color="000000"/>
              <w:right w:val="single" w:sz="4" w:space="0" w:color="000000"/>
            </w:tcBorders>
          </w:tcPr>
          <w:p w14:paraId="29C10C0B" w14:textId="77777777" w:rsidR="00316D6C" w:rsidRDefault="00316D6C" w:rsidP="008E425B">
            <w:pPr>
              <w:widowControl w:val="0"/>
            </w:pPr>
            <w:r>
              <w:rPr>
                <w:sz w:val="14"/>
                <w:szCs w:val="14"/>
                <w:lang w:val="en-GB"/>
              </w:rPr>
              <w:t>Non-medical students</w:t>
            </w:r>
          </w:p>
        </w:tc>
        <w:tc>
          <w:tcPr>
            <w:tcW w:w="990" w:type="dxa"/>
            <w:vMerge w:val="restart"/>
            <w:tcBorders>
              <w:top w:val="single" w:sz="4" w:space="0" w:color="000000"/>
              <w:left w:val="single" w:sz="4" w:space="0" w:color="000000"/>
              <w:bottom w:val="single" w:sz="4" w:space="0" w:color="000000"/>
              <w:right w:val="single" w:sz="4" w:space="0" w:color="000000"/>
            </w:tcBorders>
          </w:tcPr>
          <w:p w14:paraId="6DF7C9B3" w14:textId="77777777" w:rsidR="00316D6C" w:rsidRDefault="00316D6C" w:rsidP="008E425B">
            <w:pPr>
              <w:widowControl w:val="0"/>
            </w:pPr>
            <w:r>
              <w:rPr>
                <w:sz w:val="14"/>
                <w:szCs w:val="14"/>
                <w:lang w:val="en-GB"/>
              </w:rPr>
              <w:t>400</w:t>
            </w:r>
          </w:p>
        </w:tc>
        <w:tc>
          <w:tcPr>
            <w:tcW w:w="2611" w:type="dxa"/>
            <w:tcBorders>
              <w:top w:val="single" w:sz="4" w:space="0" w:color="000000"/>
              <w:left w:val="single" w:sz="4" w:space="0" w:color="000000"/>
              <w:bottom w:val="single" w:sz="4" w:space="0" w:color="000000"/>
              <w:right w:val="single" w:sz="4" w:space="0" w:color="000000"/>
            </w:tcBorders>
          </w:tcPr>
          <w:p w14:paraId="5601D1B6" w14:textId="77777777" w:rsidR="00316D6C" w:rsidRDefault="00316D6C" w:rsidP="008E425B">
            <w:pPr>
              <w:widowControl w:val="0"/>
            </w:pPr>
            <w:r>
              <w:rPr>
                <w:sz w:val="14"/>
                <w:szCs w:val="14"/>
                <w:lang w:val="en-GB"/>
              </w:rPr>
              <w:t>Sources of antibiotics</w:t>
            </w:r>
          </w:p>
        </w:tc>
        <w:tc>
          <w:tcPr>
            <w:tcW w:w="6478" w:type="dxa"/>
            <w:tcBorders>
              <w:top w:val="single" w:sz="4" w:space="0" w:color="000000"/>
              <w:left w:val="single" w:sz="4" w:space="0" w:color="000000"/>
              <w:bottom w:val="single" w:sz="4" w:space="0" w:color="000000"/>
              <w:right w:val="single" w:sz="4" w:space="0" w:color="000000"/>
            </w:tcBorders>
          </w:tcPr>
          <w:p w14:paraId="1ED70C5C" w14:textId="77777777" w:rsidR="00316D6C" w:rsidRDefault="00316D6C" w:rsidP="008E425B">
            <w:pPr>
              <w:widowControl w:val="0"/>
            </w:pPr>
            <w:r>
              <w:rPr>
                <w:sz w:val="14"/>
                <w:szCs w:val="14"/>
                <w:lang w:val="en-GB"/>
              </w:rPr>
              <w:t>D</w:t>
            </w:r>
            <w:proofErr w:type="spellStart"/>
            <w:r>
              <w:rPr>
                <w:sz w:val="14"/>
                <w:szCs w:val="14"/>
              </w:rPr>
              <w:t>octor’s</w:t>
            </w:r>
            <w:proofErr w:type="spellEnd"/>
            <w:r>
              <w:rPr>
                <w:sz w:val="14"/>
                <w:szCs w:val="14"/>
              </w:rPr>
              <w:t xml:space="preserve"> prescription (68.3%), pharmacist’s recommendation (11.0%), nurse’s recommendation (6.0%), trade-medical practitioner’s recommendation (1.3%), self</w:t>
            </w:r>
            <w:r>
              <w:rPr>
                <w:sz w:val="14"/>
                <w:szCs w:val="14"/>
                <w:lang w:val="en-GB"/>
              </w:rPr>
              <w:t>-</w:t>
            </w:r>
            <w:r>
              <w:rPr>
                <w:sz w:val="14"/>
                <w:szCs w:val="14"/>
              </w:rPr>
              <w:t>medication (7.3%), and from friends and relatives (6.3%).</w:t>
            </w:r>
          </w:p>
        </w:tc>
      </w:tr>
      <w:tr w:rsidR="00316D6C" w14:paraId="15BDEAC1" w14:textId="77777777" w:rsidTr="008E425B">
        <w:trPr>
          <w:trHeight w:val="176"/>
        </w:trPr>
        <w:tc>
          <w:tcPr>
            <w:tcW w:w="1079" w:type="dxa"/>
            <w:vMerge/>
            <w:tcBorders>
              <w:top w:val="single" w:sz="4" w:space="0" w:color="000000"/>
              <w:left w:val="single" w:sz="4" w:space="0" w:color="000000"/>
              <w:bottom w:val="single" w:sz="4" w:space="0" w:color="000000"/>
              <w:right w:val="single" w:sz="4" w:space="0" w:color="000000"/>
            </w:tcBorders>
          </w:tcPr>
          <w:p w14:paraId="52D64B1C"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020C62C4"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3035BAC4"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184AC893"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07FD71F1"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2108E96B" w14:textId="77777777" w:rsidR="00316D6C" w:rsidRDefault="00316D6C" w:rsidP="008E425B">
            <w:pPr>
              <w:widowControl w:val="0"/>
            </w:pPr>
            <w:r>
              <w:rPr>
                <w:sz w:val="14"/>
                <w:szCs w:val="14"/>
                <w:lang w:val="en-GB"/>
              </w:rPr>
              <w:t>Reasons for antibiotic use</w:t>
            </w:r>
          </w:p>
        </w:tc>
        <w:tc>
          <w:tcPr>
            <w:tcW w:w="6478" w:type="dxa"/>
            <w:tcBorders>
              <w:top w:val="single" w:sz="4" w:space="0" w:color="000000"/>
              <w:left w:val="single" w:sz="4" w:space="0" w:color="000000"/>
              <w:bottom w:val="single" w:sz="4" w:space="0" w:color="000000"/>
              <w:right w:val="single" w:sz="4" w:space="0" w:color="000000"/>
            </w:tcBorders>
          </w:tcPr>
          <w:p w14:paraId="6DEF708E" w14:textId="77777777" w:rsidR="00316D6C" w:rsidRDefault="00316D6C" w:rsidP="008E425B">
            <w:pPr>
              <w:widowControl w:val="0"/>
            </w:pPr>
            <w:r>
              <w:rPr>
                <w:sz w:val="14"/>
                <w:szCs w:val="14"/>
                <w:lang w:val="en-GB"/>
              </w:rPr>
              <w:t>Most frequent amongst them were carbuncles (20.74%), unspecified infection (18.52%), and malaria (17.03%)</w:t>
            </w:r>
          </w:p>
        </w:tc>
      </w:tr>
      <w:tr w:rsidR="00316D6C" w14:paraId="3ABB86A4" w14:textId="77777777" w:rsidTr="008E425B">
        <w:trPr>
          <w:trHeight w:val="176"/>
        </w:trPr>
        <w:tc>
          <w:tcPr>
            <w:tcW w:w="1079" w:type="dxa"/>
            <w:vMerge/>
            <w:tcBorders>
              <w:top w:val="single" w:sz="4" w:space="0" w:color="000000"/>
              <w:left w:val="single" w:sz="4" w:space="0" w:color="000000"/>
              <w:bottom w:val="single" w:sz="4" w:space="0" w:color="000000"/>
              <w:right w:val="single" w:sz="4" w:space="0" w:color="000000"/>
            </w:tcBorders>
          </w:tcPr>
          <w:p w14:paraId="31E3A8A2"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05C92360"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105EC928"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1F57CE9D"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069E10AA"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78F20300" w14:textId="77777777" w:rsidR="00316D6C" w:rsidRDefault="00316D6C" w:rsidP="008E425B">
            <w:pPr>
              <w:widowControl w:val="0"/>
            </w:pPr>
            <w:r>
              <w:rPr>
                <w:sz w:val="14"/>
                <w:szCs w:val="14"/>
                <w:lang w:val="en-GB"/>
              </w:rPr>
              <w:t>Reasons for antibiotic non-adherence</w:t>
            </w:r>
          </w:p>
        </w:tc>
        <w:tc>
          <w:tcPr>
            <w:tcW w:w="6478" w:type="dxa"/>
            <w:tcBorders>
              <w:top w:val="single" w:sz="4" w:space="0" w:color="000000"/>
              <w:left w:val="single" w:sz="4" w:space="0" w:color="000000"/>
              <w:bottom w:val="single" w:sz="4" w:space="0" w:color="000000"/>
              <w:right w:val="single" w:sz="4" w:space="0" w:color="000000"/>
            </w:tcBorders>
          </w:tcPr>
          <w:p w14:paraId="776A0E82" w14:textId="77777777" w:rsidR="00316D6C" w:rsidRDefault="00316D6C" w:rsidP="008E425B">
            <w:pPr>
              <w:widowControl w:val="0"/>
            </w:pPr>
            <w:r>
              <w:rPr>
                <w:sz w:val="14"/>
                <w:szCs w:val="14"/>
              </w:rPr>
              <w:t>Financial constraints (18.3%), long duration of treatment (7.5%), side effects experienced (15.0%), polypharmacy (14.0%), tablet size (11.3%), and perceived low level of confidence in the prescriber (2.8%)</w:t>
            </w:r>
          </w:p>
        </w:tc>
      </w:tr>
      <w:tr w:rsidR="00316D6C" w14:paraId="18C274A4" w14:textId="77777777" w:rsidTr="008E425B">
        <w:trPr>
          <w:trHeight w:val="450"/>
        </w:trPr>
        <w:tc>
          <w:tcPr>
            <w:tcW w:w="1079" w:type="dxa"/>
            <w:tcBorders>
              <w:top w:val="single" w:sz="4" w:space="0" w:color="000000"/>
              <w:left w:val="single" w:sz="4" w:space="0" w:color="000000"/>
              <w:bottom w:val="single" w:sz="4" w:space="0" w:color="000000"/>
              <w:right w:val="single" w:sz="4" w:space="0" w:color="000000"/>
            </w:tcBorders>
          </w:tcPr>
          <w:p w14:paraId="47290D55" w14:textId="77777777" w:rsidR="00316D6C" w:rsidRDefault="00316D6C" w:rsidP="008E425B">
            <w:pPr>
              <w:widowControl w:val="0"/>
            </w:pPr>
            <w:r>
              <w:rPr>
                <w:sz w:val="14"/>
                <w:szCs w:val="14"/>
              </w:rPr>
              <w:t xml:space="preserve">Sefah  et al. </w:t>
            </w:r>
            <w:r>
              <w:fldChar w:fldCharType="begin"/>
            </w:r>
            <w:r>
              <w:rPr>
                <w:sz w:val="14"/>
                <w:szCs w:val="14"/>
              </w:rPr>
              <w:instrText xml:space="preserve"> ADDIN ZOTERO_ITEM CSL_CITATION {"citationID":"8ZKsM3PO","properties":{"formattedCitation":"(89)","plainCitation":"(89)","noteIndex":0},"citationItems":[{"id":"OqG2TLxw/vN2HBDDI","uris":["http://zotero.org/users/local/QGE0TkJv/items/D27HU44A"],"itemData":{"id":2736,"type":"article-journal","abstract":"Antimicrobial resistance (AMR) is a major public health problem globally, and Ghana is no exception. Good knowledge regarding antibiotic use, AMR, and the concept of antimicrobial stewardship (AMS) is critical among healthcare students to curb rising AMR rates in the future. Consequently, a need to ascertain this. A cross-sectional survey was undertaken among fifth-year pharmacy, medical students and fourth (final)-year nursing and physician assistantship students at the University of Health and Allied Sciences in Ghana to assess their knowledge on antibiotic use, AMR and AMS using a web-based self-administered structured questionnaire. Descriptive statistics, Fishers’ exact test, and multiple logistic regression analyses were performed. A total of 160 healthcare students were interviewed, of which 56.3% (n = 90) were male and 58.8% (n = 94) were in their fourth year of study. Good knowledge of antibiotic use, AMR, and AMS was associated with the study course (p = 0.001) and the number of years of study (p &lt; 0.001). Overall, there were differences in the level of knowledge of antibiotics among the different healthcare students and their years of study. Efforts must now be made to enhance the curricula to ensure an improved and uniform transfer of knowledge of antibiotics, AMR, and AMS among the different healthcare students to sustain the fight against AMR in Ghana given growing concerns. © 2022 by the authors.","archive":"Scopus","container-title":"Antibiotics","DOI":"10.3390/antibiotics11121679","ISSN":"2079-6382","issue":"12","language":"English","source":"Scopus","title":"Evaluation of Healthcare Students’ Knowledge on Antibiotic Use, Antimicrobial Resistance and Antimicrobial Stewardship Programs and Associated Factors in a Tertiary University in Ghana: Findings and Implications","title-short":"Evaluation of Healthcare Students’ Knowledge on Antibiotic Use, Antimicrobial Resistance and Antimicrobial Stewardship Programs and Associated Factors in a Tertiary University in Ghana","volume":"11","author":[{"family":"Sefah","given":"I.A."},{"family":"Akwaboah","given":"E."},{"family":"Sarkodie","given":"E."},{"family":"Godman","given":"B."},{"family":"Meyer","given":"J.C."}],"issued":{"date-parts":[["2022"]]}}}],"schema":"https://github.com/citation-style-language/schema/raw/master/csl-citation.json"} </w:instrText>
            </w:r>
            <w:r>
              <w:rPr>
                <w:sz w:val="14"/>
                <w:szCs w:val="14"/>
              </w:rPr>
              <w:fldChar w:fldCharType="separate"/>
            </w:r>
            <w:r>
              <w:rPr>
                <w:sz w:val="14"/>
                <w:szCs w:val="14"/>
              </w:rPr>
              <w:t>(89)</w:t>
            </w:r>
            <w:r>
              <w:rPr>
                <w:sz w:val="14"/>
                <w:szCs w:val="14"/>
              </w:rPr>
              <w:fldChar w:fldCharType="end"/>
            </w:r>
          </w:p>
        </w:tc>
        <w:tc>
          <w:tcPr>
            <w:tcW w:w="1081" w:type="dxa"/>
            <w:tcBorders>
              <w:top w:val="single" w:sz="4" w:space="0" w:color="000000"/>
              <w:left w:val="single" w:sz="4" w:space="0" w:color="000000"/>
              <w:bottom w:val="single" w:sz="4" w:space="0" w:color="000000"/>
              <w:right w:val="single" w:sz="4" w:space="0" w:color="000000"/>
            </w:tcBorders>
          </w:tcPr>
          <w:p w14:paraId="0CF141DC" w14:textId="77777777" w:rsidR="00316D6C" w:rsidRDefault="00316D6C" w:rsidP="008E425B">
            <w:pPr>
              <w:widowControl w:val="0"/>
            </w:pPr>
            <w:r>
              <w:rPr>
                <w:sz w:val="14"/>
                <w:szCs w:val="14"/>
              </w:rPr>
              <w:t>-</w:t>
            </w:r>
          </w:p>
        </w:tc>
        <w:tc>
          <w:tcPr>
            <w:tcW w:w="810" w:type="dxa"/>
            <w:tcBorders>
              <w:top w:val="single" w:sz="4" w:space="0" w:color="000000"/>
              <w:left w:val="single" w:sz="4" w:space="0" w:color="000000"/>
              <w:bottom w:val="single" w:sz="4" w:space="0" w:color="000000"/>
              <w:right w:val="single" w:sz="4" w:space="0" w:color="000000"/>
            </w:tcBorders>
          </w:tcPr>
          <w:p w14:paraId="1E784F71" w14:textId="77777777" w:rsidR="00316D6C" w:rsidRDefault="00316D6C" w:rsidP="008E425B">
            <w:pPr>
              <w:widowControl w:val="0"/>
            </w:pPr>
            <w:r>
              <w:rPr>
                <w:sz w:val="14"/>
                <w:szCs w:val="14"/>
                <w:lang w:val="en-GB"/>
              </w:rPr>
              <w:t>Ghana</w:t>
            </w:r>
          </w:p>
        </w:tc>
        <w:tc>
          <w:tcPr>
            <w:tcW w:w="1440" w:type="dxa"/>
            <w:tcBorders>
              <w:top w:val="single" w:sz="4" w:space="0" w:color="000000"/>
              <w:left w:val="single" w:sz="4" w:space="0" w:color="000000"/>
              <w:bottom w:val="single" w:sz="4" w:space="0" w:color="000000"/>
              <w:right w:val="single" w:sz="4" w:space="0" w:color="000000"/>
            </w:tcBorders>
          </w:tcPr>
          <w:p w14:paraId="088C7693" w14:textId="77777777" w:rsidR="00316D6C" w:rsidRDefault="00316D6C" w:rsidP="008E425B">
            <w:pPr>
              <w:widowControl w:val="0"/>
            </w:pPr>
            <w:r>
              <w:rPr>
                <w:sz w:val="14"/>
                <w:szCs w:val="14"/>
                <w:lang w:val="en-GB"/>
              </w:rPr>
              <w:t>University students</w:t>
            </w:r>
          </w:p>
        </w:tc>
        <w:tc>
          <w:tcPr>
            <w:tcW w:w="990" w:type="dxa"/>
            <w:tcBorders>
              <w:top w:val="single" w:sz="4" w:space="0" w:color="000000"/>
              <w:left w:val="single" w:sz="4" w:space="0" w:color="000000"/>
              <w:bottom w:val="single" w:sz="4" w:space="0" w:color="000000"/>
              <w:right w:val="single" w:sz="4" w:space="0" w:color="000000"/>
            </w:tcBorders>
          </w:tcPr>
          <w:p w14:paraId="0FAD94AF" w14:textId="77777777" w:rsidR="00316D6C" w:rsidRDefault="00316D6C" w:rsidP="008E425B">
            <w:pPr>
              <w:widowControl w:val="0"/>
            </w:pPr>
            <w:r>
              <w:rPr>
                <w:sz w:val="14"/>
                <w:szCs w:val="14"/>
                <w:lang w:val="en-GB"/>
              </w:rPr>
              <w:t>160</w:t>
            </w:r>
          </w:p>
        </w:tc>
        <w:tc>
          <w:tcPr>
            <w:tcW w:w="2611" w:type="dxa"/>
            <w:tcBorders>
              <w:top w:val="single" w:sz="4" w:space="0" w:color="000000"/>
              <w:left w:val="single" w:sz="4" w:space="0" w:color="000000"/>
              <w:bottom w:val="single" w:sz="4" w:space="0" w:color="000000"/>
              <w:right w:val="single" w:sz="4" w:space="0" w:color="000000"/>
            </w:tcBorders>
          </w:tcPr>
          <w:p w14:paraId="112DC8A8" w14:textId="77777777" w:rsidR="00316D6C" w:rsidRDefault="00316D6C" w:rsidP="008E425B">
            <w:pPr>
              <w:widowControl w:val="0"/>
            </w:pPr>
            <w:r>
              <w:rPr>
                <w:sz w:val="14"/>
                <w:szCs w:val="14"/>
                <w:lang w:val="en-GB"/>
              </w:rPr>
              <w:t>Knowledge of antibiotic use and AMR</w:t>
            </w:r>
          </w:p>
        </w:tc>
        <w:tc>
          <w:tcPr>
            <w:tcW w:w="6478" w:type="dxa"/>
            <w:tcBorders>
              <w:top w:val="single" w:sz="4" w:space="0" w:color="000000"/>
              <w:left w:val="single" w:sz="4" w:space="0" w:color="000000"/>
              <w:bottom w:val="single" w:sz="4" w:space="0" w:color="000000"/>
              <w:right w:val="single" w:sz="4" w:space="0" w:color="000000"/>
            </w:tcBorders>
          </w:tcPr>
          <w:p w14:paraId="247788A9" w14:textId="77777777" w:rsidR="00316D6C" w:rsidRDefault="00316D6C" w:rsidP="008E425B">
            <w:pPr>
              <w:widowControl w:val="0"/>
            </w:pPr>
            <w:r>
              <w:rPr>
                <w:sz w:val="14"/>
                <w:szCs w:val="14"/>
                <w:lang w:val="en-GB"/>
              </w:rPr>
              <w:t>80% and 57.5% had good knowledge of antibiotic use and AMR respectively.</w:t>
            </w:r>
          </w:p>
        </w:tc>
      </w:tr>
      <w:tr w:rsidR="00316D6C" w14:paraId="7F234AEA" w14:textId="77777777" w:rsidTr="008E425B">
        <w:tc>
          <w:tcPr>
            <w:tcW w:w="1079" w:type="dxa"/>
            <w:tcBorders>
              <w:top w:val="single" w:sz="4" w:space="0" w:color="000000"/>
              <w:left w:val="single" w:sz="4" w:space="0" w:color="000000"/>
              <w:bottom w:val="single" w:sz="4" w:space="0" w:color="000000"/>
              <w:right w:val="single" w:sz="4" w:space="0" w:color="000000"/>
            </w:tcBorders>
          </w:tcPr>
          <w:p w14:paraId="770188B9" w14:textId="77777777" w:rsidR="00316D6C" w:rsidRDefault="00316D6C" w:rsidP="008E425B">
            <w:pPr>
              <w:widowControl w:val="0"/>
            </w:pPr>
            <w:r>
              <w:rPr>
                <w:sz w:val="14"/>
                <w:szCs w:val="14"/>
              </w:rPr>
              <w:t xml:space="preserve">Sefah et al. </w:t>
            </w:r>
            <w:r>
              <w:rPr>
                <w:lang w:val="en-ID"/>
              </w:rPr>
              <w:fldChar w:fldCharType="begin"/>
            </w:r>
            <w:r>
              <w:rPr>
                <w:sz w:val="14"/>
                <w:szCs w:val="14"/>
              </w:rPr>
              <w:instrText xml:space="preserve"> ADDIN ZOTERO_ITEM CSL_CITATION {"citationID":"UrwmAcNB","properties":{"formattedCitation":"(90)","plainCitation":"(90)","noteIndex":0},"citationItems":[{"id":"OqG2TLxw/QaP2k4tE","uris":["http://zotero.org/users/local/QGE0TkJv/items/H9YNG5F9"],"itemData":{"id":2716,"type":"article-journal","abstract":"Antimicrobial stewardship (AMS) programs are part of the key activities that contribute to reducing antimicrobial resistance (AMR). Good knowledge, attitudes, and practices (KAP) among healthcare professionals (HCPs) are essential to improving future antimicrobial use and reducing AMR, which is a priority in Ghana. A multicenter cross-sectional survey was conducted in six public hospitals in Ghana among key HCPs to assess their level of KAP towards AMS using a validated self-administered electronic questionnaire. Data analyses included descriptive and inferential statistics using STATA version 14. Overall, 339 out of 355 HCPs responded to the questionnaire, giving a response rate of 95.5%. Most responders were nurses (n = 256, 78.2%), followed by medical doctors (n = 45, 13.3%). The study recorded both poor knowledge (8.9%) and practice levels (35.4%), as well as a good attitude (78.8%) towards AMS. Ongoing exposure to AMS structured training, exposure to continuous professional development training on AMS in the previous year, and the number of years of working experience were predictors of the HCPs’ level of knowledge (aOR = 3.02 C.I = 1.12–8.11), attitude (aOR = 0.37 C.I = 0.20–0.69) and practice (aOR = 2.09 C.I =1.09–3.99), respectively. Consequently, concentrated efforts must be made to address current low levels of knowledge and poor practices regarding AMS among HCPs in Ghana as part of ongoing strategies in the National Action Plan to reduce AMR. © 2023 by the authors.","archive":"Scopus","container-title":"Antibiotics","DOI":"10.3390/antibiotics12101497","ISSN":"2079-6382","issue":"10","language":"English","source":"Scopus","title":"A Multicenter Cross-Sectional Survey of Knowledge, Attitude, and Practices of Healthcare Professionals towards Antimicrobial Stewardship in Ghana: Findings and Implications","title-short":"A Multicenter Cross-Sectional Survey of Knowledge, Attitude, and Practices of Healthcare Professionals towards Antimicrobial Stewardship in Ghana","volume":"12","author":[{"family":"Sefah","given":"I.A."},{"family":"Chetty","given":"S."},{"family":"Yamoah","given":"P."},{"family":"Meyer","given":"J.C."},{"family":"Chigome","given":"A."},{"family":"Godman","given":"B."},{"family":"Bangalee","given":"V."}],"issued":{"date-parts":[["2023"]]}}}],"schema":"https://github.com/citation-style-language/schema/raw/master/csl-citation.json"} </w:instrText>
            </w:r>
            <w:r>
              <w:rPr>
                <w:sz w:val="14"/>
                <w:szCs w:val="14"/>
              </w:rPr>
              <w:fldChar w:fldCharType="separate"/>
            </w:r>
            <w:r>
              <w:rPr>
                <w:sz w:val="14"/>
                <w:szCs w:val="14"/>
              </w:rPr>
              <w:t>(90)</w:t>
            </w:r>
            <w:r>
              <w:rPr>
                <w:sz w:val="14"/>
                <w:szCs w:val="14"/>
              </w:rPr>
              <w:fldChar w:fldCharType="end"/>
            </w:r>
          </w:p>
        </w:tc>
        <w:tc>
          <w:tcPr>
            <w:tcW w:w="1081" w:type="dxa"/>
            <w:tcBorders>
              <w:top w:val="single" w:sz="4" w:space="0" w:color="000000"/>
              <w:left w:val="single" w:sz="4" w:space="0" w:color="000000"/>
              <w:bottom w:val="single" w:sz="4" w:space="0" w:color="000000"/>
              <w:right w:val="single" w:sz="4" w:space="0" w:color="000000"/>
            </w:tcBorders>
          </w:tcPr>
          <w:p w14:paraId="10E7168C" w14:textId="77777777" w:rsidR="00316D6C" w:rsidRDefault="00316D6C" w:rsidP="008E425B">
            <w:pPr>
              <w:widowControl w:val="0"/>
            </w:pPr>
            <w:r>
              <w:rPr>
                <w:sz w:val="14"/>
                <w:szCs w:val="14"/>
              </w:rPr>
              <w:t>-</w:t>
            </w:r>
          </w:p>
        </w:tc>
        <w:tc>
          <w:tcPr>
            <w:tcW w:w="810" w:type="dxa"/>
            <w:tcBorders>
              <w:top w:val="single" w:sz="4" w:space="0" w:color="000000"/>
              <w:left w:val="single" w:sz="4" w:space="0" w:color="000000"/>
              <w:bottom w:val="single" w:sz="4" w:space="0" w:color="000000"/>
              <w:right w:val="single" w:sz="4" w:space="0" w:color="000000"/>
            </w:tcBorders>
          </w:tcPr>
          <w:p w14:paraId="0C58BDB9" w14:textId="77777777" w:rsidR="00316D6C" w:rsidRDefault="00316D6C" w:rsidP="008E425B">
            <w:pPr>
              <w:widowControl w:val="0"/>
            </w:pPr>
            <w:r>
              <w:rPr>
                <w:sz w:val="14"/>
                <w:szCs w:val="14"/>
                <w:lang w:val="en-GB"/>
              </w:rPr>
              <w:t>Ghana</w:t>
            </w:r>
          </w:p>
        </w:tc>
        <w:tc>
          <w:tcPr>
            <w:tcW w:w="1440" w:type="dxa"/>
            <w:tcBorders>
              <w:top w:val="single" w:sz="4" w:space="0" w:color="000000"/>
              <w:left w:val="single" w:sz="4" w:space="0" w:color="000000"/>
              <w:bottom w:val="single" w:sz="4" w:space="0" w:color="000000"/>
              <w:right w:val="single" w:sz="4" w:space="0" w:color="000000"/>
            </w:tcBorders>
          </w:tcPr>
          <w:p w14:paraId="437312E9" w14:textId="77777777" w:rsidR="00316D6C" w:rsidRDefault="00316D6C" w:rsidP="008E425B">
            <w:pPr>
              <w:widowControl w:val="0"/>
            </w:pPr>
            <w:r>
              <w:rPr>
                <w:sz w:val="14"/>
                <w:szCs w:val="14"/>
                <w:lang w:val="en-GB"/>
              </w:rPr>
              <w:t>Healthcare professionals</w:t>
            </w:r>
          </w:p>
        </w:tc>
        <w:tc>
          <w:tcPr>
            <w:tcW w:w="990" w:type="dxa"/>
            <w:tcBorders>
              <w:top w:val="single" w:sz="4" w:space="0" w:color="000000"/>
              <w:left w:val="single" w:sz="4" w:space="0" w:color="000000"/>
              <w:bottom w:val="single" w:sz="4" w:space="0" w:color="000000"/>
              <w:right w:val="single" w:sz="4" w:space="0" w:color="000000"/>
            </w:tcBorders>
          </w:tcPr>
          <w:p w14:paraId="30A95108" w14:textId="77777777" w:rsidR="00316D6C" w:rsidRDefault="00316D6C" w:rsidP="008E425B">
            <w:pPr>
              <w:widowControl w:val="0"/>
            </w:pPr>
            <w:r>
              <w:rPr>
                <w:sz w:val="14"/>
                <w:szCs w:val="14"/>
                <w:lang w:val="en-GB"/>
              </w:rPr>
              <w:t>339</w:t>
            </w:r>
          </w:p>
        </w:tc>
        <w:tc>
          <w:tcPr>
            <w:tcW w:w="2611" w:type="dxa"/>
            <w:tcBorders>
              <w:top w:val="single" w:sz="4" w:space="0" w:color="000000"/>
              <w:left w:val="single" w:sz="4" w:space="0" w:color="000000"/>
              <w:bottom w:val="single" w:sz="4" w:space="0" w:color="000000"/>
              <w:right w:val="single" w:sz="4" w:space="0" w:color="000000"/>
            </w:tcBorders>
          </w:tcPr>
          <w:p w14:paraId="6A967852" w14:textId="77777777" w:rsidR="00316D6C" w:rsidRDefault="00316D6C" w:rsidP="008E425B">
            <w:pPr>
              <w:widowControl w:val="0"/>
            </w:pPr>
            <w:r>
              <w:rPr>
                <w:sz w:val="14"/>
                <w:szCs w:val="14"/>
                <w:lang w:val="en-GB"/>
              </w:rPr>
              <w:t>Knowledge, attitude, and practice of antimicrobial stewardship (AMS)</w:t>
            </w:r>
          </w:p>
        </w:tc>
        <w:tc>
          <w:tcPr>
            <w:tcW w:w="6478" w:type="dxa"/>
            <w:tcBorders>
              <w:top w:val="single" w:sz="4" w:space="0" w:color="000000"/>
              <w:left w:val="single" w:sz="4" w:space="0" w:color="000000"/>
              <w:bottom w:val="single" w:sz="4" w:space="0" w:color="000000"/>
              <w:right w:val="single" w:sz="4" w:space="0" w:color="000000"/>
            </w:tcBorders>
          </w:tcPr>
          <w:p w14:paraId="2992C884" w14:textId="77777777" w:rsidR="00316D6C" w:rsidRDefault="00316D6C" w:rsidP="008E425B">
            <w:pPr>
              <w:widowControl w:val="0"/>
            </w:pPr>
            <w:proofErr w:type="gramStart"/>
            <w:r>
              <w:rPr>
                <w:sz w:val="14"/>
                <w:szCs w:val="14"/>
                <w:lang w:val="en-GB"/>
              </w:rPr>
              <w:t>The majority</w:t>
            </w:r>
            <w:r>
              <w:rPr>
                <w:sz w:val="14"/>
                <w:szCs w:val="14"/>
              </w:rPr>
              <w:t xml:space="preserve"> of</w:t>
            </w:r>
            <w:proofErr w:type="gramEnd"/>
            <w:r>
              <w:rPr>
                <w:sz w:val="14"/>
                <w:szCs w:val="14"/>
              </w:rPr>
              <w:t xml:space="preserve"> participants had poor knowledge (91.2%) and poor practice (64.6%) but a good attitude (78.8%) toward AMS</w:t>
            </w:r>
          </w:p>
        </w:tc>
      </w:tr>
      <w:tr w:rsidR="00316D6C" w14:paraId="51EABC28" w14:textId="77777777" w:rsidTr="008E425B">
        <w:trPr>
          <w:trHeight w:val="354"/>
        </w:trPr>
        <w:tc>
          <w:tcPr>
            <w:tcW w:w="1079" w:type="dxa"/>
            <w:vMerge w:val="restart"/>
            <w:tcBorders>
              <w:top w:val="single" w:sz="4" w:space="0" w:color="000000"/>
              <w:left w:val="single" w:sz="4" w:space="0" w:color="000000"/>
              <w:bottom w:val="single" w:sz="4" w:space="0" w:color="000000"/>
              <w:right w:val="single" w:sz="4" w:space="0" w:color="000000"/>
            </w:tcBorders>
          </w:tcPr>
          <w:p w14:paraId="07FDE07B" w14:textId="77777777" w:rsidR="00316D6C" w:rsidRDefault="00316D6C" w:rsidP="008E425B">
            <w:pPr>
              <w:widowControl w:val="0"/>
            </w:pPr>
            <w:r>
              <w:rPr>
                <w:sz w:val="14"/>
                <w:szCs w:val="14"/>
              </w:rPr>
              <w:t xml:space="preserve">Vicar et al. </w:t>
            </w:r>
            <w:r>
              <w:rPr>
                <w:lang w:val="en-ID"/>
              </w:rPr>
              <w:fldChar w:fldCharType="begin"/>
            </w:r>
            <w:r>
              <w:rPr>
                <w:sz w:val="14"/>
                <w:szCs w:val="14"/>
              </w:rPr>
              <w:instrText xml:space="preserve"> ADDIN ZOTERO_ITEM CSL_CITATION {"citationID":"ssLkxWDy","properties":{"formattedCitation":"(94)","plainCitation":"(94)","noteIndex":0},"citationItems":[{"id":"OqG2TLxw/c1eixQ7H","uris":["http://zotero.org/users/local/QGE0TkJv/items/P42FVXL4"],"itemData":{"id":2729,"type":"article-journal","abstract":"Background: Urban informal settlements have been described as the epicenters of frequent antibiotic misuse, which has local and global consequences on the goals of antimicrobial stewardship. The aim of this study was to assess the relationship between knowledge, attitude, and practices of antibiotic use among households in urban informal settlements in the Tamale metropolis of Ghana. Method: This study was a prospective cross-sectional survey of the two major informal settlements in the Tamale metropolis, namely Dungu-Asawaba and Moshie Zongo. In all, 660 households were randomly selected for this study. Households with an adult and at least a child under 5 years old were randomly chosen. An adult with knowledge of household healthcare practices was selected to respond to a structured questionnaire. Results: In all, 291 (44.1%) of the 660 households reported taking at least one type of antibiotic within the last month before the study and 30.9% (204/660) had used antibiotics without a prescription. Information on which antibiotics to use was obtained mostly from friends/family members 50 (24.5%) and were commonly purchased from a medical store or a pharmacy 84 (41.2%), saved up from a previously used antibiotic 46 (22.5%), a friend/family members 38 (18.6%), and drug hawkers 30 (14.7%). Amoxicillin 95 (26.0%) was the most frequently used antibiotic and the commonest indication for antibiotics use was diarrhea 136 (37.9%). Female respondents (odds ratio [OR] = 3.07; 95% confidence interval [CI] = 2.199–4.301; p &lt; 0.0001), larger households (OR = 2.02; 95% CI = 1.337–3.117; p = 0.0011) and those with higher monthly household income (OR = 3.39; 95% CI = 1.945–5.816; p &lt; 0.0001) were more likely to have good knowledge of appropriate antibiotic use and antibiotic resistance. Furthermore, bad attitudes influenced participants' use of antibiotics without prescription (OR = 2.41; 95% CI = 0.432–4.05; p = 0.0009). Conclusion: This study exposes the drivers of inappropriate use of antibiotics at the household level, particularly in urban informal settlements. Policy interventions aimed at controlling the indiscriminate use of antibiotics in such settlements could improve the responsible use of antibiotics. Keywords: antibiotic resistance, informal settlements, Tamale, Ghana. © 2023 The Authors. Health Science Reports published by Wiley Periodicals LLC.","archive":"Scopus","container-title":"Health Science Reports","DOI":"10.1002/hsr2.1388","ISSN":"2398-8835","issue":"7","language":"English","source":"Scopus","title":"Drivers of household antibiotic use in urban informal settlements in Northern Ghana: Implications for antimicrobial resistance control","title-short":"Drivers of household antibiotic use in urban informal settlements in Northern Ghana","volume":"6","author":[{"family":"Vicar","given":"E.K."},{"family":"Walana","given":"W."},{"family":"Mbabila","given":"A."},{"family":"Darko","given":"G.K."},{"family":"Opare-Asamoah","given":"K."},{"family":"Majeed","given":"S.F."},{"family":"Obeng-Bempong","given":"M."}],"issued":{"date-parts":[["2023"]]}}}],"schema":"https://github.com/citation-style-language/schema/raw/master/csl-citation.json"} </w:instrText>
            </w:r>
            <w:r>
              <w:rPr>
                <w:sz w:val="14"/>
                <w:szCs w:val="14"/>
              </w:rPr>
              <w:fldChar w:fldCharType="separate"/>
            </w:r>
            <w:r>
              <w:rPr>
                <w:sz w:val="14"/>
                <w:szCs w:val="14"/>
              </w:rPr>
              <w:t>(94)</w:t>
            </w:r>
            <w:r>
              <w:rPr>
                <w:sz w:val="14"/>
                <w:szCs w:val="14"/>
              </w:rPr>
              <w:fldChar w:fldCharType="end"/>
            </w:r>
          </w:p>
        </w:tc>
        <w:tc>
          <w:tcPr>
            <w:tcW w:w="1081" w:type="dxa"/>
            <w:vMerge w:val="restart"/>
            <w:tcBorders>
              <w:top w:val="single" w:sz="4" w:space="0" w:color="000000"/>
              <w:left w:val="single" w:sz="4" w:space="0" w:color="000000"/>
              <w:bottom w:val="single" w:sz="4" w:space="0" w:color="000000"/>
              <w:right w:val="single" w:sz="4" w:space="0" w:color="000000"/>
            </w:tcBorders>
          </w:tcPr>
          <w:p w14:paraId="319990B2" w14:textId="77777777" w:rsidR="00316D6C" w:rsidRDefault="00316D6C" w:rsidP="008E425B">
            <w:pPr>
              <w:widowControl w:val="0"/>
            </w:pPr>
            <w:r>
              <w:rPr>
                <w:sz w:val="14"/>
                <w:szCs w:val="14"/>
              </w:rPr>
              <w:t>-</w:t>
            </w:r>
          </w:p>
        </w:tc>
        <w:tc>
          <w:tcPr>
            <w:tcW w:w="810" w:type="dxa"/>
            <w:vMerge w:val="restart"/>
            <w:tcBorders>
              <w:top w:val="single" w:sz="4" w:space="0" w:color="000000"/>
              <w:left w:val="single" w:sz="4" w:space="0" w:color="000000"/>
              <w:bottom w:val="single" w:sz="4" w:space="0" w:color="000000"/>
              <w:right w:val="single" w:sz="4" w:space="0" w:color="000000"/>
            </w:tcBorders>
          </w:tcPr>
          <w:p w14:paraId="6B50D77A" w14:textId="77777777" w:rsidR="00316D6C" w:rsidRDefault="00316D6C" w:rsidP="008E425B">
            <w:pPr>
              <w:widowControl w:val="0"/>
            </w:pPr>
            <w:r>
              <w:rPr>
                <w:sz w:val="14"/>
                <w:szCs w:val="14"/>
                <w:lang w:val="en-GB"/>
              </w:rPr>
              <w:t>Ghana</w:t>
            </w:r>
          </w:p>
        </w:tc>
        <w:tc>
          <w:tcPr>
            <w:tcW w:w="1440" w:type="dxa"/>
            <w:vMerge w:val="restart"/>
            <w:tcBorders>
              <w:top w:val="single" w:sz="4" w:space="0" w:color="000000"/>
              <w:left w:val="single" w:sz="4" w:space="0" w:color="000000"/>
              <w:bottom w:val="single" w:sz="4" w:space="0" w:color="000000"/>
              <w:right w:val="single" w:sz="4" w:space="0" w:color="000000"/>
            </w:tcBorders>
          </w:tcPr>
          <w:p w14:paraId="176742DB" w14:textId="77777777" w:rsidR="00316D6C" w:rsidRDefault="00316D6C" w:rsidP="008E425B">
            <w:pPr>
              <w:widowControl w:val="0"/>
            </w:pPr>
            <w:r>
              <w:rPr>
                <w:sz w:val="14"/>
                <w:szCs w:val="14"/>
                <w:lang w:val="en-GB"/>
              </w:rPr>
              <w:t>Community members</w:t>
            </w:r>
          </w:p>
        </w:tc>
        <w:tc>
          <w:tcPr>
            <w:tcW w:w="990" w:type="dxa"/>
            <w:vMerge w:val="restart"/>
            <w:tcBorders>
              <w:top w:val="single" w:sz="4" w:space="0" w:color="000000"/>
              <w:left w:val="single" w:sz="4" w:space="0" w:color="000000"/>
              <w:bottom w:val="single" w:sz="4" w:space="0" w:color="000000"/>
              <w:right w:val="single" w:sz="4" w:space="0" w:color="000000"/>
            </w:tcBorders>
          </w:tcPr>
          <w:p w14:paraId="6F7C95CF" w14:textId="77777777" w:rsidR="00316D6C" w:rsidRDefault="00316D6C" w:rsidP="008E425B">
            <w:pPr>
              <w:widowControl w:val="0"/>
            </w:pPr>
            <w:r>
              <w:rPr>
                <w:sz w:val="14"/>
                <w:szCs w:val="14"/>
                <w:lang w:val="en-GB"/>
              </w:rPr>
              <w:t>660 households</w:t>
            </w:r>
          </w:p>
        </w:tc>
        <w:tc>
          <w:tcPr>
            <w:tcW w:w="2611" w:type="dxa"/>
            <w:tcBorders>
              <w:top w:val="single" w:sz="4" w:space="0" w:color="000000"/>
              <w:left w:val="single" w:sz="4" w:space="0" w:color="000000"/>
              <w:bottom w:val="single" w:sz="4" w:space="0" w:color="000000"/>
              <w:right w:val="single" w:sz="4" w:space="0" w:color="000000"/>
            </w:tcBorders>
          </w:tcPr>
          <w:p w14:paraId="198C26A1" w14:textId="77777777" w:rsidR="00316D6C" w:rsidRDefault="00316D6C" w:rsidP="008E425B">
            <w:pPr>
              <w:widowControl w:val="0"/>
            </w:pPr>
            <w:r>
              <w:rPr>
                <w:sz w:val="14"/>
                <w:szCs w:val="14"/>
                <w:lang w:val="en-GB"/>
              </w:rPr>
              <w:t>Antibiotic use</w:t>
            </w:r>
          </w:p>
        </w:tc>
        <w:tc>
          <w:tcPr>
            <w:tcW w:w="6478" w:type="dxa"/>
            <w:tcBorders>
              <w:top w:val="single" w:sz="4" w:space="0" w:color="000000"/>
              <w:left w:val="single" w:sz="4" w:space="0" w:color="000000"/>
              <w:bottom w:val="single" w:sz="4" w:space="0" w:color="000000"/>
              <w:right w:val="single" w:sz="4" w:space="0" w:color="000000"/>
            </w:tcBorders>
          </w:tcPr>
          <w:p w14:paraId="30B2AEDA" w14:textId="77777777" w:rsidR="00316D6C" w:rsidRDefault="00316D6C" w:rsidP="008E425B">
            <w:pPr>
              <w:widowControl w:val="0"/>
            </w:pPr>
            <w:r>
              <w:rPr>
                <w:sz w:val="14"/>
                <w:szCs w:val="14"/>
              </w:rPr>
              <w:t>44.1%</w:t>
            </w:r>
            <w:r>
              <w:rPr>
                <w:sz w:val="14"/>
                <w:szCs w:val="14"/>
                <w:lang w:val="en-GB"/>
              </w:rPr>
              <w:t xml:space="preserve"> </w:t>
            </w:r>
            <w:r>
              <w:rPr>
                <w:sz w:val="14"/>
                <w:szCs w:val="14"/>
              </w:rPr>
              <w:t>of the</w:t>
            </w:r>
            <w:r>
              <w:rPr>
                <w:sz w:val="14"/>
                <w:szCs w:val="14"/>
                <w:lang w:val="en-GB"/>
              </w:rPr>
              <w:t xml:space="preserve"> </w:t>
            </w:r>
            <w:r>
              <w:rPr>
                <w:sz w:val="14"/>
                <w:szCs w:val="14"/>
              </w:rPr>
              <w:t>households reported taking at least one type of antibiotic within the last month before the study</w:t>
            </w:r>
            <w:r>
              <w:rPr>
                <w:sz w:val="14"/>
                <w:szCs w:val="14"/>
                <w:lang w:val="en-GB"/>
              </w:rPr>
              <w:t xml:space="preserve">, </w:t>
            </w:r>
            <w:r>
              <w:rPr>
                <w:sz w:val="14"/>
                <w:szCs w:val="14"/>
              </w:rPr>
              <w:t>30.9% had used antibiotics without a prescription</w:t>
            </w:r>
            <w:r>
              <w:rPr>
                <w:sz w:val="14"/>
                <w:szCs w:val="14"/>
                <w:lang w:val="en-GB"/>
              </w:rPr>
              <w:t xml:space="preserve">, </w:t>
            </w:r>
            <w:proofErr w:type="gramStart"/>
            <w:r>
              <w:rPr>
                <w:sz w:val="14"/>
                <w:szCs w:val="14"/>
                <w:lang w:val="en-GB"/>
              </w:rPr>
              <w:t xml:space="preserve">and </w:t>
            </w:r>
            <w:r>
              <w:rPr>
                <w:sz w:val="14"/>
                <w:szCs w:val="14"/>
              </w:rPr>
              <w:t> Amoxicillin</w:t>
            </w:r>
            <w:proofErr w:type="gramEnd"/>
            <w:r>
              <w:rPr>
                <w:sz w:val="14"/>
                <w:szCs w:val="14"/>
                <w:lang w:val="en-GB"/>
              </w:rPr>
              <w:t xml:space="preserve"> </w:t>
            </w:r>
            <w:r>
              <w:rPr>
                <w:sz w:val="14"/>
                <w:szCs w:val="14"/>
              </w:rPr>
              <w:t xml:space="preserve">(26.0%) was the most frequently </w:t>
            </w:r>
            <w:r>
              <w:rPr>
                <w:sz w:val="14"/>
                <w:szCs w:val="14"/>
              </w:rPr>
              <w:lastRenderedPageBreak/>
              <w:t>used antibiotic</w:t>
            </w:r>
            <w:r>
              <w:rPr>
                <w:sz w:val="14"/>
                <w:szCs w:val="14"/>
                <w:lang w:val="en-GB"/>
              </w:rPr>
              <w:t>.</w:t>
            </w:r>
          </w:p>
        </w:tc>
      </w:tr>
      <w:tr w:rsidR="00316D6C" w14:paraId="0B0C7421" w14:textId="77777777" w:rsidTr="008E425B">
        <w:trPr>
          <w:trHeight w:val="353"/>
        </w:trPr>
        <w:tc>
          <w:tcPr>
            <w:tcW w:w="1079" w:type="dxa"/>
            <w:vMerge/>
            <w:tcBorders>
              <w:top w:val="single" w:sz="4" w:space="0" w:color="000000"/>
              <w:left w:val="single" w:sz="4" w:space="0" w:color="000000"/>
              <w:bottom w:val="single" w:sz="4" w:space="0" w:color="000000"/>
              <w:right w:val="single" w:sz="4" w:space="0" w:color="000000"/>
            </w:tcBorders>
          </w:tcPr>
          <w:p w14:paraId="35413801"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220E404D"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17C59DD2"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13443E95"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3C21A3EF"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719ADE70" w14:textId="77777777" w:rsidR="00316D6C" w:rsidRDefault="00316D6C" w:rsidP="008E425B">
            <w:pPr>
              <w:widowControl w:val="0"/>
            </w:pPr>
            <w:r>
              <w:rPr>
                <w:sz w:val="14"/>
                <w:szCs w:val="14"/>
                <w:lang w:val="en-GB"/>
              </w:rPr>
              <w:t>Sources of antibiotics</w:t>
            </w:r>
          </w:p>
        </w:tc>
        <w:tc>
          <w:tcPr>
            <w:tcW w:w="6478" w:type="dxa"/>
            <w:tcBorders>
              <w:top w:val="single" w:sz="4" w:space="0" w:color="000000"/>
              <w:left w:val="single" w:sz="4" w:space="0" w:color="000000"/>
              <w:bottom w:val="single" w:sz="4" w:space="0" w:color="000000"/>
              <w:right w:val="single" w:sz="4" w:space="0" w:color="000000"/>
            </w:tcBorders>
          </w:tcPr>
          <w:p w14:paraId="5D546DFD" w14:textId="7E3717E3" w:rsidR="00316D6C" w:rsidRDefault="008C1989" w:rsidP="008E425B">
            <w:pPr>
              <w:widowControl w:val="0"/>
            </w:pPr>
            <w:r>
              <w:rPr>
                <w:sz w:val="14"/>
                <w:szCs w:val="14"/>
              </w:rPr>
              <w:t>Pharm</w:t>
            </w:r>
            <w:proofErr w:type="spellStart"/>
            <w:r>
              <w:rPr>
                <w:sz w:val="14"/>
                <w:szCs w:val="14"/>
                <w:lang w:val="en-GB"/>
              </w:rPr>
              <w:t>acies</w:t>
            </w:r>
            <w:proofErr w:type="spellEnd"/>
            <w:r w:rsidR="00316D6C">
              <w:rPr>
                <w:sz w:val="14"/>
                <w:szCs w:val="14"/>
                <w:lang w:val="en-GB"/>
              </w:rPr>
              <w:t xml:space="preserve"> (</w:t>
            </w:r>
            <w:r w:rsidR="00316D6C">
              <w:rPr>
                <w:sz w:val="14"/>
                <w:szCs w:val="14"/>
              </w:rPr>
              <w:t>41.2%), previously used antibiotics (22.5%), friend</w:t>
            </w:r>
            <w:r w:rsidR="00316D6C">
              <w:rPr>
                <w:sz w:val="14"/>
                <w:szCs w:val="14"/>
                <w:lang w:val="en-GB"/>
              </w:rPr>
              <w:t>s</w:t>
            </w:r>
            <w:r w:rsidR="00316D6C">
              <w:rPr>
                <w:sz w:val="14"/>
                <w:szCs w:val="14"/>
              </w:rPr>
              <w:t>/family (18.6%), and drug hawkers</w:t>
            </w:r>
            <w:r w:rsidR="00316D6C">
              <w:rPr>
                <w:sz w:val="14"/>
                <w:szCs w:val="14"/>
                <w:lang w:val="en-GB"/>
              </w:rPr>
              <w:t xml:space="preserve"> </w:t>
            </w:r>
            <w:r w:rsidR="00316D6C">
              <w:rPr>
                <w:sz w:val="14"/>
                <w:szCs w:val="14"/>
              </w:rPr>
              <w:t>(14.7%)</w:t>
            </w:r>
          </w:p>
        </w:tc>
      </w:tr>
      <w:tr w:rsidR="00316D6C" w14:paraId="4E124486" w14:textId="77777777" w:rsidTr="008E425B">
        <w:trPr>
          <w:trHeight w:val="353"/>
        </w:trPr>
        <w:tc>
          <w:tcPr>
            <w:tcW w:w="1079" w:type="dxa"/>
            <w:vMerge/>
            <w:tcBorders>
              <w:top w:val="single" w:sz="4" w:space="0" w:color="000000"/>
              <w:left w:val="single" w:sz="4" w:space="0" w:color="000000"/>
              <w:bottom w:val="single" w:sz="4" w:space="0" w:color="000000"/>
              <w:right w:val="single" w:sz="4" w:space="0" w:color="000000"/>
            </w:tcBorders>
          </w:tcPr>
          <w:p w14:paraId="77CFDB12" w14:textId="77777777" w:rsidR="00316D6C" w:rsidRDefault="00316D6C" w:rsidP="008E425B">
            <w:pPr>
              <w:widowControl w:val="0"/>
              <w:rPr>
                <w:sz w:val="14"/>
                <w:szCs w:val="14"/>
              </w:rPr>
            </w:pPr>
          </w:p>
        </w:tc>
        <w:tc>
          <w:tcPr>
            <w:tcW w:w="1081" w:type="dxa"/>
            <w:vMerge/>
            <w:tcBorders>
              <w:top w:val="single" w:sz="4" w:space="0" w:color="000000"/>
              <w:left w:val="single" w:sz="4" w:space="0" w:color="000000"/>
              <w:bottom w:val="single" w:sz="4" w:space="0" w:color="000000"/>
              <w:right w:val="single" w:sz="4" w:space="0" w:color="000000"/>
            </w:tcBorders>
          </w:tcPr>
          <w:p w14:paraId="7C142D82" w14:textId="77777777" w:rsidR="00316D6C" w:rsidRDefault="00316D6C" w:rsidP="008E425B">
            <w:pPr>
              <w:widowControl w:val="0"/>
              <w:rPr>
                <w:sz w:val="14"/>
                <w:szCs w:val="14"/>
              </w:rPr>
            </w:pPr>
          </w:p>
        </w:tc>
        <w:tc>
          <w:tcPr>
            <w:tcW w:w="810" w:type="dxa"/>
            <w:vMerge/>
            <w:tcBorders>
              <w:top w:val="single" w:sz="4" w:space="0" w:color="000000"/>
              <w:left w:val="single" w:sz="4" w:space="0" w:color="000000"/>
              <w:bottom w:val="single" w:sz="4" w:space="0" w:color="000000"/>
              <w:right w:val="single" w:sz="4" w:space="0" w:color="000000"/>
            </w:tcBorders>
          </w:tcPr>
          <w:p w14:paraId="2D22CAB1" w14:textId="77777777" w:rsidR="00316D6C" w:rsidRDefault="00316D6C" w:rsidP="008E425B">
            <w:pPr>
              <w:widowControl w:val="0"/>
              <w:rPr>
                <w:sz w:val="14"/>
                <w:szCs w:val="14"/>
              </w:rPr>
            </w:pPr>
          </w:p>
        </w:tc>
        <w:tc>
          <w:tcPr>
            <w:tcW w:w="1440" w:type="dxa"/>
            <w:vMerge/>
            <w:tcBorders>
              <w:top w:val="single" w:sz="4" w:space="0" w:color="000000"/>
              <w:left w:val="single" w:sz="4" w:space="0" w:color="000000"/>
              <w:bottom w:val="single" w:sz="4" w:space="0" w:color="000000"/>
              <w:right w:val="single" w:sz="4" w:space="0" w:color="000000"/>
            </w:tcBorders>
          </w:tcPr>
          <w:p w14:paraId="2AC6A286" w14:textId="77777777" w:rsidR="00316D6C" w:rsidRDefault="00316D6C" w:rsidP="008E425B">
            <w:pPr>
              <w:widowControl w:val="0"/>
              <w:rPr>
                <w:sz w:val="14"/>
                <w:szCs w:val="14"/>
              </w:rPr>
            </w:pPr>
          </w:p>
        </w:tc>
        <w:tc>
          <w:tcPr>
            <w:tcW w:w="990" w:type="dxa"/>
            <w:vMerge/>
            <w:tcBorders>
              <w:top w:val="single" w:sz="4" w:space="0" w:color="000000"/>
              <w:left w:val="single" w:sz="4" w:space="0" w:color="000000"/>
              <w:bottom w:val="single" w:sz="4" w:space="0" w:color="000000"/>
              <w:right w:val="single" w:sz="4" w:space="0" w:color="000000"/>
            </w:tcBorders>
          </w:tcPr>
          <w:p w14:paraId="2155A754" w14:textId="77777777" w:rsidR="00316D6C" w:rsidRDefault="00316D6C" w:rsidP="008E425B">
            <w:pPr>
              <w:widowControl w:val="0"/>
              <w:rPr>
                <w:sz w:val="14"/>
                <w:szCs w:val="14"/>
              </w:rPr>
            </w:pPr>
          </w:p>
        </w:tc>
        <w:tc>
          <w:tcPr>
            <w:tcW w:w="2611" w:type="dxa"/>
            <w:tcBorders>
              <w:top w:val="single" w:sz="4" w:space="0" w:color="000000"/>
              <w:left w:val="single" w:sz="4" w:space="0" w:color="000000"/>
              <w:bottom w:val="single" w:sz="4" w:space="0" w:color="000000"/>
              <w:right w:val="single" w:sz="4" w:space="0" w:color="000000"/>
            </w:tcBorders>
          </w:tcPr>
          <w:p w14:paraId="6E010147" w14:textId="77777777" w:rsidR="00316D6C" w:rsidRDefault="00316D6C" w:rsidP="008E425B">
            <w:pPr>
              <w:widowControl w:val="0"/>
            </w:pPr>
            <w:r>
              <w:rPr>
                <w:sz w:val="14"/>
                <w:szCs w:val="14"/>
                <w:lang w:val="en-GB"/>
              </w:rPr>
              <w:t>Knowledge of antibiotic use and resistance</w:t>
            </w:r>
          </w:p>
        </w:tc>
        <w:tc>
          <w:tcPr>
            <w:tcW w:w="6478" w:type="dxa"/>
            <w:tcBorders>
              <w:top w:val="single" w:sz="4" w:space="0" w:color="000000"/>
              <w:left w:val="single" w:sz="4" w:space="0" w:color="000000"/>
              <w:bottom w:val="single" w:sz="4" w:space="0" w:color="000000"/>
              <w:right w:val="single" w:sz="4" w:space="0" w:color="000000"/>
            </w:tcBorders>
          </w:tcPr>
          <w:p w14:paraId="379AF0BD" w14:textId="77777777" w:rsidR="00316D6C" w:rsidRDefault="00316D6C" w:rsidP="008E425B">
            <w:pPr>
              <w:widowControl w:val="0"/>
            </w:pPr>
            <w:r>
              <w:rPr>
                <w:sz w:val="14"/>
                <w:szCs w:val="14"/>
                <w:lang w:val="en-GB"/>
              </w:rPr>
              <w:t>53.6% had good knowledge of both antibiotic use and resistance, 74.4% knew that AMR referred to the inability of antibiotics to kill bacteria, and 82.4% were aware that misuse of antibiotics was a major cause of AMR.</w:t>
            </w:r>
          </w:p>
        </w:tc>
      </w:tr>
    </w:tbl>
    <w:p w14:paraId="376590C6" w14:textId="77777777" w:rsidR="00316D6C" w:rsidRDefault="00316D6C" w:rsidP="00397401">
      <w:pPr>
        <w:rPr>
          <w:rFonts w:ascii="Times New Roman" w:hAnsi="Times New Roman" w:cs="Times New Roman"/>
        </w:rPr>
      </w:pPr>
    </w:p>
    <w:p w14:paraId="326BC39F" w14:textId="77777777" w:rsidR="00316D6C" w:rsidRDefault="00316D6C" w:rsidP="00397401">
      <w:pPr>
        <w:rPr>
          <w:rFonts w:ascii="Times New Roman" w:hAnsi="Times New Roman" w:cs="Times New Roman"/>
        </w:rPr>
      </w:pPr>
    </w:p>
    <w:p w14:paraId="0881BE9C" w14:textId="77777777" w:rsidR="00316D6C" w:rsidRDefault="00316D6C" w:rsidP="00397401">
      <w:pPr>
        <w:rPr>
          <w:rFonts w:ascii="Times New Roman" w:hAnsi="Times New Roman" w:cs="Times New Roman"/>
        </w:rPr>
      </w:pPr>
    </w:p>
    <w:p w14:paraId="09A0889F" w14:textId="77777777" w:rsidR="00316D6C" w:rsidRDefault="00316D6C" w:rsidP="00397401">
      <w:pPr>
        <w:rPr>
          <w:rFonts w:ascii="Times New Roman" w:hAnsi="Times New Roman" w:cs="Times New Roman"/>
        </w:rPr>
      </w:pPr>
    </w:p>
    <w:p w14:paraId="6E36D012" w14:textId="77777777" w:rsidR="00316D6C" w:rsidRDefault="00316D6C" w:rsidP="00397401">
      <w:pPr>
        <w:rPr>
          <w:rFonts w:ascii="Times New Roman" w:hAnsi="Times New Roman" w:cs="Times New Roman"/>
        </w:rPr>
      </w:pPr>
    </w:p>
    <w:p w14:paraId="74EDC440" w14:textId="77777777" w:rsidR="00316D6C" w:rsidRDefault="00316D6C" w:rsidP="00397401">
      <w:pPr>
        <w:rPr>
          <w:rFonts w:ascii="Times New Roman" w:hAnsi="Times New Roman" w:cs="Times New Roman"/>
        </w:rPr>
      </w:pPr>
    </w:p>
    <w:p w14:paraId="5FA1A429" w14:textId="77777777" w:rsidR="00316D6C" w:rsidRDefault="00316D6C" w:rsidP="00397401">
      <w:pPr>
        <w:rPr>
          <w:rFonts w:ascii="Times New Roman" w:hAnsi="Times New Roman" w:cs="Times New Roman"/>
        </w:rPr>
      </w:pPr>
    </w:p>
    <w:p w14:paraId="0E6CFDAF" w14:textId="77777777" w:rsidR="00316D6C" w:rsidRDefault="00316D6C" w:rsidP="00397401">
      <w:pPr>
        <w:rPr>
          <w:rFonts w:ascii="Times New Roman" w:hAnsi="Times New Roman" w:cs="Times New Roman"/>
        </w:rPr>
      </w:pPr>
    </w:p>
    <w:p w14:paraId="4BF06B94" w14:textId="77777777" w:rsidR="00316D6C" w:rsidRDefault="00316D6C" w:rsidP="00397401">
      <w:pPr>
        <w:rPr>
          <w:rFonts w:ascii="Times New Roman" w:hAnsi="Times New Roman" w:cs="Times New Roman"/>
        </w:rPr>
      </w:pPr>
    </w:p>
    <w:p w14:paraId="1B745376" w14:textId="77777777" w:rsidR="00316D6C" w:rsidRDefault="00316D6C" w:rsidP="00397401">
      <w:pPr>
        <w:rPr>
          <w:rFonts w:ascii="Times New Roman" w:hAnsi="Times New Roman" w:cs="Times New Roman"/>
        </w:rPr>
      </w:pPr>
    </w:p>
    <w:p w14:paraId="55291CAE" w14:textId="77777777" w:rsidR="00316D6C" w:rsidRDefault="00316D6C" w:rsidP="00397401">
      <w:pPr>
        <w:rPr>
          <w:rFonts w:ascii="Times New Roman" w:hAnsi="Times New Roman" w:cs="Times New Roman"/>
        </w:rPr>
      </w:pPr>
    </w:p>
    <w:p w14:paraId="5E72C9EE" w14:textId="77777777" w:rsidR="00316D6C" w:rsidRDefault="00316D6C" w:rsidP="00397401">
      <w:pPr>
        <w:rPr>
          <w:rFonts w:ascii="Times New Roman" w:hAnsi="Times New Roman" w:cs="Times New Roman"/>
        </w:rPr>
      </w:pPr>
    </w:p>
    <w:p w14:paraId="1013DB46" w14:textId="77777777" w:rsidR="00316D6C" w:rsidRDefault="00316D6C" w:rsidP="00397401">
      <w:pPr>
        <w:rPr>
          <w:rFonts w:ascii="Times New Roman" w:hAnsi="Times New Roman" w:cs="Times New Roman"/>
        </w:rPr>
      </w:pPr>
    </w:p>
    <w:p w14:paraId="10B17C94" w14:textId="77777777" w:rsidR="00316D6C" w:rsidRDefault="00316D6C" w:rsidP="00397401">
      <w:pPr>
        <w:rPr>
          <w:rFonts w:ascii="Times New Roman" w:hAnsi="Times New Roman" w:cs="Times New Roman"/>
        </w:rPr>
      </w:pPr>
    </w:p>
    <w:p w14:paraId="4C087574" w14:textId="77777777" w:rsidR="00316D6C" w:rsidRDefault="00316D6C" w:rsidP="00397401">
      <w:pPr>
        <w:rPr>
          <w:rFonts w:ascii="Times New Roman" w:hAnsi="Times New Roman" w:cs="Times New Roman"/>
        </w:rPr>
      </w:pPr>
    </w:p>
    <w:p w14:paraId="2F1FAD68" w14:textId="77777777" w:rsidR="00316D6C" w:rsidRDefault="00316D6C" w:rsidP="00397401">
      <w:pPr>
        <w:rPr>
          <w:rFonts w:ascii="Times New Roman" w:hAnsi="Times New Roman" w:cs="Times New Roman"/>
        </w:rPr>
      </w:pPr>
    </w:p>
    <w:p w14:paraId="21825955" w14:textId="77777777" w:rsidR="00316D6C" w:rsidRDefault="00316D6C" w:rsidP="00397401">
      <w:pPr>
        <w:rPr>
          <w:rFonts w:ascii="Times New Roman" w:hAnsi="Times New Roman" w:cs="Times New Roman"/>
        </w:rPr>
      </w:pPr>
    </w:p>
    <w:p w14:paraId="59905755" w14:textId="77777777" w:rsidR="00FA19AF" w:rsidRDefault="00FA19AF" w:rsidP="00397401">
      <w:pPr>
        <w:rPr>
          <w:rFonts w:ascii="Times New Roman" w:hAnsi="Times New Roman" w:cs="Times New Roman"/>
        </w:rPr>
        <w:sectPr w:rsidR="00FA19AF" w:rsidSect="00FA19AF">
          <w:pgSz w:w="16838" w:h="11906" w:orient="landscape"/>
          <w:pgMar w:top="1440" w:right="1440" w:bottom="1440" w:left="1440" w:header="708" w:footer="708" w:gutter="0"/>
          <w:cols w:space="708"/>
          <w:docGrid w:linePitch="360"/>
        </w:sectPr>
      </w:pPr>
    </w:p>
    <w:p w14:paraId="2FE8FBCA" w14:textId="7B2AFFB1" w:rsidR="007E321D" w:rsidRPr="000365ED" w:rsidRDefault="00397401" w:rsidP="00397401">
      <w:pPr>
        <w:rPr>
          <w:rFonts w:ascii="Times New Roman" w:hAnsi="Times New Roman" w:cs="Times New Roman"/>
        </w:rPr>
      </w:pPr>
      <w:r w:rsidRPr="000365ED">
        <w:rPr>
          <w:rFonts w:ascii="Times New Roman" w:hAnsi="Times New Roman" w:cs="Times New Roman"/>
        </w:rPr>
        <w:lastRenderedPageBreak/>
        <w:t>Table S</w:t>
      </w:r>
      <w:r w:rsidR="00316D6C">
        <w:rPr>
          <w:rFonts w:ascii="Times New Roman" w:hAnsi="Times New Roman" w:cs="Times New Roman"/>
        </w:rPr>
        <w:t>4</w:t>
      </w:r>
      <w:r w:rsidRPr="000365ED">
        <w:rPr>
          <w:rFonts w:ascii="Times New Roman" w:hAnsi="Times New Roman" w:cs="Times New Roman"/>
        </w:rPr>
        <w:t xml:space="preserve">. </w:t>
      </w:r>
      <w:r w:rsidR="0071671D" w:rsidRPr="000365ED">
        <w:rPr>
          <w:rFonts w:ascii="Times New Roman" w:hAnsi="Times New Roman" w:cs="Times New Roman"/>
        </w:rPr>
        <w:t xml:space="preserve">List of </w:t>
      </w:r>
      <w:r w:rsidR="008B63F2" w:rsidRPr="000365ED">
        <w:rPr>
          <w:rFonts w:ascii="Times New Roman" w:hAnsi="Times New Roman" w:cs="Times New Roman"/>
        </w:rPr>
        <w:t>the</w:t>
      </w:r>
      <w:r w:rsidR="00B72F18" w:rsidRPr="000365ED">
        <w:rPr>
          <w:rFonts w:ascii="Times New Roman" w:hAnsi="Times New Roman" w:cs="Times New Roman"/>
        </w:rPr>
        <w:t xml:space="preserve"> s</w:t>
      </w:r>
      <w:r w:rsidR="0071671D" w:rsidRPr="000365ED">
        <w:rPr>
          <w:rFonts w:ascii="Times New Roman" w:hAnsi="Times New Roman" w:cs="Times New Roman"/>
        </w:rPr>
        <w:t xml:space="preserve">tudies </w:t>
      </w:r>
      <w:r w:rsidR="00B72F18" w:rsidRPr="000365ED">
        <w:rPr>
          <w:rFonts w:ascii="Times New Roman" w:hAnsi="Times New Roman" w:cs="Times New Roman"/>
        </w:rPr>
        <w:t>e</w:t>
      </w:r>
      <w:r w:rsidR="0071671D" w:rsidRPr="000365ED">
        <w:rPr>
          <w:rFonts w:ascii="Times New Roman" w:hAnsi="Times New Roman" w:cs="Times New Roman"/>
        </w:rPr>
        <w:t>xcluded at full-text screening stage</w:t>
      </w:r>
    </w:p>
    <w:tbl>
      <w:tblPr>
        <w:tblStyle w:val="TableGrid"/>
        <w:tblW w:w="0" w:type="auto"/>
        <w:tblLook w:val="04A0" w:firstRow="1" w:lastRow="0" w:firstColumn="1" w:lastColumn="0" w:noHBand="0" w:noVBand="1"/>
      </w:tblPr>
      <w:tblGrid>
        <w:gridCol w:w="1698"/>
        <w:gridCol w:w="2253"/>
        <w:gridCol w:w="2736"/>
        <w:gridCol w:w="2329"/>
      </w:tblGrid>
      <w:tr w:rsidR="00944D91" w:rsidRPr="000365ED" w14:paraId="19B6548C" w14:textId="77777777" w:rsidTr="00944D91">
        <w:tc>
          <w:tcPr>
            <w:tcW w:w="1698" w:type="dxa"/>
          </w:tcPr>
          <w:p w14:paraId="3FE7C83E" w14:textId="7AE82FDE" w:rsidR="00944D91" w:rsidRPr="000365ED" w:rsidRDefault="00944D91" w:rsidP="00397401">
            <w:pPr>
              <w:rPr>
                <w:rFonts w:ascii="Times New Roman" w:hAnsi="Times New Roman" w:cs="Times New Roman"/>
              </w:rPr>
            </w:pPr>
            <w:r w:rsidRPr="000365ED">
              <w:rPr>
                <w:rFonts w:ascii="Times New Roman" w:hAnsi="Times New Roman" w:cs="Times New Roman"/>
              </w:rPr>
              <w:t>Number</w:t>
            </w:r>
          </w:p>
        </w:tc>
        <w:tc>
          <w:tcPr>
            <w:tcW w:w="2253" w:type="dxa"/>
          </w:tcPr>
          <w:p w14:paraId="338E94C8" w14:textId="24C1F52F" w:rsidR="00944D91" w:rsidRPr="000365ED" w:rsidRDefault="00944D91" w:rsidP="00397401">
            <w:pPr>
              <w:rPr>
                <w:rFonts w:ascii="Times New Roman" w:hAnsi="Times New Roman" w:cs="Times New Roman"/>
              </w:rPr>
            </w:pPr>
            <w:r w:rsidRPr="000365ED">
              <w:rPr>
                <w:rFonts w:ascii="Times New Roman" w:hAnsi="Times New Roman" w:cs="Times New Roman"/>
              </w:rPr>
              <w:t>First Author, Year</w:t>
            </w:r>
          </w:p>
        </w:tc>
        <w:tc>
          <w:tcPr>
            <w:tcW w:w="2736" w:type="dxa"/>
          </w:tcPr>
          <w:p w14:paraId="7FEE899B" w14:textId="1A4594A7" w:rsidR="00944D91" w:rsidRPr="000365ED" w:rsidRDefault="00944D91" w:rsidP="00397401">
            <w:pPr>
              <w:rPr>
                <w:rFonts w:ascii="Times New Roman" w:hAnsi="Times New Roman" w:cs="Times New Roman"/>
              </w:rPr>
            </w:pPr>
            <w:r w:rsidRPr="000365ED">
              <w:rPr>
                <w:rFonts w:ascii="Times New Roman" w:hAnsi="Times New Roman" w:cs="Times New Roman"/>
              </w:rPr>
              <w:t>Article Title</w:t>
            </w:r>
          </w:p>
        </w:tc>
        <w:tc>
          <w:tcPr>
            <w:tcW w:w="2329" w:type="dxa"/>
          </w:tcPr>
          <w:p w14:paraId="7D21EE0D" w14:textId="7B01DBDC" w:rsidR="00944D91" w:rsidRPr="000365ED" w:rsidRDefault="00944D91" w:rsidP="00397401">
            <w:pPr>
              <w:rPr>
                <w:rFonts w:ascii="Times New Roman" w:hAnsi="Times New Roman" w:cs="Times New Roman"/>
              </w:rPr>
            </w:pPr>
            <w:r w:rsidRPr="000365ED">
              <w:rPr>
                <w:rFonts w:ascii="Times New Roman" w:hAnsi="Times New Roman" w:cs="Times New Roman"/>
              </w:rPr>
              <w:t>Reason for Exclusion</w:t>
            </w:r>
          </w:p>
        </w:tc>
      </w:tr>
      <w:tr w:rsidR="00944D91" w:rsidRPr="000365ED" w14:paraId="21B0BA52" w14:textId="77777777" w:rsidTr="00944D91">
        <w:tc>
          <w:tcPr>
            <w:tcW w:w="1698" w:type="dxa"/>
          </w:tcPr>
          <w:p w14:paraId="3E5006E6" w14:textId="06BCF0A5" w:rsidR="00944D91" w:rsidRPr="000365ED" w:rsidRDefault="00944D91" w:rsidP="00397401">
            <w:pPr>
              <w:rPr>
                <w:rFonts w:ascii="Times New Roman" w:hAnsi="Times New Roman" w:cs="Times New Roman"/>
              </w:rPr>
            </w:pPr>
            <w:r w:rsidRPr="000365ED">
              <w:rPr>
                <w:rFonts w:ascii="Times New Roman" w:hAnsi="Times New Roman" w:cs="Times New Roman"/>
              </w:rPr>
              <w:t>1</w:t>
            </w:r>
          </w:p>
        </w:tc>
        <w:tc>
          <w:tcPr>
            <w:tcW w:w="2253" w:type="dxa"/>
          </w:tcPr>
          <w:p w14:paraId="1A23D9A3" w14:textId="5AE1252D"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{"citationID":"zFhr5TyU","properties":{"formattedCitation":"(Abubakar et al., 2021)","plainCitation":"(Abubakar et al., 2021)","noteIndex":0},"citationItems":[{"id":8330,"uris":["http://zotero.org/users/11836539/items/XM7NP3IM"],"itemData":{"id":8330,"type":"article-journal","abstract":"Objective: This study evaluated the knowledge and self-reported confidence of antimicrobial stewardship (AMS) among pharmacy students in Malaysia and Nigeria. Methods: A cross-sectional study was conducted among final year undergraduate pharmacy students in a university from both Nigeria and Malaysia using a 59-item online questionnaire. Results: A total of 150 final year undergraduate pharmacy students completed the questionnaire. Exposure to infectious diseases clerkship was higher among the Malaysian students (78.2% versus 25.4%; p &lt; 0.001). Overall, the knowledge score for antibiotic resistance and AMS were comparable (6.2 ± 1.5 and 3.6 ± 1.2, respectively versus 5.9 ± 1.6 and 3.3 ± 1.3). The knowledge of antibiotic therapy was higher among the Malaysian students (5.4 ± 1.8 versus 4.2 ± 1.8; p &lt; 0.001) while self-reported confidence to participate in AMS was higher among the Nigerian students (median 48.0, IQR 26 – 75 versus median 36.5, IQR 15 – 75; p &lt; 0.001). Conclusions: Pharmacy students in Malaysia and Nigeria have appreciable knowledge of antibiotic resistance, antibiotic therapy and AMS. More training on topics is recommended to improve the skills and competency of future pharmacists to participate in AMS. © 2021 FIP.","archive":"Scopus","container-title":"Pharmacy Education","DOI":"10.46542/PE.2021.211.298305","ISSN":"1560-2214","language":"English","page":"298-305","source":"Scopus","title":"Knowledge and self-reported confidence in antimicrobial stewardship programme among final year pharmacy undergraduate students in Malaysia and Nigeria","volume":"21","author":[{"family":"Abubakar","given":"U."},{"family":"Sha’aban","given":"A."},{"family":"Mohammed","given":"M."},{"family":"Muhammad","given":"H.T."},{"family":"Sulaiman","given":"S.A.S."},{"family":"Amir","given":"O."}],"issued":{"date-parts":[["2021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(Abubakar et al., 2021)</w:t>
            </w:r>
            <w:r w:rsidRPr="000365ED">
              <w:rPr>
                <w:rFonts w:ascii="Times New Roman" w:hAnsi="Times New Roman" w:cs="Times New Roman"/>
              </w:rPr>
              <w:fldChar w:fldCharType="end"/>
            </w:r>
          </w:p>
        </w:tc>
        <w:tc>
          <w:tcPr>
            <w:tcW w:w="2736" w:type="dxa"/>
          </w:tcPr>
          <w:p w14:paraId="6C6101C0" w14:textId="248EE8BA" w:rsidR="00944D91" w:rsidRPr="000365ED" w:rsidRDefault="00944D91" w:rsidP="00397401">
            <w:pPr>
              <w:rPr>
                <w:rFonts w:ascii="Times New Roman" w:hAnsi="Times New Roman" w:cs="Times New Roman"/>
              </w:rPr>
            </w:pPr>
            <w:r w:rsidRPr="000365ED">
              <w:rPr>
                <w:rFonts w:ascii="Times New Roman" w:hAnsi="Times New Roman" w:cs="Times New Roman"/>
              </w:rPr>
              <w:t xml:space="preserve">Knowledge and self-reported confidence in antimicrobial stewardship </w:t>
            </w:r>
            <w:proofErr w:type="spellStart"/>
            <w:r w:rsidRPr="000365ED">
              <w:rPr>
                <w:rFonts w:ascii="Times New Roman" w:hAnsi="Times New Roman" w:cs="Times New Roman"/>
              </w:rPr>
              <w:t>programme</w:t>
            </w:r>
            <w:proofErr w:type="spellEnd"/>
            <w:r w:rsidRPr="000365ED">
              <w:rPr>
                <w:rFonts w:ascii="Times New Roman" w:hAnsi="Times New Roman" w:cs="Times New Roman"/>
              </w:rPr>
              <w:t xml:space="preserve"> among final year pharmacy undergraduate students in Malaysia and Nigeria</w:t>
            </w:r>
          </w:p>
        </w:tc>
        <w:tc>
          <w:tcPr>
            <w:tcW w:w="2329" w:type="dxa"/>
          </w:tcPr>
          <w:p w14:paraId="608D2426" w14:textId="07D533F5" w:rsidR="00944D91" w:rsidRPr="000365ED" w:rsidRDefault="00944D91" w:rsidP="00397401">
            <w:pPr>
              <w:rPr>
                <w:rFonts w:ascii="Times New Roman" w:hAnsi="Times New Roman" w:cs="Times New Roman"/>
              </w:rPr>
            </w:pPr>
            <w:r w:rsidRPr="000365ED">
              <w:rPr>
                <w:rFonts w:ascii="Times New Roman" w:hAnsi="Times New Roman" w:cs="Times New Roman"/>
              </w:rPr>
              <w:t>Conducted in Africa and Nigeria and Malaysia. But difficult to take the results for only Nigeria</w:t>
            </w:r>
          </w:p>
        </w:tc>
      </w:tr>
      <w:tr w:rsidR="00944D91" w:rsidRPr="000365ED" w14:paraId="288D86C5" w14:textId="77777777" w:rsidTr="00944D91">
        <w:tc>
          <w:tcPr>
            <w:tcW w:w="1698" w:type="dxa"/>
          </w:tcPr>
          <w:p w14:paraId="7B9B029C" w14:textId="1968AE0E" w:rsidR="00944D91" w:rsidRPr="000365ED" w:rsidRDefault="00944D91" w:rsidP="00397401">
            <w:pPr>
              <w:rPr>
                <w:rFonts w:ascii="Times New Roman" w:hAnsi="Times New Roman" w:cs="Times New Roman"/>
              </w:rPr>
            </w:pPr>
            <w:r w:rsidRPr="000365ED">
              <w:rPr>
                <w:rFonts w:ascii="Times New Roman" w:hAnsi="Times New Roman" w:cs="Times New Roman"/>
              </w:rPr>
              <w:t>2</w:t>
            </w:r>
          </w:p>
        </w:tc>
        <w:tc>
          <w:tcPr>
            <w:tcW w:w="2253" w:type="dxa"/>
          </w:tcPr>
          <w:p w14:paraId="13E8A094" w14:textId="1F2578E1"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{"citationID":"ymH1pkby","properties":{"formattedCitation":"(Abubakar &amp; Tangiisuran, 2020)","plainCitation":"(Abubakar &amp; Tangiisuran, 2020)","noteIndex":0},"citationItems":[{"id":8371,"uris":["http://zotero.org/users/11836539/items/8SXQ65TU"],"itemData":{"id":8371,"type":"article-journal","abstract":"Objectives: To evaluate the activities and barriers to hospital pharmacists’ participation in antimicrobial stewardship programs (ASP) in Nigerian tertiary hospitals. Methods: A cross-sectional nationwide online survey was conducted over a 6-week period between May and June 2019. Invitation was sent to all the Heads of pharmacy department or pharmacists in charge of infectious diseases (ID) or antimicrobial pharmacists in tertiary hospitals in Nigeria. A validated questionnaire that consist of 24-items was used for data collection. Results: Forty-five hospitals were invited and 37 completed the survey (response rate, 82.2%). Five (13.5%) hospitals had a formal antimicrobial stewardship (AMS) team, with each of them having pharmacist representation. Regardless of the existence of an AMS team, hospital pharmacists have implemented AMS strategies, including evaluation of the appropriateness of antimicrobial prescriptions (54.1%) and monitoring of antimicrobial consumption (48.6%). The most common barriers to pharmacists’ involvement in ASP were lack of training in AMS and ID (51.4%), lack of pharmacists with ID specialisation (40.5%) and lack of support from hospital administrators (37.8%). The majority of the pharmacists recommended training in AMS and ID (100%), participation on ward rounds (89.2%) and employment of more pharmacists (73%) as strategies to improve pharmacists’ participation in ASP. Conclusions: Hospital pharmacists are actively involved in AMS activities despite the lack of established AMS teams in most tertiary hospitals in Nigeria. However, lack of training and personnel were major barriers to pharmacist's involvement in ASP. © 2019 International Society for Antimicrobial Chemotherapy","archive":"Scopus","container-title":"Journal of Global Antimicrobial Resistance","DOI":"10.1016/j.jgar.2019.10.007","ISSN":"2213-7165","language":"English","page":"148-153","source":"Scopus","title":"Nationwide survey of pharmacists’ involvement in antimicrobial stewardship programs in Nigerian tertiary hospitals","volume":"21","author":[{"family":"Abubakar","given":"U."},{"family":"Tangiisuran","given":"B."}],"issued":{"date-parts":[["2020"]]}}}],"schema":"https://github.com/citation-style-language/schema/raw/master/csl-citation.json"}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(Abubakar &amp; Tangiisuran, 2020)</w:t>
            </w:r>
            <w:r w:rsidRPr="000365ED">
              <w:rPr>
                <w:rFonts w:ascii="Times New Roman" w:hAnsi="Times New Roman" w:cs="Times New Roman"/>
              </w:rPr>
              <w:fldChar w:fldCharType="end"/>
            </w:r>
          </w:p>
        </w:tc>
        <w:tc>
          <w:tcPr>
            <w:tcW w:w="2736" w:type="dxa"/>
          </w:tcPr>
          <w:p w14:paraId="5E64F780" w14:textId="12FC90D0" w:rsidR="00944D91" w:rsidRPr="000365ED" w:rsidRDefault="00944D91" w:rsidP="00397401">
            <w:pPr>
              <w:rPr>
                <w:rFonts w:ascii="Times New Roman" w:hAnsi="Times New Roman" w:cs="Times New Roman"/>
              </w:rPr>
            </w:pPr>
            <w:r w:rsidRPr="000365ED">
              <w:rPr>
                <w:rFonts w:ascii="Times New Roman" w:hAnsi="Times New Roman" w:cs="Times New Roman"/>
              </w:rPr>
              <w:t>Nationwide survey of pharmacists’ involvement in antimicrobial stewardship programs in Nigerian tertiary hospitals</w:t>
            </w:r>
          </w:p>
        </w:tc>
        <w:tc>
          <w:tcPr>
            <w:tcW w:w="2329" w:type="dxa"/>
          </w:tcPr>
          <w:p w14:paraId="6277CA02" w14:textId="6D27884E" w:rsidR="00944D91" w:rsidRPr="000365ED" w:rsidRDefault="00944D91" w:rsidP="00397401">
            <w:pPr>
              <w:rPr>
                <w:rFonts w:ascii="Times New Roman" w:hAnsi="Times New Roman" w:cs="Times New Roman"/>
              </w:rPr>
            </w:pPr>
            <w:r w:rsidRPr="000365ED">
              <w:rPr>
                <w:rFonts w:ascii="Times New Roman" w:hAnsi="Times New Roman" w:cs="Times New Roman"/>
              </w:rPr>
              <w:t>Not really in line with the scope of our study</w:t>
            </w:r>
          </w:p>
        </w:tc>
      </w:tr>
      <w:tr w:rsidR="00944D91" w:rsidRPr="000365ED" w14:paraId="015EF33A" w14:textId="77777777" w:rsidTr="00944D91">
        <w:tc>
          <w:tcPr>
            <w:tcW w:w="1698" w:type="dxa"/>
          </w:tcPr>
          <w:p w14:paraId="5ABF5F15" w14:textId="5FEA06D5" w:rsidR="00944D91" w:rsidRPr="000365ED" w:rsidRDefault="00944D91" w:rsidP="00397401">
            <w:pPr>
              <w:rPr>
                <w:rFonts w:ascii="Times New Roman" w:hAnsi="Times New Roman" w:cs="Times New Roman"/>
              </w:rPr>
            </w:pPr>
            <w:r w:rsidRPr="000365ED">
              <w:rPr>
                <w:rFonts w:ascii="Times New Roman" w:hAnsi="Times New Roman" w:cs="Times New Roman"/>
              </w:rPr>
              <w:t>3</w:t>
            </w:r>
          </w:p>
        </w:tc>
        <w:tc>
          <w:tcPr>
            <w:tcW w:w="2253" w:type="dxa"/>
          </w:tcPr>
          <w:p w14:paraId="5877F773" w14:textId="04C027B1"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{"citationID":"WJkaGqyS","properties":{"formattedCitation":"(Adebayo &amp; Hussain, 2010)","plainCitation":"(Adebayo &amp; Hussain, 2010)","noteIndex":0},"citationItems":[{"id":8145,"uris":["http://zotero.org/users/11836539/items/R8ERP3RD"],"itemData":{"id":8145,"type":"article-journal","abstract":"Background: Most health expenditure of developing countries is on drugs and medical sundries but inappropriate use of such resources is common. To our knowledge, only few studies have been done in Africa on this issue , with inadequate consideration of the sociological context of the knowledge, attitude and practice of the prescribersespecially doctors. This study presents the pooled data of the pattern of prescription drug use from three NigerianArmy hospitals using some WHO criteria, and the knowledge and attitude underlying doctors’ prescribing practicesin these hospitals.Methods: Retrospective cross-sectional survey of one year (March 2006-February 2007). Systematic random sampleof general out patient case notes from three hospitals were collected using WHO criteria. The knowledge, attitudeand practice survey of doctors at each study site towards the concept of rational drug use (RDU) were assessed usinga self-administered questionnaire.Results: Data collected from 660 case notes showed that average number of drugs per encounter was 2.8 while49.3% of drugs were prescribed in the generic form. An average of 28.1% of patients encountered antibiotics. Fromthe knowledge, attitude and practice survey, it is evident that 90.5% of 74 prescribers were aware of the existenceof national essential drugs list but 58.1% of them did not use it as basis of prescriptions. In describing types ofmedicines preferred, 56.7% of prescribers claimed they prescribed a mixture of generic and branded drugs. Only12.1% of prescribers could accurately detail the 5 steps of rational prescribing.Conclusion: The pattern of prescription drug use in Nigerian Army hospitals is unsatisfactory. It is characterised byhigh number of drugs per prescription, high rate of antibiotic usage and unscientific prescription by doctors. There isa need for further education and research on rational drug use among prescribers in Nigerian military health facilities.","container-title":"Annals of African Medicine","ISSN":"1596-3519","issue":"3","language":"en","license":"Copyright (c)","note":"number: 3","source":"www.ajol.info","title":"Pattern of prescription drug use in Nigerian army hospitals","URL":"https://www.ajol.info/index.php/aam/article/view/67103","volume":"9","author":[{"family":"Adebayo","given":"E. T."},{"family":"Hussain","given":"N. A."}],"accessed":{"date-parts":[["2024",2,28]]},"issued":{"date-parts":[["2010"]]}}}],"schema":"https://github.com/citation-style-language/schema/raw/master/csl-citation.json"}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(Adebayo &amp; Hussain, 2010)</w:t>
            </w:r>
            <w:r w:rsidRPr="000365ED">
              <w:rPr>
                <w:rFonts w:ascii="Times New Roman" w:hAnsi="Times New Roman" w:cs="Times New Roman"/>
              </w:rPr>
              <w:fldChar w:fldCharType="end"/>
            </w:r>
          </w:p>
        </w:tc>
        <w:tc>
          <w:tcPr>
            <w:tcW w:w="2736" w:type="dxa"/>
          </w:tcPr>
          <w:p w14:paraId="0D5CE659" w14:textId="6DF8EE67" w:rsidR="00944D91" w:rsidRPr="000365ED" w:rsidRDefault="00944D91" w:rsidP="00397401">
            <w:pPr>
              <w:rPr>
                <w:rFonts w:ascii="Times New Roman" w:hAnsi="Times New Roman" w:cs="Times New Roman"/>
              </w:rPr>
            </w:pPr>
            <w:r w:rsidRPr="000365ED">
              <w:rPr>
                <w:rFonts w:ascii="Times New Roman" w:hAnsi="Times New Roman" w:cs="Times New Roman"/>
              </w:rPr>
              <w:t>Pattern of prescription drug use in Nigerian army hospitals</w:t>
            </w:r>
          </w:p>
        </w:tc>
        <w:tc>
          <w:tcPr>
            <w:tcW w:w="2329" w:type="dxa"/>
          </w:tcPr>
          <w:p w14:paraId="3FFDA991" w14:textId="76C5C9DD" w:rsidR="00944D91" w:rsidRPr="000365ED" w:rsidRDefault="00944D91" w:rsidP="00397401">
            <w:pPr>
              <w:rPr>
                <w:rFonts w:ascii="Times New Roman" w:hAnsi="Times New Roman" w:cs="Times New Roman"/>
              </w:rPr>
            </w:pPr>
            <w:r w:rsidRPr="000365ED">
              <w:rPr>
                <w:rFonts w:ascii="Times New Roman" w:hAnsi="Times New Roman" w:cs="Times New Roman"/>
              </w:rPr>
              <w:t>Antibiotics not reported in DDD. Prescription in accordance with Standard guidelines was unavailable</w:t>
            </w:r>
          </w:p>
        </w:tc>
      </w:tr>
      <w:tr w:rsidR="00944D91" w:rsidRPr="000365ED" w14:paraId="1CB4B09E" w14:textId="77777777" w:rsidTr="00944D91">
        <w:tc>
          <w:tcPr>
            <w:tcW w:w="1698" w:type="dxa"/>
          </w:tcPr>
          <w:p w14:paraId="3A13286E" w14:textId="3014F89D" w:rsidR="00944D91" w:rsidRPr="000365ED" w:rsidRDefault="00944D91" w:rsidP="00397401">
            <w:pPr>
              <w:rPr>
                <w:rFonts w:ascii="Times New Roman" w:hAnsi="Times New Roman" w:cs="Times New Roman"/>
              </w:rPr>
            </w:pPr>
            <w:r w:rsidRPr="000365ED">
              <w:rPr>
                <w:rFonts w:ascii="Times New Roman" w:hAnsi="Times New Roman" w:cs="Times New Roman"/>
              </w:rPr>
              <w:t>4</w:t>
            </w:r>
          </w:p>
        </w:tc>
        <w:tc>
          <w:tcPr>
            <w:tcW w:w="2253" w:type="dxa"/>
          </w:tcPr>
          <w:p w14:paraId="32A5997D" w14:textId="7AAF81CA"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{"citationID":"NXXWRRUd","properties":{"formattedCitation":"(Adisa et al., 2018)","plainCitation":"(Adisa et al., 2018)","noteIndex":0},"citationItems":[{"id":8426,"uris":["http://zotero.org/users/11836539/items/VSE76697"],"itemData":{"id":8426,"type":"article-journal","abstract":"Background: Irrational antibiotic prescriptions for children is a global concern requiring periodic evaluation and monitoring. Objectives: To assess appropriateness of antibiotic prescribing for under-five children, as well as evaluating mothers’ usage of antibiotics for their under-five and reason(s) for use. Method: Cross-sectional review of out-patient case-notes of under-five using principles of antibiotic prescribing and a questionnaire-guided interaction with under-five mothers. Results: Nearly all (445;98.9%) antibiotic prescriptions were based on signs and symptoms indicative of bacterial infection. Only 3(0.7%) had the initial antibiotic regimen modified. Nine (2.0%) had documented evidence of sensitivity test requested before antibiotic prescribing. Presence of infection or need for antibiotic therapy was established in 190(42.2%). Majority (324;72.0%) of mothers had administered antibiotics to their under-five. Of these, 157(48.5%) were prescribed by physicians and 79(24.4%) were self-recommended. Educational status of mothers significantly influenced antibiotic usage. Conclusion: Antibiotic prescriptions for under-fives was largely based on symptoms indicative of bacterial infections, thereby corroborating the widespread empirical antibiotic prescribing. Considerable number of mothers engaged in self-recommendation of antibiotics for their under-fives. Thus, there is a need for continuous enlightenment of prescribers and mothers on rational use of antibiotics, while microbiological confirmation of clinical diagnosis is encouraged for evidence-based antibiotic prescribing. © 2018 Adisa et al.","archive":"Scopus","container-title":"African Health Sciences","DOI":"10.4314/AHS.V18I4.40","ISSN":"1680-6905","issue":"4","language":"English","page":"1189-1201","source":"Scopus","title":"Evaluation of antibiotic prescriptions and use in under-five children in ibadan, southwestern nigeria","volume":"18","author":[{"family":"Adisa","given":"R."},{"family":"Orherhe","given":"O.M."},{"family":"Fakeye","given":"T.O."}],"issued":{"date-parts":[["2018"]]}}}],"schema":"https://github.com/citation-style-language/schema/raw/master/csl-citation.json"}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(Adisa et al., 2018)</w:t>
            </w:r>
            <w:r w:rsidRPr="000365ED">
              <w:rPr>
                <w:rFonts w:ascii="Times New Roman" w:hAnsi="Times New Roman" w:cs="Times New Roman"/>
              </w:rPr>
              <w:fldChar w:fldCharType="end"/>
            </w:r>
          </w:p>
        </w:tc>
        <w:tc>
          <w:tcPr>
            <w:tcW w:w="2736" w:type="dxa"/>
          </w:tcPr>
          <w:p w14:paraId="15FE2AB4" w14:textId="123EF027" w:rsidR="00944D91" w:rsidRPr="000365ED" w:rsidRDefault="00944D91" w:rsidP="00397401">
            <w:pPr>
              <w:rPr>
                <w:rFonts w:ascii="Times New Roman" w:hAnsi="Times New Roman" w:cs="Times New Roman"/>
              </w:rPr>
            </w:pPr>
            <w:r w:rsidRPr="000365ED">
              <w:rPr>
                <w:rFonts w:ascii="Times New Roman" w:hAnsi="Times New Roman" w:cs="Times New Roman"/>
              </w:rPr>
              <w:t>Evaluation of antibiotic prescriptions and use in under-five children in Ibadan, South Western Nigeria</w:t>
            </w:r>
          </w:p>
        </w:tc>
        <w:tc>
          <w:tcPr>
            <w:tcW w:w="2329" w:type="dxa"/>
          </w:tcPr>
          <w:p w14:paraId="52B8F5A6" w14:textId="36179CA7" w:rsidR="00944D91" w:rsidRPr="000365ED" w:rsidRDefault="00944D91" w:rsidP="00397401">
            <w:pPr>
              <w:rPr>
                <w:rFonts w:ascii="Times New Roman" w:hAnsi="Times New Roman" w:cs="Times New Roman"/>
              </w:rPr>
            </w:pPr>
            <w:r w:rsidRPr="000365ED">
              <w:rPr>
                <w:rFonts w:ascii="Times New Roman" w:hAnsi="Times New Roman" w:cs="Times New Roman"/>
              </w:rPr>
              <w:t>Prescription in accordance with Standard guidelines was unavailable</w:t>
            </w:r>
          </w:p>
        </w:tc>
      </w:tr>
      <w:tr w:rsidR="00944D91" w:rsidRPr="000365ED" w14:paraId="54ACEFA9" w14:textId="77777777" w:rsidTr="00944D91">
        <w:tc>
          <w:tcPr>
            <w:tcW w:w="1698" w:type="dxa"/>
          </w:tcPr>
          <w:p w14:paraId="64C495FD" w14:textId="2F9273B5" w:rsidR="00944D91" w:rsidRPr="000365ED" w:rsidRDefault="00944D91" w:rsidP="00397401">
            <w:pPr>
              <w:rPr>
                <w:rFonts w:ascii="Times New Roman" w:hAnsi="Times New Roman" w:cs="Times New Roman"/>
              </w:rPr>
            </w:pPr>
            <w:r w:rsidRPr="000365ED">
              <w:rPr>
                <w:rFonts w:ascii="Times New Roman" w:hAnsi="Times New Roman" w:cs="Times New Roman"/>
              </w:rPr>
              <w:t>5</w:t>
            </w:r>
          </w:p>
        </w:tc>
        <w:tc>
          <w:tcPr>
            <w:tcW w:w="2253" w:type="dxa"/>
          </w:tcPr>
          <w:p w14:paraId="5AE86E52" w14:textId="0C02DC28"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{"citationID":"zJd6qkF2","properties":{"formattedCitation":"(Afari-Asiedu et al., 2021)","plainCitation":"(Afari-Asiedu et al., 2021)","noteIndex":0},"citationItems":[{"id":8296,"uris":["http://zotero.org/users/11836539/items/KVE44IJU"],"itemData":{"id":8296,"type":"article-journal","abstract":"Background: Dispensing of antibiotics by over the counter medicine sellers (OTCMS) is a major driver of inappropriate use and resistance in low and middle income countries. Recent studies in Ghana revealed the need to consider training OTCMS and Community-based Health Planning and Services (CHPS)/health posts to dispense some antibiotics. Feasibility of training OTCMS and CHPS to dispense some antibiotics was explored in this study. Methods: This was an explorative study involving 10 in-depth interviews (IDIs) among staff of Ghana health services (GHS), pharmacy council and the association of OTCMS at the district and regional levels. Next, findings were presented to the Ghana Antimicrobial Resistance (AMR) platform for further discussions at the national level. Five IDIs were also performed among selected members of the AMR platform as a follow-up on emerging issues. Data were thematically analysed and presented as narratives with quotes to support the findings. Results: Two opposing views were found in our study. Leadership of OTCMS and GHS staff at the district health directorate supported the suggestion that OTCMS and CHPS should be trained to dispense specific antibiotics because they are already dispensing them. The leadership of OTCMS explained that some of their members are experienced and could be trained to improve their practices. In contrast, participants from pharmacy council, GHS in the region and national AMR platform generally alluded that OTCMS and CHPS should not be trained to dispense antibiotics because their level of education is inadequate. GHS personnel from the region further explained that training OTCMS could further compromise inappropriate antibiotic use in the context of already weak regulation enforcement. GHS and pharmacy council in the region rather suggested that OTCMS and CHPS should focus on public health education on disease prevention and appropriate antibiotic use. Conclusions: There is general lack of consensus among stakeholders on whether OTCMS and CHPS should be trained to dispense specific antibiotics. Further stakeholder engagement is required to carefully consider this suggestion as views on feasibility differ. Ministries of health and healthcare agencies in Ghana and LMIC should improve access to approved health services to improve antibiotic use in rural settings. © 2021, The Author(s).","archive":"Scopus","container-title":"Journal of Pharmaceutical Policy and Practice","DOI":"10.1186/s40545-021-00349-0","ISSN":"2052-3211","issue":"1","language":"English","source":"Scopus","title":"Stakeholders’ perspectives on training over the counter medicine sellers and Community-based Health Planning and Services facilities to dispense antibiotics in Ghana","volume":"14","author":[{"family":"Afari-Asiedu","given":"S."},{"family":"Hulscher","given":"M."},{"family":"Abdulai","given":"M.A."},{"family":"Boamah-Kaali","given":"E."},{"family":"Wertheim","given":"H.F.L."},{"family":"Asante","given":"K.P."}],"issued":{"date-parts":[["2021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(Afari-Asiedu et al., 2021)</w:t>
            </w:r>
            <w:r w:rsidRPr="000365ED">
              <w:rPr>
                <w:rFonts w:ascii="Times New Roman" w:hAnsi="Times New Roman" w:cs="Times New Roman"/>
              </w:rPr>
              <w:fldChar w:fldCharType="end"/>
            </w:r>
          </w:p>
        </w:tc>
        <w:tc>
          <w:tcPr>
            <w:tcW w:w="2736" w:type="dxa"/>
          </w:tcPr>
          <w:p w14:paraId="21DD2039" w14:textId="6812D70D" w:rsidR="00944D91" w:rsidRPr="000365ED" w:rsidRDefault="00944D91" w:rsidP="00397401">
            <w:pPr>
              <w:rPr>
                <w:rFonts w:ascii="Times New Roman" w:hAnsi="Times New Roman" w:cs="Times New Roman"/>
              </w:rPr>
            </w:pPr>
            <w:r w:rsidRPr="000365ED">
              <w:rPr>
                <w:rFonts w:ascii="Times New Roman" w:hAnsi="Times New Roman" w:cs="Times New Roman"/>
              </w:rPr>
              <w:t>Stakeholders’ perspectives on training over the counter medicine sellers and Community‑based Health Planning and Services facilities to dispense antibiotics in Ghana</w:t>
            </w:r>
          </w:p>
        </w:tc>
        <w:tc>
          <w:tcPr>
            <w:tcW w:w="2329" w:type="dxa"/>
          </w:tcPr>
          <w:p w14:paraId="3B29FBC8" w14:textId="34B95858" w:rsidR="00944D91" w:rsidRPr="000365ED" w:rsidRDefault="00944D91" w:rsidP="00397401">
            <w:pPr>
              <w:rPr>
                <w:rFonts w:ascii="Times New Roman" w:hAnsi="Times New Roman" w:cs="Times New Roman"/>
              </w:rPr>
            </w:pPr>
            <w:r w:rsidRPr="000365ED">
              <w:rPr>
                <w:rFonts w:ascii="Times New Roman" w:hAnsi="Times New Roman" w:cs="Times New Roman"/>
              </w:rPr>
              <w:t>Theme does not align with our manuscript</w:t>
            </w:r>
          </w:p>
        </w:tc>
      </w:tr>
      <w:tr w:rsidR="00944D91" w:rsidRPr="000365ED" w14:paraId="0B046690" w14:textId="77777777" w:rsidTr="00944D91">
        <w:tc>
          <w:tcPr>
            <w:tcW w:w="1698" w:type="dxa"/>
          </w:tcPr>
          <w:p w14:paraId="72EBD424" w14:textId="206DA3F9" w:rsidR="00944D91" w:rsidRPr="000365ED" w:rsidRDefault="00944D91" w:rsidP="00397401">
            <w:pPr>
              <w:rPr>
                <w:rFonts w:ascii="Times New Roman" w:hAnsi="Times New Roman" w:cs="Times New Roman"/>
              </w:rPr>
            </w:pPr>
            <w:r w:rsidRPr="000365ED">
              <w:rPr>
                <w:rFonts w:ascii="Times New Roman" w:hAnsi="Times New Roman" w:cs="Times New Roman"/>
              </w:rPr>
              <w:t>6</w:t>
            </w:r>
          </w:p>
        </w:tc>
        <w:tc>
          <w:tcPr>
            <w:tcW w:w="2253" w:type="dxa"/>
          </w:tcPr>
          <w:p w14:paraId="09731597" w14:textId="64BAF23C"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{"citationID":"XCuu1HAj","properties":{"formattedCitation":"(Aika &amp; Enato, 2022)","plainCitation":"(Aika &amp; Enato, 2022)","noteIndex":0},"citationItems":[{"id":8133,"uris":["http://zotero.org/users/11836539/items/Z2T5C3AQ"],"itemData":{"id":8133,"type":"article-journal","abstract":"Antimicrobial stewardship (AMS) and infection prevention control (IPC) programs are proposed to address antimicrobial resistance. Nigeria’s 5-years action plan for these programs is expiring by 2022. The objective of this study was to examine the perspectives, barriers and facilitators of these programs among health care managers and the current state of these programs in the three levels of healthcare facilities in Benin City, Nigeria.","container-title":"Antimicrobial Resistance &amp; Infection Control","DOI":"10.1186/s13756-022-01196-7","ISSN":"2047-2994","issue":"1","journalAbbreviation":"Antimicrob Resist Infect Control","language":"en","page":"157","source":"Springer Link","title":"Health care systems administrators perspectives on antimicrobial stewardship and infection prevention and control programs across three healthcare levels: a qualitative study","title-short":"Health care systems administrators perspectives on antimicrobial stewardship and infection prevention and control programs across three healthcare levels","volume":"11","author":[{"family":"Aika","given":"Isabel Naomi"},{"family":"Enato","given":"Ehijie"}],"issued":{"date-parts":[["2022",12,10]]}}}],"schema":"https://github.com/citation-style-language/schema/raw/master/csl-citation.json"}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(Aika &amp; Enato, 2022)</w:t>
            </w:r>
            <w:r w:rsidRPr="000365ED">
              <w:rPr>
                <w:rFonts w:ascii="Times New Roman" w:hAnsi="Times New Roman" w:cs="Times New Roman"/>
              </w:rPr>
              <w:fldChar w:fldCharType="end"/>
            </w:r>
          </w:p>
        </w:tc>
        <w:tc>
          <w:tcPr>
            <w:tcW w:w="2736" w:type="dxa"/>
          </w:tcPr>
          <w:p w14:paraId="1F100A9D" w14:textId="7FFE9C8E" w:rsidR="00944D91" w:rsidRPr="000365ED" w:rsidRDefault="00944D91" w:rsidP="00397401">
            <w:pPr>
              <w:rPr>
                <w:rFonts w:ascii="Times New Roman" w:hAnsi="Times New Roman" w:cs="Times New Roman"/>
              </w:rPr>
            </w:pPr>
            <w:r w:rsidRPr="000365ED">
              <w:rPr>
                <w:rFonts w:ascii="Times New Roman" w:hAnsi="Times New Roman" w:cs="Times New Roman"/>
              </w:rPr>
              <w:t xml:space="preserve">Health care systems </w:t>
            </w:r>
            <w:proofErr w:type="gramStart"/>
            <w:r w:rsidRPr="000365ED">
              <w:rPr>
                <w:rFonts w:ascii="Times New Roman" w:hAnsi="Times New Roman" w:cs="Times New Roman"/>
              </w:rPr>
              <w:t>administrators</w:t>
            </w:r>
            <w:proofErr w:type="gramEnd"/>
            <w:r w:rsidRPr="000365ED">
              <w:rPr>
                <w:rFonts w:ascii="Times New Roman" w:hAnsi="Times New Roman" w:cs="Times New Roman"/>
              </w:rPr>
              <w:t xml:space="preserve"> perspectives on antimicrobial stewardship and infection prevention and control programs across three healthcare levels: a qualitative study</w:t>
            </w:r>
          </w:p>
        </w:tc>
        <w:tc>
          <w:tcPr>
            <w:tcW w:w="2329" w:type="dxa"/>
          </w:tcPr>
          <w:p w14:paraId="4573EAD2" w14:textId="4002C973" w:rsidR="00944D91" w:rsidRPr="000365ED" w:rsidRDefault="00944D91" w:rsidP="00397401">
            <w:pPr>
              <w:rPr>
                <w:rFonts w:ascii="Times New Roman" w:hAnsi="Times New Roman" w:cs="Times New Roman"/>
              </w:rPr>
            </w:pPr>
            <w:r w:rsidRPr="000365ED">
              <w:rPr>
                <w:rFonts w:ascii="Times New Roman" w:hAnsi="Times New Roman" w:cs="Times New Roman"/>
              </w:rPr>
              <w:t>Did not report on any outcome such as improvement after application of AMS</w:t>
            </w:r>
          </w:p>
        </w:tc>
      </w:tr>
      <w:tr w:rsidR="00944D91" w:rsidRPr="000365ED" w14:paraId="67E53969" w14:textId="77777777" w:rsidTr="00944D91">
        <w:tc>
          <w:tcPr>
            <w:tcW w:w="1698" w:type="dxa"/>
          </w:tcPr>
          <w:p w14:paraId="2C7217ED" w14:textId="2281D41B" w:rsidR="00944D91" w:rsidRPr="000365ED" w:rsidRDefault="00930A9A" w:rsidP="00397401">
            <w:pPr>
              <w:rPr>
                <w:rFonts w:ascii="Times New Roman" w:hAnsi="Times New Roman" w:cs="Times New Roman"/>
              </w:rPr>
            </w:pPr>
            <w:r w:rsidRPr="000365ED">
              <w:rPr>
                <w:rFonts w:ascii="Times New Roman" w:hAnsi="Times New Roman" w:cs="Times New Roman"/>
              </w:rPr>
              <w:t>7</w:t>
            </w:r>
          </w:p>
        </w:tc>
        <w:tc>
          <w:tcPr>
            <w:tcW w:w="2253" w:type="dxa"/>
          </w:tcPr>
          <w:p w14:paraId="42DF67D9" w14:textId="5C365BF1"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{"citationID":"OMKxfOMf","properties":{"formattedCitation":"(Amponsah et al., 2021)","plainCitation":"(Amponsah et al., 2021)","noteIndex":0},"citationItems":[{"id":8325,"uris":["http://zotero.org/users/11836539/items/DL7LPKKS"],"itemData":{"id":8325,"type":"article-journal","abstract":"Background: Actionable data on antimicrobial use is important when planning strategic interventions such as antimicrobial stewardship to address the challenge of drug resistance, particularly in resource-constrained settings. Objectives: To assess the prevalence of antibiotic use, the pattern of commonly used antibiotics and patient factors that may be associated with the increased use ofantibiotics in the study hospitals. Methods: This was a cross-sectional study conducted using the WHO Methodology for Point Prevalence Surveys in hospitals. Chi-squared analysis, Fisher's exact testand logistic regression were employed to analyse statistically the data obtained. Results: The overall prevalence of antibiotic use in the hospitals was 60.5%. The commonest indications for antibiotic recommendations were community-acquired infections (36.5%), surgical prophylaxis (26.1%) and hospital-acquired infections (15.7%), among others. Very few (2.7%) of the patients had their samples taken for culture and susceptibility testing to guide therapy. Penicillins (48.7%), cephalosporins (23.5%) and fluoroquinolones (17.4%) were the most commonly prescribed antibiotics. Concurrent malaria infection [adjusted OR (AOR) 0.33, 95% CI 0.11-0.94, 0.04] and increasing age (AOR 0.98, 95% CI0.96-1.00, 0.02) were associated with lower risk of antibiotic use. Conclusions: The prevalence of antibioticconsumption in the hospitals was lower than that reported in similar studies in Ghana, but high relative to some reports from high-income countries. Most antibiotic therapy was empirical and not guided by culture and susceptibility testing. There is the need for application of the WHO AWaRe classification for the selection of antibiotics and increased use of culture and susceptibility data to guide infectious disease therapy. © 2021 The Author(s). Published by Oxford University Press on behalf of the British Society for Antimicrobial Chemotherapy.","archive":"Scopus","container-title":"JAC-Antimicrobial Resistance","DOI":"10.1093/jacamr/dlab008","ISSN":"2632-1823","issue":"1","language":"English","source":"Scopus","title":"Point prevalence survey of antibiotic consumption across three hospitals in Ghana","volume":"3","author":[{"family":"Amponsah","given":"O.K.O."},{"family":"Buabeng","given":"K.O."},{"family":"Owusu-Ofori","given":"A."},{"family":"Ayisi-Boateng","given":"N.K."},{"family":"Hämeen-Anttila","given":"K."},{"family":"Enlund","given":"H."}],"issued":{"date-parts":[["2021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(Amponsah et al., 2021)</w:t>
            </w:r>
            <w:r w:rsidRPr="000365ED">
              <w:rPr>
                <w:rFonts w:ascii="Times New Roman" w:hAnsi="Times New Roman" w:cs="Times New Roman"/>
              </w:rPr>
              <w:fldChar w:fldCharType="end"/>
            </w:r>
          </w:p>
        </w:tc>
        <w:tc>
          <w:tcPr>
            <w:tcW w:w="2736" w:type="dxa"/>
          </w:tcPr>
          <w:p w14:paraId="0F9FB8E4" w14:textId="1D38ECC3" w:rsidR="00944D91" w:rsidRPr="000365ED" w:rsidRDefault="00944D91" w:rsidP="00397401">
            <w:pPr>
              <w:rPr>
                <w:rFonts w:ascii="Times New Roman" w:hAnsi="Times New Roman" w:cs="Times New Roman"/>
              </w:rPr>
            </w:pPr>
            <w:r w:rsidRPr="000365ED">
              <w:rPr>
                <w:rFonts w:ascii="Times New Roman" w:hAnsi="Times New Roman" w:cs="Times New Roman"/>
              </w:rPr>
              <w:t>Point prevalence survey of antibiotic consumption across three hospitals in Ghana</w:t>
            </w:r>
          </w:p>
        </w:tc>
        <w:tc>
          <w:tcPr>
            <w:tcW w:w="2329" w:type="dxa"/>
          </w:tcPr>
          <w:p w14:paraId="7D84BA1F" w14:textId="4424273A" w:rsidR="00944D91" w:rsidRPr="000365ED" w:rsidRDefault="00944D91" w:rsidP="00397401">
            <w:pPr>
              <w:rPr>
                <w:rFonts w:ascii="Times New Roman" w:hAnsi="Times New Roman" w:cs="Times New Roman"/>
              </w:rPr>
            </w:pPr>
            <w:r w:rsidRPr="000365ED">
              <w:rPr>
                <w:rFonts w:ascii="Times New Roman" w:hAnsi="Times New Roman" w:cs="Times New Roman"/>
              </w:rPr>
              <w:t>Consumption not in DDD</w:t>
            </w:r>
          </w:p>
        </w:tc>
      </w:tr>
      <w:tr w:rsidR="00944D91" w:rsidRPr="000365ED" w14:paraId="2DC9A7A6" w14:textId="77777777" w:rsidTr="00944D91">
        <w:tc>
          <w:tcPr>
            <w:tcW w:w="1698" w:type="dxa"/>
          </w:tcPr>
          <w:p w14:paraId="6F0C2FCD" w14:textId="69B2C72E" w:rsidR="00944D91" w:rsidRPr="000365ED" w:rsidRDefault="00930A9A" w:rsidP="00397401">
            <w:pPr>
              <w:rPr>
                <w:rFonts w:ascii="Times New Roman" w:hAnsi="Times New Roman" w:cs="Times New Roman"/>
              </w:rPr>
            </w:pPr>
            <w:r w:rsidRPr="000365ED">
              <w:rPr>
                <w:rFonts w:ascii="Times New Roman" w:hAnsi="Times New Roman" w:cs="Times New Roman"/>
              </w:rPr>
              <w:t>8</w:t>
            </w:r>
          </w:p>
        </w:tc>
        <w:tc>
          <w:tcPr>
            <w:tcW w:w="2253" w:type="dxa"/>
          </w:tcPr>
          <w:p w14:paraId="5FD85E9D" w14:textId="300C9DBD"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{"citationID":"ZqylRWEz","properties":{"formattedCitation":"(Amponsah, Owusu-Ofori, et al., 2022)","plainCitation":"(Amponsah, Owusu-Ofori, et al., 2022)","noteIndex":0},"citationItems":[{"id":8278,"uris":["http://zotero.org/users/11836539/items/FN2MEX3K"],"itemData":{"id":8278,"type":"article-journal","abstract":"Background: Addressing antimicrobial resistance (AMR) requires the rational use and optimization of available resources for prevention and management of infections. Structures in health facilities to support optimal antimicrobial therapy and AMR containment therefore need assessment and strengthening. Objectives: To assess antimicrobial stewardship (AMS) capacity and conformance to National and WHO Infection Prevention and Control (IPC) guidelines in three hospitals in Ashanti region of Ghana. Methods: A cross-sectional study using WHO's hospital questionnaire for AMS capacity assessment, and Infection Prevention and Control Framework (IPCAF) to assess IPC practices in the three hospitals. Results: All the facilities had Drug and Therapeutics and IPC Committees with microbiology laboratory services. H3 and H1 did not have a formal AMS programme or an organizational structure for AMS. However, both institutions had a formal procedure to review antibiotics on prescriptions for quality assessment and relevance. H2 and H1 did not participate in any surveillance of antibiotic resistance patterns or consumption. H1 had basic, while H2 and H3 had intermediate-level IPC systems scoring 385, 487.5 and 435.8 out of 800 respectively. Conclusions: All the facilities assessed had AMS capacity and IPC conformity gaps that require strengthening to optimize antimicrobial use (AMU) and successful implementation of IPC protocols. Regular surveillance of antimicrobial consumption and microbial resistance patterns should be an integral part of activities in health institutions to generate evidence for impactful actions to contain AMR and improve AMU. © 2022 The Author(s) 2022. Published by Oxford University Press on behalf of British Society for Antimicrobial Chemotherapy.","archive":"Scopus","container-title":"JAC-Antimicrobial Resistance","DOI":"10.1093/jacamr/dlac034","ISSN":"2632-1823","issue":"2","language":"English","source":"Scopus","title":"Antimicrobial stewardship capacity and infection prevention and control assessment of three health facilities in the Ashanti Region of Ghana","volume":"4","author":[{"family":"Amponsah","given":"O.K.O."},{"family":"Owusu-Ofori","given":"A."},{"family":"Ayisi-Boateng","given":"N.K."},{"family":"Attakorah","given":"J."},{"family":"Opare-Addo","given":"M.N.A."},{"family":"Buabeng","given":"K.O."}],"issued":{"date-parts":[["2022"]]}}}],"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(Amponsah, Owusu-Ofori, et al., 2022)</w:t>
            </w:r>
            <w:r w:rsidRPr="000365ED">
              <w:rPr>
                <w:rFonts w:ascii="Times New Roman" w:hAnsi="Times New Roman" w:cs="Times New Roman"/>
              </w:rPr>
              <w:fldChar w:fldCharType="end"/>
            </w:r>
          </w:p>
        </w:tc>
        <w:tc>
          <w:tcPr>
            <w:tcW w:w="2736" w:type="dxa"/>
          </w:tcPr>
          <w:p w14:paraId="0AB29557" w14:textId="0AFCD76E" w:rsidR="00944D91" w:rsidRPr="000365ED" w:rsidRDefault="00944D91" w:rsidP="00397401">
            <w:pPr>
              <w:rPr>
                <w:rFonts w:ascii="Times New Roman" w:hAnsi="Times New Roman" w:cs="Times New Roman"/>
              </w:rPr>
            </w:pPr>
            <w:r w:rsidRPr="000365ED">
              <w:rPr>
                <w:rFonts w:ascii="Times New Roman" w:hAnsi="Times New Roman" w:cs="Times New Roman"/>
              </w:rPr>
              <w:t xml:space="preserve">Antimicrobial stewardship capacity and infection prevention and </w:t>
            </w:r>
            <w:r w:rsidRPr="000365ED">
              <w:rPr>
                <w:rFonts w:ascii="Times New Roman" w:hAnsi="Times New Roman" w:cs="Times New Roman"/>
              </w:rPr>
              <w:lastRenderedPageBreak/>
              <w:t>control assessment of three health facilities in the Ashanti Region of Ghana</w:t>
            </w:r>
          </w:p>
        </w:tc>
        <w:tc>
          <w:tcPr>
            <w:tcW w:w="2329" w:type="dxa"/>
          </w:tcPr>
          <w:p w14:paraId="0017D817" w14:textId="028B7C5A" w:rsidR="00944D91" w:rsidRPr="000365ED" w:rsidRDefault="00944D91" w:rsidP="00397401">
            <w:pPr>
              <w:rPr>
                <w:rFonts w:ascii="Times New Roman" w:hAnsi="Times New Roman" w:cs="Times New Roman"/>
              </w:rPr>
            </w:pPr>
            <w:r w:rsidRPr="000365ED">
              <w:rPr>
                <w:rFonts w:ascii="Times New Roman" w:hAnsi="Times New Roman" w:cs="Times New Roman"/>
              </w:rPr>
              <w:lastRenderedPageBreak/>
              <w:t xml:space="preserve">It assessed AMS intervention but effect of AMS </w:t>
            </w:r>
            <w:r w:rsidRPr="000365ED">
              <w:rPr>
                <w:rFonts w:ascii="Times New Roman" w:hAnsi="Times New Roman" w:cs="Times New Roman"/>
              </w:rPr>
              <w:lastRenderedPageBreak/>
              <w:t>intervention was unavailable.</w:t>
            </w:r>
          </w:p>
        </w:tc>
      </w:tr>
      <w:tr w:rsidR="00944D91" w:rsidRPr="000365ED" w14:paraId="07EC5A1C" w14:textId="77777777" w:rsidTr="00944D91">
        <w:tc>
          <w:tcPr>
            <w:tcW w:w="1698" w:type="dxa"/>
          </w:tcPr>
          <w:p w14:paraId="37829ED6" w14:textId="0A901278" w:rsidR="00944D91" w:rsidRPr="000365ED" w:rsidRDefault="00930A9A" w:rsidP="00397401">
            <w:pPr>
              <w:rPr>
                <w:rFonts w:ascii="Times New Roman" w:hAnsi="Times New Roman" w:cs="Times New Roman"/>
              </w:rPr>
            </w:pPr>
            <w:r w:rsidRPr="000365ED">
              <w:rPr>
                <w:rFonts w:ascii="Times New Roman" w:hAnsi="Times New Roman" w:cs="Times New Roman"/>
              </w:rPr>
              <w:lastRenderedPageBreak/>
              <w:t>9</w:t>
            </w:r>
          </w:p>
        </w:tc>
        <w:tc>
          <w:tcPr>
            <w:tcW w:w="2253" w:type="dxa"/>
          </w:tcPr>
          <w:p w14:paraId="2C31551D" w14:textId="4192CB00"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{"citationID":"uugOB2Jf","properties":{"formattedCitation":"(Amponsah, Ayisi-Boateng, et al., 2022)","plainCitation":"(Amponsah, Ayisi-Boateng, et al., 2022)","noteIndex":0},"citationItems":[{"id":8085,"uris":["http://zotero.org/users/11836539/items/87RHNIZV"],"itemData":{"id":8085,"type":"article-journal","abstract":"(1) Background: Rational use of medicines (RUM) and their assessment are important to ensure optimal use of resources and patient care in hospitals. These assessments are essential to identifying practice gaps for quality improvement. (2) Methods: Assessment of adherence to WHO/International Network for Rational Use of Drugs core prescribing indicators among outpatients in 2021 was conducted at the University Hospital of the Kwame Nkrumah University of Science and Technology in the Ashanti Region of Ghana. We reviewed electronic medical records (EMR) of 110,280 patient encounters in the year which resulted in 336,087 medicines prescribed. (3) Results: The average number of medicines prescribed per encounter was three, with generics being prescribed in 76% of prescriptions. Injections were prescribed in 7% of encounters while 90% of medicines were from Ghana’s Essential Medicines List, 2017. (4) Conclusions: With the exception of patient encounters with injections, none of the prescribing indicators assessed in this study met WHO optimum levels, providing targets for quality improvement in RUM. Implementing prescribing guides and policies, regular audits and feedback as well as continuous professional development training may help to improve prescribing practices in the hospital.","container-title":"International Journal of Environmental Research and Public Health","DOI":"10.3390/ijerph191912260","ISSN":"1660-4601","issue":"19","language":"en","license":"http://creativecommons.org/licenses/by/3.0/","note":"number: 19\npublisher: Multidisciplinary Digital Publishing Institute","page":"12260","source":"www.mdpi.com","title":"Adherence to Prescribing Indicators at a District Hospital in Ghana: Do We Match WHO Standards?","title-short":"Adherence to Prescribing Indicators at a District Hospital in Ghana","volume":"19","author":[{"family":"Amponsah","given":"Obed Kwabena Offe"},{"family":"Ayisi-Boateng","given":"Nana Kwame"},{"family":"Nagaraja","given":"Sharath Burugina"},{"family":"Nair","given":"Divya"},{"family":"Muradyan","given":"Karlos"},{"family":"Hedidor","given":"George Kwesi"},{"family":"Labi","given":"Appiah-Korang"},{"family":"Opare-Addo","given":"Mercy Naa Aduele"},{"family":"Sarkodie","given":"Emmanuel"},{"family":"Buabeng","given":"Kwame Ohene"}],"issued":{"date-parts":[["2022",1]]}}}],"schema":"https://github.com/citation-style-language/schema/raw/master/csl-citation.json"}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(Amponsah, Ayisi-Boateng, et al., 2022)</w:t>
            </w:r>
            <w:r w:rsidRPr="000365ED">
              <w:rPr>
                <w:rFonts w:ascii="Times New Roman" w:hAnsi="Times New Roman" w:cs="Times New Roman"/>
              </w:rPr>
              <w:fldChar w:fldCharType="end"/>
            </w:r>
          </w:p>
        </w:tc>
        <w:tc>
          <w:tcPr>
            <w:tcW w:w="2736" w:type="dxa"/>
          </w:tcPr>
          <w:p w14:paraId="7B9AF76C" w14:textId="012F0370" w:rsidR="00944D91" w:rsidRPr="000365ED" w:rsidRDefault="00944D91" w:rsidP="00397401">
            <w:pPr>
              <w:rPr>
                <w:rFonts w:ascii="Times New Roman" w:hAnsi="Times New Roman" w:cs="Times New Roman"/>
              </w:rPr>
            </w:pPr>
            <w:r w:rsidRPr="000365ED">
              <w:rPr>
                <w:rFonts w:ascii="Times New Roman" w:hAnsi="Times New Roman" w:cs="Times New Roman"/>
              </w:rPr>
              <w:t>Adherence to Prescribing Indicators at a District Hospital in Ghana: Do We Match WHO Standards?</w:t>
            </w:r>
          </w:p>
        </w:tc>
        <w:tc>
          <w:tcPr>
            <w:tcW w:w="2329" w:type="dxa"/>
          </w:tcPr>
          <w:p w14:paraId="0312EBCA" w14:textId="4C8A496F" w:rsidR="00944D91" w:rsidRPr="000365ED" w:rsidRDefault="00944D91" w:rsidP="00397401">
            <w:pPr>
              <w:rPr>
                <w:rFonts w:ascii="Times New Roman" w:hAnsi="Times New Roman" w:cs="Times New Roman"/>
              </w:rPr>
            </w:pPr>
            <w:r w:rsidRPr="000365ED">
              <w:rPr>
                <w:rFonts w:ascii="Times New Roman" w:hAnsi="Times New Roman" w:cs="Times New Roman"/>
              </w:rPr>
              <w:t>Not on only antibiotics</w:t>
            </w:r>
          </w:p>
        </w:tc>
      </w:tr>
      <w:tr w:rsidR="00944D91" w:rsidRPr="000365ED" w14:paraId="30A35586" w14:textId="77777777" w:rsidTr="00944D91">
        <w:tc>
          <w:tcPr>
            <w:tcW w:w="1698" w:type="dxa"/>
          </w:tcPr>
          <w:p w14:paraId="079F5FF0" w14:textId="1BE75E93" w:rsidR="00944D91" w:rsidRPr="000365ED" w:rsidRDefault="00930A9A" w:rsidP="00397401">
            <w:pPr>
              <w:rPr>
                <w:rFonts w:ascii="Times New Roman" w:hAnsi="Times New Roman" w:cs="Times New Roman"/>
              </w:rPr>
            </w:pPr>
            <w:r w:rsidRPr="000365ED">
              <w:rPr>
                <w:rFonts w:ascii="Times New Roman" w:hAnsi="Times New Roman" w:cs="Times New Roman"/>
              </w:rPr>
              <w:t>10</w:t>
            </w:r>
          </w:p>
        </w:tc>
        <w:tc>
          <w:tcPr>
            <w:tcW w:w="2253" w:type="dxa"/>
          </w:tcPr>
          <w:p w14:paraId="1149A0B8" w14:textId="2914376F"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{"citationID":"U28gAEQF","properties":{"formattedCitation":"(Amponsah, Nagaraja, et al., 2022)","plainCitation":"(Amponsah, Nagaraja, et al., 2022)","noteIndex":0},"citationItems":[{"id":8087,"uris":["http://zotero.org/users/11836539/items/R3K3DEMM"],"itemData":{"id":8087,"type":"article-journal","abstract":"Background: Monitoring of antibiotic prescription practices in hospitals is essential to assess and facilitate appropriate use. This is relevant to halt the progression of antimicrobial resistance. Methods: Assessment of antibiotic prescribing patterns and completeness of antibiotic prescriptions among out-patients in 2021 was conducted at the University Hospital of Kwame Nkrumah University of Science and Technology in the Ashanti region of Ghana. We reviewed electronic medical records (EMR) of 49,660 patients who had 110,280 encounters in the year. Results: The patient encounters yielded 350,149 prescriptions. Every month, 33–36% of patient encounters resulted in antibiotic prescription, higher than the World Health Organization’s (WHO) recommended optimum of 27%. Almost half of the antibiotics prescribed belonged to WHO’s Watch group. Amoxicillin–clavulanic acid (50%), azithromycin (29%), ciprofloxacin (28%), metronidazole (21%), and cefuroxime (20%) were the most prescribed antibiotics. Antibiotic prescribing parameters (indication, name of drug, duration, dose, route, and frequency) were documented in almost all prescriptions. Conclusions: Extending antimicrobial stewardship to the out-patient settings by developing standard treatment guidelines, an out-patient specific drug formulary, and antibiograms can promote rational antibiotic use at the hospital. The EMR system of the hospital is a valuable tool for monitoring prescriptions that can be leveraged for future audits.","container-title":"International Journal of Environmental Research and Public Health","DOI":"10.3390/ijerph191610286","ISSN":"1660-4601","issue":"16","language":"en","license":"http://creativecommons.org/licenses/by/3.0/","note":"number: 16\npublisher: Multidisciplinary Digital Publishing Institute","page":"10286","source":"www.mdpi.com","title":"High Levels of Outpatient Antibiotic Prescription at a District Hospital in Ghana: Results of a Cross Sectional Study","title-short":"High Levels of Outpatient Antibiotic Prescription at a District Hospital in Ghana","volume":"19","author":[{"family":"Amponsah","given":"Obed Kwabena Offe"},{"family":"Nagaraja","given":"Sharath Burugina"},{"family":"Ayisi-Boateng","given":"Nana Kwame"},{"family":"Nair","given":"Divya"},{"family":"Muradyan","given":"Karlos"},{"family":"Asense","given":"Phanuel Seli"},{"family":"Wusu-Ansah","given":"Osei Kwaku"},{"family":"Terry","given":"Robert Fraser"},{"family":"Khogali","given":"Mohammed"},{"family":"Buabeng","given":"Kwame Ohene"}],"issued":{"date-parts":[["2022",1]]}}}],"schema":"https://github.com/citation-style-language/schema/raw/master/csl-citation.json"}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(Amponsah, Nagaraja, et al., 2022)</w:t>
            </w:r>
            <w:r w:rsidRPr="000365ED">
              <w:rPr>
                <w:rFonts w:ascii="Times New Roman" w:hAnsi="Times New Roman" w:cs="Times New Roman"/>
              </w:rPr>
              <w:fldChar w:fldCharType="end"/>
            </w:r>
          </w:p>
        </w:tc>
        <w:tc>
          <w:tcPr>
            <w:tcW w:w="2736" w:type="dxa"/>
          </w:tcPr>
          <w:p w14:paraId="50A77452" w14:textId="1252FF11" w:rsidR="00944D91" w:rsidRPr="000365ED" w:rsidRDefault="00944D91" w:rsidP="00397401">
            <w:pPr>
              <w:rPr>
                <w:rFonts w:ascii="Times New Roman" w:hAnsi="Times New Roman" w:cs="Times New Roman"/>
              </w:rPr>
            </w:pPr>
            <w:r w:rsidRPr="000365ED">
              <w:rPr>
                <w:rFonts w:ascii="Times New Roman" w:hAnsi="Times New Roman" w:cs="Times New Roman"/>
              </w:rPr>
              <w:t>High Levels of Outpatient Antibiotic Prescription at a District Hospital in Ghana: Results of a Cross Sectional Study</w:t>
            </w:r>
          </w:p>
        </w:tc>
        <w:tc>
          <w:tcPr>
            <w:tcW w:w="2329" w:type="dxa"/>
          </w:tcPr>
          <w:p w14:paraId="4326554D" w14:textId="40235690" w:rsidR="00944D91" w:rsidRPr="000365ED" w:rsidRDefault="00944D91" w:rsidP="00397401">
            <w:pPr>
              <w:rPr>
                <w:rFonts w:ascii="Times New Roman" w:hAnsi="Times New Roman" w:cs="Times New Roman"/>
              </w:rPr>
            </w:pPr>
            <w:r w:rsidRPr="000365ED">
              <w:rPr>
                <w:rFonts w:ascii="Times New Roman" w:hAnsi="Times New Roman" w:cs="Times New Roman"/>
              </w:rPr>
              <w:t>Consumption not in DDD</w:t>
            </w:r>
          </w:p>
        </w:tc>
      </w:tr>
      <w:tr w:rsidR="00944D91" w:rsidRPr="000365ED" w14:paraId="4E6AC7CC" w14:textId="77777777" w:rsidTr="00944D91">
        <w:tc>
          <w:tcPr>
            <w:tcW w:w="1698" w:type="dxa"/>
          </w:tcPr>
          <w:p w14:paraId="3E14E4BF" w14:textId="78A7F2B8" w:rsidR="00944D91" w:rsidRPr="000365ED" w:rsidRDefault="00930A9A" w:rsidP="00397401">
            <w:pPr>
              <w:rPr>
                <w:rFonts w:ascii="Times New Roman" w:hAnsi="Times New Roman" w:cs="Times New Roman"/>
              </w:rPr>
            </w:pPr>
            <w:r w:rsidRPr="000365ED">
              <w:rPr>
                <w:rFonts w:ascii="Times New Roman" w:hAnsi="Times New Roman" w:cs="Times New Roman"/>
              </w:rPr>
              <w:t>11</w:t>
            </w:r>
          </w:p>
        </w:tc>
        <w:tc>
          <w:tcPr>
            <w:tcW w:w="2253" w:type="dxa"/>
          </w:tcPr>
          <w:p w14:paraId="0514B466" w14:textId="08304006"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{"citationID":"3V6NXMrW","properties":{"formattedCitation":"(Asaolu et al., 2021)","plainCitation":"(Asaolu et al., 2021)","noteIndex":0},"citationItems":[{"id":8339,"uris":["http://zotero.org/users/11836539/items/NSWUNBR5"],"itemData":{"id":8339,"type":"article-journal","abstract":"Many sexually active youths who wish to delay pregnancy are not using any form of modern contraceptives. In sub-Saharan Africa, less than 1 in 5 sexuallyactive youth do not use contraceptives. In Nigeria, 48.4% of all sexually active unmarriedwomen have an unmet need for contraception. Although the literature is replete withinformation on structural barriers to modern contraceptives, there is limited scholarshipon contextual factors that may inhibit modern contraceptive use among Nigerian youth.This study uses a qualitative research approach to assess knowledge and use of natural,modern, and folkloric contraceptive methods among a sample of university students inCalabar, Nigeria.Methods: This study used data from focus group discussions among women andmen in university halls of residence, all of whom were unmarried. Also, three malepharmacists and three female community health workers were interviewed. All focusgroup discussions and interviews took place in August 2017 and were conducted inCalabar Metropolis, Cross River State, Nigeria. The audio recordings were transcribedinto detailed summaries of the interviews and focus group discussions. All data analysiswas completed using Atlas.Ti (version 8).Results: University men and women have limited knowledge of and applicationof natural and modern contraception. Participants listed folkloric methods ofcontraceptives, including repurposing pharmaceuticals (e.g., antibiotics, quinine, andAndrews Livers Salt-a laxative) as contraceptive agents. Respondents also discussedthe use of non-pharmaceuticals such as water, salt solution, and squatting afterintercourse as contraceptives. Generally, university students defaulted to withdrawal,calendarmethod, and emergency contraceptives as preferredmethods of contraception. Lastly, condoms were used among participants in causal sexual encounters. In dating relationships, however, both male and female students cited their partners’ hesitancy tocondom use as such act could indicate distrust.Conclusion: Awareness and use of modern contraceptives are limited among universitystudents in Calabar, Nigeria. The use of folkloric contraceptives could lead to bodily harmand unintended pregnancy. Further research is needed to elucidate factors that promoteuse of folkloric methods of contraceptives. Integration of contraceptive awarenessinto health promotion services for young people may help to dispel myths aboutfolkloric methods of contraceptives while promoting awareness and use of safe andeffective contraception © 2021, Frontiers Media SA. All rights reserved.","archive":"Scopus","container-title":"Frontiers in Reproductive Health","DOI":"10.3389/frph.2021.665653","ISSN":"2673-3153","language":"English","source":"Scopus","title":"“Antibiotics Can Work as a Contraceptive:” Contraceptive Knowledge and Use Among University Students in Calabar, Nigeria","title-short":"“Antibiotics Can Work as a Contraceptive","volume":"3","author":[{"family":"Asaolu","given":"I."},{"family":"Kram","given":"N."},{"family":"Ajala","given":"C."},{"family":"Aquaisua","given":"E."},{"family":"Asaolu","given":"A."},{"family":"Kato-Lagumbay","given":"K."},{"family":"Abuh","given":"A."},{"family":"Bernand","given":"M."},{"family":"Ehiri","given":"J."}],"issued":{"date-parts":[["2021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(Asaolu et al., 2021)</w:t>
            </w:r>
            <w:r w:rsidRPr="000365ED">
              <w:rPr>
                <w:rFonts w:ascii="Times New Roman" w:hAnsi="Times New Roman" w:cs="Times New Roman"/>
              </w:rPr>
              <w:fldChar w:fldCharType="end"/>
            </w:r>
          </w:p>
        </w:tc>
        <w:tc>
          <w:tcPr>
            <w:tcW w:w="2736" w:type="dxa"/>
          </w:tcPr>
          <w:p w14:paraId="065961CF" w14:textId="2202AD9E" w:rsidR="00944D91" w:rsidRPr="000365ED" w:rsidRDefault="00944D91" w:rsidP="00397401">
            <w:pPr>
              <w:rPr>
                <w:rFonts w:ascii="Times New Roman" w:hAnsi="Times New Roman" w:cs="Times New Roman"/>
              </w:rPr>
            </w:pPr>
            <w:r w:rsidRPr="000365ED">
              <w:rPr>
                <w:rFonts w:ascii="Times New Roman" w:hAnsi="Times New Roman" w:cs="Times New Roman"/>
              </w:rPr>
              <w:t>“Antibiotics Can Work as a Contraceptive:” Contraceptive Knowledge and Use Among University Students in Calabar, Nigeria</w:t>
            </w:r>
          </w:p>
        </w:tc>
        <w:tc>
          <w:tcPr>
            <w:tcW w:w="2329" w:type="dxa"/>
          </w:tcPr>
          <w:p w14:paraId="2E09F0E2" w14:textId="27003B30" w:rsidR="00944D91" w:rsidRPr="000365ED" w:rsidRDefault="00944D91" w:rsidP="00397401">
            <w:pPr>
              <w:rPr>
                <w:rFonts w:ascii="Times New Roman" w:hAnsi="Times New Roman" w:cs="Times New Roman"/>
              </w:rPr>
            </w:pPr>
            <w:r w:rsidRPr="000365ED">
              <w:rPr>
                <w:rFonts w:ascii="Times New Roman" w:hAnsi="Times New Roman" w:cs="Times New Roman"/>
              </w:rPr>
              <w:t>Did not report on any of the key themes of this manuscript</w:t>
            </w:r>
          </w:p>
        </w:tc>
      </w:tr>
      <w:tr w:rsidR="00944D91" w:rsidRPr="000365ED" w14:paraId="1C04B828" w14:textId="77777777" w:rsidTr="00944D91">
        <w:tc>
          <w:tcPr>
            <w:tcW w:w="1698" w:type="dxa"/>
          </w:tcPr>
          <w:p w14:paraId="65F1B199" w14:textId="448CD978" w:rsidR="00944D91" w:rsidRPr="000365ED" w:rsidRDefault="00930A9A" w:rsidP="00397401">
            <w:pPr>
              <w:rPr>
                <w:rFonts w:ascii="Times New Roman" w:hAnsi="Times New Roman" w:cs="Times New Roman"/>
              </w:rPr>
            </w:pPr>
            <w:r w:rsidRPr="000365ED">
              <w:rPr>
                <w:rFonts w:ascii="Times New Roman" w:hAnsi="Times New Roman" w:cs="Times New Roman"/>
              </w:rPr>
              <w:t>12</w:t>
            </w:r>
          </w:p>
        </w:tc>
        <w:tc>
          <w:tcPr>
            <w:tcW w:w="2253" w:type="dxa"/>
          </w:tcPr>
          <w:p w14:paraId="717FB1B3" w14:textId="42984090"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{"citationID":"t43pdith","properties":{"formattedCitation":"(Ashiru-Oredope et al., 2022)","plainCitation":"(Ashiru-Oredope et al., 2022)","noteIndex":0},"citationItems":[{"id":8240,"uris":["http://zotero.org/users/11836539/items/MIGRUQQ9"],"itemData":{"id":8240,"type":"article-journal","abstract":"Antimicrobial stewardship (AMS) initiatives promote the responsible use of antimicrobials in healthcare settings as a key measure to curb the global threat of antimicrobial resistance (AMR). Defining the core elements of AMS is essential for developing and evaluating comprehensive AMS programmes. This project used co-creation and Delphi consensus procedures to adapt and extend the existing published international AMS checklist. The overall objective was to arrive at a contextualised checklist of core AMS elements and key behaviours for use within healthcare settings in Sub-Saharan Africa, as well as to implement the checklist in health institutions in four African countries. The AMS checklist tool was developed using a modified Delphi approach to achieve local expert consensus on the items to be included on the checklist. Fourteen healthcare/public health professionals from Tanzania, Zambia, Uganda, Ghana and the UK were invited to review, score and comment on items from a published global AMS checklist. Following their feedback, 8 items were rephrased, and 25 new items were added to the checklist. The final AMS checklist tool was deployed across 19 healthcare sites and used to assess AMS programmes before and after an AMS intervention in 14 of the 19 sites. The final tool comprised 54 items. Across the 14 sites, the completed checklists consistently showed improvements for all the AMS components following the intervention. The greatest improvements observed were the presence of formal multidisciplinary AMS structures (79%) and the execution of a point-prevalence survey (72%). The elements with the least improvement were access to laboratory/imaging services (7%) and the presence of adequate financial support for AMS (14%). In addition to capturing the quantitative and qualitative changes associated with the AMS intervention, project evaluation suggested that administering the AMS checklist made unique contributions to ongoing AMS activities. Furthermore, 29 additional AMS activities were reported as a direct result of the prompting checklist questions. Contextualised, co-created AMS tools are necessary for managing antimicrobial use across healthcare settings and increasing local AMS ownership and commitment. This study led to the development of a new AMS checklist, which proved successful in capturing AMS improvements in Tanzania, Zambia, Uganda, and Ghana. The tool also made unique contributions to furthering local AMS efforts. This study extends the existing AMS materials for low- and middle-income countries and provides empirical evidence for successful use in practice. © 2022 by the authors.","archive":"Scopus","container-title":"Healthcare (Switzerland)","DOI":"10.3390/healthcare10091706","ISSN":"2227-9032","issue":"9","language":"English","source":"Scopus","title":"Development and Implementation of an Antimicrobial Stewardship Checklist in Sub-Saharan Africa: A Co-Creation Consensus Approach","title-short":"Development and Implementation of an Antimicrobial Stewardship Checklist in Sub-Saharan Africa","volume":"10","author":[{"family":"Ashiru-Oredope","given":"D."},{"family":"Garraghan","given":"F."},{"family":"Olaoye","given":"O."},{"family":"Krockow","given":"E.M."},{"family":"Matuluko","given":"A."},{"family":"Nambatya","given":"W."},{"family":"Babigumira","given":"P.A."},{"family":"Tuck","given":"C."},{"family":"Amofah","given":"G."},{"family":"Ankrah","given":"D."},{"family":"Barrett","given":"S."},{"family":"Benedict","given":"P."},{"family":"Boaitey","given":"K.P."},{"family":"Buabeng","given":"K.O."},{"family":"Cavanagh","given":"S."},{"family":"Charani","given":"E."},{"family":"Chikatula","given":"E."},{"family":"Ghebrehewet","given":"S."},{"family":"Islam","given":"J."},{"family":"Jani","given":"Y.H."},{"family":"Johnston","given":"E."},{"family":"Lamorde","given":"M."},{"family":"Malinga","given":"A."},{"family":"Mirfenderesky","given":"M."},{"family":"Rutter","given":"V."},{"family":"Sneddon","given":"J."},{"family":"Skone-James","given":"R."}],"issued":{"date-parts":[["2022"]]}}}],"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(Ashiru-Oredope et al., 2022)</w:t>
            </w:r>
            <w:r w:rsidRPr="000365ED">
              <w:rPr>
                <w:rFonts w:ascii="Times New Roman" w:hAnsi="Times New Roman" w:cs="Times New Roman"/>
              </w:rPr>
              <w:fldChar w:fldCharType="end"/>
            </w:r>
          </w:p>
        </w:tc>
        <w:tc>
          <w:tcPr>
            <w:tcW w:w="2736" w:type="dxa"/>
          </w:tcPr>
          <w:p w14:paraId="4AD12300" w14:textId="623D1C72" w:rsidR="00944D91" w:rsidRPr="000365ED" w:rsidRDefault="00944D91" w:rsidP="00397401">
            <w:pPr>
              <w:rPr>
                <w:rFonts w:ascii="Times New Roman" w:hAnsi="Times New Roman" w:cs="Times New Roman"/>
              </w:rPr>
            </w:pPr>
            <w:r w:rsidRPr="000365ED">
              <w:rPr>
                <w:rFonts w:ascii="Times New Roman" w:hAnsi="Times New Roman" w:cs="Times New Roman"/>
              </w:rPr>
              <w:t>Development and Implementation of an Antimicrobial Stewardship Checklist in Sub-Saharan Africa: A Co-Creation Consensus Approach</w:t>
            </w:r>
          </w:p>
        </w:tc>
        <w:tc>
          <w:tcPr>
            <w:tcW w:w="2329" w:type="dxa"/>
          </w:tcPr>
          <w:p w14:paraId="5438A452" w14:textId="62E0C879" w:rsidR="00944D91" w:rsidRPr="000365ED" w:rsidRDefault="00944D91" w:rsidP="00397401">
            <w:pPr>
              <w:pStyle w:val="NormalWeb"/>
            </w:pPr>
            <w:r w:rsidRPr="000365ED">
              <w:t>Antimicrobial Stewardship intervention but wrong country</w:t>
            </w:r>
          </w:p>
        </w:tc>
      </w:tr>
      <w:tr w:rsidR="00944D91" w:rsidRPr="000365ED" w14:paraId="7115E3CB" w14:textId="77777777" w:rsidTr="00944D91">
        <w:tc>
          <w:tcPr>
            <w:tcW w:w="1698" w:type="dxa"/>
          </w:tcPr>
          <w:p w14:paraId="50E91B77" w14:textId="4129F9EF" w:rsidR="00944D91" w:rsidRPr="000365ED" w:rsidRDefault="00930A9A" w:rsidP="00397401">
            <w:pPr>
              <w:rPr>
                <w:rFonts w:ascii="Times New Roman" w:hAnsi="Times New Roman" w:cs="Times New Roman"/>
              </w:rPr>
            </w:pPr>
            <w:r w:rsidRPr="000365ED">
              <w:rPr>
                <w:rFonts w:ascii="Times New Roman" w:hAnsi="Times New Roman" w:cs="Times New Roman"/>
              </w:rPr>
              <w:t>13</w:t>
            </w:r>
          </w:p>
        </w:tc>
        <w:tc>
          <w:tcPr>
            <w:tcW w:w="2253" w:type="dxa"/>
          </w:tcPr>
          <w:p w14:paraId="7C198C40" w14:textId="043719E5"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{"citationID":"S9dCla2U","properties":{"formattedCitation":"(Awuor et al., 2023)","plainCitation":"(Awuor et al., 2023)","noteIndex":0},"citationItems":[{"id":8116,"uris":["http://zotero.org/users/11836539/items/3PVL7SFS"],"itemData":{"id":8116,"type":"article-journal","abstract":"Despite antibiotic prescription being recommended for dysentery and suspected cholera only, diarrhea still triggers unwarranted antibiotic prescription. We evaluated antibiotic-prescribing practices and their predictors among children aged 2–59 months in the Vaccine Impact on Diarrhea in Africa (VIDA) Study performed in The Gambia, Mali, and Kenya.VIDA was a prospective case-control study (May 2015–July 2018) among children presenting for care with moderate-to-severe diarrhea (MSD). We defined inappropriate antibiotic use as prescription or use of antibiotics when not indicated by World Health Organization (WHO) guidelines. We used logistic regression to assess factors associated with antibiotic prescription for MSD cases who had no indication for an antibiotic, at each site.VIDA enrolled 4840 cases. Among 1757 (36.3%) who had no apparent indication for antibiotic treatment, 1358 (77.3%) were prescribed antibiotics. In The Gambia, children who presented with a cough (adjusted odds ratio [aOR]: 2.05; 95% confidence interval [95% CI]: 1.21–3.48) were more likely to be prescribed an antibiotic. In Mali, those who presented with dry mouth (aOR: 3.16; 95% CI: 1.02–9.73) were more likely to be prescribed antibiotics. In Kenya, those who presented with a cough (aOR: 2.18; 95% CI: 1.01–4.70), decreased skin turgor (aOR: 2.06; 95% CI: 1.02–4.16), and were very thirsty (aOR: 4.15; 95% CI: 1.78–9.68) were more likely to be prescribed antibiotics.Antibiotic prescription was associated with signs and symptoms inconsistent with WHO guidelines, suggesting the need for antibiotic stewardship and clinician awareness of diarrhea case-management recommendations in these settings.","container-title":"Clinical Infectious Diseases","DOI":"10.1093/cid/ciac980","ISSN":"1058-4838","issue":"Supplement_1","journalAbbreviation":"Clinical Infectious Diseases","page":"S32-S40","source":"Silverchair","title":"Antibiotic-Prescribing Practices for Management of Childhood Diarrhea in 3 Sub-Saharan African Countries: Findings From the Vaccine Impact on Diarrhea in Africa (VIDA) Study, 2015–2018","title-short":"Antibiotic-Prescribing Practices for Management of Childhood Diarrhea in 3 Sub-Saharan African Countries","volume":"76","author":[{"family":"Awuor","given":"Alex O"},{"family":"Ogwel","given":"Billy"},{"family":"Powell","given":"Helen"},{"family":"Verani","given":"Jennifer R"},{"family":"Sow","given":"Samba O"},{"family":"Hossain","given":"M Jahangir"},{"family":"Ochieng","given":"John B"},{"family":"Juma","given":"Jane"},{"family":"Jamka","given":"Leslie P"},{"family":"Roose","given":"Anna"},{"family":"Doh","given":"Sanogo"},{"family":"Deichsel","given":"Emily L"},{"family":"Onwuchekwa","given":"Uma"},{"family":"Keita","given":"Adama Mamby"},{"family":"Antonio","given":"Martin"},{"family":"Jones","given":"Joquina Chiquita M"},{"family":"Zaman","given":"Syed M A"},{"family":"Badji","given":"Henry"},{"family":"Kasumba","given":"Irene N"},{"family":"Nasrin","given":"Dilruba"},{"family":"Platts-Mills","given":"James A"},{"family":"Houpt","given":"Eric R"},{"family":"Berendes","given":"David M"},{"family":"Sugerman","given":"Ciara E"},{"family":"Widdowson","given":"Marc-Alain"},{"family":"Tennant","given":"Sharon M"},{"family":"Mintz","given":"Eric D"},{"family":"Omore","given":"Richard"},{"family":"Kotloff","given":"Karen L"}],"issued":{"date-parts":[["2023",4,1]]}}}],"schema":"https://github.com/citation-style-language/schema/raw/master/csl-citation.json"}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(Awuor et al., 2023)</w:t>
            </w:r>
            <w:r w:rsidRPr="000365ED">
              <w:rPr>
                <w:rFonts w:ascii="Times New Roman" w:hAnsi="Times New Roman" w:cs="Times New Roman"/>
              </w:rPr>
              <w:fldChar w:fldCharType="end"/>
            </w:r>
          </w:p>
        </w:tc>
        <w:tc>
          <w:tcPr>
            <w:tcW w:w="2736" w:type="dxa"/>
          </w:tcPr>
          <w:p w14:paraId="7B267C84" w14:textId="0F951690" w:rsidR="00944D91" w:rsidRPr="000365ED" w:rsidRDefault="00944D91" w:rsidP="00397401">
            <w:pPr>
              <w:rPr>
                <w:rFonts w:ascii="Times New Roman" w:hAnsi="Times New Roman" w:cs="Times New Roman"/>
              </w:rPr>
            </w:pPr>
            <w:r w:rsidRPr="000365ED">
              <w:rPr>
                <w:rFonts w:ascii="Times New Roman" w:hAnsi="Times New Roman" w:cs="Times New Roman"/>
              </w:rPr>
              <w:t xml:space="preserve">Antibiotic-Prescribing Practices for Management of Childhood Diarrhea in 3 Sub-Saharan African Countries: Findings </w:t>
            </w:r>
            <w:proofErr w:type="gramStart"/>
            <w:r w:rsidRPr="000365ED">
              <w:rPr>
                <w:rFonts w:ascii="Times New Roman" w:hAnsi="Times New Roman" w:cs="Times New Roman"/>
              </w:rPr>
              <w:t>From</w:t>
            </w:r>
            <w:proofErr w:type="gramEnd"/>
            <w:r w:rsidRPr="000365ED">
              <w:rPr>
                <w:rFonts w:ascii="Times New Roman" w:hAnsi="Times New Roman" w:cs="Times New Roman"/>
              </w:rPr>
              <w:t xml:space="preserve"> the Vaccine Impact on Diarrhea in Africa (VIDA) Study, 2015–2018</w:t>
            </w:r>
          </w:p>
        </w:tc>
        <w:tc>
          <w:tcPr>
            <w:tcW w:w="2329" w:type="dxa"/>
          </w:tcPr>
          <w:p w14:paraId="0E83CB2B" w14:textId="780B5F81" w:rsidR="00944D91" w:rsidRPr="000365ED" w:rsidRDefault="00944D91" w:rsidP="00397401">
            <w:pPr>
              <w:rPr>
                <w:rFonts w:ascii="Times New Roman" w:hAnsi="Times New Roman" w:cs="Times New Roman"/>
              </w:rPr>
            </w:pPr>
            <w:r w:rsidRPr="000365ED">
              <w:rPr>
                <w:rFonts w:ascii="Times New Roman" w:hAnsi="Times New Roman" w:cs="Times New Roman"/>
              </w:rPr>
              <w:t>Not on only antibiotics</w:t>
            </w:r>
          </w:p>
        </w:tc>
      </w:tr>
      <w:tr w:rsidR="00944D91" w:rsidRPr="000365ED" w14:paraId="6BA5EC48" w14:textId="77777777" w:rsidTr="00944D91">
        <w:tc>
          <w:tcPr>
            <w:tcW w:w="1698" w:type="dxa"/>
          </w:tcPr>
          <w:p w14:paraId="48FBE083" w14:textId="20FF43C5" w:rsidR="00944D91" w:rsidRPr="000365ED" w:rsidRDefault="00930A9A" w:rsidP="00397401">
            <w:pPr>
              <w:rPr>
                <w:rFonts w:ascii="Times New Roman" w:hAnsi="Times New Roman" w:cs="Times New Roman"/>
              </w:rPr>
            </w:pPr>
            <w:r w:rsidRPr="000365ED">
              <w:rPr>
                <w:rFonts w:ascii="Times New Roman" w:hAnsi="Times New Roman" w:cs="Times New Roman"/>
              </w:rPr>
              <w:t>14</w:t>
            </w:r>
          </w:p>
        </w:tc>
        <w:tc>
          <w:tcPr>
            <w:tcW w:w="2253" w:type="dxa"/>
          </w:tcPr>
          <w:p w14:paraId="6FD0E545" w14:textId="19CF83B1"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{"citationID":"QLggbBcY","properties":{"formattedCitation":"(Balayssac et al., 2023)","plainCitation":"(Balayssac et al., 2023)","noteIndex":0},"citationItems":[{"id":8166,"uris":["http://zotero.org/users/11836539/items/LZXLD9ZW"],"itemData":{"id":8166,"type":"article-journal","abstract":"Most pharmacotherapeutic problems in hospitals are caused by anti-infectives. Audit of prescriptions by a clinical pharmacist is a control and prevention element for iatrogenic risks. The main aim of our study was to assess the use of antibiotics according to risk criteria in patients hospitalized in the infectious diseases Unit of the Treichville Teaching Hospital (Abidjan, Ivory Coast). This cross-sectional descriptive study conducted from August to December 2022 in the Infectious and Tropical Diseases department of the Treichville University Hospital aimed to analyze the use of antibiotics in patients with risk criteria. The tools for detecting pharmacotherapeutic problems allowed us to evaluate the frequency and nature of pharmaceutical interventions, highlighting the role of the pharmacist in patient management. Data were analyzed using SPSS version 20.0 software (IBM, USA). A total of 88 patients were included in the study, with a majority of singles (54.5%) and a predominance of subjects under 45 years of age (87.6%) and HIV-positive (93.2%). Antibiotics were the most frequent treatment (75.1%), followed by beta-lactams (36.7%). The main drug interactions were precautions for use (53.6%) and contraindicated associations (45.6%), especially the combination of Ofloxacin with bivalent cations or didanosine. The main pharmaceutical interventions proposed were monitoring of biological parameters in at-risk patients (68.8%) and drug substitution (14.8%). All proposed pharmaceutical interventions were accepted by prescribers. Risk criteria associated with the use of antibiotics were significantly associated with the nature of proposed pharmaceutical interventions. In conclusion, the use of antibiotics in patients with risk criteria is common in the Infectious and Tropical Diseases department of the Treichville University Hospital. The results emphasize the importance of prescription audit by a clinical pharmacist in detecting pharmacotherapeutic problems and preventing iatrogenic risks. The proposed pharmaceutical interventions were accepted by prescribers and were tailored to the risk criteria associated with the use of antibiotics. Published by Oriental Scientific Publishing Company © 2023 Oriental Scientific Publishing Company. All rights reserved.","archive":"Scopus","container-title":"Biomedical and Pharmacology Journal","DOI":"10.13005/bpj/2727","ISSN":"0974-6242","issue":"3","language":"English","page":"1491-1504","source":"Scopus","title":"Targeted Pharmaceutical Analysis of Antibiotic Use by Risk Criteria in Patients Hospitalized in the Infectious and Tropical Diseases Department at Treichville Teaching Hospital (Abidjan, Côte d'Ivoire)","volume":"16","author":[{"family":"Balayssac","given":"J.E."},{"family":"Djadji","given":"L.T.A."},{"family":"Aimé","given":"B.N."},{"family":"Silue","given":"A.N.G."},{"family":"Tia","given":"E.G."},{"family":"Eholié","given":"S.P."}],"issued":{"date-parts":[["2023"]]}}}],"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(Balayssac et al., 2023)</w:t>
            </w:r>
            <w:r w:rsidRPr="000365ED">
              <w:rPr>
                <w:rFonts w:ascii="Times New Roman" w:hAnsi="Times New Roman" w:cs="Times New Roman"/>
              </w:rPr>
              <w:fldChar w:fldCharType="end"/>
            </w:r>
          </w:p>
        </w:tc>
        <w:tc>
          <w:tcPr>
            <w:tcW w:w="2736" w:type="dxa"/>
          </w:tcPr>
          <w:p w14:paraId="3BF87217" w14:textId="120F0EC9" w:rsidR="00944D91" w:rsidRPr="000365ED" w:rsidRDefault="00944D91" w:rsidP="00397401">
            <w:pPr>
              <w:rPr>
                <w:rFonts w:ascii="Times New Roman" w:hAnsi="Times New Roman" w:cs="Times New Roman"/>
              </w:rPr>
            </w:pPr>
            <w:r w:rsidRPr="000365ED">
              <w:rPr>
                <w:rFonts w:ascii="Times New Roman" w:hAnsi="Times New Roman" w:cs="Times New Roman"/>
              </w:rPr>
              <w:t>Targeted Pharmaceutical Analysis of Antibiotic Use by Risk Criteria in Patients Hospitalized in the Infectious and Tropical Diseases Department at Treichville Teaching Hospital (Abidjan, Côte d'Ivoire)</w:t>
            </w:r>
          </w:p>
        </w:tc>
        <w:tc>
          <w:tcPr>
            <w:tcW w:w="2329" w:type="dxa"/>
          </w:tcPr>
          <w:p w14:paraId="453DB718" w14:textId="0A4419E2" w:rsidR="00944D91" w:rsidRPr="000365ED" w:rsidRDefault="00944D91" w:rsidP="00397401">
            <w:pPr>
              <w:rPr>
                <w:rFonts w:ascii="Times New Roman" w:hAnsi="Times New Roman" w:cs="Times New Roman"/>
              </w:rPr>
            </w:pPr>
            <w:r w:rsidRPr="000365ED">
              <w:rPr>
                <w:rFonts w:ascii="Times New Roman" w:hAnsi="Times New Roman" w:cs="Times New Roman"/>
              </w:rPr>
              <w:t>Antibiotic use not reported in DDD</w:t>
            </w:r>
          </w:p>
        </w:tc>
      </w:tr>
      <w:tr w:rsidR="00944D91" w:rsidRPr="000365ED" w14:paraId="2457E610" w14:textId="77777777" w:rsidTr="00944D91">
        <w:tc>
          <w:tcPr>
            <w:tcW w:w="1698" w:type="dxa"/>
          </w:tcPr>
          <w:p w14:paraId="29EA4129" w14:textId="3F8CE5C1" w:rsidR="00944D91" w:rsidRPr="000365ED" w:rsidRDefault="00930A9A" w:rsidP="00397401">
            <w:pPr>
              <w:rPr>
                <w:rFonts w:ascii="Times New Roman" w:hAnsi="Times New Roman" w:cs="Times New Roman"/>
              </w:rPr>
            </w:pPr>
            <w:r w:rsidRPr="000365ED">
              <w:rPr>
                <w:rFonts w:ascii="Times New Roman" w:hAnsi="Times New Roman" w:cs="Times New Roman"/>
              </w:rPr>
              <w:t>15</w:t>
            </w:r>
          </w:p>
        </w:tc>
        <w:tc>
          <w:tcPr>
            <w:tcW w:w="2253" w:type="dxa"/>
          </w:tcPr>
          <w:p w14:paraId="57667AD2" w14:textId="01E0D8CF"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{"citationID":"bxJnXVcU","properties":{"formattedCitation":"(Bediako-Bowan et al., 2019)","plainCitation":"(Bediako-Bowan et al., 2019)","noteIndex":0},"citationItems":[{"id":8393,"uris":["http://zotero.org/users/11836539/items/K4G36CW9"],"itemData":{"id":8393,"type":"article-journal","abstract":"Background: Improper use of antibiotics leads to the emergence of resistant microorganisms as well as drug toxicity, increased healthcare costs, morbidity and mortality. Globally, an estimated 25-68% of hospitalized patients receive suboptimal antibiotic regimes. Information on the extent of this problem in Ghana is currently limited, particularly in surgical units. To strategize for interventions, we estimated the antibiotic use prevalence in surgical departments in a country-wide point prevalence survey (PPS) in Ghana. Methods: Between October 2016 and December 2016, we conducted a cross-sectional multi-center country-wide PPS. This involved an audit of in-patients' records from all units/departments of ten systematically selected hospitals in Ghana. Data were collected with a standardized questionnaire, adopted from the European Centre for Disease Prevention and Control. In this report, we present data on antibiotic use from the surgical units. Results: Of 2107 eligible patients included in the PPS, 540 patients were identified in surgical units, of which 70.7% (382/540) received antibiotic therapy. A total of 636 antibiotic prescriptions were issued to these surgical patients; 224 (58.6%) for treatment, including 50 for treatment of hospital-acquired infections, and 144 (37.7%) for prophylaxis (medical and surgical). Median duration of antibiotic therapy prior to the survey was 5 days (interquartile range (IQR): 3-8 days). Surgical prophylaxis was administered for longer than the recommended one day in 107 of 144 (88.4%) patients. The choice of antibiotics was largely similar for community- and hospital-acquired infections as well as for prophylaxis. Only 3.7% of patients had microbiological analysis done on clinical samples. Conclusion: We found a high prevalence of antibiotic use, with the choice of antibiotics, in some cases, inconsistent with the country's treatment guidelines. Antibiotics were administered for long duration including antibiotics for prophylactic purposes and the majority was started without supporting microbiological analysis. Prescription practices that encourage rational use of antibiotics guided by microbiology and enforcement of antibiotic policy guidelines should be the target for future interventions. © 2019 The Author(s).","archive":"Scopus","container-title":"BMC Public Health","DOI":"10.1186/s12889-019-7162-x","ISSN":"1471-2458","issue":"1","language":"English","source":"Scopus","title":"Antibiotic use in surgical units of selected hospitals in Ghana: A multi-centre point prevalence survey","title-short":"Antibiotic use in surgical units of selected hospitals in Ghana","volume":"19","author":[{"family":"Bediako-Bowan","given":"A.A.A."},{"family":"Owusu","given":"E."},{"family":"Labi","given":"A.-K."},{"family":"Obeng-Nkrumah","given":"N."},{"family":"Sunkwa-Mills","given":"G."},{"family":"Bjerrum","given":"S."},{"family":"Opintan","given":"J.A."},{"family":"Bannerman","given":"C."},{"family":"Mølbak","given":"K."},{"family":"Kurtzhals","given":"Jø.A.L."},{"family":"Newman","given":"M.J."}],"issued":{"date-parts":[["2019"]]}}}],"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(Bediako-Bowan et al., 2019)</w:t>
            </w:r>
            <w:r w:rsidRPr="000365ED">
              <w:rPr>
                <w:rFonts w:ascii="Times New Roman" w:hAnsi="Times New Roman" w:cs="Times New Roman"/>
              </w:rPr>
              <w:fldChar w:fldCharType="end"/>
            </w:r>
          </w:p>
        </w:tc>
        <w:tc>
          <w:tcPr>
            <w:tcW w:w="2736" w:type="dxa"/>
          </w:tcPr>
          <w:p w14:paraId="11829D17" w14:textId="5CBC9E9C" w:rsidR="00944D91" w:rsidRPr="000365ED" w:rsidRDefault="00944D91" w:rsidP="00397401">
            <w:pPr>
              <w:rPr>
                <w:rFonts w:ascii="Times New Roman" w:hAnsi="Times New Roman" w:cs="Times New Roman"/>
              </w:rPr>
            </w:pPr>
            <w:r w:rsidRPr="000365ED">
              <w:rPr>
                <w:rFonts w:ascii="Times New Roman" w:hAnsi="Times New Roman" w:cs="Times New Roman"/>
              </w:rPr>
              <w:t>Antibiotic use in surgical units of selected hospitals in Ghana: a multi-</w:t>
            </w:r>
            <w:proofErr w:type="spellStart"/>
            <w:r w:rsidRPr="000365ED">
              <w:rPr>
                <w:rFonts w:ascii="Times New Roman" w:hAnsi="Times New Roman" w:cs="Times New Roman"/>
              </w:rPr>
              <w:t>centre</w:t>
            </w:r>
            <w:proofErr w:type="spellEnd"/>
            <w:r w:rsidRPr="000365ED">
              <w:rPr>
                <w:rFonts w:ascii="Times New Roman" w:hAnsi="Times New Roman" w:cs="Times New Roman"/>
              </w:rPr>
              <w:t xml:space="preserve"> point prevalence survey</w:t>
            </w:r>
          </w:p>
        </w:tc>
        <w:tc>
          <w:tcPr>
            <w:tcW w:w="2329" w:type="dxa"/>
          </w:tcPr>
          <w:p w14:paraId="5AD123D1" w14:textId="557BA834" w:rsidR="00944D91" w:rsidRPr="000365ED" w:rsidRDefault="00944D91" w:rsidP="00397401">
            <w:pPr>
              <w:rPr>
                <w:rFonts w:ascii="Times New Roman" w:hAnsi="Times New Roman" w:cs="Times New Roman"/>
              </w:rPr>
            </w:pPr>
            <w:r w:rsidRPr="000365ED">
              <w:rPr>
                <w:rFonts w:ascii="Times New Roman" w:hAnsi="Times New Roman" w:cs="Times New Roman"/>
              </w:rPr>
              <w:t>Not in line with the theme of our manuscript</w:t>
            </w:r>
          </w:p>
        </w:tc>
      </w:tr>
      <w:tr w:rsidR="00944D91" w:rsidRPr="000365ED" w14:paraId="667650F2" w14:textId="77777777" w:rsidTr="00944D91">
        <w:tc>
          <w:tcPr>
            <w:tcW w:w="1698" w:type="dxa"/>
          </w:tcPr>
          <w:p w14:paraId="1B3A94A8" w14:textId="74522908" w:rsidR="00944D91" w:rsidRPr="000365ED" w:rsidRDefault="00930A9A" w:rsidP="00397401">
            <w:pPr>
              <w:rPr>
                <w:rFonts w:ascii="Times New Roman" w:hAnsi="Times New Roman" w:cs="Times New Roman"/>
              </w:rPr>
            </w:pPr>
            <w:r w:rsidRPr="000365ED">
              <w:rPr>
                <w:rFonts w:ascii="Times New Roman" w:hAnsi="Times New Roman" w:cs="Times New Roman"/>
              </w:rPr>
              <w:lastRenderedPageBreak/>
              <w:t>16</w:t>
            </w:r>
          </w:p>
        </w:tc>
        <w:tc>
          <w:tcPr>
            <w:tcW w:w="2253" w:type="dxa"/>
          </w:tcPr>
          <w:p w14:paraId="5B21C52F" w14:textId="1AD29213"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{"citationID":"YOdYOpG7","properties":{"formattedCitation":"(Bekoe et al., 2020)","plainCitation":"(Bekoe et al., 2020)","noteIndex":0},"citationItems":[{"id":8366,"uris":["http://zotero.org/users/11836539/items/224E72YV"],"itemData":{"id":8366,"type":"article-journal","abstract":"Objective: To assess the quality of antibiotics sampled from authorised sales outlets (ATs) (i.e. hospitals/health centres, pharmacies and licensed chemical shops) and unauthorised sales outlets (UATs) (mainly street vendors) in Ghana and to explore the health-seeking behaviour of medicine consumers. Methods: The contents of 14 active pharmaceutical ingredients (APIs) in 348 sampled products were determined using a validated liquid chromatography–tandem mass spectrometry (LC-MS/MS) method. Data on health-seeking practices were collected through entry and exit interviews and field observations from ATs and UATs. Results: It was observed that 66.38% of all sampled antibiotic products were substandard; they either contained less (&amp;lt;90%) or more API (&amp;gt;110%) than the label claim. Medicines from UATs recorded substantially less API contents than those from ATs (F(2,419) = 43.01, P &amp;lt; 0.0001). For example, 90.54% of street vendor samples contained &amp;lt; 90% of the APIs. 75.93% of consumers often sought self-treatment with drugs without a prescription from UATs, as they perceived UATs as easily accessible, trustworthy and knowledgeable, and their medicines as inexpensive. These consumers rather thought of the formal healthcare providers as alternative sources. Conclusions: Consumers who purchase from UATs are at high risk of receiving substandard medicines. The quality of medicines in the national healthcare system, in the supply chain and in the distribution system needs to be monitored regularly to reduce the incidence of substandard medicines and their impact on antimicrobial resistance. The fight against substandard medicines needs to incorporate a full understanding of socioeconomic factors that drive consumer decisions regarding their health and choice of healthcare providers. © 2020 John Wiley &amp; Sons Ltd","archive":"Scopus","container-title":"Tropical Medicine and International Health","DOI":"10.1111/tmi.13442","ISSN":"1360-2276","issue":"8","language":"English","page":"962-975","source":"Scopus","title":"Exposure of consumers to substandard antibiotics from selected authorised and unauthorised medicine sales outlets in Ghana","volume":"25","author":[{"family":"Bekoe","given":"S.O."},{"family":"Ahiabu","given":"M.-A."},{"family":"Orman","given":"E."},{"family":"Tersbøl","given":"B.P."},{"family":"Adosraku","given":"R.K."},{"family":"Hansen","given":"M."},{"family":"Frimodt-Moller","given":"N."},{"family":"Styrishave","given":"B."}],"issued":{"date-parts":[["2020"]]}}}],"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(Bekoe et al., 2020)</w:t>
            </w:r>
            <w:r w:rsidRPr="000365ED">
              <w:rPr>
                <w:rFonts w:ascii="Times New Roman" w:hAnsi="Times New Roman" w:cs="Times New Roman"/>
              </w:rPr>
              <w:fldChar w:fldCharType="end"/>
            </w:r>
          </w:p>
        </w:tc>
        <w:tc>
          <w:tcPr>
            <w:tcW w:w="2736" w:type="dxa"/>
          </w:tcPr>
          <w:p w14:paraId="39967FF4" w14:textId="31CA71C0" w:rsidR="00944D91" w:rsidRPr="000365ED" w:rsidRDefault="00944D91" w:rsidP="00397401">
            <w:pPr>
              <w:rPr>
                <w:rFonts w:ascii="Times New Roman" w:hAnsi="Times New Roman" w:cs="Times New Roman"/>
              </w:rPr>
            </w:pPr>
            <w:r w:rsidRPr="000365ED">
              <w:rPr>
                <w:rFonts w:ascii="Times New Roman" w:hAnsi="Times New Roman" w:cs="Times New Roman"/>
              </w:rPr>
              <w:t xml:space="preserve">Exposure of consumers to substandard antibiotics from selected </w:t>
            </w:r>
            <w:proofErr w:type="spellStart"/>
            <w:r w:rsidRPr="000365ED">
              <w:rPr>
                <w:rFonts w:ascii="Times New Roman" w:hAnsi="Times New Roman" w:cs="Times New Roman"/>
              </w:rPr>
              <w:t>authorised</w:t>
            </w:r>
            <w:proofErr w:type="spellEnd"/>
            <w:r w:rsidRPr="000365ED">
              <w:rPr>
                <w:rFonts w:ascii="Times New Roman" w:hAnsi="Times New Roman" w:cs="Times New Roman"/>
              </w:rPr>
              <w:t xml:space="preserve"> and </w:t>
            </w:r>
            <w:proofErr w:type="spellStart"/>
            <w:r w:rsidRPr="000365ED">
              <w:rPr>
                <w:rFonts w:ascii="Times New Roman" w:hAnsi="Times New Roman" w:cs="Times New Roman"/>
              </w:rPr>
              <w:t>unauthorised</w:t>
            </w:r>
            <w:proofErr w:type="spellEnd"/>
            <w:r w:rsidRPr="000365ED">
              <w:rPr>
                <w:rFonts w:ascii="Times New Roman" w:hAnsi="Times New Roman" w:cs="Times New Roman"/>
              </w:rPr>
              <w:t xml:space="preserve"> medicine sales outlets in Ghana</w:t>
            </w:r>
          </w:p>
        </w:tc>
        <w:tc>
          <w:tcPr>
            <w:tcW w:w="2329" w:type="dxa"/>
          </w:tcPr>
          <w:p w14:paraId="5DB79259" w14:textId="3D6A93CD" w:rsidR="00944D91" w:rsidRPr="000365ED" w:rsidRDefault="00944D91" w:rsidP="00397401">
            <w:pPr>
              <w:rPr>
                <w:rFonts w:ascii="Times New Roman" w:hAnsi="Times New Roman" w:cs="Times New Roman"/>
              </w:rPr>
            </w:pPr>
            <w:r w:rsidRPr="000365ED">
              <w:rPr>
                <w:rFonts w:ascii="Times New Roman" w:hAnsi="Times New Roman" w:cs="Times New Roman"/>
              </w:rPr>
              <w:t>Not in line with the theme of our manuscript</w:t>
            </w:r>
          </w:p>
        </w:tc>
      </w:tr>
      <w:tr w:rsidR="00944D91" w:rsidRPr="000365ED" w14:paraId="32C140CC" w14:textId="77777777" w:rsidTr="00944D91">
        <w:tc>
          <w:tcPr>
            <w:tcW w:w="1698" w:type="dxa"/>
          </w:tcPr>
          <w:p w14:paraId="26E5B88D" w14:textId="1C9312F1" w:rsidR="00944D91" w:rsidRPr="000365ED" w:rsidRDefault="00930A9A" w:rsidP="00397401">
            <w:pPr>
              <w:rPr>
                <w:rFonts w:ascii="Times New Roman" w:hAnsi="Times New Roman" w:cs="Times New Roman"/>
              </w:rPr>
            </w:pPr>
            <w:r w:rsidRPr="000365ED">
              <w:rPr>
                <w:rFonts w:ascii="Times New Roman" w:hAnsi="Times New Roman" w:cs="Times New Roman"/>
              </w:rPr>
              <w:t>17</w:t>
            </w:r>
          </w:p>
        </w:tc>
        <w:tc>
          <w:tcPr>
            <w:tcW w:w="2253" w:type="dxa"/>
          </w:tcPr>
          <w:p w14:paraId="640C5457" w14:textId="3165BBE3"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{"citationID":"s6OeiO3w","properties":{"formattedCitation":"(Bessat et al., 2019)","plainCitation":"(Bessat et al., 2019)","noteIndex":0},"citationItems":[{"id":8072,"uris":["http://zotero.org/users/11836539/items/2GZ33H3C"],"itemData":{"id":8072,"type":"article-journal","abstract":"Electronic clinical decision algorithms (eCDAs) that guide clinicians during patient management are being deployed in resource-limited settings to improve the quality of care and rational use of medicines (especially antimicrobials). Little is known on how local clinicians perceive the use and impact of these tools in their daily practice. This study investigates clinician insights on an eIMCI tool. Specifically, we report their views on its medical content, assess their knowledge on microbes, antimicrobials and the development of resistance.","container-title":"BMC Public Health","DOI":"10.1186/s12889-019-6692-6","ISSN":"1471-2458","issue":"1","journalAbbreviation":"BMC Public Health","language":"en","page":"449","source":"Springer Link","title":"Large-scale implementation of electronic Integrated Management of Childhood Illness (eIMCI) at the primary care level in Burkina Faso: a qualitative study on health worker perception of its medical content, usability and impact on antibiotic prescription and resistance","title-short":"Large-scale implementation of electronic Integrated Management of Childhood Illness (eIMCI) at the primary care level in Burkina Faso","volume":"19","author":[{"family":"Bessat","given":"Cécile"},{"family":"Zonon","given":"Noël Adannou"},{"family":"D’Acremont","given":"Valérie"}],"issued":{"date-parts":[["2019",4,29]]}}}],"schema":"https://github.com/citation-style-language/schema/raw/master/csl-citation.json"}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(Bessat et al., 2019)</w:t>
            </w:r>
            <w:r w:rsidRPr="000365ED">
              <w:rPr>
                <w:rFonts w:ascii="Times New Roman" w:hAnsi="Times New Roman" w:cs="Times New Roman"/>
              </w:rPr>
              <w:fldChar w:fldCharType="end"/>
            </w:r>
          </w:p>
        </w:tc>
        <w:tc>
          <w:tcPr>
            <w:tcW w:w="2736" w:type="dxa"/>
          </w:tcPr>
          <w:p w14:paraId="480C742F" w14:textId="4BA5BAEB" w:rsidR="00944D91" w:rsidRPr="000365ED" w:rsidRDefault="00944D91" w:rsidP="00397401">
            <w:pPr>
              <w:rPr>
                <w:rFonts w:ascii="Times New Roman" w:hAnsi="Times New Roman" w:cs="Times New Roman"/>
              </w:rPr>
            </w:pPr>
            <w:r w:rsidRPr="000365ED">
              <w:rPr>
                <w:rFonts w:ascii="Times New Roman" w:hAnsi="Times New Roman" w:cs="Times New Roman"/>
              </w:rPr>
              <w:t>Large-scale implementation of electronic Integrated Management of Childhood Illness (</w:t>
            </w:r>
            <w:proofErr w:type="spellStart"/>
            <w:r w:rsidRPr="000365ED">
              <w:rPr>
                <w:rFonts w:ascii="Times New Roman" w:hAnsi="Times New Roman" w:cs="Times New Roman"/>
              </w:rPr>
              <w:t>eIMCI</w:t>
            </w:r>
            <w:proofErr w:type="spellEnd"/>
            <w:r w:rsidRPr="000365ED">
              <w:rPr>
                <w:rFonts w:ascii="Times New Roman" w:hAnsi="Times New Roman" w:cs="Times New Roman"/>
              </w:rPr>
              <w:t>) at the primary care level in Burkina Faso: a qualitative study on health worker perception of its medical content, usability and impact on antibiotic prescription and resistance</w:t>
            </w:r>
          </w:p>
        </w:tc>
        <w:tc>
          <w:tcPr>
            <w:tcW w:w="2329" w:type="dxa"/>
          </w:tcPr>
          <w:p w14:paraId="20D1FC1A" w14:textId="013F554E" w:rsidR="00944D91" w:rsidRPr="000365ED" w:rsidRDefault="00944D91" w:rsidP="00397401">
            <w:pPr>
              <w:rPr>
                <w:rFonts w:ascii="Times New Roman" w:hAnsi="Times New Roman" w:cs="Times New Roman"/>
              </w:rPr>
            </w:pPr>
            <w:r w:rsidRPr="000365ED">
              <w:rPr>
                <w:rFonts w:ascii="Times New Roman" w:hAnsi="Times New Roman" w:cs="Times New Roman"/>
              </w:rPr>
              <w:t>Not in line with the theme of our manuscript</w:t>
            </w:r>
          </w:p>
        </w:tc>
      </w:tr>
      <w:tr w:rsidR="00944D91" w:rsidRPr="000365ED" w14:paraId="1B175CA3" w14:textId="77777777" w:rsidTr="00944D91">
        <w:tc>
          <w:tcPr>
            <w:tcW w:w="1698" w:type="dxa"/>
          </w:tcPr>
          <w:p w14:paraId="69D6C166" w14:textId="2E3F39F2" w:rsidR="00944D91" w:rsidRPr="000365ED" w:rsidRDefault="00930A9A" w:rsidP="00397401">
            <w:pPr>
              <w:rPr>
                <w:rFonts w:ascii="Times New Roman" w:hAnsi="Times New Roman" w:cs="Times New Roman"/>
              </w:rPr>
            </w:pPr>
            <w:r w:rsidRPr="000365ED">
              <w:rPr>
                <w:rFonts w:ascii="Times New Roman" w:hAnsi="Times New Roman" w:cs="Times New Roman"/>
              </w:rPr>
              <w:t>18</w:t>
            </w:r>
          </w:p>
        </w:tc>
        <w:tc>
          <w:tcPr>
            <w:tcW w:w="2253" w:type="dxa"/>
          </w:tcPr>
          <w:p w14:paraId="3ADF934C" w14:textId="55E5BED4"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{"citationID":"wIinYFrG","properties":{"formattedCitation":"(Chah et al., 2022)","plainCitation":"(Chah et al., 2022)","noteIndex":0},"citationItems":[{"id":8284,"uris":["http://zotero.org/users/11836539/items/QMPP4V5L"],"itemData":{"id":8284,"type":"article-journal","abstract":"This study examined the knowledge and practices regarding antibiotic use among small-scale poultry farmers in Enugu State, Nigeria. A multistage sampling technique was employed to select 88 poultry farmers. The interview schedule was used for data collection. Respondents' indices of knowledge of antibiotic use (KABU), antibiotic resistance (KABR) and antibiotic use practices (PABU) were determined. Binary logistic regression was performed to ascertain the effect of socio-demographics of respondents, knowledge of antibiotic use and knowledge of antibiotic resistance on the likelihood that farmers use antibiotics inappropriately. All poultry farmers studied used antibiotics for growth promotion, disease prevention, and treatment. The mean index of KABU was 0.54 with 48 % of the respondents having good KABU while the mean index of KABR was 0.65 and 70.5 % of the farmers had good KABR. The farmers’ mean index of PABU was 0.47 and 83 % of them used antibiotics inappropriately. Farmers with good KABU (OR = 4.2; 95% CI = 1.030–17.222) and KABR (OR = 4.5; 95% CI = 1.258–15.791) were more likely to misuse antibiotics than those with poor knowledge. Antibiotics are routinely, and on many occasions inappropriately, used in small-scale poultry production in Enugu State, Nigeria. Antibiotics are valuable agents whose efficacy can only be preserved if they are handled with care. Training small-scale farmers will allow them to improve their knowledge and practices regarding antibiotic use. © 2022 The Author(s)","archive":"Scopus","container-title":"Heliyon","DOI":"10.1016/j.heliyon.2022.e09342","ISSN":"2405-8440","issue":"4","language":"English","source":"Scopus","title":"Knowledge and practices regarding antibiotic use among small-scale poultry farmers in Enugu State, Nigeria","volume":"8","author":[{"family":"Chah","given":"J.M."},{"family":"Nwankwo","given":"S.C."},{"family":"Uddin","given":"I.O."},{"family":"Chah","given":"K.F."}],"issued":{"date-parts":[["2022"]]}}}],"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(Chah et al., 2022)</w:t>
            </w:r>
            <w:r w:rsidRPr="000365ED">
              <w:rPr>
                <w:rFonts w:ascii="Times New Roman" w:hAnsi="Times New Roman" w:cs="Times New Roman"/>
              </w:rPr>
              <w:fldChar w:fldCharType="end"/>
            </w:r>
          </w:p>
        </w:tc>
        <w:tc>
          <w:tcPr>
            <w:tcW w:w="2736" w:type="dxa"/>
          </w:tcPr>
          <w:p w14:paraId="2E22A580" w14:textId="3B48B63B" w:rsidR="00944D91" w:rsidRPr="000365ED" w:rsidRDefault="00944D91" w:rsidP="00397401">
            <w:pPr>
              <w:rPr>
                <w:rFonts w:ascii="Times New Roman" w:hAnsi="Times New Roman" w:cs="Times New Roman"/>
              </w:rPr>
            </w:pPr>
            <w:r w:rsidRPr="000365ED">
              <w:rPr>
                <w:rFonts w:ascii="Times New Roman" w:hAnsi="Times New Roman" w:cs="Times New Roman"/>
              </w:rPr>
              <w:t>Knowledge and practices regarding antibiotic use among small-scale poultry farmers in Enugu State, Nigeria</w:t>
            </w:r>
          </w:p>
        </w:tc>
        <w:tc>
          <w:tcPr>
            <w:tcW w:w="2329" w:type="dxa"/>
          </w:tcPr>
          <w:p w14:paraId="0233DFA5" w14:textId="784594EF" w:rsidR="00944D91" w:rsidRPr="000365ED" w:rsidRDefault="00944D91" w:rsidP="00397401">
            <w:pPr>
              <w:rPr>
                <w:rFonts w:ascii="Times New Roman" w:hAnsi="Times New Roman" w:cs="Times New Roman"/>
              </w:rPr>
            </w:pPr>
            <w:r w:rsidRPr="000365ED">
              <w:rPr>
                <w:rFonts w:ascii="Times New Roman" w:hAnsi="Times New Roman" w:cs="Times New Roman"/>
              </w:rPr>
              <w:t>Not for human antibiotic. Or not human centered but poultry</w:t>
            </w:r>
          </w:p>
        </w:tc>
      </w:tr>
      <w:tr w:rsidR="00944D91" w:rsidRPr="000365ED" w14:paraId="60250612" w14:textId="77777777" w:rsidTr="00944D91">
        <w:tc>
          <w:tcPr>
            <w:tcW w:w="1698" w:type="dxa"/>
          </w:tcPr>
          <w:p w14:paraId="4C42442A" w14:textId="49EE28F3" w:rsidR="00944D91" w:rsidRPr="000365ED" w:rsidRDefault="00930A9A" w:rsidP="00397401">
            <w:pPr>
              <w:rPr>
                <w:rFonts w:ascii="Times New Roman" w:hAnsi="Times New Roman" w:cs="Times New Roman"/>
              </w:rPr>
            </w:pPr>
            <w:r w:rsidRPr="000365ED">
              <w:rPr>
                <w:rFonts w:ascii="Times New Roman" w:hAnsi="Times New Roman" w:cs="Times New Roman"/>
              </w:rPr>
              <w:t>19</w:t>
            </w:r>
          </w:p>
        </w:tc>
        <w:tc>
          <w:tcPr>
            <w:tcW w:w="2253" w:type="dxa"/>
          </w:tcPr>
          <w:p w14:paraId="6A49ACAF" w14:textId="6EC665F4"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{"citationID":"Imukq0mP","properties":{"formattedCitation":"(Charani et al., 2019)","plainCitation":"(Charani et al., 2019)","noteIndex":0},"citationItems":[{"id":8071,"uris":["http://zotero.org/users/11836539/items/IW9U8SY3"],"itemData":{"id":8071,"type":"article-journal","container-title":"PloS one","issue":"1","note":"ISBN: 1932-6203\npublisher: Public Library of Science San Francisco, CA USA","page":"e0209847","title":"Investigating the cultural and contextual determinants of antimicrobial stewardship programmes across low-, middle-and high-income countries—a qualitative study","volume":"14","author":[{"family":"Charani","given":"Esmita"},{"family":"Smith","given":"Ingrid"},{"family":"Skodvin","given":"Brita"},{"family":"Perozziello","given":"Anne"},{"family":"Lucet","given":"Jean-Christophe"},{"family":"Lescure","given":"Francois-Xavier"},{"family":"Birgand","given":"Gabriel"},{"family":"Poda","given":"Armel"},{"family":"Ahmad","given":"Raheelah"},{"family":"Singh","given":"Sanjeev"}],"issued":{"date-parts":[["2019"]]}}}],"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(Charani et al., 2019)</w:t>
            </w:r>
            <w:r w:rsidRPr="000365ED">
              <w:rPr>
                <w:rFonts w:ascii="Times New Roman" w:hAnsi="Times New Roman" w:cs="Times New Roman"/>
              </w:rPr>
              <w:fldChar w:fldCharType="end"/>
            </w:r>
          </w:p>
        </w:tc>
        <w:tc>
          <w:tcPr>
            <w:tcW w:w="2736" w:type="dxa"/>
          </w:tcPr>
          <w:p w14:paraId="2772B3C1" w14:textId="5F080772" w:rsidR="00944D91" w:rsidRPr="000365ED" w:rsidRDefault="00944D91" w:rsidP="00397401">
            <w:pPr>
              <w:rPr>
                <w:rFonts w:ascii="Times New Roman" w:hAnsi="Times New Roman" w:cs="Times New Roman"/>
              </w:rPr>
            </w:pPr>
            <w:r w:rsidRPr="000365ED">
              <w:rPr>
                <w:rFonts w:ascii="Times New Roman" w:hAnsi="Times New Roman" w:cs="Times New Roman"/>
              </w:rPr>
              <w:t xml:space="preserve">Investigating the cultural and contextual determinants of antimicrobial stewardship </w:t>
            </w:r>
            <w:proofErr w:type="spellStart"/>
            <w:r w:rsidRPr="000365ED">
              <w:rPr>
                <w:rFonts w:ascii="Times New Roman" w:hAnsi="Times New Roman" w:cs="Times New Roman"/>
              </w:rPr>
              <w:t>programmes</w:t>
            </w:r>
            <w:proofErr w:type="spellEnd"/>
            <w:r w:rsidRPr="000365ED">
              <w:rPr>
                <w:rFonts w:ascii="Times New Roman" w:hAnsi="Times New Roman" w:cs="Times New Roman"/>
              </w:rPr>
              <w:t xml:space="preserve"> across low-, middle- and </w:t>
            </w:r>
            <w:proofErr w:type="spellStart"/>
            <w:r w:rsidRPr="000365ED">
              <w:rPr>
                <w:rFonts w:ascii="Times New Roman" w:hAnsi="Times New Roman" w:cs="Times New Roman"/>
              </w:rPr>
              <w:t>highincome</w:t>
            </w:r>
            <w:proofErr w:type="spellEnd"/>
            <w:r w:rsidRPr="000365ED">
              <w:rPr>
                <w:rFonts w:ascii="Times New Roman" w:hAnsi="Times New Roman" w:cs="Times New Roman"/>
              </w:rPr>
              <w:t xml:space="preserve"> countries—A qualitative study</w:t>
            </w:r>
          </w:p>
        </w:tc>
        <w:tc>
          <w:tcPr>
            <w:tcW w:w="2329" w:type="dxa"/>
          </w:tcPr>
          <w:p w14:paraId="7666C874" w14:textId="6A23CFD0" w:rsidR="00944D91" w:rsidRPr="000365ED" w:rsidRDefault="00944D91" w:rsidP="00397401">
            <w:pPr>
              <w:rPr>
                <w:rFonts w:ascii="Times New Roman" w:hAnsi="Times New Roman" w:cs="Times New Roman"/>
              </w:rPr>
            </w:pPr>
            <w:r w:rsidRPr="000365ED">
              <w:rPr>
                <w:rFonts w:ascii="Times New Roman" w:hAnsi="Times New Roman" w:cs="Times New Roman"/>
              </w:rPr>
              <w:t>Different countries</w:t>
            </w:r>
          </w:p>
        </w:tc>
      </w:tr>
      <w:tr w:rsidR="00944D91" w:rsidRPr="000365ED" w14:paraId="4983D4EA" w14:textId="77777777" w:rsidTr="00944D91">
        <w:tc>
          <w:tcPr>
            <w:tcW w:w="1698" w:type="dxa"/>
          </w:tcPr>
          <w:p w14:paraId="532B49D2" w14:textId="49C07386" w:rsidR="00944D91" w:rsidRPr="000365ED" w:rsidRDefault="00930A9A" w:rsidP="00397401">
            <w:pPr>
              <w:rPr>
                <w:rFonts w:ascii="Times New Roman" w:hAnsi="Times New Roman" w:cs="Times New Roman"/>
              </w:rPr>
            </w:pPr>
            <w:r w:rsidRPr="000365ED">
              <w:rPr>
                <w:rFonts w:ascii="Times New Roman" w:hAnsi="Times New Roman" w:cs="Times New Roman"/>
              </w:rPr>
              <w:t>20</w:t>
            </w:r>
          </w:p>
        </w:tc>
        <w:tc>
          <w:tcPr>
            <w:tcW w:w="2253" w:type="dxa"/>
          </w:tcPr>
          <w:p w14:paraId="0766CB2A" w14:textId="253DE949"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{"citationID":"x8E1GsMq","properties":{"formattedCitation":"(Chukwu et al., 2021)","plainCitation":"(Chukwu et al., 2021)","noteIndex":0},"citationItems":[{"id":8319,"uris":["http://zotero.org/users/11836539/items/22L53W82"],"itemData":{"id":8319,"type":"article-journal","abstract":"Objectives: Optimising antibiotic use in healthcare settings through antimicrobial stewardship programmes (ASPs) is critical to effectively treat infections, protect patients from harms caused by unnecessary antibiotic use, and combat antimicrobial resistance. This needs assessment was designed to provide the current status of ASPs in healthcare facilities in Lagos State and identify gaps for future interventions. Methods: A descriptive cross-sectional survey was conducted using a self-administered questionnaire to ascertain the extent and nature of ongoing ASPs among selected healthcare facilities and identify gaps for future interventional studies. Results: Of 32 questionnaires distributed, 25 (78%) were completed and returned from three tertiary, six secondary, eleven primary and five private healthcare facilities. The mean years of practice of respondents was 13.96 ± 7.8 years (2–31 years). Six facilities (24%) had a team responsible for ASP operating at varying degrees of capacity, while five (20%) had a formal ASP. All six facilities with an antimicrobial stewardship (AMS) team had a medical doctor as the team lead, and 5 (20%) also had a pharmacist involved in implementation efforts. Routine pre-authorisation for specific antibiotic was performed in six facilities (24%), four of which monitor pre-authorisation interventions. Only two facilities (8%) performed prospective audit and feedback for specific antibiotic agents. Private healthcare facilities were more likely to have information technology (IT) capability to support the needs of AMS activities. Conclusion: This study revealed minimal ASP activities in healthcare facilities in Lagos State and highlighted possibilities of leveraging on available IT resources for a co-ordinated AMS strategy. © 2021 The Author(s)","archive":"Scopus","container-title":"Journal of Global Antimicrobial Resistance","DOI":"10.1016/j.jgar.2021.02.034","ISSN":"2213-7165","language":"English","page":"162-170","source":"Scopus","title":"Antimicrobial stewardship programmes in healthcare facilities in Lagos State, Nigeria: a needs assessment","title-short":"Antimicrobial stewardship programmes in healthcare facilities in Lagos State, Nigeria","volume":"25","author":[{"family":"Chukwu","given":"E.E."},{"family":"Oshun","given":"P.O."},{"family":"Osuolale","given":"K.A."},{"family":"Chuka-Ebene","given":"V.O."},{"family":"Salako","given":"A."},{"family":"Idigbe","given":"I.E."},{"family":"Oladele","given":"D."},{"family":"Audu","given":"R.A."},{"family":"Ogunsola","given":"F.T."}],"issued":{"date-parts":[["2021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(Chukwu et al., 2021)</w:t>
            </w:r>
            <w:r w:rsidRPr="000365ED">
              <w:rPr>
                <w:rFonts w:ascii="Times New Roman" w:hAnsi="Times New Roman" w:cs="Times New Roman"/>
              </w:rPr>
              <w:fldChar w:fldCharType="end"/>
            </w:r>
          </w:p>
        </w:tc>
        <w:tc>
          <w:tcPr>
            <w:tcW w:w="2736" w:type="dxa"/>
          </w:tcPr>
          <w:p w14:paraId="0D8CCFF2" w14:textId="6B1B8048" w:rsidR="00944D91" w:rsidRPr="000365ED" w:rsidRDefault="00944D91" w:rsidP="00397401">
            <w:pPr>
              <w:rPr>
                <w:rFonts w:ascii="Times New Roman" w:hAnsi="Times New Roman" w:cs="Times New Roman"/>
              </w:rPr>
            </w:pPr>
            <w:r w:rsidRPr="000365ED">
              <w:rPr>
                <w:rFonts w:ascii="Times New Roman" w:hAnsi="Times New Roman" w:cs="Times New Roman"/>
              </w:rPr>
              <w:t xml:space="preserve">Antimicrobial stewardship </w:t>
            </w:r>
            <w:proofErr w:type="spellStart"/>
            <w:r w:rsidRPr="000365ED">
              <w:rPr>
                <w:rFonts w:ascii="Times New Roman" w:hAnsi="Times New Roman" w:cs="Times New Roman"/>
              </w:rPr>
              <w:t>programmes</w:t>
            </w:r>
            <w:proofErr w:type="spellEnd"/>
            <w:r w:rsidRPr="000365ED">
              <w:rPr>
                <w:rFonts w:ascii="Times New Roman" w:hAnsi="Times New Roman" w:cs="Times New Roman"/>
              </w:rPr>
              <w:t xml:space="preserve"> in healthcare facilities in Lagos State, Nigeria: a needs assessment</w:t>
            </w:r>
          </w:p>
        </w:tc>
        <w:tc>
          <w:tcPr>
            <w:tcW w:w="2329" w:type="dxa"/>
          </w:tcPr>
          <w:p w14:paraId="6E12278A" w14:textId="4B9B6AD8" w:rsidR="00944D91" w:rsidRPr="000365ED" w:rsidRDefault="00944D91" w:rsidP="00397401">
            <w:pPr>
              <w:rPr>
                <w:rFonts w:ascii="Times New Roman" w:hAnsi="Times New Roman" w:cs="Times New Roman"/>
              </w:rPr>
            </w:pPr>
            <w:r w:rsidRPr="000365ED">
              <w:rPr>
                <w:rFonts w:ascii="Times New Roman" w:hAnsi="Times New Roman" w:cs="Times New Roman"/>
              </w:rPr>
              <w:t>Sample less than 30</w:t>
            </w:r>
          </w:p>
        </w:tc>
      </w:tr>
      <w:tr w:rsidR="00944D91" w:rsidRPr="000365ED" w14:paraId="1018B524" w14:textId="77777777" w:rsidTr="00944D91">
        <w:tc>
          <w:tcPr>
            <w:tcW w:w="1698" w:type="dxa"/>
          </w:tcPr>
          <w:p w14:paraId="45FCACE3" w14:textId="3AE4A0E4" w:rsidR="00944D91" w:rsidRPr="000365ED" w:rsidRDefault="00930A9A" w:rsidP="00397401">
            <w:pPr>
              <w:rPr>
                <w:rFonts w:ascii="Times New Roman" w:hAnsi="Times New Roman" w:cs="Times New Roman"/>
              </w:rPr>
            </w:pPr>
            <w:r w:rsidRPr="000365ED">
              <w:rPr>
                <w:rFonts w:ascii="Times New Roman" w:hAnsi="Times New Roman" w:cs="Times New Roman"/>
              </w:rPr>
              <w:t>21</w:t>
            </w:r>
          </w:p>
        </w:tc>
        <w:tc>
          <w:tcPr>
            <w:tcW w:w="2253" w:type="dxa"/>
          </w:tcPr>
          <w:p w14:paraId="618BF18B" w14:textId="3EBBCEE3"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{"citationID":"mRIXoWLV","properties":{"formattedCitation":"(Chukwu et al., 2024)","plainCitation":"(Chukwu et al., 2024)","noteIndex":0},"citationItems":[{"id":8144,"uris":["http://zotero.org/users/11836539/items/3GC5XIFE"],"itemData":{"id":8144,"type":"article-journal","container-title":"Plos one","issue":"1","note":"ISBN: 1932-6203\npublisher: Public Library of Science San Francisco, CA USA","page":"e0297472","title":"Implementation of antimicrobial stewardship programs: A study of prescribers’ perspective of facilitators and barriers","volume":"19","author":[{"family":"Chukwu","given":"Emelda E."},{"family":"Abuh","given":"Dennis"},{"family":"Idigbe","given":"Ifeoma E."},{"family":"Osuolale","given":"Kazeem A."},{"family":"Chuka-Ebene","given":"Vivian"},{"family":"Awoderu","given":"Oluwatoyin"},{"family":"Audu","given":"Rosemary A."},{"family":"Ogunsola","given":"Folasade T."}],"issued":{"date-parts":[["2024"]]}}}],"schema":"https://github.com/citation-style-language/schema/raw/master/csl-citation.json"}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(Chukwu et al., 2024)</w:t>
            </w:r>
            <w:r w:rsidRPr="000365ED">
              <w:rPr>
                <w:rFonts w:ascii="Times New Roman" w:hAnsi="Times New Roman" w:cs="Times New Roman"/>
              </w:rPr>
              <w:fldChar w:fldCharType="end"/>
            </w:r>
          </w:p>
        </w:tc>
        <w:tc>
          <w:tcPr>
            <w:tcW w:w="2736" w:type="dxa"/>
          </w:tcPr>
          <w:p w14:paraId="50BE47D9" w14:textId="7DC3BFF6" w:rsidR="00944D91" w:rsidRPr="000365ED" w:rsidRDefault="00944D91" w:rsidP="00397401">
            <w:pPr>
              <w:rPr>
                <w:rFonts w:ascii="Times New Roman" w:hAnsi="Times New Roman" w:cs="Times New Roman"/>
              </w:rPr>
            </w:pPr>
            <w:r w:rsidRPr="000365ED">
              <w:rPr>
                <w:rFonts w:ascii="Times New Roman" w:hAnsi="Times New Roman" w:cs="Times New Roman"/>
              </w:rPr>
              <w:t>Implementation of antimicrobial stewardship programs: A study of prescribers’ perspective of facilitators and barriers</w:t>
            </w:r>
          </w:p>
        </w:tc>
        <w:tc>
          <w:tcPr>
            <w:tcW w:w="2329" w:type="dxa"/>
          </w:tcPr>
          <w:p w14:paraId="2ED72E51" w14:textId="404A3EBD" w:rsidR="00944D91" w:rsidRPr="000365ED" w:rsidRDefault="00944D91" w:rsidP="00397401">
            <w:pPr>
              <w:rPr>
                <w:rFonts w:ascii="Times New Roman" w:hAnsi="Times New Roman" w:cs="Times New Roman"/>
              </w:rPr>
            </w:pPr>
            <w:r w:rsidRPr="000365ED">
              <w:rPr>
                <w:rFonts w:ascii="Times New Roman" w:hAnsi="Times New Roman" w:cs="Times New Roman"/>
              </w:rPr>
              <w:t>Did not report on any outcome such as improvement after application of AMS</w:t>
            </w:r>
          </w:p>
        </w:tc>
      </w:tr>
      <w:tr w:rsidR="00944D91" w:rsidRPr="000365ED" w14:paraId="44D40D70" w14:textId="77777777" w:rsidTr="00944D91">
        <w:tc>
          <w:tcPr>
            <w:tcW w:w="1698" w:type="dxa"/>
          </w:tcPr>
          <w:p w14:paraId="4152C0F1" w14:textId="5F0133F2" w:rsidR="00944D91" w:rsidRPr="000365ED" w:rsidRDefault="00930A9A" w:rsidP="00397401">
            <w:pPr>
              <w:rPr>
                <w:rFonts w:ascii="Times New Roman" w:hAnsi="Times New Roman" w:cs="Times New Roman"/>
              </w:rPr>
            </w:pPr>
            <w:r w:rsidRPr="000365ED">
              <w:rPr>
                <w:rFonts w:ascii="Times New Roman" w:hAnsi="Times New Roman" w:cs="Times New Roman"/>
              </w:rPr>
              <w:t>22</w:t>
            </w:r>
          </w:p>
        </w:tc>
        <w:tc>
          <w:tcPr>
            <w:tcW w:w="2253" w:type="dxa"/>
          </w:tcPr>
          <w:p w14:paraId="1EE9E625" w14:textId="098152D1"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{"citationID":"CQKik8pl","properties":{"formattedCitation":"(Compaore et al., 2023)","plainCitation":"(Compaore et al., 2023)","noteIndex":0},"citationItems":[{"id":8173,"uris":["http://zotero.org/users/11836539/items/N9VNK9RE"],"itemData":{"id":8173,"type":"article-journal","abstract":"In this Viewpoint, the authors explore the determinants of patients' prescription adherence behaviors as part of FIND's Advancing Access to Diagnostic Innovation essential for Universal Health Coverage and AMR Prevention (ADIP) trials (ClinicalTrials.gov identifier: NCT04081051). Research findings from Burkina Faso, Ghana, and Uganda show that basic knowledge and understanding of prescription instructions are essential for adherence and can be improved through better communication. However, there are a range of other factors that influence adherence, some of which can be influenced through tailored communication messages from healthcare workers. These messages may contribute to changes in adherence behavior but may require other reinforcing interventions to be effective. Finally, there are some drivers of nonadherence centered around costs and time pressure that require other forms of intervention. © 2023 The Author(s). Published by Oxford University Press on behalf of Infectious Diseases Society of America.","archive":"Scopus","container-title":"Clinical Infectious Diseases","DOI":"10.1093/cid/ciad323","ISSN":"1058-4838","language":"English","page":"S206-S210","source":"Scopus","title":"Viewpoint: Antimicrobial Resistance Diagnostics Use Accelerator: Qualitative Research on Adherence to Prescriptions","title-short":"Viewpoint","volume":"77","author":[{"family":"Compaore","given":"A."},{"family":"Ekusai-Sebatta","given":"D."},{"family":"Kaawa-Mafigiri","given":"D."},{"family":"Kukula","given":"V."},{"family":"Odopey","given":"S."},{"family":"Kapisi","given":"J."},{"family":"Hopkins","given":"H."},{"family":"Kiemde","given":"F."},{"family":"Tinto","given":"H."},{"family":"Baiden","given":"R."},{"family":"Olliaro","given":"P."},{"family":"Nkeramahame","given":"J."},{"family":"Dittrich","given":"S."},{"family":"Horgan","given":"P."}],"issued":{"date-parts":[["2023"]]}}}],"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(Compaore et al., 2023)</w:t>
            </w:r>
            <w:r w:rsidRPr="000365ED">
              <w:rPr>
                <w:rFonts w:ascii="Times New Roman" w:hAnsi="Times New Roman" w:cs="Times New Roman"/>
              </w:rPr>
              <w:fldChar w:fldCharType="end"/>
            </w:r>
          </w:p>
        </w:tc>
        <w:tc>
          <w:tcPr>
            <w:tcW w:w="2736" w:type="dxa"/>
          </w:tcPr>
          <w:p w14:paraId="0E2ED889" w14:textId="678E9342" w:rsidR="00944D91" w:rsidRPr="000365ED" w:rsidRDefault="00944D91" w:rsidP="00397401">
            <w:pPr>
              <w:rPr>
                <w:rFonts w:ascii="Times New Roman" w:hAnsi="Times New Roman" w:cs="Times New Roman"/>
              </w:rPr>
            </w:pPr>
            <w:r w:rsidRPr="000365ED">
              <w:rPr>
                <w:rFonts w:ascii="Times New Roman" w:hAnsi="Times New Roman" w:cs="Times New Roman"/>
              </w:rPr>
              <w:t>Viewpoint: Antimicrobial Resistance Diagnostics Use Accelerator: Qualitative Research on Adherence to Prescriptions</w:t>
            </w:r>
          </w:p>
        </w:tc>
        <w:tc>
          <w:tcPr>
            <w:tcW w:w="2329" w:type="dxa"/>
          </w:tcPr>
          <w:p w14:paraId="3635B100" w14:textId="56270570" w:rsidR="00944D91" w:rsidRPr="000365ED" w:rsidRDefault="00944D91" w:rsidP="00397401">
            <w:pPr>
              <w:rPr>
                <w:rFonts w:ascii="Times New Roman" w:hAnsi="Times New Roman" w:cs="Times New Roman"/>
              </w:rPr>
            </w:pPr>
            <w:r w:rsidRPr="000365ED">
              <w:rPr>
                <w:rFonts w:ascii="Times New Roman" w:hAnsi="Times New Roman" w:cs="Times New Roman"/>
              </w:rPr>
              <w:t>It is a view point and not a research work</w:t>
            </w:r>
          </w:p>
        </w:tc>
      </w:tr>
      <w:tr w:rsidR="00944D91" w:rsidRPr="000365ED" w14:paraId="548B5322" w14:textId="77777777" w:rsidTr="00944D91">
        <w:tc>
          <w:tcPr>
            <w:tcW w:w="1698" w:type="dxa"/>
          </w:tcPr>
          <w:p w14:paraId="60BB9AD8" w14:textId="4ED8C6EC" w:rsidR="00944D91" w:rsidRPr="000365ED" w:rsidRDefault="00930A9A" w:rsidP="00397401">
            <w:pPr>
              <w:rPr>
                <w:rFonts w:ascii="Times New Roman" w:hAnsi="Times New Roman" w:cs="Times New Roman"/>
              </w:rPr>
            </w:pPr>
            <w:r w:rsidRPr="000365ED">
              <w:rPr>
                <w:rFonts w:ascii="Times New Roman" w:hAnsi="Times New Roman" w:cs="Times New Roman"/>
              </w:rPr>
              <w:lastRenderedPageBreak/>
              <w:t>23</w:t>
            </w:r>
          </w:p>
        </w:tc>
        <w:tc>
          <w:tcPr>
            <w:tcW w:w="2253" w:type="dxa"/>
          </w:tcPr>
          <w:p w14:paraId="1614639F" w14:textId="1EC0AD0D"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{"citationID":"djFIydb2","properties":{"formattedCitation":"(D\\uc0\\u8217{}Arcy et al., 2014)","plainCitation":"(D’Arcy et al., 2014)","noteIndex":0},"citationItems":[{"id":867,"uris":["http://zotero.org/users/11836539/items/8IP77EZY"],"itemData":{"id":867,"type":"article-journal","abstract":"BACKGROUND: Nosocomial outbreaks of viral etiology are costly and can have a major impact on patient care. Many viruses are known to persist in the inanimate environment and may pose a risk to patients and health care workers. We investigate the frequency of environmental contamination with common health care-associated viruses and explore the use of torque-teno virus as a marker of environmental contamination.\nMETHODS: Environmental screening for a variety of clinically relevant viruses was carried out over 3 months in a UK pediatric hospital using air sampling and surface swabbing. Swabs were tested for the presence of virus nucleic acid by quantitative polymerase chain reactions.\nRESULTS: Viral nucleic acid was found on surfaces and in the air throughout the screening period, with adenovirus DNA being the most frequent. Door handles were frequently contaminated. Torque-teno virus was also found at numerous sites.\nCONCLUSION: Evidence of environmental contamination with viral pathogens is present in health care environments and may be indicative of an infectious virus being present. Screening for viruses should be included in infection control strategies. Torque-teno virus may provide a better marker of contamination and reduce time and cost of screening for individual viruses.","container-title":"American Journal of Infection Control","DOI":"10.1016/j.ajic.2014.04.014","ISSN":"1527-3296","issue":"8","journalAbbreviation":"Am J Infect Control","language":"eng","note":"PMID: 25087137","page":"856-860","source":"PubMed","title":"Environmental viral contamination in a pediatric hospital outpatient waiting area: implications for infection control","title-short":"Environmental viral contamination in a pediatric hospital outpatient waiting area","volume":"42","author":[{"family":"D'Arcy","given":"Nikki"},{"family":"Cloutman-Green","given":"Elaine"},{"family":"Klein","given":"Nigel"},{"family":"Spratt","given":"David A."}],"issued":{"date-parts":[["2014",8]]}}}],"schema":"https://github.com/citation-style-language/schema/raw/master/csl-citation.json"}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lang w:val="en-GB"/>
              </w:rPr>
              <w:t>(D’Arcy et al., 2014)</w:t>
            </w:r>
            <w:r w:rsidRPr="000365ED">
              <w:rPr>
                <w:rFonts w:ascii="Times New Roman" w:hAnsi="Times New Roman" w:cs="Times New Roman"/>
              </w:rPr>
              <w:fldChar w:fldCharType="end"/>
            </w:r>
          </w:p>
        </w:tc>
        <w:tc>
          <w:tcPr>
            <w:tcW w:w="2736" w:type="dxa"/>
          </w:tcPr>
          <w:p w14:paraId="273E8DC0" w14:textId="6F1CC35A" w:rsidR="00944D91" w:rsidRPr="000365ED" w:rsidRDefault="00944D91" w:rsidP="00397401">
            <w:pPr>
              <w:rPr>
                <w:rFonts w:ascii="Times New Roman" w:hAnsi="Times New Roman" w:cs="Times New Roman"/>
              </w:rPr>
            </w:pPr>
            <w:r w:rsidRPr="000365ED">
              <w:rPr>
                <w:rFonts w:ascii="Times New Roman" w:hAnsi="Times New Roman" w:cs="Times New Roman"/>
              </w:rPr>
              <w:t>Antibiotic Prescribing Patterns in Ghana, Uganda, Zambia and Tanzania Hospitals: Results from the Global Point Prevalence Survey (G-PPS) on Antimicrobial Use and Stewardship Interventions Implemented</w:t>
            </w:r>
          </w:p>
        </w:tc>
        <w:tc>
          <w:tcPr>
            <w:tcW w:w="2329" w:type="dxa"/>
          </w:tcPr>
          <w:p w14:paraId="25D0C110" w14:textId="356EFBEF" w:rsidR="00944D91" w:rsidRPr="000365ED" w:rsidRDefault="00944D91" w:rsidP="00397401">
            <w:pPr>
              <w:rPr>
                <w:rFonts w:ascii="Times New Roman" w:hAnsi="Times New Roman" w:cs="Times New Roman"/>
              </w:rPr>
            </w:pPr>
            <w:r w:rsidRPr="000365ED">
              <w:rPr>
                <w:rFonts w:ascii="Times New Roman" w:hAnsi="Times New Roman" w:cs="Times New Roman"/>
              </w:rPr>
              <w:t>On multiple African countries including Ghana. But information on Ghana was difficult to take</w:t>
            </w:r>
          </w:p>
        </w:tc>
      </w:tr>
      <w:tr w:rsidR="00944D91" w:rsidRPr="000365ED" w14:paraId="7EF75A09" w14:textId="77777777" w:rsidTr="00944D91">
        <w:tc>
          <w:tcPr>
            <w:tcW w:w="1698" w:type="dxa"/>
          </w:tcPr>
          <w:p w14:paraId="0F7FB493" w14:textId="4FFE8C67" w:rsidR="00944D91" w:rsidRPr="000365ED" w:rsidRDefault="00930A9A" w:rsidP="00397401">
            <w:pPr>
              <w:rPr>
                <w:rFonts w:ascii="Times New Roman" w:hAnsi="Times New Roman" w:cs="Times New Roman"/>
              </w:rPr>
            </w:pPr>
            <w:r w:rsidRPr="000365ED">
              <w:rPr>
                <w:rFonts w:ascii="Times New Roman" w:hAnsi="Times New Roman" w:cs="Times New Roman"/>
              </w:rPr>
              <w:t>24</w:t>
            </w:r>
          </w:p>
        </w:tc>
        <w:tc>
          <w:tcPr>
            <w:tcW w:w="2253" w:type="dxa"/>
          </w:tcPr>
          <w:p w14:paraId="000134C5" w14:textId="1830497B"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{"citationID":"ewpk65AU","properties":{"formattedCitation":"(Daniel et al., 2021)","plainCitation":"(Daniel et al., 2021)","noteIndex":0},"citationItems":[{"id":8308,"uris":["http://zotero.org/users/11836539/items/4IS7WYKT"],"itemData":{"id":8308,"type":"article-journal","abstract":"Background and Aim: Veterinary antibiotics are widely used to treat bacterial diseases in various species of animals. However, despite the importance of these chemotherapeutic agents, their indiscriminate or extensive use can pose dangers to the animals or humans that consume edible tissues from animals contaminated with antibiotic residues. Therefore, concerns regarding their appropriate and judicious use in animals are of public health significance. This is because of the tendencies of developing resistance to targeted microbes and the ability of the parent compound or its metabolites to persist as residues in the animal tissues. This study aimed to determine the frequency and pattern of antibiotic usage and ascertain the level of awareness of clinicians on the judicious use of antibiotics at the University of Maiduguri Veterinary Teaching Hospital, Maiduguri, Borno State, Nigeria. Materials and Methods: Data related to the administration of antibiotics in all species of animals presented for treatment from January 2009 to December 2018 were obtained from the hospital archives, with permission from the office of the hospital directorate. The diseases, hospital units, antibiotics used, and years were parameters that were recorded for each case. Furthermore, 47 questionnaires were administered to clinicians who render services to the hospital. Results: A total of 63.9% of all cases brought to the hospital within the 10 years under study were infectious, and as such, were treated with antibiotics. The highest recorded use of antibiotics was observed in the poultry unit (38.4%), followed by the large animal unit (24.1%), with the lowest used recorded in the ambulatory unit (9.3%). Furthermore, regarding the antibiotics used, oxytetracycline had the highest occurrence (55%), followed by penicillin-streptomycin combination (12.2%), with the lowest being metronidazole (0.30%). The highest number of cases treated with antibiotics was recorded in 2018 (22.5%), and the lowest was recorded in 2014 (1.3%). Regarding the questionnaire administered to the clinicians, 78.7% of the respondents preferred oxytetracycline as their drug of choice, whereas only 2.1%, 4.3%, 2.1%, and 4.3% preferred amoxicillin, penicillin, streptomycin, and penicillin-streptomycin, respectively. Moreover, 65.9% of the respondents used a particular antibiotic because of its availability at the hospital, 8.5% because of cost, and 27.7% because of clinician preference. Furthermore, 74.5% of the clinicians offered palliative intervention while awaiting laboratory reports, whereas 8.5% treated the animals without requesting laboratory analyses. Conclusion: In this study, oxytetracycline was found to be the most used antibiotic for treating infectious diseases at the hospital because of its availability. The observed pattern appeared in the following order of frequency: Oxytetracycline, penicillin-streptomycin combination, neomycin, erythromycin, amoxicillin, tylosin, streptomycin, and gentamicin with metronidazole being the least frequent. There might also be antibiotic resistance, which requires a change to another antibiotic because of the lack of response to the initial antibiotic. Non-judicious antibiotic use can also have a negative impact on public health because of the development of multidrug-resistant “superbugs” and the problem of drug residue. © 2021 Veterinary World. All rights reserved.","archive":"Scopus","container-title":"Veterinary World","DOI":"10.14202/vetworld.2021.2941-2946","ISSN":"0972-8988","issue":"11","language":"English","page":"2941-2946","source":"Scopus","title":"A survey of the usage (frequency and pattern) of antibiotics at the University of Maiduguri Veterinary Teaching Hospital, Maiduguri, Borno State, Nigeria","volume":"14","author":[{"family":"Daniel","given":"N."},{"family":"Malgwi","given":"K.D."},{"family":"Umaru","given":"B."},{"family":"Omeh","given":"I.J."},{"family":"Sanya","given":"L."}],"issued":{"date-parts":[["2021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(Daniel et al., 2021)</w:t>
            </w:r>
            <w:r w:rsidRPr="000365ED">
              <w:rPr>
                <w:rFonts w:ascii="Times New Roman" w:hAnsi="Times New Roman" w:cs="Times New Roman"/>
              </w:rPr>
              <w:fldChar w:fldCharType="end"/>
            </w:r>
          </w:p>
        </w:tc>
        <w:tc>
          <w:tcPr>
            <w:tcW w:w="2736" w:type="dxa"/>
          </w:tcPr>
          <w:p w14:paraId="49520EE1" w14:textId="18884FBD" w:rsidR="00944D91" w:rsidRPr="000365ED" w:rsidRDefault="00944D91" w:rsidP="00397401">
            <w:pPr>
              <w:rPr>
                <w:rFonts w:ascii="Times New Roman" w:hAnsi="Times New Roman" w:cs="Times New Roman"/>
              </w:rPr>
            </w:pPr>
            <w:r w:rsidRPr="000365ED">
              <w:rPr>
                <w:rFonts w:ascii="Times New Roman" w:hAnsi="Times New Roman" w:cs="Times New Roman"/>
              </w:rPr>
              <w:t>A survey of the usage (frequency and pattern) of antibiotics at the University of Maiduguri Veterinary Teaching Hospital, Maiduguri, Borno State, Nigeria</w:t>
            </w:r>
          </w:p>
        </w:tc>
        <w:tc>
          <w:tcPr>
            <w:tcW w:w="2329" w:type="dxa"/>
          </w:tcPr>
          <w:p w14:paraId="6C11B91C" w14:textId="3AAF0501" w:rsidR="00944D91" w:rsidRPr="000365ED" w:rsidRDefault="00944D91" w:rsidP="00397401">
            <w:pPr>
              <w:rPr>
                <w:rFonts w:ascii="Times New Roman" w:hAnsi="Times New Roman" w:cs="Times New Roman"/>
              </w:rPr>
            </w:pPr>
            <w:r w:rsidRPr="000365ED">
              <w:rPr>
                <w:rFonts w:ascii="Times New Roman" w:hAnsi="Times New Roman" w:cs="Times New Roman"/>
              </w:rPr>
              <w:t xml:space="preserve">On animal/ </w:t>
            </w:r>
            <w:proofErr w:type="spellStart"/>
            <w:r w:rsidRPr="000365ED">
              <w:rPr>
                <w:rFonts w:ascii="Times New Roman" w:hAnsi="Times New Roman" w:cs="Times New Roman"/>
              </w:rPr>
              <w:t>vertinary</w:t>
            </w:r>
            <w:proofErr w:type="spellEnd"/>
          </w:p>
        </w:tc>
      </w:tr>
      <w:tr w:rsidR="00944D91" w:rsidRPr="000365ED" w14:paraId="44A72E5B" w14:textId="77777777" w:rsidTr="00944D91">
        <w:tc>
          <w:tcPr>
            <w:tcW w:w="1698" w:type="dxa"/>
          </w:tcPr>
          <w:p w14:paraId="5F4B1B7E" w14:textId="56F82BD2" w:rsidR="00944D91" w:rsidRPr="000365ED" w:rsidRDefault="00930A9A" w:rsidP="00397401">
            <w:pPr>
              <w:rPr>
                <w:rFonts w:ascii="Times New Roman" w:hAnsi="Times New Roman" w:cs="Times New Roman"/>
              </w:rPr>
            </w:pPr>
            <w:r w:rsidRPr="000365ED">
              <w:rPr>
                <w:rFonts w:ascii="Times New Roman" w:hAnsi="Times New Roman" w:cs="Times New Roman"/>
              </w:rPr>
              <w:t>25</w:t>
            </w:r>
          </w:p>
        </w:tc>
        <w:tc>
          <w:tcPr>
            <w:tcW w:w="2253" w:type="dxa"/>
          </w:tcPr>
          <w:p w14:paraId="7245F6A4" w14:textId="313F2A6B"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{"citationID":"jN6O1cUJ","properties":{"formattedCitation":"(Dodoo et al., 2021)","plainCitation":"(Dodoo et al., 2021)","noteIndex":0},"citationItems":[{"id":8327,"uris":["http://zotero.org/users/11836539/items/ITRNKC8G"],"itemData":{"id":8327,"type":"article-journal","abstract":"A standardised Global Point Prevalence Survey (PPS) tool was used to determine the antimicrobial prescription pattern in the Ho Teaching Hospital on two separate occasions in a total of 14 wards in the hospital, including dedicated wards for paediatrics and neonates. Manually collected and anonymised data were entered, validated, analysed and reported using a web-based global PPS application. With 147 and 153 patients considered in the July 2019 and January 2020 surveys, respectively, 98 patients (66.7%) and 84 patients (54.9%) had received one or more antimicrobials. The prevalence of antimicrobial use in the adult wards was 64.3% (72/112) and 53.4% (63/118) in the first and second surveys, respectively. The prevalence in the paediatric wards was 60.0% (12/20) and 62.5% (10/16), respectively, in the two surveys, while that in the neonatal wards was 93.3% (14/15) and 57.9% (11/19), respectively. β−lactams were the most used antibiotics in both periods. Malaria was the most common diagnosis requiring the use of antimicrobials in July 2019, accounting for 19.4% of the diagnoses, whereas in January 2020, it was skin and soft-tissue conditions (28.1%). This reflects a seasonal association between malaria and rainfall patterns. Out of the antimicrobials prescribed during each of the survey periods, 95% were used for empirical treatment, and this could be attributed to a number of reasons, including logistical challenges, among others, that require further exploration in the context of local, national and international policy recommendations. © 2021 by the authors. Licensee MDPI, Basel, Switzerland.","archive":"Scopus","container-title":"Antibiotics","DOI":"10.3390/antibiotics10020199","ISSN":"2079-6382","issue":"2","language":"English","page":"1-11","source":"Scopus","title":"Antimicrobial prescription pattern in ho teaching hospital, ghana: Seasonal determination using a point prevalence survey","title-short":"Antimicrobial prescription pattern in ho teaching hospital, ghana","volume":"10","author":[{"family":"Dodoo","given":"C.C."},{"family":"Orman","given":"E."},{"family":"Alalbila","given":"T."},{"family":"Mensah","given":"A."},{"family":"Jato","given":"J."},{"family":"Mfoafo","given":"K.A."},{"family":"Folitse","given":"I."},{"family":"Hutton-Nyameaye","given":"A."},{"family":"Ben","given":"I.O."},{"family":"Mensah-Kane","given":"P."},{"family":"Sarkodie","given":"E."},{"family":"Kpokiri","given":"E."},{"family":"Ladva","given":"M."},{"family":"Awadzi","given":"B."},{"family":"Jani","given":"Y."}],"issued":{"date-parts":[["2021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(Dodoo et al., 2021)</w:t>
            </w:r>
            <w:r w:rsidRPr="000365ED">
              <w:rPr>
                <w:rFonts w:ascii="Times New Roman" w:hAnsi="Times New Roman" w:cs="Times New Roman"/>
              </w:rPr>
              <w:fldChar w:fldCharType="end"/>
            </w:r>
          </w:p>
        </w:tc>
        <w:tc>
          <w:tcPr>
            <w:tcW w:w="2736" w:type="dxa"/>
          </w:tcPr>
          <w:p w14:paraId="0113D6A9" w14:textId="158F592D" w:rsidR="00944D91" w:rsidRPr="000365ED" w:rsidRDefault="00944D91" w:rsidP="00397401">
            <w:pPr>
              <w:rPr>
                <w:rFonts w:ascii="Times New Roman" w:hAnsi="Times New Roman" w:cs="Times New Roman"/>
              </w:rPr>
            </w:pPr>
            <w:r w:rsidRPr="000365ED">
              <w:rPr>
                <w:rFonts w:ascii="Times New Roman" w:hAnsi="Times New Roman" w:cs="Times New Roman"/>
              </w:rPr>
              <w:t>Antimicrobial Prescription Pattern in Ho Teaching Hospital, Ghana: Seasonal Determination Using a Point Prevalence Survey</w:t>
            </w:r>
          </w:p>
        </w:tc>
        <w:tc>
          <w:tcPr>
            <w:tcW w:w="2329" w:type="dxa"/>
          </w:tcPr>
          <w:p w14:paraId="711EC637" w14:textId="12DA69C1" w:rsidR="00944D91" w:rsidRPr="000365ED" w:rsidRDefault="00944D91" w:rsidP="00397401">
            <w:pPr>
              <w:rPr>
                <w:rFonts w:ascii="Times New Roman" w:hAnsi="Times New Roman" w:cs="Times New Roman"/>
              </w:rPr>
            </w:pPr>
            <w:r w:rsidRPr="000365ED">
              <w:rPr>
                <w:rFonts w:ascii="Times New Roman" w:hAnsi="Times New Roman" w:cs="Times New Roman"/>
              </w:rPr>
              <w:t>In DDD</w:t>
            </w:r>
          </w:p>
        </w:tc>
      </w:tr>
      <w:tr w:rsidR="00944D91" w:rsidRPr="000365ED" w14:paraId="3116EEFF" w14:textId="77777777" w:rsidTr="00944D91">
        <w:tc>
          <w:tcPr>
            <w:tcW w:w="1698" w:type="dxa"/>
          </w:tcPr>
          <w:p w14:paraId="17E3DD39" w14:textId="2599BD86" w:rsidR="00944D91" w:rsidRPr="000365ED" w:rsidRDefault="00930A9A" w:rsidP="00397401">
            <w:pPr>
              <w:rPr>
                <w:rFonts w:ascii="Times New Roman" w:hAnsi="Times New Roman" w:cs="Times New Roman"/>
              </w:rPr>
            </w:pPr>
            <w:r w:rsidRPr="000365ED">
              <w:rPr>
                <w:rFonts w:ascii="Times New Roman" w:hAnsi="Times New Roman" w:cs="Times New Roman"/>
              </w:rPr>
              <w:t>26</w:t>
            </w:r>
          </w:p>
        </w:tc>
        <w:tc>
          <w:tcPr>
            <w:tcW w:w="2253" w:type="dxa"/>
          </w:tcPr>
          <w:p w14:paraId="5CAA4088" w14:textId="5F6A9BB2"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{"citationID":"KaRzxo6r","properties":{"formattedCitation":"(Dohou et al., 2022)","plainCitation":"(Dohou et al., 2022)","noteIndex":0},"citationItems":[{"id":8255,"uris":["http://zotero.org/users/11836539/items/X7EG78I5"],"itemData":{"id":8255,"type":"article-journal","abstract":"A low adherence to recommendations on antibiotic prophylaxis has been reported world-wide. Since 2009, cesarean sections have been performed under user fee exemption in Benin with a free kit containing the required supplies and antibiotics for prophylaxis. Despite the kit, the level of antibiotic prophylaxis achievement remains low. We conducted a convergent parallel design study in 2017 using a self-administered questionnaire and interviews to assess the knowledge and explore the beliefs of healthcare professionals regarding antibiotic prophylaxis in three hospitals. Of the 35 participants, 33 filled out the questionnaire. Based on the five conventional criteria of antibiotic prophylaxis, the mean level of knowledge was 3.3 out of 5, and only 15.2% scored 5 out of 5. From the verbatim of 19 interviewees, determinants such as suboptimal patient status health, low confi-dence in antibiotics, some disagreement with the policy, inappropriate infrastructures and limited financial resources in hospitals, poor management of the policy in the central level, and patient refusal to buy antibiotics can explain poor practices. Because of the dysfunction at these levels, the patient becomes the major determinant of adequate antibiotic prophylaxis. Policymakers have to consider these determinants for improving antibiotic prophylaxis in a way that ensures patient safety and reduces the incidence of antimicrobial resistance. © 2022 by the authors. Licensee MDPI, Basel, Switzerland.","archive":"Scopus","container-title":"Antibiotics","DOI":"10.3390/antibiotics11070872","ISSN":"2079-6382","issue":"7","language":"English","source":"Scopus","title":"Healthcare Professionals’ Knowledge and Beliefs on Antibiotic Prophylaxis in Cesarean Section: A Mixed-Methods Study in Benin","title-short":"Healthcare Professionals’ Knowledge and Beliefs on Antibiotic Prophylaxis in Cesarean Section","volume":"11","author":[{"family":"Dohou","given":"A.M."},{"family":"Buda","given":"V.O."},{"family":"Anagonou","given":"S."},{"family":"Bambeke","given":"F.V."},{"family":"Hees","given":"T.V."},{"family":"Dossou","given":"F.M."},{"family":"Dalleur","given":"O."}],"issued":{"date-parts":[["2022"]]}}}],"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(Dohou et al., 2022)</w:t>
            </w:r>
            <w:r w:rsidRPr="000365ED">
              <w:rPr>
                <w:rFonts w:ascii="Times New Roman" w:hAnsi="Times New Roman" w:cs="Times New Roman"/>
              </w:rPr>
              <w:fldChar w:fldCharType="end"/>
            </w:r>
          </w:p>
        </w:tc>
        <w:tc>
          <w:tcPr>
            <w:tcW w:w="2736" w:type="dxa"/>
          </w:tcPr>
          <w:p w14:paraId="0A7A9BB1" w14:textId="6634C3F3" w:rsidR="00944D91" w:rsidRPr="000365ED" w:rsidRDefault="00944D91" w:rsidP="00397401">
            <w:pPr>
              <w:rPr>
                <w:rFonts w:ascii="Times New Roman" w:hAnsi="Times New Roman" w:cs="Times New Roman"/>
              </w:rPr>
            </w:pPr>
            <w:r w:rsidRPr="000365ED">
              <w:rPr>
                <w:rFonts w:ascii="Times New Roman" w:hAnsi="Times New Roman" w:cs="Times New Roman"/>
              </w:rPr>
              <w:t>Healthcare Professionals’ Knowledge and Beliefs on Antibiotic Prophylaxis in Cesarean Section: A Mixed-Methods Study in Benin</w:t>
            </w:r>
          </w:p>
        </w:tc>
        <w:tc>
          <w:tcPr>
            <w:tcW w:w="2329" w:type="dxa"/>
          </w:tcPr>
          <w:p w14:paraId="1CB39990" w14:textId="69672F8F" w:rsidR="00944D91" w:rsidRPr="000365ED" w:rsidRDefault="00944D91" w:rsidP="00397401">
            <w:pPr>
              <w:rPr>
                <w:rFonts w:ascii="Times New Roman" w:hAnsi="Times New Roman" w:cs="Times New Roman"/>
              </w:rPr>
            </w:pPr>
            <w:r w:rsidRPr="000365ED">
              <w:rPr>
                <w:rFonts w:ascii="Times New Roman" w:hAnsi="Times New Roman" w:cs="Times New Roman"/>
              </w:rPr>
              <w:t>Few samples size</w:t>
            </w:r>
          </w:p>
        </w:tc>
      </w:tr>
      <w:tr w:rsidR="00944D91" w:rsidRPr="000365ED" w14:paraId="1FC04448" w14:textId="77777777" w:rsidTr="00944D91">
        <w:tc>
          <w:tcPr>
            <w:tcW w:w="1698" w:type="dxa"/>
          </w:tcPr>
          <w:p w14:paraId="7AEB06E5" w14:textId="5D6E1741" w:rsidR="00944D91" w:rsidRPr="000365ED" w:rsidRDefault="00930A9A" w:rsidP="00397401">
            <w:pPr>
              <w:rPr>
                <w:rFonts w:ascii="Times New Roman" w:hAnsi="Times New Roman" w:cs="Times New Roman"/>
              </w:rPr>
            </w:pPr>
            <w:r w:rsidRPr="000365ED">
              <w:rPr>
                <w:rFonts w:ascii="Times New Roman" w:hAnsi="Times New Roman" w:cs="Times New Roman"/>
              </w:rPr>
              <w:t>27</w:t>
            </w:r>
          </w:p>
        </w:tc>
        <w:tc>
          <w:tcPr>
            <w:tcW w:w="2253" w:type="dxa"/>
          </w:tcPr>
          <w:p w14:paraId="57DB83A1" w14:textId="1BAA9A38"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{"citationID":"FUXfBysL","properties":{"formattedCitation":"(Dougnon et al., 2020)","plainCitation":"(Dougnon et al., 2020)","noteIndex":0},"citationItems":[{"id":8388,"uris":["http://zotero.org/users/11836539/items/R5IEX5UV"],"itemData":{"id":8388,"type":"article-journal","abstract":"Background and Aim: Antibiotics have been some great effective molecules against infections since their discovery. The excessive use and misuse of antibiotics have resulted in a selection of antibiotic-resistant strains. Among the reasons involved, the prescription of antibiotics can be important. The present study aimed to contribute to the reduction of antibiotic resistance due to the misuse of antibiotics. Materials and Methods: A knowledge, attitude, and practice survey of health professionals from Savalou-Bante (230) and Dassa-Glazoué (100) health zones was performed about the prescription of antibiotics. Results: About 53% of respondents in the health zone of Savalou-Bantè were assistant nursing and only 3% of them were specialized physicians. The other respondents were physicians (3%), midwives (10%), and nurses (31%). Forty-five percent of the respondents were nurses and only 5% of them were specialized physicians in Savalou-Bantè. However, all these health professionals prescribe antibiotics. The first-line antibiotics prescribed were penicillins, cephalosporins, macrolides, aminoglycosides, and quinolones. These health professionals usually have no knowledge of the mechanism of action of these antibiotics. The antibiotics prescribed mostly were for ear, nose, and throat and upper respiratory infections (80% in Dassa-Glazoué and 79% in Savalou-Bantè). The most commonly used dosage form was tablets (58%) in the health zone of Savalou-Bantè and the injectable form in the sanitary zone of Dassa-Glazoué. Conclusion: It is important to implement a policy of rational use of antibiotics to reduce the excessive and misuse of antibiotics and prevent antibiotic resistance. © Dougnon, et al.","archive":"Scopus","container-title":"International Journal of One Health","DOI":"10.14202/IJOH.2020.34-40","ISSN":"2455-5673","issue":"1","language":"English","page":"34-40","source":"Scopus","title":"Prescription of antibiotics as a source of emerging antibiotic resistance: Knowledge, attitudes, and practices of medical staff in the Dassa-Glazoué and Savalou-Bantè's health zones (Benin, West Africa)","title-short":"Prescription of antibiotics as a source of emerging antibiotic resistance","volume":"6","author":[{"family":"Dougnon","given":"V."},{"family":"Chabi","given":"Y."},{"family":"Koudokpon","given":"H."},{"family":"Agbankpe","given":"J."},{"family":"Sefounon","given":"R."},{"family":"Alle","given":"D."},{"family":"Bankole","given":"H."},{"family":"Baba-Moussa","given":"L."}],"issued":{"date-parts":[["2020"]]}}}],"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(Dougnon et al., 2020)</w:t>
            </w:r>
            <w:r w:rsidRPr="000365ED">
              <w:rPr>
                <w:rFonts w:ascii="Times New Roman" w:hAnsi="Times New Roman" w:cs="Times New Roman"/>
              </w:rPr>
              <w:fldChar w:fldCharType="end"/>
            </w:r>
          </w:p>
        </w:tc>
        <w:tc>
          <w:tcPr>
            <w:tcW w:w="2736" w:type="dxa"/>
          </w:tcPr>
          <w:p w14:paraId="1B558CE9" w14:textId="696366A2" w:rsidR="00944D91" w:rsidRPr="000365ED" w:rsidRDefault="00944D91" w:rsidP="00397401">
            <w:pPr>
              <w:rPr>
                <w:rFonts w:ascii="Times New Roman" w:hAnsi="Times New Roman" w:cs="Times New Roman"/>
              </w:rPr>
            </w:pPr>
            <w:r w:rsidRPr="000365ED">
              <w:rPr>
                <w:rFonts w:ascii="Times New Roman" w:hAnsi="Times New Roman" w:cs="Times New Roman"/>
              </w:rPr>
              <w:t xml:space="preserve">Prescription of antibiotics as a source of emerging antibiotic resistance: Knowledge, attitudes, and practices of medical staff in the </w:t>
            </w:r>
            <w:proofErr w:type="spellStart"/>
            <w:r w:rsidRPr="000365ED">
              <w:rPr>
                <w:rFonts w:ascii="Times New Roman" w:hAnsi="Times New Roman" w:cs="Times New Roman"/>
              </w:rPr>
              <w:t>Dassa-Glazoué</w:t>
            </w:r>
            <w:proofErr w:type="spellEnd"/>
            <w:r w:rsidRPr="000365ED">
              <w:rPr>
                <w:rFonts w:ascii="Times New Roman" w:hAnsi="Times New Roman" w:cs="Times New Roman"/>
              </w:rPr>
              <w:t xml:space="preserve"> and Savalou-</w:t>
            </w:r>
            <w:proofErr w:type="spellStart"/>
            <w:r w:rsidRPr="000365ED">
              <w:rPr>
                <w:rFonts w:ascii="Times New Roman" w:hAnsi="Times New Roman" w:cs="Times New Roman"/>
              </w:rPr>
              <w:t>Bantè’s</w:t>
            </w:r>
            <w:proofErr w:type="spellEnd"/>
            <w:r w:rsidRPr="000365ED">
              <w:rPr>
                <w:rFonts w:ascii="Times New Roman" w:hAnsi="Times New Roman" w:cs="Times New Roman"/>
              </w:rPr>
              <w:t xml:space="preserve"> health zones (Benin, West Africa)</w:t>
            </w:r>
          </w:p>
        </w:tc>
        <w:tc>
          <w:tcPr>
            <w:tcW w:w="2329" w:type="dxa"/>
          </w:tcPr>
          <w:p w14:paraId="3C0B7CD1" w14:textId="3013A7A3" w:rsidR="00944D91" w:rsidRPr="000365ED" w:rsidRDefault="00944D91" w:rsidP="00397401">
            <w:pPr>
              <w:rPr>
                <w:rFonts w:ascii="Times New Roman" w:hAnsi="Times New Roman" w:cs="Times New Roman"/>
              </w:rPr>
            </w:pPr>
            <w:r w:rsidRPr="000365ED">
              <w:rPr>
                <w:rFonts w:ascii="Times New Roman" w:hAnsi="Times New Roman" w:cs="Times New Roman"/>
              </w:rPr>
              <w:t>Does not directly state the knowledge of antibiotic use as in the context of this manuscript.</w:t>
            </w:r>
          </w:p>
        </w:tc>
      </w:tr>
      <w:tr w:rsidR="00944D91" w:rsidRPr="000365ED" w14:paraId="701E3055" w14:textId="77777777" w:rsidTr="00944D91">
        <w:tc>
          <w:tcPr>
            <w:tcW w:w="1698" w:type="dxa"/>
          </w:tcPr>
          <w:p w14:paraId="7F932B18" w14:textId="186D1AB6" w:rsidR="00944D91" w:rsidRPr="000365ED" w:rsidRDefault="00930A9A" w:rsidP="00397401">
            <w:pPr>
              <w:rPr>
                <w:rFonts w:ascii="Times New Roman" w:hAnsi="Times New Roman" w:cs="Times New Roman"/>
              </w:rPr>
            </w:pPr>
            <w:r w:rsidRPr="000365ED">
              <w:rPr>
                <w:rFonts w:ascii="Times New Roman" w:hAnsi="Times New Roman" w:cs="Times New Roman"/>
              </w:rPr>
              <w:t>28</w:t>
            </w:r>
          </w:p>
        </w:tc>
        <w:tc>
          <w:tcPr>
            <w:tcW w:w="2253" w:type="dxa"/>
          </w:tcPr>
          <w:p w14:paraId="2E083647" w14:textId="25747402"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{"citationID":"odmWS41X","properties":{"formattedCitation":"(Efunshile et al., 2019)","plainCitation":"(Efunshile et al., 2019)","noteIndex":0},"citationItems":[{"id":8410,"uris":["http://zotero.org/users/11836539/items/GEEQM3VX"],"itemData":{"id":8410,"type":"article-journal","abstract":"Background: Diarrhoea remains an important cause of childhood mortality in Nigeria, with Rotavirus and Cryptosporidium reported to have the highest contribution. However, high use of antibiotics for treatment of paediatric diarrhoea has been observed, although World Health Organization guidelines discourage the use of antibiotics for treating acute diarrhoea. Here we investigated more closely management and treatment practices for acute paediatric diarrhoea, both in home and healthcare settings. Methods: Children under 5 years of age (n = 199) presenting at healthcare centres in Abakaliki, Nigeria with acute watery diarrhoea were included in the study. Background information on the children was collected by questionnaire, including home treatments, and clinical information including symptoms and treatment were provided by the healthcare centres. Analysis of faecal samples from the children indicated that over 90% had Rotavirus infection and over 6% Cryptosporidium infection. Data were compiled in a spreadsheet and analysed for associations between variables and use of antibiotics using logistic regression analysis. Results: Although most children were treated supportively (oral rehydration solution and intravenous fluids at home and in healthcare settings, respectively) over 15% were given anti-diarrhoea drugs at home and over 85% were also prescribed antibiotics at the healthcare centre, mostly ciproflaxin, but also metronidazole and gentamycin. The only variable positively associated with antibiotic prescription was diarrhoea more than three times per 24 h at admission. Conclusions: It is clear that young children presenting with acute watery diarrhoea to healthcare centres in Abakaliki are likely to be prescribed antibiotics, despite there being no obvious reason that this treatment is appropriate. Our study results support the need for institution-based antimicrobial stewardship being implemented in Nigeria. © 2019 The Author(s).","archive":"Scopus","container-title":"BMC Infectious Diseases","DOI":"10.1186/s12879-019-3899-1","ISSN":"1471-2334","issue":"1","language":"English","source":"Scopus","title":"Apparent overuse of antibiotics in the management of watery diarrhoea in children in Abakaliki, Nigeria","volume":"19","author":[{"family":"Efunshile","given":"A.M."},{"family":"Ezeanosike","given":"O."},{"family":"Nwangwu","given":"C.C."},{"family":"König","given":"B."},{"family":"Jokelainen","given":"P."},{"family":"Robertson","given":"L.J."}],"issued":{"date-parts":[["2019"]]}}}],"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(Efunshile et al., 2019)</w:t>
            </w:r>
            <w:r w:rsidRPr="000365ED">
              <w:rPr>
                <w:rFonts w:ascii="Times New Roman" w:hAnsi="Times New Roman" w:cs="Times New Roman"/>
              </w:rPr>
              <w:fldChar w:fldCharType="end"/>
            </w:r>
          </w:p>
        </w:tc>
        <w:tc>
          <w:tcPr>
            <w:tcW w:w="2736" w:type="dxa"/>
          </w:tcPr>
          <w:p w14:paraId="0C171D82" w14:textId="362537B8" w:rsidR="00944D91" w:rsidRPr="000365ED" w:rsidRDefault="00944D91" w:rsidP="00397401">
            <w:pPr>
              <w:rPr>
                <w:rFonts w:ascii="Times New Roman" w:hAnsi="Times New Roman" w:cs="Times New Roman"/>
              </w:rPr>
            </w:pPr>
            <w:r w:rsidRPr="000365ED">
              <w:rPr>
                <w:rFonts w:ascii="Times New Roman" w:hAnsi="Times New Roman" w:cs="Times New Roman"/>
              </w:rPr>
              <w:t xml:space="preserve">Apparent overuse of antibiotics in the management of watery </w:t>
            </w:r>
            <w:proofErr w:type="spellStart"/>
            <w:r w:rsidRPr="000365ED">
              <w:rPr>
                <w:rFonts w:ascii="Times New Roman" w:hAnsi="Times New Roman" w:cs="Times New Roman"/>
              </w:rPr>
              <w:t>diarrhoea</w:t>
            </w:r>
            <w:proofErr w:type="spellEnd"/>
            <w:r w:rsidRPr="000365ED">
              <w:rPr>
                <w:rFonts w:ascii="Times New Roman" w:hAnsi="Times New Roman" w:cs="Times New Roman"/>
              </w:rPr>
              <w:t xml:space="preserve"> in children in </w:t>
            </w:r>
            <w:proofErr w:type="spellStart"/>
            <w:r w:rsidRPr="000365ED">
              <w:rPr>
                <w:rFonts w:ascii="Times New Roman" w:hAnsi="Times New Roman" w:cs="Times New Roman"/>
              </w:rPr>
              <w:t>Abakaliki</w:t>
            </w:r>
            <w:proofErr w:type="spellEnd"/>
            <w:r w:rsidRPr="000365ED">
              <w:rPr>
                <w:rFonts w:ascii="Times New Roman" w:hAnsi="Times New Roman" w:cs="Times New Roman"/>
              </w:rPr>
              <w:t>, Nigeria</w:t>
            </w:r>
          </w:p>
        </w:tc>
        <w:tc>
          <w:tcPr>
            <w:tcW w:w="2329" w:type="dxa"/>
          </w:tcPr>
          <w:p w14:paraId="6DD3C44A" w14:textId="6E79EE9F" w:rsidR="00944D91" w:rsidRPr="000365ED" w:rsidRDefault="00944D91" w:rsidP="00397401">
            <w:pPr>
              <w:rPr>
                <w:rFonts w:ascii="Times New Roman" w:hAnsi="Times New Roman" w:cs="Times New Roman"/>
              </w:rPr>
            </w:pPr>
            <w:r w:rsidRPr="000365ED">
              <w:rPr>
                <w:rFonts w:ascii="Times New Roman" w:hAnsi="Times New Roman" w:cs="Times New Roman"/>
              </w:rPr>
              <w:t>Not in line with the theme of our manuscript. Antibiotic consumption not in DDD</w:t>
            </w:r>
          </w:p>
        </w:tc>
      </w:tr>
      <w:tr w:rsidR="00944D91" w:rsidRPr="000365ED" w14:paraId="0D98293A" w14:textId="77777777" w:rsidTr="00944D91">
        <w:tc>
          <w:tcPr>
            <w:tcW w:w="1698" w:type="dxa"/>
          </w:tcPr>
          <w:p w14:paraId="4A306BCB" w14:textId="09D61CBC" w:rsidR="00944D91" w:rsidRPr="000365ED" w:rsidRDefault="00930A9A" w:rsidP="00397401">
            <w:pPr>
              <w:rPr>
                <w:rFonts w:ascii="Times New Roman" w:hAnsi="Times New Roman" w:cs="Times New Roman"/>
              </w:rPr>
            </w:pPr>
            <w:r w:rsidRPr="000365ED">
              <w:rPr>
                <w:rFonts w:ascii="Times New Roman" w:hAnsi="Times New Roman" w:cs="Times New Roman"/>
              </w:rPr>
              <w:t>29</w:t>
            </w:r>
          </w:p>
        </w:tc>
        <w:tc>
          <w:tcPr>
            <w:tcW w:w="2253" w:type="dxa"/>
          </w:tcPr>
          <w:p w14:paraId="51312AFC" w14:textId="4BE924AA" w:rsidR="00944D91" w:rsidRPr="000365ED" w:rsidRDefault="00944D9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{"citationID":"tj2N5wk0","properties":{"formattedCitation":"(Ekwochi et al., 2014)","plainCitation":"(Ekwochi et al., 2014)","noteIndex":0},"citationItems":[{"id":8473,"uris":["http://zotero.org/users/11836539/items/9BUI36BX"],"itemData":{"id":8473,"type":"article-journal","abstract":"Background: It is a documented fact that upper respiratory tract infection (URTI) is more of a viral illness. Objectives: This study aims at documenting the prevalence of the use of unprescribed antibiotics in children aged 5 years with upper respiratory symptomatology. Methods: Four hundred twenty-three mother-child pairs were enrolled for this study. Chi-square and logistic regression analysis were used to find association between use of unprescribed antibiotics and variables of interest. Results: The prevalence of unprescribed antibiotics in children aged 5 years in the management of URTI is 75.9%. The antibiotics abuse was commoner in older children with URTI (45.9% in children aged 12-24 months) and among mothers with higher educational attainment. Conclusion: Antibiotics abuse among mothers is high. Government, through its responsible agencies, should enforce stricter control or outrightly stop sale of antibiotics over-the-counter to prevent the dreaded antibiotics resistance. © The Author [2014]. Published by Oxford University Press.","archive":"Scopus","container-title":"Journal of Tropical Pediatrics","DOI":"10.1093/tropej/fmt111","ISSN":"0142-6338","issue":"3","language":"English","page":"249-252","source":"Scopus","title":"The use of unprescribed antibiotics in management of upper respiratory tract infection in children in Enugu, South East Nigeria","volume":"60","author":[{"family":"Ekwochi","given":"U."},{"family":"Chinawa","given":"J.M."},{"family":"Osuorah","given":"C.D.I."},{"family":"Odetunde","given":"O.I."},{"family":"Obu","given":"H.A."},{"family":"Agwu","given":"S."}],"issued":{"date-parts":[["2014"]]}}}],"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(Ekwochi et al., 2014)</w:t>
            </w:r>
            <w:r w:rsidRPr="000365ED">
              <w:rPr>
                <w:rFonts w:ascii="Times New Roman" w:hAnsi="Times New Roman" w:cs="Times New Roman"/>
              </w:rPr>
              <w:fldChar w:fldCharType="end"/>
            </w:r>
          </w:p>
        </w:tc>
        <w:tc>
          <w:tcPr>
            <w:tcW w:w="2736" w:type="dxa"/>
          </w:tcPr>
          <w:p w14:paraId="664AD3FF" w14:textId="0D0ECF4C" w:rsidR="00944D91" w:rsidRPr="000365ED" w:rsidRDefault="00944D91" w:rsidP="00397401">
            <w:pPr>
              <w:rPr>
                <w:rFonts w:ascii="Times New Roman" w:hAnsi="Times New Roman" w:cs="Times New Roman"/>
              </w:rPr>
            </w:pPr>
            <w:r w:rsidRPr="000365ED">
              <w:rPr>
                <w:rFonts w:ascii="Times New Roman" w:hAnsi="Times New Roman" w:cs="Times New Roman"/>
              </w:rPr>
              <w:t xml:space="preserve">The Use of Unprescribed Antibiotics in Management of Upper Respiratory Tract Infection in Children in </w:t>
            </w:r>
            <w:r w:rsidRPr="000365ED">
              <w:rPr>
                <w:rFonts w:ascii="Times New Roman" w:hAnsi="Times New Roman" w:cs="Times New Roman"/>
              </w:rPr>
              <w:lastRenderedPageBreak/>
              <w:t>Enugu, South East Nigeria</w:t>
            </w:r>
          </w:p>
        </w:tc>
        <w:tc>
          <w:tcPr>
            <w:tcW w:w="2329" w:type="dxa"/>
          </w:tcPr>
          <w:p w14:paraId="5FB3BE4B" w14:textId="49DD6616" w:rsidR="00944D91" w:rsidRPr="000365ED" w:rsidRDefault="00944D91" w:rsidP="00397401">
            <w:pPr>
              <w:rPr>
                <w:rFonts w:ascii="Times New Roman" w:hAnsi="Times New Roman" w:cs="Times New Roman"/>
              </w:rPr>
            </w:pPr>
            <w:r w:rsidRPr="000365ED">
              <w:rPr>
                <w:rFonts w:ascii="Times New Roman" w:hAnsi="Times New Roman" w:cs="Times New Roman"/>
              </w:rPr>
              <w:lastRenderedPageBreak/>
              <w:t>It is a report</w:t>
            </w:r>
          </w:p>
        </w:tc>
      </w:tr>
      <w:tr w:rsidR="00944D91" w:rsidRPr="000365ED" w14:paraId="5CC0316F" w14:textId="77777777" w:rsidTr="00944D91">
        <w:tc>
          <w:tcPr>
            <w:tcW w:w="1698" w:type="dxa"/>
          </w:tcPr>
          <w:p w14:paraId="39E002E1" w14:textId="3C5DE027" w:rsidR="00944D91" w:rsidRPr="000365ED" w:rsidRDefault="00930A9A" w:rsidP="00397401">
            <w:pPr>
              <w:rPr>
                <w:rFonts w:ascii="Times New Roman" w:hAnsi="Times New Roman" w:cs="Times New Roman"/>
              </w:rPr>
            </w:pPr>
            <w:r w:rsidRPr="000365ED">
              <w:rPr>
                <w:rFonts w:ascii="Times New Roman" w:hAnsi="Times New Roman" w:cs="Times New Roman"/>
              </w:rPr>
              <w:t>30</w:t>
            </w:r>
          </w:p>
        </w:tc>
        <w:tc>
          <w:tcPr>
            <w:tcW w:w="2253" w:type="dxa"/>
          </w:tcPr>
          <w:p w14:paraId="217251B7" w14:textId="657861B5" w:rsidR="00944D91" w:rsidRPr="000365ED" w:rsidRDefault="00431F1B"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{"citationID":"XfESR5pW","properties":{"formattedCitation":"(Esan et al., 2018)","plainCitation":"(Esan et al., 2018)","noteIndex":0},"citationItems":[{"id":8432,"uris":["http://zotero.org/users/11836539/items/W977H26Y"],"itemData":{"id":8432,"type":"article-journal","abstract":"Background. Self-medication is the use of drugs to treat self-diagnosed disorders or symptoms or the intermittent or continued use of prescribed drug for chronic or recurrent disease or symptoms, and it is mostly common in developing countries. This study therefore assessed the practice of self-medication among undergraduate students of a private university in Nigeria. Methods. The study employed a descriptive cross-sectional design. A pretested questionnaire was self-administered to 384 undergraduate students of the university. Data were analysed and summarised using descriptive and inferential statistics such as chi-squared and Fisher's exact tests. Results. Overall, 297 (81.8%) undergraduate students practiced self-medication. About 71% of the students had used analgesic, antibiotics (10.5%), and antimalarial drugs (33%) without prescription within one month prior to the survey. The most commonly used drug for self-medication was paracetamol (75.1%). Furthermore, self-medication was found to be significantly associated with age (p=0.021), gender (p&lt;0.001), college (p=0.025), and year of study (p=0.004). Some of the reasons why undergraduate students practiced self-medication were because of the unfriendly attitude of health care workers (27.7%), lack of time to go to school clinic (26.7%), school clinic is too far from hostel (15.3%), and drugs prescribed in the school clinic do not improve health condition (15.3%). Conclusion. Majority of the students attributed the practice of self-medication to unfriendly attitude of health care workers in the university clinic. © 2018 Deborah Tolulope Esan et al.","archive":"Scopus","container-title":"Journal of Environmental and Public Health","DOI":"10.1155/2018/5439079","ISSN":"1687-9805","language":"English","source":"Scopus","title":"Assessment of Self-Medication Practices and Its Associated Factors among Undergraduates of a Private University in Nigeria","volume":"2018","author":[{"family":"Esan","given":"D.T."},{"family":"Fasoro","given":"A.A."},{"family":"Odesanya","given":"O.E."},{"family":"Esan","given":"T.O."},{"family":"Ojo","given":"E.F."},{"family":"Faeji","given":"C.O."}],"issued":{"date-parts":[["2018"]]}}}],"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(Esan et al., 2018)</w:t>
            </w:r>
            <w:r w:rsidRPr="000365ED">
              <w:rPr>
                <w:rFonts w:ascii="Times New Roman" w:hAnsi="Times New Roman" w:cs="Times New Roman"/>
              </w:rPr>
              <w:fldChar w:fldCharType="end"/>
            </w:r>
          </w:p>
        </w:tc>
        <w:tc>
          <w:tcPr>
            <w:tcW w:w="2736" w:type="dxa"/>
          </w:tcPr>
          <w:p w14:paraId="39B5A36F" w14:textId="5881C6AD" w:rsidR="00944D91" w:rsidRPr="000365ED" w:rsidRDefault="00431F1B" w:rsidP="00397401">
            <w:pPr>
              <w:rPr>
                <w:rFonts w:ascii="Times New Roman" w:hAnsi="Times New Roman" w:cs="Times New Roman"/>
              </w:rPr>
            </w:pPr>
            <w:r w:rsidRPr="000365ED">
              <w:rPr>
                <w:rFonts w:ascii="Times New Roman" w:hAnsi="Times New Roman" w:cs="Times New Roman"/>
              </w:rPr>
              <w:t>Assessment of Self-Medication Practices and Its Associated Factors among Undergraduates of a Private University in Nigeria</w:t>
            </w:r>
          </w:p>
        </w:tc>
        <w:tc>
          <w:tcPr>
            <w:tcW w:w="2329" w:type="dxa"/>
          </w:tcPr>
          <w:p w14:paraId="084BBDE2" w14:textId="79762DD4" w:rsidR="00944D91" w:rsidRPr="000365ED" w:rsidRDefault="00431F1B" w:rsidP="00397401">
            <w:pPr>
              <w:rPr>
                <w:rFonts w:ascii="Times New Roman" w:hAnsi="Times New Roman" w:cs="Times New Roman"/>
              </w:rPr>
            </w:pPr>
            <w:r w:rsidRPr="000365ED">
              <w:rPr>
                <w:rFonts w:ascii="Times New Roman" w:hAnsi="Times New Roman" w:cs="Times New Roman"/>
              </w:rPr>
              <w:t>Not on only antibiotics</w:t>
            </w:r>
          </w:p>
        </w:tc>
      </w:tr>
      <w:tr w:rsidR="00944D91" w:rsidRPr="000365ED" w14:paraId="04AF0A83" w14:textId="77777777" w:rsidTr="00944D91">
        <w:tc>
          <w:tcPr>
            <w:tcW w:w="1698" w:type="dxa"/>
          </w:tcPr>
          <w:p w14:paraId="36568E46" w14:textId="07A9D2D2" w:rsidR="00944D91" w:rsidRPr="000365ED" w:rsidRDefault="00930A9A" w:rsidP="00397401">
            <w:pPr>
              <w:rPr>
                <w:rFonts w:ascii="Times New Roman" w:hAnsi="Times New Roman" w:cs="Times New Roman"/>
              </w:rPr>
            </w:pPr>
            <w:r w:rsidRPr="000365ED">
              <w:rPr>
                <w:rFonts w:ascii="Times New Roman" w:hAnsi="Times New Roman" w:cs="Times New Roman"/>
              </w:rPr>
              <w:t>31</w:t>
            </w:r>
          </w:p>
        </w:tc>
        <w:tc>
          <w:tcPr>
            <w:tcW w:w="2253" w:type="dxa"/>
          </w:tcPr>
          <w:p w14:paraId="54356137" w14:textId="3C0571A3" w:rsidR="00944D91" w:rsidRPr="000365ED" w:rsidRDefault="00431F1B"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{"citationID":"lBzfOcbe","properties":{"formattedCitation":"(Ezeonu et al., 2017)","plainCitation":"(Ezeonu et al., 2017)","noteIndex":0},"citationItems":[{"id":8459,"uris":["http://zotero.org/users/11836539/items/3SD6ID9X"],"itemData":{"id":8459,"type":"article-journal","abstract":"Background: Overgrowth of candida results from factors that disrupt the intestinal microbial balance, such as the use of antibiotics. Unregulated antibiotic use and rampant practice of self-medication in Nigeria, is a cause for concern. Methods: A total of 314 stool specimens were collected from children &amp;lt;1 to 12 years of age in Nsukka, South Eastern Nigeria and screened for candida species using standard methods. Questionnaires were used to collect relevant information on the participants. Results: Out of the 314 participants, 31.2% had candidiasis, indicated by growth of ≥105 CFU/ml. Four different species of candida were identified. Candida albicans had the highest prevalence (59.0%), while Candida krusei had the least prevalence (6.0%). Of the 314 participants, 46.5% had diarrhoea, out of which 58.9% had intestinal candidiasis while only 14.3% of the non-diarrhoeic children had candidiasis. Of 208 participants who had taken antibiotics within three weeks of the study, 42.3% had candidiasis compared to 20.8% of those with no recent history of antibiotic use. Conclusion: The results of this study showed a high prevalence of intestinal candidiasis among children in Nsukka. Strong associations were observed between the presence of intestinal candidiasis and diarrhoea, age and use of antibiotics (p&amp;lt;0.001). © 2017 Ezeonu et al.","archive":"Scopus","container-title":"African Health Sciences","DOI":"10.4314/ahs.v17i4.27","ISSN":"1680-6905","issue":"4","language":"English","page":"1178-1184","source":"Scopus","title":"Intestinal candidiasis and antibiotic usage in children: Case study of Nsukka, South Eastern Nigeria","title-short":"Intestinal candidiasis and antibiotic usage in children","volume":"17","author":[{"family":"Ezeonu","given":"I.M."},{"family":"Ntun","given":"N.W."},{"family":"Ugwu","given":"K.O."}],"issued":{"date-parts":[["2017"]]}}}],"schema":"https://github.com/citation-style-language/schema/raw/master/csl-citation.json"}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(Ezeonu et al., 2017)</w:t>
            </w:r>
            <w:r w:rsidRPr="000365ED">
              <w:rPr>
                <w:rFonts w:ascii="Times New Roman" w:hAnsi="Times New Roman" w:cs="Times New Roman"/>
              </w:rPr>
              <w:fldChar w:fldCharType="end"/>
            </w:r>
          </w:p>
        </w:tc>
        <w:tc>
          <w:tcPr>
            <w:tcW w:w="2736" w:type="dxa"/>
          </w:tcPr>
          <w:p w14:paraId="1EDF586B" w14:textId="0098EA45" w:rsidR="00944D91" w:rsidRPr="000365ED" w:rsidRDefault="00431F1B" w:rsidP="00397401">
            <w:pPr>
              <w:rPr>
                <w:rFonts w:ascii="Times New Roman" w:hAnsi="Times New Roman" w:cs="Times New Roman"/>
              </w:rPr>
            </w:pPr>
            <w:r w:rsidRPr="000365ED">
              <w:rPr>
                <w:rFonts w:ascii="Times New Roman" w:hAnsi="Times New Roman" w:cs="Times New Roman"/>
              </w:rPr>
              <w:t>Intestinal candidiasis and antibiotic usage in children: case study of Nsukka, South Eastern Nigeria.</w:t>
            </w:r>
          </w:p>
        </w:tc>
        <w:tc>
          <w:tcPr>
            <w:tcW w:w="2329" w:type="dxa"/>
          </w:tcPr>
          <w:p w14:paraId="794FC7C0" w14:textId="55DAAB97" w:rsidR="00944D91" w:rsidRPr="000365ED" w:rsidRDefault="00431F1B" w:rsidP="00397401">
            <w:pPr>
              <w:rPr>
                <w:rFonts w:ascii="Times New Roman" w:hAnsi="Times New Roman" w:cs="Times New Roman"/>
              </w:rPr>
            </w:pPr>
            <w:r w:rsidRPr="000365ED">
              <w:rPr>
                <w:rFonts w:ascii="Times New Roman" w:hAnsi="Times New Roman" w:cs="Times New Roman"/>
              </w:rPr>
              <w:t>On candidiasis</w:t>
            </w:r>
          </w:p>
        </w:tc>
      </w:tr>
      <w:tr w:rsidR="00944D91" w:rsidRPr="000365ED" w14:paraId="24D7485F" w14:textId="77777777" w:rsidTr="00944D91">
        <w:tc>
          <w:tcPr>
            <w:tcW w:w="1698" w:type="dxa"/>
          </w:tcPr>
          <w:p w14:paraId="69C07ED6" w14:textId="1C4522E0" w:rsidR="00944D91" w:rsidRPr="000365ED" w:rsidRDefault="00930A9A" w:rsidP="00397401">
            <w:pPr>
              <w:rPr>
                <w:rFonts w:ascii="Times New Roman" w:hAnsi="Times New Roman" w:cs="Times New Roman"/>
              </w:rPr>
            </w:pPr>
            <w:r w:rsidRPr="000365ED">
              <w:rPr>
                <w:rFonts w:ascii="Times New Roman" w:hAnsi="Times New Roman" w:cs="Times New Roman"/>
              </w:rPr>
              <w:t>32</w:t>
            </w:r>
          </w:p>
        </w:tc>
        <w:tc>
          <w:tcPr>
            <w:tcW w:w="2253" w:type="dxa"/>
          </w:tcPr>
          <w:p w14:paraId="4A32FD82" w14:textId="0EB810D9" w:rsidR="00944D91" w:rsidRPr="000365ED" w:rsidRDefault="00D2432E"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{"citationID":"VRVJFDvj","properties":{"formattedCitation":"(J. Fadare et al., 2015)","plainCitation":"(J. Fadare et al., 2015)","noteIndex":0},"citationItems":[{"id":8469,"uris":["http://zotero.org/users/11836539/items/BHY9AAIZ"],"itemData":{"id":8469,"type":"article-journal","abstract":"CONCLUSION: This study showed that over-prescription of antibiotics, significant use of injections and prescribing by generic name are real issues among Nigerian paediatric prescribers.\nBACKGROUND: The audit of drug prescribing pattern in under-five children is essential in identifying the various types of non-rational prescribing such as polypharmacy and irrational use of antimicrobials. The primary objective of this study was to determine the drug prescribing pattern for children aged below five years attending the paediatric outpatient clinic of a tertiary hospital in Ado-Ekiti, South-West Nigeria.\nMETHODS: A cross-sectional study was carried out using the medical records of patients who attended the paediatric clinic of the hospital between April 1 and October 30, 2013. The medical records of patients aged below five years were selected monthly for the period of the study using a regular interval ratio. Drug use indicators were assessed using the WHO guidelines on investigation of drug use in health care facilities.\nRESULTS: There were 293(55.7%) prescriptions collected from male patients and 233(44.3% from female patients with a total of 1369 prescribed drugs (2.6 ± 1.1 drugs per prescription). A total of three hundred and seventy-four (71.1%) patients had at least one antibiotic prescribed with antibiotics accounting for 28.2% of all drugs prescribed, while 13.5% of all encounters had an injection prescribed. Prescribing by generic name was done in 68.9 ± 26.5% of all prescribed medications, and 60.4% of all prescribed medications were from the latest version of the Nigerian Essential Drug List. Three hundred and twelve children (59.3%) had at least one anti-malarial drug prescribed while analgesics drugs accounted for 6.1% of all prescriptions.","archive":"Scopus","container-title":"Ethiopian journal of health sciences","DOI":"10.4314/ejhs.v25i1.10","ISSN":"1029-1857","issue":"1","language":"English","page":"73-78","source":"Scopus","title":"Drug prescribing pattern for under-fives in a paediatric clinic in South-Western Nigeria","volume":"25","author":[{"family":"Fadare","given":"J."},{"family":"Olatunya","given":"O."},{"family":"Oluwayemi","given":"O."},{"family":"Ogundare","given":"O."}],"issued":{"date-parts":[["2015"]]}}}],"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(J. Fadare et al., 2015)</w:t>
            </w:r>
            <w:r w:rsidRPr="000365ED">
              <w:rPr>
                <w:rFonts w:ascii="Times New Roman" w:hAnsi="Times New Roman" w:cs="Times New Roman"/>
              </w:rPr>
              <w:fldChar w:fldCharType="end"/>
            </w:r>
          </w:p>
        </w:tc>
        <w:tc>
          <w:tcPr>
            <w:tcW w:w="2736" w:type="dxa"/>
          </w:tcPr>
          <w:p w14:paraId="21344DBA" w14:textId="442E7E00" w:rsidR="00944D91" w:rsidRPr="000365ED" w:rsidRDefault="006821D0" w:rsidP="00397401">
            <w:pPr>
              <w:rPr>
                <w:rFonts w:ascii="Times New Roman" w:hAnsi="Times New Roman" w:cs="Times New Roman"/>
              </w:rPr>
            </w:pPr>
            <w:r w:rsidRPr="000365ED">
              <w:rPr>
                <w:rFonts w:ascii="Times New Roman" w:hAnsi="Times New Roman" w:cs="Times New Roman"/>
              </w:rPr>
              <w:t xml:space="preserve">Drug prescribing pattern for under-fives in a </w:t>
            </w:r>
            <w:proofErr w:type="spellStart"/>
            <w:r w:rsidRPr="000365ED">
              <w:rPr>
                <w:rFonts w:ascii="Times New Roman" w:hAnsi="Times New Roman" w:cs="Times New Roman"/>
              </w:rPr>
              <w:t>paediatric</w:t>
            </w:r>
            <w:proofErr w:type="spellEnd"/>
            <w:r w:rsidRPr="000365ED">
              <w:rPr>
                <w:rFonts w:ascii="Times New Roman" w:hAnsi="Times New Roman" w:cs="Times New Roman"/>
              </w:rPr>
              <w:t xml:space="preserve"> clinic in south-western Nigeria</w:t>
            </w:r>
          </w:p>
        </w:tc>
        <w:tc>
          <w:tcPr>
            <w:tcW w:w="2329" w:type="dxa"/>
          </w:tcPr>
          <w:p w14:paraId="6E96A8D1" w14:textId="27A5057C" w:rsidR="00944D91" w:rsidRPr="000365ED" w:rsidRDefault="00431F1B" w:rsidP="00397401">
            <w:pPr>
              <w:rPr>
                <w:rFonts w:ascii="Times New Roman" w:hAnsi="Times New Roman" w:cs="Times New Roman"/>
              </w:rPr>
            </w:pPr>
            <w:proofErr w:type="spellStart"/>
            <w:r w:rsidRPr="000365ED">
              <w:rPr>
                <w:rFonts w:ascii="Times New Roman" w:hAnsi="Times New Roman" w:cs="Times New Roman"/>
              </w:rPr>
              <w:t>Its</w:t>
            </w:r>
            <w:proofErr w:type="spellEnd"/>
            <w:r w:rsidRPr="000365ED">
              <w:rPr>
                <w:rFonts w:ascii="Times New Roman" w:hAnsi="Times New Roman" w:cs="Times New Roman"/>
              </w:rPr>
              <w:t xml:space="preserve"> on </w:t>
            </w:r>
            <w:r w:rsidR="00462534" w:rsidRPr="00A34F31">
              <w:rPr>
                <w:rFonts w:ascii="Times New Roman" w:hAnsi="Times New Roman" w:cs="Times New Roman"/>
              </w:rPr>
              <w:t>appropriate antibiotic prescription</w:t>
            </w:r>
            <w:r w:rsidR="00D2432E" w:rsidRPr="000365ED">
              <w:rPr>
                <w:rFonts w:ascii="Times New Roman" w:hAnsi="Times New Roman" w:cs="Times New Roman"/>
              </w:rPr>
              <w:t xml:space="preserve"> but overall prescribing appropriateness is unavailable</w:t>
            </w:r>
          </w:p>
        </w:tc>
      </w:tr>
      <w:tr w:rsidR="00944D91" w:rsidRPr="000365ED" w14:paraId="29BF2856" w14:textId="77777777" w:rsidTr="00944D91">
        <w:tc>
          <w:tcPr>
            <w:tcW w:w="1698" w:type="dxa"/>
          </w:tcPr>
          <w:p w14:paraId="4D684853" w14:textId="767DFFF2" w:rsidR="00944D91" w:rsidRPr="000365ED" w:rsidRDefault="00930A9A" w:rsidP="00397401">
            <w:pPr>
              <w:rPr>
                <w:rFonts w:ascii="Times New Roman" w:hAnsi="Times New Roman" w:cs="Times New Roman"/>
              </w:rPr>
            </w:pPr>
            <w:r w:rsidRPr="000365ED">
              <w:rPr>
                <w:rFonts w:ascii="Times New Roman" w:hAnsi="Times New Roman" w:cs="Times New Roman"/>
              </w:rPr>
              <w:t>33</w:t>
            </w:r>
          </w:p>
        </w:tc>
        <w:tc>
          <w:tcPr>
            <w:tcW w:w="2253" w:type="dxa"/>
          </w:tcPr>
          <w:p w14:paraId="72003475" w14:textId="28732B8E" w:rsidR="00944D91" w:rsidRPr="000365ED" w:rsidRDefault="00D2432E"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{"citationID":"eQBKksxz","properties":{"formattedCitation":"(J. O. Fadare et al., 2019)","plainCitation":"(J. O. Fadare et al., 2019)","noteIndex":0},"citationItems":[{"id":8403,"uris":["http://zotero.org/users/11836539/items/PLH7YK8B"],"itemData":{"id":8403,"type":"article-journal","abstract":"Objectives: The problem of antimicrobial resistance (AMR) is increasing worldwide, with health-related and economic consequences. This is a concern in Africa, including Nigeria, the most populous country in Africa, with its high rates of infectious diseases. Approaches to reducing AMR include instigating antimicrobial stewardship programmes (ASPs) in hospitals. Currently, no information is available regarding the extent of ASPs in Nigerian hospitals. Consequently, the objective was to address this starting in tertiary hospitals. Methods: This was a cross-sectional, questionnaire-based study among tertiary healthcare facilities. Tertiary hospitals were chosen initially since if there are concerns in these training hospitals, such concerns will likely to be exacerbated in other hospitals. Results: Completed questionnaires were received from 17 of 25 tertiary healthcare facilities across five of the six geopolitical regions of Nigeria. Ten (59%), four (24%), two (12%) and one (6%) respondents were in internal medicine, infectious diseases, medical microbiology and clinical pharmacology, respectively. Only six healthcare facilities (35%) had a formal organisational structure and a team responsible for ASP. Facility-specific treatment recommendations, based on local AMR patterns, were available in only four facilities (24%). Policies on approval for prescribing specified antimicrobials and formal procedures for reviewing their appropriateness after 48 h were present in only two facilities (12%). A cumulative antimicrobial susceptibility report for the previous year was available in only two facilities (12%), and only one facility routinely monitored antimicrobial use. Conclusion: Significant inadequacies in the availability of ASPs were observed. This needs to be urgently addressed to reduce AMR rates in Nigeria. © 2018 International Society for Chemotherapy of Infection and Cancer","archive":"Scopus","container-title":"Journal of Global Antimicrobial Resistance","DOI":"10.1016/j.jgar.2018.11.025","ISSN":"2213-7165","language":"English","page":"132-136","source":"Scopus","title":"Status of antimicrobial stewardship programmes in Nigerian tertiary healthcare facilities: Findings and implications","title-short":"Status of antimicrobial stewardship programmes in Nigerian tertiary healthcare facilities","volume":"17","author":[{"family":"Fadare","given":"J.O."},{"family":"Ogunleye","given":"O."},{"family":"Iliyasu","given":"G."},{"family":"Adeoti","given":"A."},{"family":"Schellack","given":"N."},{"family":"Engler","given":"D."},{"family":"Massele","given":"A."},{"family":"Godman","given":"B."}],"issued":{"date-parts":[["2019"]]}}}],"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(J. O. Fadare et al., 2019)</w:t>
            </w:r>
            <w:r w:rsidRPr="000365ED">
              <w:rPr>
                <w:rFonts w:ascii="Times New Roman" w:hAnsi="Times New Roman" w:cs="Times New Roman"/>
              </w:rPr>
              <w:fldChar w:fldCharType="end"/>
            </w:r>
          </w:p>
        </w:tc>
        <w:tc>
          <w:tcPr>
            <w:tcW w:w="2736" w:type="dxa"/>
          </w:tcPr>
          <w:p w14:paraId="0CE96571" w14:textId="0A4343F9" w:rsidR="00944D91" w:rsidRPr="000365ED" w:rsidRDefault="00D2432E" w:rsidP="00397401">
            <w:pPr>
              <w:rPr>
                <w:rFonts w:ascii="Times New Roman" w:hAnsi="Times New Roman" w:cs="Times New Roman"/>
              </w:rPr>
            </w:pPr>
            <w:r w:rsidRPr="000365ED">
              <w:rPr>
                <w:rFonts w:ascii="Times New Roman" w:hAnsi="Times New Roman" w:cs="Times New Roman"/>
              </w:rPr>
              <w:t>Status of antimicrobial stewardship programs in Nigerian tertiary healthcare facilities; findings and implications</w:t>
            </w:r>
          </w:p>
        </w:tc>
        <w:tc>
          <w:tcPr>
            <w:tcW w:w="2329" w:type="dxa"/>
          </w:tcPr>
          <w:p w14:paraId="70E55A1E" w14:textId="2403F50B" w:rsidR="00944D91" w:rsidRPr="000365ED" w:rsidRDefault="00D2432E" w:rsidP="00397401">
            <w:pPr>
              <w:rPr>
                <w:rFonts w:ascii="Times New Roman" w:hAnsi="Times New Roman" w:cs="Times New Roman"/>
              </w:rPr>
            </w:pPr>
            <w:r w:rsidRPr="000365ED">
              <w:rPr>
                <w:rFonts w:ascii="Times New Roman" w:hAnsi="Times New Roman" w:cs="Times New Roman"/>
              </w:rPr>
              <w:t>Did not report on any outcome such as improvement after application of AMS</w:t>
            </w:r>
          </w:p>
        </w:tc>
      </w:tr>
      <w:tr w:rsidR="00944D91" w:rsidRPr="000365ED" w14:paraId="41830D29" w14:textId="77777777" w:rsidTr="00944D91">
        <w:tc>
          <w:tcPr>
            <w:tcW w:w="1698" w:type="dxa"/>
          </w:tcPr>
          <w:p w14:paraId="31E77BF0" w14:textId="1B283CAF" w:rsidR="00944D91" w:rsidRPr="000365ED" w:rsidRDefault="00930A9A" w:rsidP="00397401">
            <w:pPr>
              <w:rPr>
                <w:rFonts w:ascii="Times New Roman" w:hAnsi="Times New Roman" w:cs="Times New Roman"/>
              </w:rPr>
            </w:pPr>
            <w:r w:rsidRPr="000365ED">
              <w:rPr>
                <w:rFonts w:ascii="Times New Roman" w:hAnsi="Times New Roman" w:cs="Times New Roman"/>
              </w:rPr>
              <w:t>34</w:t>
            </w:r>
          </w:p>
        </w:tc>
        <w:tc>
          <w:tcPr>
            <w:tcW w:w="2253" w:type="dxa"/>
          </w:tcPr>
          <w:p w14:paraId="257B3366" w14:textId="2289B85C" w:rsidR="00944D91" w:rsidRPr="000365ED" w:rsidRDefault="00D2432E"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{"citationID":"qBi38nCe","properties":{"formattedCitation":"(Fredua-Agyeman et al., 2020)","plainCitation":"(Fredua-Agyeman et al., 2020)","noteIndex":0},"citationItems":[{"id":8097,"uris":["http://zotero.org/users/11836539/items/LBE9FCVC"],"itemData":{"id":8097,"type":"article-journal","abstract":"Introduction: This study sought to identify the association of antibiotic prescribing and the risk of antibiotic-associated diarrhoea (AAD) in Korle Bu Teaching Hospital (KBTH) in Ghana.\nMethodology: Patients from the Male Urology Ward and Treatment Room of the Surgical Department of KBTH were followed up over three months to determine if they had experienced any unusual diarrhoeal illness after antibiotic therapy. 81 eligible patients (adults) were included in the study but a total of 70 patients (mean age of 56.71 years) were successfully followed up during the study period.\nResults: The top conditions presented by patients were urological infection (66.7%), cancer (15.3%) and leg ulcer (18.1%). Ciprofloxacin (50%) and ceftriaxone (28.5%) were the most prescribed antibiotics. Eleven patients (more than 1 in 7) developed diarrhoea that could be associated with their use of antibiotics. The occurrence of AAD was significantly associated with type of antibiotic used by patient. 73% of patients who developed symptoms of AAD had received Clindamycin. Risk of AAD was not significantly associated with age and comorbidities.\nConclusions: The rate of AAD in the Male Urology Ward and the Treatment Room of the Surgical Department of KBTH during the period of this study was 15.7%. Clindamycin was identified as the most implicated antibiotic.","container-title":"The Journal of Infection in Developing Countries","DOI":"10.3855/jidc.11259","ISSN":"1972-2680","issue":"08","language":"en","license":"Copyright (c) 2020 Mansa Fredua-Agyeman, Blessing Onwukwe, Nii Armah Adu-Aryee","note":"number: 08","page":"861-868","source":"jidc.org","title":"Antibiotic prescribing and the risk of antibiotic–associated diarrhoea in Korle Bu Teaching Hospital, Ghana: a pilot study","title-short":"Antibiotic prescribing and the risk of antibiotic–associated diarrhoea in Korle Bu Teaching Hospital, Ghana","volume":"14","author":[{"family":"Fredua-Agyeman","given":"Mansa"},{"family":"Onwukwe","given":"Blessing"},{"family":"Adu-Aryee","given":"Nii Armah"}],"issued":{"date-parts":[["2020",8,31]]}}}],"schema":"https://github.com/citation-style-language/schema/raw/master/csl-citation.json"}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(Fredua-Agyeman et al., 2020)</w:t>
            </w:r>
            <w:r w:rsidRPr="000365ED">
              <w:rPr>
                <w:rFonts w:ascii="Times New Roman" w:hAnsi="Times New Roman" w:cs="Times New Roman"/>
              </w:rPr>
              <w:fldChar w:fldCharType="end"/>
            </w:r>
          </w:p>
        </w:tc>
        <w:tc>
          <w:tcPr>
            <w:tcW w:w="2736" w:type="dxa"/>
          </w:tcPr>
          <w:p w14:paraId="026FA6D3" w14:textId="1278618B" w:rsidR="00944D91" w:rsidRPr="000365ED" w:rsidRDefault="00D2432E" w:rsidP="00397401">
            <w:pPr>
              <w:rPr>
                <w:rFonts w:ascii="Times New Roman" w:hAnsi="Times New Roman" w:cs="Times New Roman"/>
              </w:rPr>
            </w:pPr>
            <w:r w:rsidRPr="000365ED">
              <w:rPr>
                <w:rFonts w:ascii="Times New Roman" w:hAnsi="Times New Roman" w:cs="Times New Roman"/>
              </w:rPr>
              <w:t xml:space="preserve">Antibiotic prescribing and the risk of antibiotic–associated </w:t>
            </w:r>
            <w:proofErr w:type="spellStart"/>
            <w:r w:rsidRPr="000365ED">
              <w:rPr>
                <w:rFonts w:ascii="Times New Roman" w:hAnsi="Times New Roman" w:cs="Times New Roman"/>
              </w:rPr>
              <w:t>diarrhoea</w:t>
            </w:r>
            <w:proofErr w:type="spellEnd"/>
            <w:r w:rsidRPr="000365ED">
              <w:rPr>
                <w:rFonts w:ascii="Times New Roman" w:hAnsi="Times New Roman" w:cs="Times New Roman"/>
              </w:rPr>
              <w:t xml:space="preserve"> in Korle Bu Teaching Hospital, Ghana: a pilot study</w:t>
            </w:r>
          </w:p>
        </w:tc>
        <w:tc>
          <w:tcPr>
            <w:tcW w:w="2329" w:type="dxa"/>
          </w:tcPr>
          <w:p w14:paraId="105FAD2B" w14:textId="0A6B32E2" w:rsidR="00944D91" w:rsidRPr="000365ED" w:rsidRDefault="00BF45AD" w:rsidP="00397401">
            <w:pPr>
              <w:rPr>
                <w:rFonts w:ascii="Times New Roman" w:hAnsi="Times New Roman" w:cs="Times New Roman"/>
              </w:rPr>
            </w:pPr>
            <w:r w:rsidRPr="000365ED">
              <w:rPr>
                <w:rFonts w:ascii="Times New Roman" w:hAnsi="Times New Roman" w:cs="Times New Roman"/>
              </w:rPr>
              <w:t>Value for the antibiotic prescription appropriateness not stated. Antibiotic consumption not reported in DDD.</w:t>
            </w:r>
          </w:p>
        </w:tc>
      </w:tr>
      <w:tr w:rsidR="00944D91" w:rsidRPr="000365ED" w14:paraId="20EF1787" w14:textId="77777777" w:rsidTr="00944D91">
        <w:tc>
          <w:tcPr>
            <w:tcW w:w="1698" w:type="dxa"/>
          </w:tcPr>
          <w:p w14:paraId="0FC0F35F" w14:textId="0A6F1775" w:rsidR="00944D91" w:rsidRPr="000365ED" w:rsidRDefault="00930A9A" w:rsidP="00397401">
            <w:pPr>
              <w:rPr>
                <w:rFonts w:ascii="Times New Roman" w:hAnsi="Times New Roman" w:cs="Times New Roman"/>
              </w:rPr>
            </w:pPr>
            <w:r w:rsidRPr="000365ED">
              <w:rPr>
                <w:rFonts w:ascii="Times New Roman" w:hAnsi="Times New Roman" w:cs="Times New Roman"/>
              </w:rPr>
              <w:t>35</w:t>
            </w:r>
          </w:p>
        </w:tc>
        <w:tc>
          <w:tcPr>
            <w:tcW w:w="2253" w:type="dxa"/>
          </w:tcPr>
          <w:p w14:paraId="5B9CB3C3" w14:textId="0750A17F" w:rsidR="00944D91" w:rsidRPr="000365ED" w:rsidRDefault="004D06F9"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{"citationID":"bDzNJtH4","properties":{"formattedCitation":"(Garcia-Vello et al., 2020)","plainCitation":"(Garcia-Vello et al., 2020)","noteIndex":0},"citationItems":[{"id":8080,"uris":["http://zotero.org/users/11836539/items/A4YTVK25"],"itemData":{"id":8080,"type":"article-journal","abstract":"Introduction\nAntibiotic misuse is the paramount factor for antibiotic resistance. Tamale Teaching Hospital (TTH), located in Ghana’s Northern Region, is the biggest tertiary hospital in the Northern half of the country and consequently one of the biggest prescribers of antibiotics. Understanding the use of antibiotics in the TTH and providing information that could be inferred to develop strategies for antibiotic prescription is of extreme importance in this era of multiple and pan-resistant strains of pathogenic microorganisms.\n\nMethods\nA cross-sectional study on the use of antibiotics at TTH in the Northern region of Ghana was performed. Data were collected by reviewing 10% of patients’ files from January to June 2015 and then assessed for its appropriateness against the criteria based on the British National Formulary (BNF) 2015 and BNF children 2013-2014. Results were expressed in frequencies and percentages.\n\nResults\nA total of 617 patients’ records were included in this study. Up to 385 cases of different antibiotic misuse were found, comprising of 335 errors in prescriptions and 50 non-completed treatments. The most common prescription error was made on treatment duration (29.6%). The potential interactions were 16.7%.\n\nConclusion\nThe study revealed a high burden of antibiotics misuse in TTH. This suggests a need for the development of an antibiotic stewardship programme for the hospital.","container-title":"The Pan African Medical Journal","DOI":"10.11604/pamj.2020.35.12.18324","ISSN":"1937-8688","journalAbbreviation":"Pan Afr Med J","note":"PMID: 32341733\nPMCID: PMC7170738","page":"12","source":"PubMed Central","title":"A cross-sectional study on antibiotic prescription in a teaching hospital in Ghana","volume":"35","author":[{"family":"Garcia-Vello","given":"Pilar"},{"family":"Brobbey","given":"Fareeda"},{"family":"Gonzalez-Zorn","given":"Bruno"},{"family":"Setsoafia Saba","given":"Courage Kosi"}],"issued":{"date-parts":[["2020",1,15]]}}}],"schema":"https://github.com/citation-style-language/schema/raw/master/csl-citation.json"}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(Garcia-Vello et al., 2020)</w:t>
            </w:r>
            <w:r w:rsidRPr="000365ED">
              <w:rPr>
                <w:rFonts w:ascii="Times New Roman" w:hAnsi="Times New Roman" w:cs="Times New Roman"/>
              </w:rPr>
              <w:fldChar w:fldCharType="end"/>
            </w:r>
          </w:p>
        </w:tc>
        <w:tc>
          <w:tcPr>
            <w:tcW w:w="2736" w:type="dxa"/>
          </w:tcPr>
          <w:p w14:paraId="25A91FD3" w14:textId="35183AE3" w:rsidR="00944D91" w:rsidRPr="000365ED" w:rsidRDefault="004D06F9" w:rsidP="00397401">
            <w:pPr>
              <w:rPr>
                <w:rFonts w:ascii="Times New Roman" w:hAnsi="Times New Roman" w:cs="Times New Roman"/>
              </w:rPr>
            </w:pPr>
            <w:r w:rsidRPr="000365ED">
              <w:rPr>
                <w:rFonts w:ascii="Times New Roman" w:hAnsi="Times New Roman" w:cs="Times New Roman"/>
              </w:rPr>
              <w:t>A cross-sectional study on antibiotic prescription in a teaching hospital in Ghana</w:t>
            </w:r>
          </w:p>
        </w:tc>
        <w:tc>
          <w:tcPr>
            <w:tcW w:w="2329" w:type="dxa"/>
          </w:tcPr>
          <w:p w14:paraId="39DD0195" w14:textId="687C6C6A" w:rsidR="00BF45AD" w:rsidRPr="000365ED" w:rsidRDefault="00BF45AD" w:rsidP="00397401">
            <w:pPr>
              <w:pStyle w:val="NormalWeb"/>
            </w:pPr>
            <w:r w:rsidRPr="000365ED">
              <w:t>Its on Prescribing Appropriateness but did id not meet many of the quality asse</w:t>
            </w:r>
            <w:r w:rsidR="004D06F9" w:rsidRPr="000365ED">
              <w:t>ss</w:t>
            </w:r>
            <w:r w:rsidRPr="000365ED">
              <w:t xml:space="preserve">ment in </w:t>
            </w:r>
            <w:r w:rsidR="004D06F9" w:rsidRPr="000365ED">
              <w:t>our</w:t>
            </w:r>
            <w:r w:rsidRPr="000365ED">
              <w:t xml:space="preserve"> previous table </w:t>
            </w:r>
          </w:p>
          <w:p w14:paraId="6436AF47" w14:textId="6E927529" w:rsidR="00944D91" w:rsidRPr="000365ED" w:rsidRDefault="00944D91" w:rsidP="00397401">
            <w:pPr>
              <w:rPr>
                <w:rFonts w:ascii="Times New Roman" w:hAnsi="Times New Roman" w:cs="Times New Roman"/>
              </w:rPr>
            </w:pPr>
          </w:p>
        </w:tc>
      </w:tr>
      <w:tr w:rsidR="00944D91" w:rsidRPr="000365ED" w14:paraId="74F4F6C1" w14:textId="77777777" w:rsidTr="00944D91">
        <w:tc>
          <w:tcPr>
            <w:tcW w:w="1698" w:type="dxa"/>
          </w:tcPr>
          <w:p w14:paraId="13277067" w14:textId="525193C4" w:rsidR="00944D91" w:rsidRPr="000365ED" w:rsidRDefault="00930A9A" w:rsidP="00397401">
            <w:pPr>
              <w:rPr>
                <w:rFonts w:ascii="Times New Roman" w:hAnsi="Times New Roman" w:cs="Times New Roman"/>
              </w:rPr>
            </w:pPr>
            <w:r w:rsidRPr="000365ED">
              <w:rPr>
                <w:rFonts w:ascii="Times New Roman" w:hAnsi="Times New Roman" w:cs="Times New Roman"/>
              </w:rPr>
              <w:t>36</w:t>
            </w:r>
          </w:p>
        </w:tc>
        <w:tc>
          <w:tcPr>
            <w:tcW w:w="2253" w:type="dxa"/>
          </w:tcPr>
          <w:p w14:paraId="6696408B" w14:textId="11A6AC6E" w:rsidR="00944D91" w:rsidRPr="000365ED" w:rsidRDefault="004D06F9"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{"citationID":"MKfhvjxp","properties":{"formattedCitation":"(Goff et al., 2022)","plainCitation":"(Goff et al., 2022)","noteIndex":0},"citationItems":[{"id":8258,"uris":["http://zotero.org/users/11836539/items/BV6AM6US"],"itemData":{"id":8258,"type":"article-journal","abstract":"Resilience is having the ability to respond to adversity proactively and resourcefully. The coronavirus disease 2019 (COVID-19) pandemic's profound impact on antimicrobial stewardship programs (ASP) requires clinicians to call on their own resilience to manage the demands of the pandemic and the disruption of ASP activities. This article provides examples of ASP resilience from pharmacists and physicians from seven countries with different resources and approaches to ASP—The United States, The United Kingdom, Canada, Nigeria, Lebanon, South Africa, and Colombia. The lessons learned pertain to providing ASP clinical services in the context of a global pandemic, developing new ASP paradigms in the face of COVID-19, leveraging technology to extend the reach of ASP, and conducting international collaborative ASP research remotely. This article serves as an example of how resilience and global collaboration is sustaining our ASPs by sharing new “how to” do antimicrobial stewardship practices during the COVID-19 pandemic. © 2022 The Authors. JACCP: Journal of the American College of Clinical Pharmacy published by Wiley Periodicals LLC on behalf of Pharmacotherapy Publications, Inc.","archive":"Scopus","container-title":"JACCP Journal of the American College of Clinical Pharmacy","DOI":"10.1002/jac5.1622","ISSN":"2574-9870","issue":"7","language":"English","page":"707-715","source":"Scopus","title":"Global resilience and new strategies needed for antimicrobial stewardship during the COVID-19 pandemic and beyond","volume":"5","author":[{"family":"Goff","given":"D.A."},{"family":"Gauthier","given":"T.P."},{"family":"Langford","given":"B.J."},{"family":"Prusakov","given":"P."},{"family":"Ubaka Chukwuemka","given":"M."},{"family":"Nwomeh","given":"B.C."},{"family":"Yunis","given":"K.A."},{"family":"Saad","given":"T."},{"family":"Bergh","given":"D.","non-dropping-particle":"van den"},{"family":"Villegas","given":"M.V."},{"family":"Martinez","given":"N."},{"family":"Morris","given":"A."},{"family":"Ashiru-Oredope","given":"D."},{"family":"Howard","given":"P."},{"family":"Sanchez","given":"P.J."}],"issued":{"date-parts":[["2022"]]}}}],"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(Goff et al., 2022)</w:t>
            </w:r>
            <w:r w:rsidRPr="000365ED">
              <w:rPr>
                <w:rFonts w:ascii="Times New Roman" w:hAnsi="Times New Roman" w:cs="Times New Roman"/>
              </w:rPr>
              <w:fldChar w:fldCharType="end"/>
            </w:r>
          </w:p>
        </w:tc>
        <w:tc>
          <w:tcPr>
            <w:tcW w:w="2736" w:type="dxa"/>
          </w:tcPr>
          <w:p w14:paraId="2D37105B" w14:textId="1C94B7CF" w:rsidR="00944D91" w:rsidRPr="000365ED" w:rsidRDefault="004D06F9" w:rsidP="00397401">
            <w:pPr>
              <w:rPr>
                <w:rFonts w:ascii="Times New Roman" w:hAnsi="Times New Roman" w:cs="Times New Roman"/>
              </w:rPr>
            </w:pPr>
            <w:r w:rsidRPr="000365ED">
              <w:rPr>
                <w:rFonts w:ascii="Times New Roman" w:hAnsi="Times New Roman" w:cs="Times New Roman"/>
              </w:rPr>
              <w:t>Global resilience and new strategies needed for antimicrobial stewardship during the COVID-19 pandemic and beyond</w:t>
            </w:r>
          </w:p>
        </w:tc>
        <w:tc>
          <w:tcPr>
            <w:tcW w:w="2329" w:type="dxa"/>
          </w:tcPr>
          <w:p w14:paraId="347B3033" w14:textId="69F6A4E6" w:rsidR="00944D91" w:rsidRPr="000365ED" w:rsidRDefault="004D06F9" w:rsidP="00397401">
            <w:pPr>
              <w:rPr>
                <w:rFonts w:ascii="Times New Roman" w:hAnsi="Times New Roman" w:cs="Times New Roman"/>
              </w:rPr>
            </w:pPr>
            <w:r w:rsidRPr="000365ED">
              <w:rPr>
                <w:rFonts w:ascii="Times New Roman" w:hAnsi="Times New Roman" w:cs="Times New Roman"/>
              </w:rPr>
              <w:t>Wrong country</w:t>
            </w:r>
          </w:p>
        </w:tc>
      </w:tr>
      <w:tr w:rsidR="00944D91" w:rsidRPr="000365ED" w14:paraId="35E0A87F" w14:textId="77777777" w:rsidTr="00944D91">
        <w:tc>
          <w:tcPr>
            <w:tcW w:w="1698" w:type="dxa"/>
          </w:tcPr>
          <w:p w14:paraId="5B3114CF" w14:textId="47490DD7" w:rsidR="00944D91" w:rsidRPr="000365ED" w:rsidRDefault="00930A9A" w:rsidP="00397401">
            <w:pPr>
              <w:rPr>
                <w:rFonts w:ascii="Times New Roman" w:hAnsi="Times New Roman" w:cs="Times New Roman"/>
              </w:rPr>
            </w:pPr>
            <w:r w:rsidRPr="000365ED">
              <w:rPr>
                <w:rFonts w:ascii="Times New Roman" w:hAnsi="Times New Roman" w:cs="Times New Roman"/>
              </w:rPr>
              <w:t>37</w:t>
            </w:r>
          </w:p>
        </w:tc>
        <w:tc>
          <w:tcPr>
            <w:tcW w:w="2253" w:type="dxa"/>
          </w:tcPr>
          <w:p w14:paraId="74AB4F55" w14:textId="3260E08D" w:rsidR="00944D91" w:rsidRPr="000365ED" w:rsidRDefault="00C77E6F"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{"citationID":"PsXVwvvJ","properties":{"formattedCitation":"(Gyedu et al., 2019)","plainCitation":"(Gyedu et al., 2019)","noteIndex":0},"citationItems":[{"id":8405,"uris":["http://zotero.org/users/11836539/items/YT6STTU8"],"itemData":{"id":8405,"type":"article-journal","abstract":"Backgroud: Groin hernia repairs (GHR), though classified as clean surgeries, are associated with varying rates of surgical site infections. We assessed the practices of surgeons in Ghana regarding antibiotic use for GHR in comparison to evidence-based international guidelines (EBIG). Methods: We interviewed surgeons trained by the Ghana College of Physicians and Surgeons (GCPS), from inception (2003) through 2016, about their use of antibiotics for GHR. We defined the outcome variable of consistently following EBIG in antibiotics use for GHR. Logistic regression was used to examine how a priori selected covariates contributed to the outcome. Results: Eighty-two of 117 surgeons reported performing/supervising at least one GHR per week. They performed/supervised a mean of five GHR per week. Thirty-two (40%) reported using mesh for at least 50% of GHR. For primary GHR, 75% of surgeons administered antibiotics according to EBIG, whereas for GHR with mesh only, 45% did so. Predictors of consistently following EBIG were increasing number of GHR performed per week (adjusted odds ratio 1.44, 95% CI 1.07-1.96) and increasing time spent for clinical work (adjusted odds ratio 0.95, 95% CI 0.91-0.99). Years of practice since GCPS graduation, total operations performed per week, and hospital level of practice were not predictive of the outcome variable. Conclusions: Two-thirds of Ghanaian surgeons interviewed do not consistently administer antibiotics for GHR per EBIG, raising the need to improve access to evidence-based medical information overall to guide practice. Determining local surgical site infections rates to guide antibiotic use in GHR will be useful in Ghana and other LMICs. © 2019 Elsevier Inc.","archive":"Scopus","container-title":"Journal of Surgical Research","DOI":"10.1016/j.jss.2019.01.040","ISSN":"0022-4804","language":"English","page":"90-95","source":"Scopus","title":"Antibiotics for Groin Hernia Repair According to Evidence-Based Guidelines: Time for Action in Ghana","title-short":"Antibiotics for Groin Hernia Repair According to Evidence-Based Guidelines","volume":"238","author":[{"family":"Gyedu","given":"A."},{"family":"Katz","given":"M."},{"family":"Agbedinu","given":"K."},{"family":"Donkor","given":"P."},{"family":"Mock","given":"C."}],"issued":{"date-parts":[["2019"]]}}}],"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(Gyedu et al., 2019)</w:t>
            </w:r>
            <w:r w:rsidRPr="000365ED">
              <w:rPr>
                <w:rFonts w:ascii="Times New Roman" w:hAnsi="Times New Roman" w:cs="Times New Roman"/>
              </w:rPr>
              <w:fldChar w:fldCharType="end"/>
            </w:r>
          </w:p>
        </w:tc>
        <w:tc>
          <w:tcPr>
            <w:tcW w:w="2736" w:type="dxa"/>
          </w:tcPr>
          <w:p w14:paraId="6B0F6E95" w14:textId="149E8846" w:rsidR="00944D91" w:rsidRPr="000365ED" w:rsidRDefault="00C77E6F" w:rsidP="00397401">
            <w:pPr>
              <w:rPr>
                <w:rFonts w:ascii="Times New Roman" w:hAnsi="Times New Roman" w:cs="Times New Roman"/>
              </w:rPr>
            </w:pPr>
            <w:r w:rsidRPr="000365ED">
              <w:rPr>
                <w:rFonts w:ascii="Times New Roman" w:hAnsi="Times New Roman" w:cs="Times New Roman"/>
              </w:rPr>
              <w:t>Antibiotics for Groin Hernia Repair According to Evidence-Based Guidelines: Time for Action in Ghana</w:t>
            </w:r>
          </w:p>
        </w:tc>
        <w:tc>
          <w:tcPr>
            <w:tcW w:w="2329" w:type="dxa"/>
          </w:tcPr>
          <w:p w14:paraId="4A1229F6" w14:textId="4E7A8DB9" w:rsidR="00944D91" w:rsidRPr="000365ED" w:rsidRDefault="00C77E6F" w:rsidP="00397401">
            <w:pPr>
              <w:rPr>
                <w:rFonts w:ascii="Times New Roman" w:hAnsi="Times New Roman" w:cs="Times New Roman"/>
              </w:rPr>
            </w:pPr>
            <w:r w:rsidRPr="000365ED">
              <w:rPr>
                <w:rFonts w:ascii="Times New Roman" w:hAnsi="Times New Roman" w:cs="Times New Roman"/>
              </w:rPr>
              <w:t>-</w:t>
            </w:r>
          </w:p>
        </w:tc>
      </w:tr>
      <w:tr w:rsidR="00944D91" w:rsidRPr="000365ED" w14:paraId="53B7217B" w14:textId="77777777" w:rsidTr="00944D91">
        <w:tc>
          <w:tcPr>
            <w:tcW w:w="1698" w:type="dxa"/>
          </w:tcPr>
          <w:p w14:paraId="3E7087CA" w14:textId="4407C33A" w:rsidR="00944D91" w:rsidRPr="000365ED" w:rsidRDefault="00930A9A" w:rsidP="00397401">
            <w:pPr>
              <w:rPr>
                <w:rFonts w:ascii="Times New Roman" w:hAnsi="Times New Roman" w:cs="Times New Roman"/>
              </w:rPr>
            </w:pPr>
            <w:r w:rsidRPr="000365ED">
              <w:rPr>
                <w:rFonts w:ascii="Times New Roman" w:hAnsi="Times New Roman" w:cs="Times New Roman"/>
              </w:rPr>
              <w:t>38</w:t>
            </w:r>
          </w:p>
        </w:tc>
        <w:tc>
          <w:tcPr>
            <w:tcW w:w="2253" w:type="dxa"/>
          </w:tcPr>
          <w:p w14:paraId="06ACD9B8" w14:textId="715B5BDF" w:rsidR="00944D91" w:rsidRPr="000365ED" w:rsidRDefault="00C77E6F"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{"citationID":"y4UsWgfn","properties":{"formattedCitation":"(Isanaka et al., 2022)","plainCitation":"(Isanaka et al., 2022)","noteIndex":0},"citationItems":[{"id":8232,"uris":["http://zotero.org/users/11836539/items/ZKL46AJJ"],"itemData":{"id":8232,"type":"article-journal","abstract":"Background: In the outpatient management of severe wasting, routine antibiotic therapy is recommended for all children upon admission regardless of whether clinical signs of infection are present. Indicated antibiotic therapy, where antibiotics are provided only upon presentation of clinical signs of infection, may be considered for its potential to allow for more prudent antibiotic use and greater program coverage, reducing the risk of antibiotic resistance as well as costs and logistical burdens associated with treatment. We therefore conducted a cost-effectiveness analysis to measure the effects of indicated antibiotic therapy compared to routine antibiotic therapy in terms of incremental cost-per-life-year saved in Niger. Methods: We used a cohort model to conduct a cost-effectiveness analysis from a healthcare system perspective to project and weigh the lifetime discounted costs and effects of indicated antibiotic therapy compared to routine antibiotic therapy in the treatment of uncomplicated severe wasting in children in Niger. We calculated incremental cost-effectiveness ratios (ICERs) in terms of treatment-related healthcare costs per discounted life-years saved (LYS), and conducted program coverage scenario and sensitivity analyses to assess model uncertainty. Results: The ICER for indicated antibiotic therapy compared to routine antibiotic therapy was $8.5/LYS, which is under the cost-effectiveness threshold for Niger. The probability of the indicated strategy being optimal was 76.1% when program coverage was equal to coverage associated with routine therapy but was 100% likely to be optimal in probabilistic sensitivity analysis scenarios where indicated program coverage improved 5 percentage points. Conclusions: Indicated antibiotic therapy likely represents a cost-effective strategy, particularly if indicated treatment can result in expanded coverage. With the risk of increasing antibiotic resistance worldwide, antibiotic stewardship and simplified treatment protocols for severe wasting using indicated antibiotic therapy may represent good value for money in some low risk populations. © 2022, The Author(s).","archive":"Scopus","container-title":"Cost Effectiveness and Resource Allocation","DOI":"10.1186/s12962-022-00374-z","ISSN":"1478-7547","issue":"1","language":"English","source":"Scopus","title":"Cost-effectiveness of routine versus indicated antibiotic therapy in the management of severe wasting in children","volume":"20","author":[{"family":"Isanaka","given":"S."},{"family":"Tang","given":"K."},{"family":"Berthé","given":"F."},{"family":"Grais","given":"R.F."},{"family":"Pandya","given":"A."}],"issued":{"date-parts":[["2022"]]}}}],"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(Isanaka et al., 2022)</w:t>
            </w:r>
            <w:r w:rsidRPr="000365ED">
              <w:rPr>
                <w:rFonts w:ascii="Times New Roman" w:hAnsi="Times New Roman" w:cs="Times New Roman"/>
              </w:rPr>
              <w:fldChar w:fldCharType="end"/>
            </w:r>
          </w:p>
        </w:tc>
        <w:tc>
          <w:tcPr>
            <w:tcW w:w="2736" w:type="dxa"/>
          </w:tcPr>
          <w:p w14:paraId="3029298F" w14:textId="6CEB9505" w:rsidR="00944D91" w:rsidRPr="000365ED" w:rsidRDefault="00C77E6F" w:rsidP="00397401">
            <w:pPr>
              <w:rPr>
                <w:rFonts w:ascii="Times New Roman" w:hAnsi="Times New Roman" w:cs="Times New Roman"/>
              </w:rPr>
            </w:pPr>
            <w:r w:rsidRPr="000365ED">
              <w:rPr>
                <w:rFonts w:ascii="Times New Roman" w:hAnsi="Times New Roman" w:cs="Times New Roman"/>
              </w:rPr>
              <w:t xml:space="preserve">Cost-effectiveness of routine </w:t>
            </w:r>
            <w:r w:rsidRPr="000365ED">
              <w:rPr>
                <w:rFonts w:ascii="Times New Roman" w:hAnsi="Times New Roman" w:cs="Times New Roman"/>
              </w:rPr>
              <w:lastRenderedPageBreak/>
              <w:t>versus indicated antibiotic therapy in the management of severe wasting in children</w:t>
            </w:r>
          </w:p>
        </w:tc>
        <w:tc>
          <w:tcPr>
            <w:tcW w:w="2329" w:type="dxa"/>
          </w:tcPr>
          <w:p w14:paraId="362C11E4" w14:textId="46BA1562" w:rsidR="00944D91" w:rsidRPr="000365ED" w:rsidRDefault="00C77E6F" w:rsidP="00397401">
            <w:pPr>
              <w:rPr>
                <w:rFonts w:ascii="Times New Roman" w:hAnsi="Times New Roman" w:cs="Times New Roman"/>
              </w:rPr>
            </w:pPr>
            <w:r w:rsidRPr="000365ED">
              <w:rPr>
                <w:rFonts w:ascii="Times New Roman" w:hAnsi="Times New Roman" w:cs="Times New Roman"/>
              </w:rPr>
              <w:lastRenderedPageBreak/>
              <w:t>On Cost-effectiveness</w:t>
            </w:r>
          </w:p>
        </w:tc>
      </w:tr>
      <w:tr w:rsidR="00944D91" w:rsidRPr="000365ED" w14:paraId="2909F09A" w14:textId="77777777" w:rsidTr="00944D91">
        <w:tc>
          <w:tcPr>
            <w:tcW w:w="1698" w:type="dxa"/>
          </w:tcPr>
          <w:p w14:paraId="30D4FB9C" w14:textId="44941014" w:rsidR="00944D91" w:rsidRPr="000365ED" w:rsidRDefault="00930A9A" w:rsidP="00397401">
            <w:pPr>
              <w:rPr>
                <w:rFonts w:ascii="Times New Roman" w:hAnsi="Times New Roman" w:cs="Times New Roman"/>
              </w:rPr>
            </w:pPr>
            <w:r w:rsidRPr="000365ED">
              <w:rPr>
                <w:rFonts w:ascii="Times New Roman" w:hAnsi="Times New Roman" w:cs="Times New Roman"/>
              </w:rPr>
              <w:t>39</w:t>
            </w:r>
          </w:p>
        </w:tc>
        <w:tc>
          <w:tcPr>
            <w:tcW w:w="2253" w:type="dxa"/>
          </w:tcPr>
          <w:p w14:paraId="338C5ABA" w14:textId="4892F885" w:rsidR="00944D91" w:rsidRPr="000365ED" w:rsidRDefault="00C77E6F"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{"citationID":"ohh98ohj","properties":{"formattedCitation":"(Janssen et al., 2022)","plainCitation":"(Janssen et al., 2022)","noteIndex":0},"citationItems":[{"id":8099,"uris":["http://zotero.org/users/11836539/items/DE7GRK7X"],"itemData":{"id":8099,"type":"article-journal","abstract":"Antibiotic consumption is increasing worldwide, particularly in low and middle-income countries (LMICs). Access to lifesaving antibiotics in LMICs is crucial while minimising inappropriate use. Studies assessing the economic impact of inappropriate antibiotic use in LMICs are lacking. We explored the economic impact of inappropriate antibiotic use using the example of upper respiratory tract infections (URIs) in Ghana, as part of the ABACUS (AntiBiotic ACcess and USe) project.","container-title":"Antimicrobial Resistance &amp; Infection Control","DOI":"10.1186/s13756-022-01096-w","ISSN":"2047-2994","issue":"1","journalAbbreviation":"Antimicrob Resist Infect Control","language":"en","page":"53","source":"Springer Link","title":"Exploring the economic impact of inappropriate antibiotic use: the case of upper respiratory tract infections in Ghana","title-short":"Exploring the economic impact of inappropriate antibiotic use","volume":"11","author":[{"family":"Janssen","given":"Jip"},{"family":"Afari-Asiedu","given":"Samuel"},{"family":"Monnier","given":"Annelie"},{"family":"Abdulai","given":"Martha Ali"},{"family":"Tawiah","given":"Theresa"},{"family":"Wertheim","given":"Heiman"},{"family":"Baltussen","given":"Rob"},{"family":"Asante","given":"Kwaku Poku"}],"issued":{"date-parts":[["2022",4,1]]}}}],"schema":"https://github.com/citation-style-language/schema/raw/master/csl-citation.json"}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(Janssen et al., 2022)</w:t>
            </w:r>
            <w:r w:rsidRPr="000365ED">
              <w:rPr>
                <w:rFonts w:ascii="Times New Roman" w:hAnsi="Times New Roman" w:cs="Times New Roman"/>
              </w:rPr>
              <w:fldChar w:fldCharType="end"/>
            </w:r>
          </w:p>
        </w:tc>
        <w:tc>
          <w:tcPr>
            <w:tcW w:w="2736" w:type="dxa"/>
          </w:tcPr>
          <w:p w14:paraId="2A8172C1" w14:textId="7B535FD2" w:rsidR="00944D91" w:rsidRPr="000365ED" w:rsidRDefault="00C77E6F" w:rsidP="00397401">
            <w:pPr>
              <w:rPr>
                <w:rFonts w:ascii="Times New Roman" w:hAnsi="Times New Roman" w:cs="Times New Roman"/>
              </w:rPr>
            </w:pPr>
            <w:r w:rsidRPr="000365ED">
              <w:rPr>
                <w:rFonts w:ascii="Times New Roman" w:hAnsi="Times New Roman" w:cs="Times New Roman"/>
              </w:rPr>
              <w:t>Exploring the economic impact of inappropriate antibiotic use: the case of upper respiratory tract infections in Ghana</w:t>
            </w:r>
          </w:p>
        </w:tc>
        <w:tc>
          <w:tcPr>
            <w:tcW w:w="2329" w:type="dxa"/>
          </w:tcPr>
          <w:p w14:paraId="431C2024" w14:textId="722A7A04" w:rsidR="00944D91" w:rsidRPr="000365ED" w:rsidRDefault="00C77E6F" w:rsidP="00397401">
            <w:pPr>
              <w:rPr>
                <w:rFonts w:ascii="Times New Roman" w:hAnsi="Times New Roman" w:cs="Times New Roman"/>
              </w:rPr>
            </w:pPr>
            <w:r w:rsidRPr="000365ED">
              <w:rPr>
                <w:rFonts w:ascii="Times New Roman" w:hAnsi="Times New Roman" w:cs="Times New Roman"/>
              </w:rPr>
              <w:t>On economic impact</w:t>
            </w:r>
          </w:p>
        </w:tc>
      </w:tr>
      <w:tr w:rsidR="00944D91" w:rsidRPr="000365ED" w14:paraId="113D4483" w14:textId="77777777" w:rsidTr="00944D91">
        <w:tc>
          <w:tcPr>
            <w:tcW w:w="1698" w:type="dxa"/>
          </w:tcPr>
          <w:p w14:paraId="2D34C8E4" w14:textId="6183C934" w:rsidR="00944D91" w:rsidRPr="000365ED" w:rsidRDefault="00930A9A" w:rsidP="00397401">
            <w:pPr>
              <w:rPr>
                <w:rFonts w:ascii="Times New Roman" w:hAnsi="Times New Roman" w:cs="Times New Roman"/>
              </w:rPr>
            </w:pPr>
            <w:r w:rsidRPr="000365ED">
              <w:rPr>
                <w:rFonts w:ascii="Times New Roman" w:hAnsi="Times New Roman" w:cs="Times New Roman"/>
              </w:rPr>
              <w:t>40</w:t>
            </w:r>
          </w:p>
        </w:tc>
        <w:tc>
          <w:tcPr>
            <w:tcW w:w="2253" w:type="dxa"/>
          </w:tcPr>
          <w:p w14:paraId="7D601085" w14:textId="5AC7EECB" w:rsidR="00944D91" w:rsidRPr="000365ED" w:rsidRDefault="00C77E6F" w:rsidP="00397401">
            <w:pPr>
              <w:rPr>
                <w:rFonts w:ascii="Times New Roman" w:hAnsi="Times New Roman" w:cs="Times New Roman"/>
              </w:rPr>
            </w:pPr>
            <w:r w:rsidRPr="000365ED">
              <w:rPr>
                <w:rFonts w:ascii="Times New Roman" w:hAnsi="Times New Roman" w:cs="Times New Roman"/>
              </w:rPr>
              <w:fldChar w:fldCharType="begin"/>
            </w:r>
            <w:r w:rsidR="00994483" w:rsidRPr="000365ED">
              <w:rPr>
                <w:rFonts w:ascii="Times New Roman" w:hAnsi="Times New Roman" w:cs="Times New Roman"/>
              </w:rPr>
              <w:instrText xml:space="preserve"> ADDIN ZOTERO_ITEM CSL_CITATION {"citationID":"2ZOJzfM5","properties":{"formattedCitation":"(G. S. Joseph &amp; Salaudeen, 2021)","plainCitation":"(G. S. Joseph &amp; Salaudeen, 2021)","noteIndex":0},"citationItems":[{"id":8318,"uris":["http://zotero.org/users/11836539/items/7IFPEZYA"],"itemData":{"id":8318,"type":"article-journal","abstract":"The most prescribed medicines in the health facilities are antibiotics, and their unethical prescription and empirical use are factors that promote irrational use and the spread of antibiotics resistance. The objective of this study was to assess antibiotic prescription patterns as a predisposing factor to antibiotics resistance in Kwara south senatorial district of Nigeria. A cross-sectional study was carried out from September 2020 to January 2021 in 4 randomly selected Government and Private hospitals. The WHO questionnaire on antibiotic resistance prevalence survey was modified and administered to 442 patients on antibiotics to collect data, and IBM/SPSS version 23 was used for analysis. A total of 891 antibiotics were prescribed in 442 prescriptions. The average number of antibiotics per prescription was approximately 2.0. Metronidazole (44.6%) was the most prescribed antibiotics, followed by Ceftriaxone (41%), and Gastro-intestinal tract infection was most (17,6%) common indication. Irrational prescribing accounted for 22.4% and most of the antibiotics prescribed were in the watch group of WHO categorization with high potential for resistance. Prescription in trade name was 57.9%. Parenteral route (54.8%) was most reported route of administration. The most common treatment type was empirical treatment (83.3%). Association between age and empirical treatment type was statistically significant with p-value of 0.02. Empirical treatment occurred in infant and young child irrespective of the gender of child. There was irrational use of antibiotics in secondary care facilities in this study. Antibiotic stewardship program is recommended for secondary health care facilities in Kwara senatorial district. © 2021, Texila International Journal (TIJ). All rights reserved.","archive":"Scopus","container-title":"Texila International Journal of Public Health","DOI":"10.21522/TIJPH.2013.09.02.Art020","ISSN":"2520-3134","issue":"2","language":"English","source":"Scopus","title":"Assessment of Antibiotic Prescription Pattern as a Predisposing Factor to Growing Antibiotics Resistance in Kwara South Senatorial District of Nigeria","volume":"9","author":[{"family":"Joseph","given":"G.S."},{"family":"Salaudeen","given":"A.G."}],"issued":{"date-parts":[["2021"]]}}}],"schema":"https://github.com/citation-style-language/schema/raw/master/csl-citation.json"} </w:instrText>
            </w:r>
            <w:r w:rsidRPr="000365ED">
              <w:rPr>
                <w:rFonts w:ascii="Times New Roman" w:hAnsi="Times New Roman" w:cs="Times New Roman"/>
              </w:rPr>
              <w:fldChar w:fldCharType="separate"/>
            </w:r>
            <w:r w:rsidR="00994483" w:rsidRPr="000365ED">
              <w:rPr>
                <w:rFonts w:ascii="Times New Roman" w:hAnsi="Times New Roman" w:cs="Times New Roman"/>
                <w:noProof/>
              </w:rPr>
              <w:t>(G. S. Joseph &amp; Salaudeen, 2021)</w:t>
            </w:r>
            <w:r w:rsidRPr="000365ED">
              <w:rPr>
                <w:rFonts w:ascii="Times New Roman" w:hAnsi="Times New Roman" w:cs="Times New Roman"/>
              </w:rPr>
              <w:fldChar w:fldCharType="end"/>
            </w:r>
          </w:p>
        </w:tc>
        <w:tc>
          <w:tcPr>
            <w:tcW w:w="2736" w:type="dxa"/>
          </w:tcPr>
          <w:p w14:paraId="6966B094" w14:textId="0E1CBD1A" w:rsidR="00944D91" w:rsidRPr="000365ED" w:rsidRDefault="00C77E6F" w:rsidP="00397401">
            <w:pPr>
              <w:rPr>
                <w:rFonts w:ascii="Times New Roman" w:hAnsi="Times New Roman" w:cs="Times New Roman"/>
              </w:rPr>
            </w:pPr>
            <w:r w:rsidRPr="000365ED">
              <w:rPr>
                <w:rFonts w:ascii="Times New Roman" w:hAnsi="Times New Roman" w:cs="Times New Roman"/>
              </w:rPr>
              <w:t xml:space="preserve">Assessment of Antibiotic Prescription Pattern as a Predisposing Factor to Growing Antibiotics Resistance in </w:t>
            </w:r>
            <w:proofErr w:type="spellStart"/>
            <w:r w:rsidRPr="000365ED">
              <w:rPr>
                <w:rFonts w:ascii="Times New Roman" w:hAnsi="Times New Roman" w:cs="Times New Roman"/>
              </w:rPr>
              <w:t>Kwara</w:t>
            </w:r>
            <w:proofErr w:type="spellEnd"/>
            <w:r w:rsidRPr="000365ED">
              <w:rPr>
                <w:rFonts w:ascii="Times New Roman" w:hAnsi="Times New Roman" w:cs="Times New Roman"/>
              </w:rPr>
              <w:t xml:space="preserve"> South Senatorial District of Nigeria</w:t>
            </w:r>
          </w:p>
        </w:tc>
        <w:tc>
          <w:tcPr>
            <w:tcW w:w="2329" w:type="dxa"/>
          </w:tcPr>
          <w:p w14:paraId="23911E1F" w14:textId="57296449" w:rsidR="00944D91" w:rsidRPr="000365ED" w:rsidRDefault="00C77E6F" w:rsidP="00397401">
            <w:pPr>
              <w:rPr>
                <w:rFonts w:ascii="Times New Roman" w:hAnsi="Times New Roman" w:cs="Times New Roman"/>
              </w:rPr>
            </w:pPr>
            <w:r w:rsidRPr="000365ED">
              <w:rPr>
                <w:rFonts w:ascii="Times New Roman" w:hAnsi="Times New Roman" w:cs="Times New Roman"/>
              </w:rPr>
              <w:t xml:space="preserve">Not in DDD AND </w:t>
            </w:r>
            <w:r w:rsidR="008F2B8E" w:rsidRPr="000365ED">
              <w:rPr>
                <w:rFonts w:ascii="Times New Roman" w:hAnsi="Times New Roman" w:cs="Times New Roman"/>
              </w:rPr>
              <w:t>Prescription appropriateness was unavailable</w:t>
            </w:r>
          </w:p>
        </w:tc>
      </w:tr>
      <w:tr w:rsidR="00944D91" w:rsidRPr="000365ED" w14:paraId="44191927" w14:textId="77777777" w:rsidTr="00944D91">
        <w:tc>
          <w:tcPr>
            <w:tcW w:w="1698" w:type="dxa"/>
          </w:tcPr>
          <w:p w14:paraId="205F96AA" w14:textId="58311653" w:rsidR="00944D91" w:rsidRPr="000365ED" w:rsidRDefault="00930A9A" w:rsidP="00397401">
            <w:pPr>
              <w:rPr>
                <w:rFonts w:ascii="Times New Roman" w:hAnsi="Times New Roman" w:cs="Times New Roman"/>
              </w:rPr>
            </w:pPr>
            <w:r w:rsidRPr="000365ED">
              <w:rPr>
                <w:rFonts w:ascii="Times New Roman" w:hAnsi="Times New Roman" w:cs="Times New Roman"/>
              </w:rPr>
              <w:t>41</w:t>
            </w:r>
          </w:p>
        </w:tc>
        <w:tc>
          <w:tcPr>
            <w:tcW w:w="2253" w:type="dxa"/>
          </w:tcPr>
          <w:p w14:paraId="767A005F" w14:textId="7D49A14C" w:rsidR="00944D91" w:rsidRPr="000365ED" w:rsidRDefault="00E3220D"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{"citationID":"mxsg8xdP","properties":{"formattedCitation":"(Kamara et al., 2022)","plainCitation":"(Kamara et al., 2022)","noteIndex":0},"citationItems":[{"id":8126,"uris":["http://zotero.org/users/11836539/items/RQYR925S"],"itemData":{"id":8126,"type":"article-journal","abstract":"Inappropriate use of antibiotics during the COVID-19 pandemic has the potential to increase the burden of antimicrobial resistance. In this study, we report on the prevalence of antibiotic use and its associated factors among suspected and confirmed COVID-19 patients admitted to 35 health facilities in Sierra Leone from March 2020–March 2021. This was a cross-sectional study using routinely collected patient data. Of 700 confirmed COVID-19 patients, 47% received antibiotics. The majority (73%) of the antibiotics belonged to the ’WATCH’ group of antibiotics, which are highly toxic and prone to resistance. The most frequently prescribed antibiotics were azithromycin, ceftriaxone, amoxicillin, metronidazole, and amoxicillin-clavulanic acid. Antibiotic use was significantly higher in patients aged 25–34 years than in those with severe disease. Of 755 suspected COVID-19 patients, 61% received antibiotics, of which the majority (58%) belonged to the ‘WATCH’ category. The most frequently prescribed antibiotics were ceftriaxone, metronidazole, azithromycin, ciprofloxacin, and amoxycillin. The prevalence of antibiotic use among suspected and confirmed COVID-19 patients admitted to healthcare facilities in Sierra Leone was high and not in line with national and WHO case management guidelines. Training of health care providers, strengthening of antimicrobial stewardship programs, and microbiological laboratory capacity are urgently needed.","container-title":"International Journal of Environmental Research and Public Health","DOI":"10.3390/ijerph19074005","ISSN":"1660-4601","issue":"7","language":"en","license":"http://creativecommons.org/licenses/by/3.0/","note":"number: 7\npublisher: Multidisciplinary Digital Publishing Institute","page":"4005","source":"www.mdpi.com","title":"Antibiotic Use in Suspected and Confirmed COVID-19 Patients Admitted to Health Facilities in Sierra Leone in 2020–2021: Practice Does Not Follow Policy","title-short":"Antibiotic Use in Suspected and Confirmed COVID-19 Patients Admitted to Health Facilities in Sierra Leone in 2020–2021","volume":"19","author":[{"family":"Kamara","given":"Ibrahim Franklyn"},{"family":"Kumar","given":"Ajay M. V."},{"family":"Maruta","given":"Anna"},{"family":"Fofanah","given":"Bobson Derrick"},{"family":"Njuguna","given":"Charles Kuria"},{"family":"Shongwe","given":"Steven"},{"family":"Moses","given":"Francis"},{"family":"Tengbe","given":"Sia Morenike"},{"family":"Kanu","given":"Joseph Sam"},{"family":"Lakoh","given":"Sulaiman"},{"family":"Mansaray","given":"Alie H. D."},{"family":"Selvaraj","given":"Kalaiselvi"},{"family":"Khogali","given":"Mohammed"},{"family":"Zachariah","given":"Rony"}],"issued":{"date-parts":[["2022",1]]}}}],"schema":"https://github.com/citation-style-language/schema/raw/master/csl-citation.json"}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(Kamara et al., 2022)</w:t>
            </w:r>
            <w:r w:rsidRPr="000365ED">
              <w:rPr>
                <w:rFonts w:ascii="Times New Roman" w:hAnsi="Times New Roman" w:cs="Times New Roman"/>
              </w:rPr>
              <w:fldChar w:fldCharType="end"/>
            </w:r>
          </w:p>
        </w:tc>
        <w:tc>
          <w:tcPr>
            <w:tcW w:w="2736" w:type="dxa"/>
          </w:tcPr>
          <w:p w14:paraId="416D31DA" w14:textId="0CD95B59" w:rsidR="00944D91" w:rsidRPr="000365ED" w:rsidRDefault="00E3220D" w:rsidP="00397401">
            <w:pPr>
              <w:rPr>
                <w:rFonts w:ascii="Times New Roman" w:hAnsi="Times New Roman" w:cs="Times New Roman"/>
              </w:rPr>
            </w:pPr>
            <w:r w:rsidRPr="000365ED">
              <w:rPr>
                <w:rFonts w:ascii="Times New Roman" w:hAnsi="Times New Roman" w:cs="Times New Roman"/>
              </w:rPr>
              <w:t>Antibiotic Use in Suspected and Confirmed COVID-19 Patients Admitted to Health Facilities in Sierra Leone in 2020–2021: Practice Does Not Follow Policy</w:t>
            </w:r>
          </w:p>
        </w:tc>
        <w:tc>
          <w:tcPr>
            <w:tcW w:w="2329" w:type="dxa"/>
          </w:tcPr>
          <w:p w14:paraId="151E3D0F" w14:textId="21E1DA6B" w:rsidR="00944D91" w:rsidRPr="000365ED" w:rsidRDefault="00E3220D" w:rsidP="00397401">
            <w:pPr>
              <w:rPr>
                <w:rFonts w:ascii="Times New Roman" w:hAnsi="Times New Roman" w:cs="Times New Roman"/>
              </w:rPr>
            </w:pPr>
            <w:r w:rsidRPr="000365ED">
              <w:rPr>
                <w:rFonts w:ascii="Times New Roman" w:hAnsi="Times New Roman" w:cs="Times New Roman"/>
              </w:rPr>
              <w:t>Not in DDD AND Prescription appropriateness was unavailable</w:t>
            </w:r>
          </w:p>
        </w:tc>
      </w:tr>
      <w:tr w:rsidR="00944D91" w:rsidRPr="000365ED" w14:paraId="09F15589" w14:textId="77777777" w:rsidTr="00944D91">
        <w:tc>
          <w:tcPr>
            <w:tcW w:w="1698" w:type="dxa"/>
          </w:tcPr>
          <w:p w14:paraId="090B32DF" w14:textId="1B1A6046" w:rsidR="00944D91" w:rsidRPr="000365ED" w:rsidRDefault="00930A9A" w:rsidP="00397401">
            <w:pPr>
              <w:rPr>
                <w:rFonts w:ascii="Times New Roman" w:hAnsi="Times New Roman" w:cs="Times New Roman"/>
              </w:rPr>
            </w:pPr>
            <w:r w:rsidRPr="000365ED">
              <w:rPr>
                <w:rFonts w:ascii="Times New Roman" w:hAnsi="Times New Roman" w:cs="Times New Roman"/>
              </w:rPr>
              <w:t>42</w:t>
            </w:r>
          </w:p>
        </w:tc>
        <w:tc>
          <w:tcPr>
            <w:tcW w:w="2253" w:type="dxa"/>
          </w:tcPr>
          <w:p w14:paraId="11E6C98F" w14:textId="3AA01123" w:rsidR="00944D91" w:rsidRPr="000365ED" w:rsidRDefault="000A37C3"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{"citationID":"oeTnJhPZ","properties":{"formattedCitation":"(Kamere et al., 2023)","plainCitation":"(Kamere et al., 2023)","noteIndex":0},"citationItems":[{"id":8190,"uris":["http://zotero.org/users/11836539/items/FEE3AXZR"],"itemData":{"id":8190,"type":"article-journal","abstract":"Efficient and secure supply chains are vital for effective health services worldwide. In low-and middle-income countries, the accessibility, affordability and availability of essential medicines, including antimicrobials, remain challenging. Ineffective supply chains often cause antimicrobial shortages, leading to inappropriate use of alternative agents and increasing the risk of antimicrobial resistance. Shortages, coupled with insecure supply chains, also encourage the infiltration of substandard and falsified medicines, leading to suboptimal treatment and further promoting antimicrobial resistance. Addressing antimicrobial supply-chain issues should be considered a key component of antimicrobial stewardship programmes. We have explored the link between medicine supply chains and antimicrobial use in seven focus countries: Kenya, Malawi, Nigeria, Sierra Leone, Uganda, United Republic of Tanzania and Zambia. We explored country medicine supply-system structures, national medicine supply-chain policy documents and global study reports. Our aim was to develop evidence-based strategies to enhance the effectiveness and efficiency of the medicine supply chains in supporting antimicrobial stewardship efforts. Better management of medical supply chains involves rational selection, quantification, forecasting, procurement, storage, distribution, use and stock management of antimicrobials. Important supply-chain considerations include pooled procurement networks to ensure consistent pricing of quality-assured antimicrobials, and improved resource utilization and information exchange among relevant stakeholders. We propose adaptable recommendations for integrating medicine supply chains as an essential part of antimicrobial stewardship programmes, with a call for action at the local, regional and national levels in low-and middle-income countries. © 2023, World Health Organization. All rights reserved.","archive":"Scopus","container-title":"Bulletin of the World Health Organization","DOI":"10.2471/BLT.22.288650","ISSN":"0042-9686","issue":"6","language":"English","page":"403-411","source":"Scopus","title":"Supply-chain factors and antimicrobial stewardship","title-short":"Facteurs liés aux chaînes d'approvisionnement et gestion des antimicrobiens","volume":"101","author":[{"family":"Kamere","given":"N."},{"family":"Rutter","given":"V."},{"family":"Munkombwe","given":"D."},{"family":"Aywak","given":"D.A."},{"family":"Muro","given":"E.P."},{"family":"Kaminyoghe","given":"F."},{"family":"Rajab","given":"K."},{"family":"Lawal","given":"M.O."},{"family":"Muriithi","given":"N."},{"family":"Kusu","given":"N."},{"family":"Karimu","given":"O."},{"family":"Barlatt","given":"S.H.A."},{"family":"Nambatya","given":"W."},{"family":"Ashiru-Oredope","given":"D."}],"issued":{"date-parts":[["2023"]]}}}],"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(Kamere et al., 2023)</w:t>
            </w:r>
            <w:r w:rsidRPr="000365ED">
              <w:rPr>
                <w:rFonts w:ascii="Times New Roman" w:hAnsi="Times New Roman" w:cs="Times New Roman"/>
              </w:rPr>
              <w:fldChar w:fldCharType="end"/>
            </w:r>
          </w:p>
        </w:tc>
        <w:tc>
          <w:tcPr>
            <w:tcW w:w="2736" w:type="dxa"/>
          </w:tcPr>
          <w:p w14:paraId="5DCF2500" w14:textId="14510D59" w:rsidR="00944D91" w:rsidRPr="000365ED" w:rsidRDefault="00E3220D" w:rsidP="00397401">
            <w:pPr>
              <w:rPr>
                <w:rFonts w:ascii="Times New Roman" w:hAnsi="Times New Roman" w:cs="Times New Roman"/>
              </w:rPr>
            </w:pPr>
            <w:r w:rsidRPr="000365ED">
              <w:rPr>
                <w:rFonts w:ascii="Times New Roman" w:hAnsi="Times New Roman" w:cs="Times New Roman"/>
              </w:rPr>
              <w:t>Supply-chain factors and antimicrobial stewardship</w:t>
            </w:r>
          </w:p>
        </w:tc>
        <w:tc>
          <w:tcPr>
            <w:tcW w:w="2329" w:type="dxa"/>
          </w:tcPr>
          <w:p w14:paraId="6ECB57B9" w14:textId="5EDD70AE" w:rsidR="00944D91" w:rsidRPr="000365ED" w:rsidRDefault="00E3220D" w:rsidP="00397401">
            <w:pPr>
              <w:rPr>
                <w:rFonts w:ascii="Times New Roman" w:hAnsi="Times New Roman" w:cs="Times New Roman"/>
              </w:rPr>
            </w:pPr>
            <w:r w:rsidRPr="000365ED">
              <w:rPr>
                <w:rFonts w:ascii="Times New Roman" w:hAnsi="Times New Roman" w:cs="Times New Roman"/>
              </w:rPr>
              <w:t>Not in line</w:t>
            </w:r>
            <w:r w:rsidR="000A37C3" w:rsidRPr="000365ED">
              <w:rPr>
                <w:rFonts w:ascii="Times New Roman" w:hAnsi="Times New Roman" w:cs="Times New Roman"/>
              </w:rPr>
              <w:t xml:space="preserve"> with our themes and it’s not a research work as well</w:t>
            </w:r>
          </w:p>
        </w:tc>
      </w:tr>
      <w:tr w:rsidR="00944D91" w:rsidRPr="000365ED" w14:paraId="5AF5B65C" w14:textId="77777777" w:rsidTr="00944D91">
        <w:tc>
          <w:tcPr>
            <w:tcW w:w="1698" w:type="dxa"/>
          </w:tcPr>
          <w:p w14:paraId="7CF7CCE0" w14:textId="46F7C76F" w:rsidR="00944D91" w:rsidRPr="000365ED" w:rsidRDefault="00930A9A" w:rsidP="00397401">
            <w:pPr>
              <w:rPr>
                <w:rFonts w:ascii="Times New Roman" w:hAnsi="Times New Roman" w:cs="Times New Roman"/>
              </w:rPr>
            </w:pPr>
            <w:r w:rsidRPr="000365ED">
              <w:rPr>
                <w:rFonts w:ascii="Times New Roman" w:hAnsi="Times New Roman" w:cs="Times New Roman"/>
              </w:rPr>
              <w:t>43</w:t>
            </w:r>
          </w:p>
        </w:tc>
        <w:tc>
          <w:tcPr>
            <w:tcW w:w="2253" w:type="dxa"/>
          </w:tcPr>
          <w:p w14:paraId="0A6B3008" w14:textId="6EA2320C" w:rsidR="00944D91" w:rsidRPr="000365ED" w:rsidRDefault="00D716CE"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{"citationID":"W0HeQRXD","properties":{"formattedCitation":"(Kpagoi et al., 2023)","plainCitation":"(Kpagoi et al., 2023)","noteIndex":0},"citationItems":[{"id":8168,"uris":["http://zotero.org/users/11836539/items/TFRDJU5I"],"itemData":{"id":8168,"type":"article-journal","abstract":"Surgical site infections (SSIs) are a major public health threat to the success of surgery. This study assessed changes in SSIs and use of antibiotics among caesarean section (CS) and herniorrhaphy patients at a regional hospital in Sierra Leone following operational research. This was a comparative before and after study using routine hospital data. The study included all the CS and herniorrhaphy patients who underwent surgery between two time periods. Of the seven recommendations made in the first study, only one concerning improving the hospital’s records and information system was fully implemented. Three were partially implemented and three were not implemented. The study population in both studies showed similar socio-demographic characteristics. The use of postoperative antibiotics for herniorrhaphy in both studies remained the same, although a significant increase was found for both pre- and postoperative antibiotic use in the CS patients, 589/596 (98.8%) in 2023 and 417/599 (69.6%) in 2021 (p &lt; 0.001). However, a significant decrease was observed in the overall incidence of SSIs, 22/777 (2.8%) in 2023 and 46/681 (6.7%) in 2021 (p &lt; 0.001), and the incidence of SSIs among the CS patients, 15/596 (2.5%) in 2023 and 45/599 (7.5%) in 2021 (p &lt; 0.001). The second study highlights the potential value of timely assessment of the implementation of recommendations following operational research. © 2023 by the authors.","archive":"Scopus","container-title":"Tropical Medicine and Infectious Disease","DOI":"10.3390/tropicalmed8080385","ISSN":"2414-6366","issue":"8","language":"English","source":"Scopus","title":"Assessing Changes in Surgical Site Infections and Antibiotic Use among Caesarean Section and Herniorrhaphy Patients at a Regional Hospital in Sierra Leone Following Operational Research in 2021","volume":"8","author":[{"family":"Kpagoi","given":"S.S.T.K."},{"family":"Kamara","given":"K.N."},{"family":"Carshon-Marsh","given":"R."},{"family":"Delamou","given":"A."},{"family":"Manzi","given":"M."},{"family":"Kamara","given":"R.Z."},{"family":"Moiwo","given":"M.M."},{"family":"Kamara","given":"M."},{"family":"Koroma","given":"Z."},{"family":"Lakoh","given":"S."},{"family":"Fofanah","given":"B.D."},{"family":"Kamara","given":"I.F."},{"family":"Kanu","given":"A.B.J."},{"family":"Kenneh","given":"S."},{"family":"Kanu","given":"J.S."},{"family":"Margao","given":"S."},{"family":"Kamau","given":"E.M."}],"issued":{"date-parts":[["2023"]]}}}],"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(Kpagoi et al., 2023)</w:t>
            </w:r>
            <w:r w:rsidRPr="000365ED">
              <w:rPr>
                <w:rFonts w:ascii="Times New Roman" w:hAnsi="Times New Roman" w:cs="Times New Roman"/>
              </w:rPr>
              <w:fldChar w:fldCharType="end"/>
            </w:r>
          </w:p>
        </w:tc>
        <w:tc>
          <w:tcPr>
            <w:tcW w:w="2736" w:type="dxa"/>
          </w:tcPr>
          <w:p w14:paraId="4D1E4C6B" w14:textId="7E271DB2" w:rsidR="00944D91" w:rsidRPr="000365ED" w:rsidRDefault="000A37C3" w:rsidP="00397401">
            <w:pPr>
              <w:rPr>
                <w:rFonts w:ascii="Times New Roman" w:hAnsi="Times New Roman" w:cs="Times New Roman"/>
              </w:rPr>
            </w:pPr>
            <w:r w:rsidRPr="000365ED">
              <w:rPr>
                <w:rFonts w:ascii="Times New Roman" w:hAnsi="Times New Roman" w:cs="Times New Roman"/>
              </w:rPr>
              <w:t>Assessing Changes in Surgical Site Infections and Antibiotic Use among Caesarean Section and Herniorrhaphy Patients at a Regional Hospital in Sierra Leone Following Operational Research in 2021</w:t>
            </w:r>
          </w:p>
        </w:tc>
        <w:tc>
          <w:tcPr>
            <w:tcW w:w="2329" w:type="dxa"/>
          </w:tcPr>
          <w:p w14:paraId="1E66707A" w14:textId="32F5DA9B" w:rsidR="00944D91" w:rsidRPr="000365ED" w:rsidRDefault="000A37C3" w:rsidP="00397401">
            <w:pPr>
              <w:rPr>
                <w:rFonts w:ascii="Times New Roman" w:hAnsi="Times New Roman" w:cs="Times New Roman"/>
              </w:rPr>
            </w:pPr>
            <w:r w:rsidRPr="000365ED">
              <w:rPr>
                <w:rFonts w:ascii="Times New Roman" w:hAnsi="Times New Roman" w:cs="Times New Roman"/>
              </w:rPr>
              <w:t>Not in DDD AND Prescription appropriateness was unavailable</w:t>
            </w:r>
          </w:p>
        </w:tc>
      </w:tr>
      <w:tr w:rsidR="00944D91" w:rsidRPr="000365ED" w14:paraId="611B4345" w14:textId="77777777" w:rsidTr="00944D91">
        <w:tc>
          <w:tcPr>
            <w:tcW w:w="1698" w:type="dxa"/>
          </w:tcPr>
          <w:p w14:paraId="2754A8CF" w14:textId="7290BFFB" w:rsidR="00944D91" w:rsidRPr="000365ED" w:rsidRDefault="00930A9A" w:rsidP="00397401">
            <w:pPr>
              <w:rPr>
                <w:rFonts w:ascii="Times New Roman" w:hAnsi="Times New Roman" w:cs="Times New Roman"/>
              </w:rPr>
            </w:pPr>
            <w:r w:rsidRPr="000365ED">
              <w:rPr>
                <w:rFonts w:ascii="Times New Roman" w:hAnsi="Times New Roman" w:cs="Times New Roman"/>
              </w:rPr>
              <w:t>44</w:t>
            </w:r>
          </w:p>
        </w:tc>
        <w:tc>
          <w:tcPr>
            <w:tcW w:w="2253" w:type="dxa"/>
          </w:tcPr>
          <w:p w14:paraId="1F61D08C" w14:textId="4A32C67E" w:rsidR="00944D91" w:rsidRPr="000365ED" w:rsidRDefault="00D716CE"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{"citationID":"qSVaCYsG","properties":{"formattedCitation":"(Kubasari et al., 2023)","plainCitation":"(Kubasari et al., 2023)","noteIndex":0},"citationItems":[{"id":8158,"uris":["http://zotero.org/users/11836539/items/GG98ZN7R"],"itemData":{"id":8158,"type":"article-journal","abstract":"The recording of antimicrobial use data is critical for the development of interventions for the containment of antimicrobial resistance. This cross-sectional study assessed whether dissemination activities and recommendations made after an operational research (OR) study in 2021 resulted in better data recording and improved the use of antimicrobials in a rural veterinary clinic. Routinely collected data from treatment record books were compared between 2013 and 2019 (pre-OR) and from July 2021 to April 2023 (post-OR). The most common animals presenting for care in the the pre – and post OR periods were dogs (369 and 206, respectively). Overall, antimicrobial use in animals increased from 53% to 77% between the two periods. Tetracycline was the most commonly used antimicrobial (99%) during the pre-OR period, while Penicillin-Streptomycin was the most commonly used antimicrobial (65%) during the post-OR period. All animals that received care at the clinic were documented in the register during both periods. Whereas the diagnosis was documented in 269 (90%) animals in the post-OR period compared to 242 (47%) in the pre-OR period, the routes and dosages were not adequately recorded during the both periods. Therefore, the quality of data recording was still deficient despite the dissemination and the recommendations made to some key stakeholders. Recommendations are made for a standardized antimicrobial reporting tool, refresher training, and continuous supervisory visits to the clinic. © 2023 by the authors.","archive":"Scopus","container-title":"Tropical Medicine and Infectious Disease","DOI":"10.3390/tropicalmed8110485","ISSN":"2414-6366","issue":"11","language":"English","source":"Scopus","title":"Quality of Data Recording and Antimicrobial Use in a Municipal Veterinary Clinic in Ghana","volume":"8","author":[{"family":"Kubasari","given":"C."},{"family":"Adeapena","given":"W."},{"family":"Najjemba","given":"R."},{"family":"Hedidor","given":"G.K."},{"family":"Adjei","given":"R.L."},{"family":"Manu","given":"G."},{"family":"Timire","given":"C."},{"family":"Afari-Asiedu","given":"S."},{"family":"Asante","given":"K.P."}],"issued":{"date-parts":[["2023"]]}}}],"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(Kubasari et al., 2023)</w:t>
            </w:r>
            <w:r w:rsidRPr="000365ED">
              <w:rPr>
                <w:rFonts w:ascii="Times New Roman" w:hAnsi="Times New Roman" w:cs="Times New Roman"/>
              </w:rPr>
              <w:fldChar w:fldCharType="end"/>
            </w:r>
          </w:p>
        </w:tc>
        <w:tc>
          <w:tcPr>
            <w:tcW w:w="2736" w:type="dxa"/>
          </w:tcPr>
          <w:p w14:paraId="068A5EA2" w14:textId="37BD0589" w:rsidR="00944D91" w:rsidRPr="000365ED" w:rsidRDefault="00D716CE" w:rsidP="00397401">
            <w:pPr>
              <w:rPr>
                <w:rFonts w:ascii="Times New Roman" w:hAnsi="Times New Roman" w:cs="Times New Roman"/>
              </w:rPr>
            </w:pPr>
            <w:r w:rsidRPr="000365ED">
              <w:rPr>
                <w:rFonts w:ascii="Times New Roman" w:hAnsi="Times New Roman" w:cs="Times New Roman"/>
              </w:rPr>
              <w:t>Quality of Data Recording and Antimicrobial Use in a Municipal Veterinary Clinic in Ghana</w:t>
            </w:r>
          </w:p>
        </w:tc>
        <w:tc>
          <w:tcPr>
            <w:tcW w:w="2329" w:type="dxa"/>
          </w:tcPr>
          <w:p w14:paraId="055D232E" w14:textId="2BE12CFF" w:rsidR="00944D91" w:rsidRPr="000365ED" w:rsidRDefault="00D716CE" w:rsidP="00397401">
            <w:pPr>
              <w:rPr>
                <w:rFonts w:ascii="Times New Roman" w:hAnsi="Times New Roman" w:cs="Times New Roman"/>
              </w:rPr>
            </w:pPr>
            <w:r w:rsidRPr="000365ED">
              <w:rPr>
                <w:rFonts w:ascii="Times New Roman" w:hAnsi="Times New Roman" w:cs="Times New Roman"/>
              </w:rPr>
              <w:t>Not on human</w:t>
            </w:r>
          </w:p>
        </w:tc>
      </w:tr>
      <w:tr w:rsidR="00944D91" w:rsidRPr="000365ED" w14:paraId="449C40F5" w14:textId="77777777" w:rsidTr="00944D91">
        <w:tc>
          <w:tcPr>
            <w:tcW w:w="1698" w:type="dxa"/>
          </w:tcPr>
          <w:p w14:paraId="34E62FD5" w14:textId="5147A9C8" w:rsidR="00944D91" w:rsidRPr="000365ED" w:rsidRDefault="00930A9A" w:rsidP="00397401">
            <w:pPr>
              <w:rPr>
                <w:rFonts w:ascii="Times New Roman" w:hAnsi="Times New Roman" w:cs="Times New Roman"/>
              </w:rPr>
            </w:pPr>
            <w:r w:rsidRPr="000365ED">
              <w:rPr>
                <w:rFonts w:ascii="Times New Roman" w:hAnsi="Times New Roman" w:cs="Times New Roman"/>
              </w:rPr>
              <w:t>45</w:t>
            </w:r>
          </w:p>
        </w:tc>
        <w:tc>
          <w:tcPr>
            <w:tcW w:w="2253" w:type="dxa"/>
          </w:tcPr>
          <w:p w14:paraId="6DF0AAAB" w14:textId="329D331D" w:rsidR="00944D91" w:rsidRPr="000365ED" w:rsidRDefault="00D716CE"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{"citationID":"bsGUInr3","properties":{"formattedCitation":"(Labb\\uc0\\u233{} et al., 2012)","plainCitation":"(Labbé et al., 2012)","noteIndex":0},"citationItems":[{"id":8492,"uris":["http://zotero.org/users/11836539/items/DNV2M93Q"],"itemData":{"id":8492,"type":"article-journal","abstract":"Background: In resource-poor settings, control of Neisseria gonorrhoeae (NG) and Chlamydia trachomatis (CT) among female sex workers (FSWs) is difficult. We sought to determine whether periodical antibiotic treatment (PAT) might be effective in controlling these infections among West African FSWs. Secondary objectives were to determine the impact of PAT on human immunodeficiency virus (HIV) incidence among FSWs and on NG/CT prevalence among their clients. Methods: Cluster-randomized, double-blind, placebo-controlled trial among FSW communities in Benin and Ghana. Within each of 9 pairs of clusters of FSW communities, one was allocated to receive, during 9 months, a monthly antibiotic (alternatively ciprofloxacin or azithromycin, n = 296 FSWs) and the other a placebo (n = 340 FSWs). Prevalence of NG/CT infections was measured at 3-month intervals using the polymerase chain reaction. HIV status was determined at the beginning and at the end of the study. Results: After adjusting for age, HIV status, duration of prostitution, price per intercourse and condom use, and accounting for prevalence at enrollment and cluster-pairing effect, prevalence ratios (intervention vs. placebo) of NG infection were 0.77 (P = NS), 1.07 (P = NS), and 0.49 (P = 0.05) at the first, second, and third follow-up visits, respectively. PAT neither reduced significantly CT prevalence or HIV incidence among FSWs nor NG/CT prevalence among their clients. Conclusion: The only beneficial impact of PAT was on the prevalence of gonococcal infections among FSWs 9 months after the beginning of the intervention. Although PAT could be more effective in other circumstances, for instance, in the early stages of a program for FSWs, it can not be recommended at present as a routine strategy to control cervical infections among FSWs. © 2012 Public Health Agency of Canada and Government of Canada All rights reserved.","archive":"Scopus","container-title":"Sexually Transmitted Diseases","DOI":"10.1097/OLQ.0b013e318244aaa0","ISSN":"1537-4521","issue":"4","language":"English","page":"253-259","source":"Scopus","title":"Periodical antibiotic treatment for the control of gonococcal and chlamydial infections among sex workers in benin and Ghana: A cluster-randomized placebo-controlled trial","title-short":"Periodical antibiotic treatment for the control of gonococcal and chlamydial infections among sex workers in benin and Ghana","volume":"39","author":[{"family":"Labbé","given":"A.-C."},{"family":"Pépin","given":"J."},{"family":"Khonde","given":"N."},{"family":"Dzokoto","given":"A."},{"family":"Méda","given":"H."},{"family":"Asamoah-Adu","given":"C."},{"family":"Mayaud","given":"P."},{"family":"Mabey","given":"D."},{"family":"Demers","given":"E."},{"family":"Alary","given":"M."}],"issued":{"date-parts":[["2012"]]}}}],"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lang w:val="en-GB"/>
              </w:rPr>
              <w:t>(Labbé et al., 2012)</w:t>
            </w:r>
            <w:r w:rsidRPr="000365ED">
              <w:rPr>
                <w:rFonts w:ascii="Times New Roman" w:hAnsi="Times New Roman" w:cs="Times New Roman"/>
              </w:rPr>
              <w:fldChar w:fldCharType="end"/>
            </w:r>
          </w:p>
        </w:tc>
        <w:tc>
          <w:tcPr>
            <w:tcW w:w="2736" w:type="dxa"/>
          </w:tcPr>
          <w:p w14:paraId="44D064F2" w14:textId="3CDEC764" w:rsidR="00944D91" w:rsidRPr="000365ED" w:rsidRDefault="00D716CE" w:rsidP="00397401">
            <w:pPr>
              <w:rPr>
                <w:rFonts w:ascii="Times New Roman" w:hAnsi="Times New Roman" w:cs="Times New Roman"/>
              </w:rPr>
            </w:pPr>
            <w:r w:rsidRPr="000365ED">
              <w:rPr>
                <w:rFonts w:ascii="Times New Roman" w:hAnsi="Times New Roman" w:cs="Times New Roman"/>
              </w:rPr>
              <w:t xml:space="preserve">Periodical Antibiotic Treatment for the Control of Gonococcal and Chlamydial Infections Among Sex Workers in Benin and Ghana: A </w:t>
            </w:r>
            <w:proofErr w:type="spellStart"/>
            <w:r w:rsidRPr="000365ED">
              <w:rPr>
                <w:rFonts w:ascii="Times New Roman" w:hAnsi="Times New Roman" w:cs="Times New Roman"/>
              </w:rPr>
              <w:t>ClusterRandomized</w:t>
            </w:r>
            <w:proofErr w:type="spellEnd"/>
            <w:r w:rsidRPr="000365ED">
              <w:rPr>
                <w:rFonts w:ascii="Times New Roman" w:hAnsi="Times New Roman" w:cs="Times New Roman"/>
              </w:rPr>
              <w:t xml:space="preserve"> Placebo-Controlled Trial</w:t>
            </w:r>
          </w:p>
        </w:tc>
        <w:tc>
          <w:tcPr>
            <w:tcW w:w="2329" w:type="dxa"/>
          </w:tcPr>
          <w:p w14:paraId="09BD7774" w14:textId="73E2BBD7" w:rsidR="00944D91" w:rsidRPr="000365ED" w:rsidRDefault="00D716CE" w:rsidP="00397401">
            <w:pPr>
              <w:rPr>
                <w:rFonts w:ascii="Times New Roman" w:hAnsi="Times New Roman" w:cs="Times New Roman"/>
              </w:rPr>
            </w:pPr>
            <w:r w:rsidRPr="000365ED">
              <w:rPr>
                <w:rFonts w:ascii="Times New Roman" w:hAnsi="Times New Roman" w:cs="Times New Roman"/>
              </w:rPr>
              <w:t>Not in DDD AND Prescription appropriateness was unavailable</w:t>
            </w:r>
          </w:p>
        </w:tc>
      </w:tr>
      <w:tr w:rsidR="00944D91" w:rsidRPr="000365ED" w14:paraId="51D1DD92" w14:textId="77777777" w:rsidTr="00944D91">
        <w:tc>
          <w:tcPr>
            <w:tcW w:w="1698" w:type="dxa"/>
          </w:tcPr>
          <w:p w14:paraId="2B3B200D" w14:textId="243EFC2F" w:rsidR="00944D91" w:rsidRPr="000365ED" w:rsidRDefault="00930A9A" w:rsidP="00397401">
            <w:pPr>
              <w:rPr>
                <w:rFonts w:ascii="Times New Roman" w:hAnsi="Times New Roman" w:cs="Times New Roman"/>
              </w:rPr>
            </w:pPr>
            <w:r w:rsidRPr="000365ED">
              <w:rPr>
                <w:rFonts w:ascii="Times New Roman" w:hAnsi="Times New Roman" w:cs="Times New Roman"/>
              </w:rPr>
              <w:lastRenderedPageBreak/>
              <w:t>46</w:t>
            </w:r>
          </w:p>
        </w:tc>
        <w:tc>
          <w:tcPr>
            <w:tcW w:w="2253" w:type="dxa"/>
          </w:tcPr>
          <w:p w14:paraId="3974CA1A" w14:textId="79E9A7D8" w:rsidR="00944D91" w:rsidRPr="000365ED" w:rsidRDefault="00DD268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{"citationID":"om5auq4E","properties":{"formattedCitation":"(Labi et al., 2016)","plainCitation":"(Labi et al., 2016)","noteIndex":0},"citationItems":[{"id":8461,"uris":["http://zotero.org/users/11836539/items/8P27UN5J"],"itemData":{"id":8461,"type":"article-journal","abstract":"Background: Diagnosis of bloodstream infections (BSI) in neonates is usually difficult due to minimal symptoms at presentation; thus early empirical therapy guided by local antibiotic susceptibility profile is necessary to improve therapeutic outcomes. Methods: A review of neonatal blood cultures submitted to the microbiology department of the Korle-Bu Teaching Hospital was conducted from January 2010 through December 2013. We assessed the prevalence of bacteria and fungi involved in BSI and the susceptibility coverage of recommended empiric antibiotics by Ghana Standard Treatment guidelines and the WHO recommendations for managing neonatal sepsis. The national and WHO treatment guidelines recommend either ampicillin plus gentamicin or ampicillin plus cefotaxime for empiric treatment of neonatal BSI. The WHO recommendations also include cloxacillin plus gentamicin. We described the resistance profile over a 28-day neonatal period using multivariable logistic regression analysis with linear or restricted cubic splines. Results: A total of 8,025 neonatal blood culture reports were reviewed over the four-year period. Total blood culture positivity was 21.9 %. Gram positive organisms accounted for most positive cultures, with coagulase negative staphylococci (CoNS) being the most frequently isolated pathogen in early onset infections (EOS) (59.1 %) and late onset infections (LOS) (52.8 %). Susceptibility coverage of early onset bacterial isolates were 20.7 % to ampicillin plus cefotaxime, 32.2 % to the combination of ampicillin and gentamicin, and 71.7 % to cloxacillin plus gentamicin. For LOS, coverage was 24.6 % to ampicillin plus cefotaxime, 36.2 % to the combination ampicillin and gentamicin and 63.6 % to cloxacillin plus gentamicin. Cloxacillin plus gentamicin remained the most active regimen for EOS and LOS after exclusion of BSI caused by CoNS. For this regimen, the adjusted odds of resistance decreased between 12-34 % per day from birth to day 3 followed by the slowest rate of resistance increase, compared to the other antibiotic regimen, thereafter until day 28. The trend in resistance remained generally unchanged after excluding data from CoNS. Multidrug resistant isolates were significantly (p-value &lt;0.001) higher in LOS (62.4 %, n = 555/886) than in EOS (37.3 %, n = 331/886). Conclusions: There is low antibiotic susceptibility coverage for organisms causing neonatal bloodstream infections in Korle-Bu Teaching Hospital when the current national and WHO recommended empiric antibiotics were assessed. A continuous surveillance of neonatal BSI is required to guide hospital and national antibiotic treatment guidelines for neonatal sepsis. © 2016 The Author(s).","archive":"Scopus","container-title":"BMC Infectious Diseases","DOI":"10.1186/s12879-016-1913-4","ISSN":"1471-2334","issue":"1","language":"English","source":"Scopus","title":"Neonatal bloodstream infections in a Ghanaian Tertiary Hospital: Are the current antibiotic recommendations adequate?","title-short":"Neonatal bloodstream infections in a Ghanaian Tertiary Hospital","volume":"16","author":[{"family":"Labi","given":"A.-K."},{"family":"Obeng-Nkrumah","given":"N."},{"family":"Bjerrum","given":"S."},{"family":"Enweronu-Laryea","given":"C."},{"family":"Newman","given":"M.J."}],"issued":{"date-parts":[["2016"]]}}}],"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(Labi et al., 2016)</w:t>
            </w:r>
            <w:r w:rsidRPr="000365ED">
              <w:rPr>
                <w:rFonts w:ascii="Times New Roman" w:hAnsi="Times New Roman" w:cs="Times New Roman"/>
              </w:rPr>
              <w:fldChar w:fldCharType="end"/>
            </w:r>
          </w:p>
        </w:tc>
        <w:tc>
          <w:tcPr>
            <w:tcW w:w="2736" w:type="dxa"/>
          </w:tcPr>
          <w:p w14:paraId="507A0BC7" w14:textId="3FC3254D" w:rsidR="00944D91" w:rsidRPr="000365ED" w:rsidRDefault="00DD2681" w:rsidP="00397401">
            <w:pPr>
              <w:rPr>
                <w:rFonts w:ascii="Times New Roman" w:hAnsi="Times New Roman" w:cs="Times New Roman"/>
              </w:rPr>
            </w:pPr>
            <w:r w:rsidRPr="000365ED">
              <w:rPr>
                <w:rFonts w:ascii="Times New Roman" w:hAnsi="Times New Roman" w:cs="Times New Roman"/>
              </w:rPr>
              <w:t>Neonatal bloodstream infections in a Ghanaian Tertiary Hospital: Are the current antibiotic recommendations adequate?</w:t>
            </w:r>
          </w:p>
        </w:tc>
        <w:tc>
          <w:tcPr>
            <w:tcW w:w="2329" w:type="dxa"/>
          </w:tcPr>
          <w:p w14:paraId="7522C44E" w14:textId="1241419B" w:rsidR="00944D91" w:rsidRPr="000365ED" w:rsidRDefault="00DD2681" w:rsidP="00397401">
            <w:pPr>
              <w:rPr>
                <w:rFonts w:ascii="Times New Roman" w:hAnsi="Times New Roman" w:cs="Times New Roman"/>
              </w:rPr>
            </w:pPr>
            <w:r w:rsidRPr="000365ED">
              <w:rPr>
                <w:rFonts w:ascii="Times New Roman" w:hAnsi="Times New Roman" w:cs="Times New Roman"/>
              </w:rPr>
              <w:t>Not in line with our themes</w:t>
            </w:r>
          </w:p>
        </w:tc>
      </w:tr>
      <w:tr w:rsidR="00944D91" w:rsidRPr="000365ED" w14:paraId="44138C31" w14:textId="77777777" w:rsidTr="00944D91">
        <w:tc>
          <w:tcPr>
            <w:tcW w:w="1698" w:type="dxa"/>
          </w:tcPr>
          <w:p w14:paraId="1655CA56" w14:textId="59A5AD86" w:rsidR="00944D91" w:rsidRPr="000365ED" w:rsidRDefault="00930A9A" w:rsidP="00397401">
            <w:pPr>
              <w:rPr>
                <w:rFonts w:ascii="Times New Roman" w:hAnsi="Times New Roman" w:cs="Times New Roman"/>
              </w:rPr>
            </w:pPr>
            <w:r w:rsidRPr="000365ED">
              <w:rPr>
                <w:rFonts w:ascii="Times New Roman" w:hAnsi="Times New Roman" w:cs="Times New Roman"/>
              </w:rPr>
              <w:t>47</w:t>
            </w:r>
          </w:p>
        </w:tc>
        <w:tc>
          <w:tcPr>
            <w:tcW w:w="2253" w:type="dxa"/>
          </w:tcPr>
          <w:p w14:paraId="7B2DFFFB" w14:textId="128065AA" w:rsidR="00944D91" w:rsidRPr="000365ED" w:rsidRDefault="005E229C"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{"citationID":"cevKNtNO","properties":{"formattedCitation":"(Lakoh et al., 2020)","plainCitation":"(Lakoh et al., 2020)","noteIndex":0},"citationItems":[{"id":8128,"uris":["http://zotero.org/users/11836539/items/YIFBE6BS"],"itemData":{"id":8128,"type":"article-journal","abstract":"Objectives\nOur study aimed to assess antibiotic use in adult inpatients in the context of limited laboratory services at the main tertiary hospital in Sierra Leone.\nDesign\nA cross-sectional study of consecutive adult inpatients (≥18 years) between October 2017 and February 2018 at Connaught Hospital in Freetown.\nResults\nA total of 920 patients were interviewed, of which 753 (81.8%) had at least one antibiotic. Complete data was captured for 688 (91.0%) patients. The median age was 41 years and 52.8% were male. Fever was reported in 41.5% of patients, though 85.1% had no leukocyte count prior to antibiotic use and none had a bacterial culture. Indications for prescribing were surgical prophylaxis (15.7%), pneumonia (15.1%), and trauma (5.8%). Cephalosporins (25.9%), penicillins (23.2%), and imidazoles (20.8%) were commonly prescribed.\nConclusion\nWe found high rates of antibiotic use, of which most was not based on laboratory evidence. Lack of oversight and microbiological support are drivers of poor prescribing in many developing countries, which lack financial resources and serve a sicker population. Greater investments are needed to establish antimicrobial stewardship programs and provide clinicians with diagnostic support to enable improvements in patient outcomes and curb the spread of antibiotic resistance.","container-title":"International Journal of Infectious Diseases","DOI":"10.1016/j.ijid.2019.10.022","ISSN":"1201-9712","journalAbbreviation":"International Journal of Infectious Diseases","page":"71-76","source":"ScienceDirect","title":"Antibiotic use among hospitalized adult patients in a setting with limited laboratory infrastructure in Freetown Sierra Leone, 2017–2018","volume":"90","author":[{"family":"Lakoh","given":"Sulaiman"},{"family":"Adekanmbi","given":"Olukemi"},{"family":"Jiba","given":"Darlinda F."},{"family":"Deen","given":"Gibrilla F."},{"family":"Gashau","given":"Wadzani"},{"family":"Sevalie","given":"Stephen"},{"family":"Klein","given":"Eili Y."}],"issued":{"date-parts":[["2020",1,1]]}}}],"schema":"https://github.com/citation-style-language/schema/raw/master/csl-citation.json"}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(Lakoh et al., 2020)</w:t>
            </w:r>
            <w:r w:rsidRPr="000365ED">
              <w:rPr>
                <w:rFonts w:ascii="Times New Roman" w:hAnsi="Times New Roman" w:cs="Times New Roman"/>
              </w:rPr>
              <w:fldChar w:fldCharType="end"/>
            </w:r>
          </w:p>
        </w:tc>
        <w:tc>
          <w:tcPr>
            <w:tcW w:w="2736" w:type="dxa"/>
          </w:tcPr>
          <w:p w14:paraId="2EC22723" w14:textId="3B347538" w:rsidR="00944D91" w:rsidRPr="000365ED" w:rsidRDefault="00DD2681" w:rsidP="00397401">
            <w:pPr>
              <w:rPr>
                <w:rFonts w:ascii="Times New Roman" w:hAnsi="Times New Roman" w:cs="Times New Roman"/>
              </w:rPr>
            </w:pPr>
            <w:r w:rsidRPr="000365ED">
              <w:rPr>
                <w:rFonts w:ascii="Times New Roman" w:hAnsi="Times New Roman" w:cs="Times New Roman"/>
              </w:rPr>
              <w:t>Antibiotic use among hospitalized adult patients in a setting with limited laboratory infrastructure in Freetown Sierra Leone, 2017–2018</w:t>
            </w:r>
          </w:p>
        </w:tc>
        <w:tc>
          <w:tcPr>
            <w:tcW w:w="2329" w:type="dxa"/>
          </w:tcPr>
          <w:p w14:paraId="6964335E" w14:textId="34255125" w:rsidR="00944D91" w:rsidRPr="000365ED" w:rsidRDefault="00DD2681" w:rsidP="00397401">
            <w:pPr>
              <w:rPr>
                <w:rFonts w:ascii="Times New Roman" w:hAnsi="Times New Roman" w:cs="Times New Roman"/>
              </w:rPr>
            </w:pPr>
            <w:r w:rsidRPr="000365ED">
              <w:rPr>
                <w:rFonts w:ascii="Times New Roman" w:hAnsi="Times New Roman" w:cs="Times New Roman"/>
              </w:rPr>
              <w:t>Not in line with our inclusion criteria</w:t>
            </w:r>
          </w:p>
        </w:tc>
      </w:tr>
      <w:tr w:rsidR="00944D91" w:rsidRPr="000365ED" w14:paraId="730653AC" w14:textId="77777777" w:rsidTr="00944D91">
        <w:tc>
          <w:tcPr>
            <w:tcW w:w="1698" w:type="dxa"/>
          </w:tcPr>
          <w:p w14:paraId="581B1B26" w14:textId="1F72B3EA" w:rsidR="00944D91" w:rsidRPr="000365ED" w:rsidRDefault="00930A9A" w:rsidP="00397401">
            <w:pPr>
              <w:rPr>
                <w:rFonts w:ascii="Times New Roman" w:hAnsi="Times New Roman" w:cs="Times New Roman"/>
              </w:rPr>
            </w:pPr>
            <w:r w:rsidRPr="000365ED">
              <w:rPr>
                <w:rFonts w:ascii="Times New Roman" w:hAnsi="Times New Roman" w:cs="Times New Roman"/>
              </w:rPr>
              <w:t>48</w:t>
            </w:r>
          </w:p>
        </w:tc>
        <w:tc>
          <w:tcPr>
            <w:tcW w:w="2253" w:type="dxa"/>
          </w:tcPr>
          <w:p w14:paraId="3CF614FC" w14:textId="4C2F1F2E" w:rsidR="00944D91" w:rsidRPr="000365ED" w:rsidRDefault="00857339"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{"citationID":"BDb6tzT6","properties":{"formattedCitation":"(Makanjuola et al., 2021)","plainCitation":"(Makanjuola et al., 2021)","noteIndex":0},"citationItems":[{"id":8314,"uris":["http://zotero.org/users/11836539/items/FZSXAHKT"],"itemData":{"id":8314,"type":"article-journal","abstract":"Background: The sustained high-level unregulated sale of prescription medicines in developing countries is recognized as a significant factor in the development of drug resistance among pathogenic microorganisms. Apart from the millions of deaths annually that are attributed directly to antimicrobial resistance to commonly prescribed medicines this major global public health problem hinders achieving the United Nations’ Sustainable Development Goals by its target of 2030. This study compared the extent of the sale of non-prescribed antimalarial medication and of antibiotics before and during the coronavirus disease (COVID)-19 pandemic in each of the six local government areas within the Federal Capital Territory-Abuja, Nigeria. Methods: A structured questionnaire was designed to determine the percentage sales of both antimalarials and antibiotics, without diagnosis or prescription from qualified medical practitioners, over six-month periods between January to June of 2019 and 2020. Results: The data showed that all of the 130 community pharmacies and registered chemist stores where questionnaires were completed engaged in non-prescribed sales of both sets of medicine. Moreover, approximately three-quarters of drug retailers recorded increased patronage in the purchase of both classes of antimicrobial during the 2020 survey period that coincided with the first few months of the COVID-19 pandemic. Over successive years this saw an overall rise in over-the-counter sales of antimalarials and antibiotics (each p &lt; 0.01). Yet, only Abuja Municipal Area Council and Bwari (p&lt;0.0001 and p &lt;0.001, respectively) recorded significant increases in indiscriminate sales of each medicine. Conclusion: In line with the high frequency of self-medication, this report points to the threat of possible emergence and spread of multidrug-resistant bacterial and Plasmodium spp. in the Abuja region. These findings highlight the imperative requirement for public health policymakers to implement effective strategies to curb the extensive unregulated sale of prescription drugs in the nation’s capital city and likely elsewhere in Nigeria. © 2020 The author (s). Published by Zagazig University.","archive":"Scopus","container-title":"Microbes and Infectious Diseases","DOI":"10.21608/MID.2021.71677.1142","ISSN":"2682-4132","issue":"3","language":"English","page":"423-432","source":"Scopus","title":"Comparative analysis of the unregulated sale of antimicrobial prescription medication by drug retailers before and during the COVID-19 pandemic in Abuja, Nigeria","volume":"2","author":[{"family":"Makanjuola","given":"R.O."},{"family":"Bello","given":"A.A."},{"family":"Sadiq","given":"F.U."},{"family":"Ishaleku","given":"D."},{"family":"Oduwole","given":"K.H."},{"family":"Taylor-Robinson","given":"A.W."}],"issued":{"date-parts":[["2021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(Makanjuola et al., 2021)</w:t>
            </w:r>
            <w:r w:rsidRPr="000365ED">
              <w:rPr>
                <w:rFonts w:ascii="Times New Roman" w:hAnsi="Times New Roman" w:cs="Times New Roman"/>
              </w:rPr>
              <w:fldChar w:fldCharType="end"/>
            </w:r>
          </w:p>
        </w:tc>
        <w:tc>
          <w:tcPr>
            <w:tcW w:w="2736" w:type="dxa"/>
          </w:tcPr>
          <w:p w14:paraId="478FD193" w14:textId="3AE09B0F" w:rsidR="00944D91" w:rsidRPr="000365ED" w:rsidRDefault="00857339" w:rsidP="00397401">
            <w:pPr>
              <w:rPr>
                <w:rFonts w:ascii="Times New Roman" w:hAnsi="Times New Roman" w:cs="Times New Roman"/>
              </w:rPr>
            </w:pPr>
            <w:r w:rsidRPr="000365ED">
              <w:rPr>
                <w:rFonts w:ascii="Times New Roman" w:hAnsi="Times New Roman" w:cs="Times New Roman"/>
              </w:rPr>
              <w:t>Comparative analysis of the unregulated sale of antimicrobial prescription medication by drug retailers before and during the COVID-19 pandemic in Abuja, Nigeria</w:t>
            </w:r>
          </w:p>
        </w:tc>
        <w:tc>
          <w:tcPr>
            <w:tcW w:w="2329" w:type="dxa"/>
          </w:tcPr>
          <w:p w14:paraId="7367DFEC" w14:textId="0223ED8A" w:rsidR="00944D91" w:rsidRPr="000365ED" w:rsidRDefault="00857339" w:rsidP="00397401">
            <w:pPr>
              <w:rPr>
                <w:rFonts w:ascii="Times New Roman" w:hAnsi="Times New Roman" w:cs="Times New Roman"/>
              </w:rPr>
            </w:pPr>
            <w:r w:rsidRPr="000365ED">
              <w:rPr>
                <w:rFonts w:ascii="Times New Roman" w:hAnsi="Times New Roman" w:cs="Times New Roman"/>
              </w:rPr>
              <w:t>Unrelated with our themes of inclusion</w:t>
            </w:r>
          </w:p>
        </w:tc>
      </w:tr>
      <w:tr w:rsidR="00944D91" w:rsidRPr="000365ED" w14:paraId="0F34249F" w14:textId="77777777" w:rsidTr="00944D91">
        <w:tc>
          <w:tcPr>
            <w:tcW w:w="1698" w:type="dxa"/>
          </w:tcPr>
          <w:p w14:paraId="084DAB83" w14:textId="01146B36" w:rsidR="00944D91" w:rsidRPr="000365ED" w:rsidRDefault="00930A9A" w:rsidP="00397401">
            <w:pPr>
              <w:rPr>
                <w:rFonts w:ascii="Times New Roman" w:hAnsi="Times New Roman" w:cs="Times New Roman"/>
              </w:rPr>
            </w:pPr>
            <w:r w:rsidRPr="000365ED">
              <w:rPr>
                <w:rFonts w:ascii="Times New Roman" w:hAnsi="Times New Roman" w:cs="Times New Roman"/>
              </w:rPr>
              <w:t>49</w:t>
            </w:r>
          </w:p>
        </w:tc>
        <w:tc>
          <w:tcPr>
            <w:tcW w:w="2253" w:type="dxa"/>
          </w:tcPr>
          <w:p w14:paraId="54C4DFE6" w14:textId="6027211C" w:rsidR="00944D91" w:rsidRPr="000365ED" w:rsidRDefault="00857339"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{"citationID":"DxDbnFmF","properties":{"formattedCitation":"(Mambula et al., 2023)","plainCitation":"(Mambula et al., 2023)","noteIndex":0},"citationItems":[{"id":8129,"uris":["http://zotero.org/users/11836539/items/TTF6TAJD"],"itemData":{"id":8129,"type":"article-journal","abstract":"Antibiotic resistance is a significant public health problem and is responsible for high mortality in children and new-borns. Strengthening the rational use of antibiotics and improving the quality and access to existing antibiotics are important factors in the fight against antibiotic resistance. This study aims to provide knowledge on the use of antibiotics in children in resource-limited countries in order to identify problems and possible avenues for improvement of antibiotics use.","container-title":"Antimicrobial Resistance &amp; Infection Control","DOI":"10.1186/s13756-023-01271-7","ISSN":"2047-2994","issue":"1","journalAbbreviation":"Antimicrob Resist Infect Control","language":"en","page":"67","source":"Springer Link","title":"Practices and challenges related to antibiotic use in paediatric treatment in hospitals and health centres in Niger and Uganda: a mixed methods study","title-short":"Practices and challenges related to antibiotic use in paediatric treatment in hospitals and health centres in Niger and Uganda","volume":"12","author":[{"family":"Mambula","given":"Grace"},{"family":"Nanjebe","given":"Deborah"},{"family":"Munene","given":"Aurelia"},{"family":"Guindo","given":"Ousmane"},{"family":"Salifou","given":"Aichatou"},{"family":"Mamaty","given":"Abdoul-Aziz"},{"family":"Rattigan","given":"Susan"},{"family":"Ellis","given":"Sally"},{"family":"Khavessian","given":"Nathalie"},{"family":"Pluijm","given":"Rob W.","non-dropping-particle":"van der"},{"family":"Marquer","given":"Caroline"},{"family":"Adehossi","given":"Irene Aicha"},{"family":"Langendorf","given":"Céline"}],"issued":{"date-parts":[["2023",7,11]]}}}],"schema":"https://github.com/citation-style-language/schema/raw/master/csl-citation.json"}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(Mambula et al., 2023)</w:t>
            </w:r>
            <w:r w:rsidRPr="000365ED">
              <w:rPr>
                <w:rFonts w:ascii="Times New Roman" w:hAnsi="Times New Roman" w:cs="Times New Roman"/>
              </w:rPr>
              <w:fldChar w:fldCharType="end"/>
            </w:r>
          </w:p>
        </w:tc>
        <w:tc>
          <w:tcPr>
            <w:tcW w:w="2736" w:type="dxa"/>
          </w:tcPr>
          <w:p w14:paraId="1FCE627C" w14:textId="58E59A1C" w:rsidR="00944D91" w:rsidRPr="000365ED" w:rsidRDefault="00857339" w:rsidP="00397401">
            <w:pPr>
              <w:rPr>
                <w:rFonts w:ascii="Times New Roman" w:hAnsi="Times New Roman" w:cs="Times New Roman"/>
              </w:rPr>
            </w:pPr>
            <w:r w:rsidRPr="000365ED">
              <w:rPr>
                <w:rFonts w:ascii="Times New Roman" w:hAnsi="Times New Roman" w:cs="Times New Roman"/>
              </w:rPr>
              <w:t xml:space="preserve">Practices and challenges related to antibiotic use in </w:t>
            </w:r>
            <w:proofErr w:type="spellStart"/>
            <w:r w:rsidRPr="000365ED">
              <w:rPr>
                <w:rFonts w:ascii="Times New Roman" w:hAnsi="Times New Roman" w:cs="Times New Roman"/>
              </w:rPr>
              <w:t>paediatric</w:t>
            </w:r>
            <w:proofErr w:type="spellEnd"/>
            <w:r w:rsidRPr="000365ED">
              <w:rPr>
                <w:rFonts w:ascii="Times New Roman" w:hAnsi="Times New Roman" w:cs="Times New Roman"/>
              </w:rPr>
              <w:t xml:space="preserve"> treatment in hospitals and health </w:t>
            </w:r>
            <w:proofErr w:type="spellStart"/>
            <w:r w:rsidRPr="000365ED">
              <w:rPr>
                <w:rFonts w:ascii="Times New Roman" w:hAnsi="Times New Roman" w:cs="Times New Roman"/>
              </w:rPr>
              <w:t>centres</w:t>
            </w:r>
            <w:proofErr w:type="spellEnd"/>
            <w:r w:rsidRPr="000365ED">
              <w:rPr>
                <w:rFonts w:ascii="Times New Roman" w:hAnsi="Times New Roman" w:cs="Times New Roman"/>
              </w:rPr>
              <w:t xml:space="preserve"> in Niger and Uganda: a mixed methods study</w:t>
            </w:r>
          </w:p>
        </w:tc>
        <w:tc>
          <w:tcPr>
            <w:tcW w:w="2329" w:type="dxa"/>
          </w:tcPr>
          <w:p w14:paraId="4BA4E00D" w14:textId="7EE93E69" w:rsidR="00944D91" w:rsidRPr="000365ED" w:rsidRDefault="00857339" w:rsidP="00397401">
            <w:pPr>
              <w:rPr>
                <w:rFonts w:ascii="Times New Roman" w:hAnsi="Times New Roman" w:cs="Times New Roman"/>
              </w:rPr>
            </w:pPr>
            <w:r w:rsidRPr="000365ED">
              <w:rPr>
                <w:rFonts w:ascii="Times New Roman" w:hAnsi="Times New Roman" w:cs="Times New Roman"/>
              </w:rPr>
              <w:t>Not in line with our inclusion themes. Additionally, wrong geographical location</w:t>
            </w:r>
          </w:p>
        </w:tc>
      </w:tr>
      <w:tr w:rsidR="00944D91" w:rsidRPr="000365ED" w14:paraId="23417326" w14:textId="77777777" w:rsidTr="00944D91">
        <w:tc>
          <w:tcPr>
            <w:tcW w:w="1698" w:type="dxa"/>
          </w:tcPr>
          <w:p w14:paraId="335BC536" w14:textId="48964E97" w:rsidR="00944D91" w:rsidRPr="000365ED" w:rsidRDefault="00930A9A" w:rsidP="00397401">
            <w:pPr>
              <w:rPr>
                <w:rFonts w:ascii="Times New Roman" w:hAnsi="Times New Roman" w:cs="Times New Roman"/>
              </w:rPr>
            </w:pPr>
            <w:r w:rsidRPr="000365ED">
              <w:rPr>
                <w:rFonts w:ascii="Times New Roman" w:hAnsi="Times New Roman" w:cs="Times New Roman"/>
              </w:rPr>
              <w:t>50</w:t>
            </w:r>
          </w:p>
        </w:tc>
        <w:tc>
          <w:tcPr>
            <w:tcW w:w="2253" w:type="dxa"/>
          </w:tcPr>
          <w:p w14:paraId="5E6DAFB1" w14:textId="083385E5" w:rsidR="00944D91" w:rsidRPr="000365ED" w:rsidRDefault="00857339"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{"citationID":"TZfeV64e","properties":{"formattedCitation":"(Mensah et al., 2017)","plainCitation":"(Mensah et al., 2017)","noteIndex":0},"citationItems":[{"id":8447,"uris":["http://zotero.org/users/11836539/items/XYCEVIEM"],"itemData":{"id":8447,"type":"article-journal","abstract":"Background: Babies are increasingly being exposed to antibiotics intrapartum in the bid to reduce neonatal and maternal deaths. Intrapartum antibiotic exposure, including even those considered safe in pregnancy, have been associated with childhood obesity and compromised immunity. Data on the extent of antibiotic use, safety and its impact on birth outcomes and neonatal health in Sub-Saharan Africa is very limited. This study sought to ascertain the extent of antibiotic use in pregnancy and its effects on birth outcomes in a rural hospital in Ghana. Methods: The study was a retrospective randomized study of mothers who delivered babies in a rural hospital between 2011 and 2015 in Ghana. A total of 412 mother/baby records out of 2100 pre-selected met the inclusion criteria of the study. Indicators of neonatal health used were birthweight, Apgar score, incidence of birth defects. Results: Sixty five percent of pregnant women were administered antibiotics at some stage during pregnancy. Beta Lactam antibiotics accounted for more than 67% of all antibiotics prescribed. There was a statistically significant association between antibiotic exposure and pregnancy factors such as stage of pregnancy, parity and mode of delivery but not with socio-economic status of the mother. Intrapartum antibiotic exposure did not significantly affect the birthweight, incidence of congenital birth defect and mean Apgar scores. After adjusting for method of delivery, however, perinatal antibiotic use (24h to delivery) was associated with lower mean Apgar scores. Birth weight was affected significantly by maternal socio-economic factors such as age and marital status. Conclusion: Sixty five percent of women attending the antenatal clinic received antibiotics. Intrapartum antibiotics did not affect early markers of neonatal health such as birthweight, congenital birth defect and mean Apgar scores. However, antibiotic use less than 24h to delivery was associated with a decrease in mean APGAR score. © 2017 The Author(s).","archive":"Scopus","container-title":"Journal of Pharmaceutical Policy and Practice","DOI":"10.1186/s40545-017-0111-0","ISSN":"2052-3211","issue":"1","language":"English","source":"Scopus","title":"Antibiotic use during pregnancy: A retrospective study of prescription patterns and birth outcomes at an antenatal clinic in rural Ghana","title-short":"Antibiotic use during pregnancy","volume":"10","author":[{"family":"Mensah","given":"K.B."},{"family":"Opoku-Agyeman","given":"K."},{"family":"Ansah","given":"C."}],"issued":{"date-parts":[["2017"]]}}}],"schema":"https://github.com/citation-style-language/schema/raw/master/csl-citation.json"}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(Mensah et al., 2017)</w:t>
            </w:r>
            <w:r w:rsidRPr="000365ED">
              <w:rPr>
                <w:rFonts w:ascii="Times New Roman" w:hAnsi="Times New Roman" w:cs="Times New Roman"/>
              </w:rPr>
              <w:fldChar w:fldCharType="end"/>
            </w:r>
          </w:p>
        </w:tc>
        <w:tc>
          <w:tcPr>
            <w:tcW w:w="2736" w:type="dxa"/>
          </w:tcPr>
          <w:p w14:paraId="30FA0187" w14:textId="584846DD" w:rsidR="00944D91" w:rsidRPr="000365ED" w:rsidRDefault="00857339" w:rsidP="00397401">
            <w:pPr>
              <w:rPr>
                <w:rFonts w:ascii="Times New Roman" w:hAnsi="Times New Roman" w:cs="Times New Roman"/>
              </w:rPr>
            </w:pPr>
            <w:r w:rsidRPr="000365ED">
              <w:rPr>
                <w:rFonts w:ascii="Times New Roman" w:hAnsi="Times New Roman" w:cs="Times New Roman"/>
              </w:rPr>
              <w:t>Antibiotic use during pregnancy: A retrospective study of prescription patterns and birth outcomes at an antenatal clinic in rural Ghana</w:t>
            </w:r>
          </w:p>
        </w:tc>
        <w:tc>
          <w:tcPr>
            <w:tcW w:w="2329" w:type="dxa"/>
          </w:tcPr>
          <w:p w14:paraId="021964EC" w14:textId="5C0231BE" w:rsidR="00944D91" w:rsidRPr="000365ED" w:rsidRDefault="00857339" w:rsidP="00397401">
            <w:pPr>
              <w:rPr>
                <w:rFonts w:ascii="Times New Roman" w:hAnsi="Times New Roman" w:cs="Times New Roman"/>
              </w:rPr>
            </w:pPr>
            <w:r w:rsidRPr="000365ED">
              <w:rPr>
                <w:rFonts w:ascii="Times New Roman" w:hAnsi="Times New Roman" w:cs="Times New Roman"/>
              </w:rPr>
              <w:t>Not in line with our inclusion criteria. Antibiotic consumption is n</w:t>
            </w:r>
            <w:r w:rsidR="00870C14" w:rsidRPr="000365ED">
              <w:rPr>
                <w:rFonts w:ascii="Times New Roman" w:hAnsi="Times New Roman" w:cs="Times New Roman"/>
              </w:rPr>
              <w:t>o</w:t>
            </w:r>
            <w:r w:rsidRPr="000365ED">
              <w:rPr>
                <w:rFonts w:ascii="Times New Roman" w:hAnsi="Times New Roman" w:cs="Times New Roman"/>
              </w:rPr>
              <w:t>t in DDD</w:t>
            </w:r>
            <w:r w:rsidR="00870C14" w:rsidRPr="000365ED">
              <w:rPr>
                <w:rFonts w:ascii="Times New Roman" w:hAnsi="Times New Roman" w:cs="Times New Roman"/>
              </w:rPr>
              <w:t>.</w:t>
            </w:r>
          </w:p>
        </w:tc>
      </w:tr>
      <w:tr w:rsidR="00944D91" w:rsidRPr="000365ED" w14:paraId="197E20EE" w14:textId="77777777" w:rsidTr="00944D91">
        <w:tc>
          <w:tcPr>
            <w:tcW w:w="1698" w:type="dxa"/>
          </w:tcPr>
          <w:p w14:paraId="1ABCA2AA" w14:textId="636836BB" w:rsidR="00944D91" w:rsidRPr="000365ED" w:rsidRDefault="00930A9A" w:rsidP="00397401">
            <w:pPr>
              <w:rPr>
                <w:rFonts w:ascii="Times New Roman" w:hAnsi="Times New Roman" w:cs="Times New Roman"/>
              </w:rPr>
            </w:pPr>
            <w:r w:rsidRPr="000365ED">
              <w:rPr>
                <w:rFonts w:ascii="Times New Roman" w:hAnsi="Times New Roman" w:cs="Times New Roman"/>
              </w:rPr>
              <w:t>51</w:t>
            </w:r>
          </w:p>
        </w:tc>
        <w:tc>
          <w:tcPr>
            <w:tcW w:w="2253" w:type="dxa"/>
          </w:tcPr>
          <w:p w14:paraId="20EB423D" w14:textId="3C93631A" w:rsidR="00944D91" w:rsidRPr="000365ED" w:rsidRDefault="00870C14"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{"citationID":"gQQRWgIg","properties":{"formattedCitation":"(Moon et al., 2023)","plainCitation":"(Moon et al., 2023)","noteIndex":0},"citationItems":[{"id":8123,"uris":["http://zotero.org/users/11836539/items/XL8NICRV"],"itemData":{"id":8123,"type":"article-journal","abstract":"Lower respiratory tract infections are the leading cause of mortality in young children globally. In many resource-limited settings clinicians rely on guidelines such as IMCI or ETAT + that promote empiric antibiotic utilization for management of acute respiratory illness (ARI). Numerous evaluations of both guidelines have shown an overall positive response however, several challenges have also been reported, including the potential for over-prescribing of unnecessary antibiotics. The aims of this study were to describe the antibiotic prescribing practices for children less than 24 months of age with symptoms of ARI, that were admitted to Kenema Government Hospital (KGH) in the Eastern Province of Sierra Leone, and to identify the number of children empirically prescribed antibiotics who were admitted to hospital with ARI, as well as their clinical signs, symptoms, and outcomes.","container-title":"BMC Infectious Diseases","DOI":"10.1186/s12879-023-08606-0","ISSN":"1471-2334","issue":"1","journalAbbreviation":"BMC Infectious Diseases","page":"626","source":"BioMed Central","title":"Antibiotic prescribing practices for acute respiratory illness in children less than 24 months of age in Kenema, Sierra Leone: is it time to move beyond algorithm driven decision making?","title-short":"Antibiotic prescribing practices for acute respiratory illness in children less than 24 months of age in Kenema, Sierra Leone","volume":"23","author":[{"family":"Moon","given":"Troy D."},{"family":"Sumah","given":"Ibrahim"},{"family":"Amorim","given":"Gustavo"},{"family":"Alhasan","given":"Foday"},{"family":"Howard","given":"Leigh M."},{"family":"Myers","given":"Harriett"},{"family":"Green","given":"Ann F."},{"family":"Grant","given":"Donald S."},{"family":"Schieffelin","given":"John S."},{"family":"Samuels","given":"Robert J."}],"issued":{"date-parts":[["2023",9,25]]}}}],"schema":"https://github.com/citation-style-language/schema/raw/master/csl-citation.json"}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(Moon et al., 2023)</w:t>
            </w:r>
            <w:r w:rsidRPr="000365ED">
              <w:rPr>
                <w:rFonts w:ascii="Times New Roman" w:hAnsi="Times New Roman" w:cs="Times New Roman"/>
              </w:rPr>
              <w:fldChar w:fldCharType="end"/>
            </w:r>
          </w:p>
        </w:tc>
        <w:tc>
          <w:tcPr>
            <w:tcW w:w="2736" w:type="dxa"/>
          </w:tcPr>
          <w:p w14:paraId="7C58E8EF" w14:textId="6B21CF40" w:rsidR="00944D91" w:rsidRPr="000365ED" w:rsidRDefault="00870C14" w:rsidP="00397401">
            <w:pPr>
              <w:rPr>
                <w:rFonts w:ascii="Times New Roman" w:hAnsi="Times New Roman" w:cs="Times New Roman"/>
              </w:rPr>
            </w:pPr>
            <w:r w:rsidRPr="000365ED">
              <w:rPr>
                <w:rFonts w:ascii="Times New Roman" w:hAnsi="Times New Roman" w:cs="Times New Roman"/>
              </w:rPr>
              <w:t>Antibiotic prescribing practices for acute respiratory illness in children less than 24 months of age in Kenema, Sierra Leone: is it time to move beyond algorithm driven decision making?</w:t>
            </w:r>
          </w:p>
        </w:tc>
        <w:tc>
          <w:tcPr>
            <w:tcW w:w="2329" w:type="dxa"/>
          </w:tcPr>
          <w:p w14:paraId="0453939A" w14:textId="77777777" w:rsidR="00870C14" w:rsidRPr="000365ED" w:rsidRDefault="00870C14" w:rsidP="00397401">
            <w:pPr>
              <w:pStyle w:val="NormalWeb"/>
            </w:pPr>
            <w:r w:rsidRPr="000365ED">
              <w:t>Does not report the DDD consumed. Does not report on guidelines either.</w:t>
            </w:r>
          </w:p>
          <w:p w14:paraId="79ED23AA" w14:textId="77777777" w:rsidR="00944D91" w:rsidRPr="000365ED" w:rsidRDefault="00944D91" w:rsidP="00397401">
            <w:pPr>
              <w:rPr>
                <w:rFonts w:ascii="Times New Roman" w:hAnsi="Times New Roman" w:cs="Times New Roman"/>
              </w:rPr>
            </w:pPr>
          </w:p>
        </w:tc>
      </w:tr>
      <w:tr w:rsidR="00944D91" w:rsidRPr="000365ED" w14:paraId="58A588C5" w14:textId="77777777" w:rsidTr="00944D91">
        <w:tc>
          <w:tcPr>
            <w:tcW w:w="1698" w:type="dxa"/>
          </w:tcPr>
          <w:p w14:paraId="4274192D" w14:textId="54547DFE" w:rsidR="00944D91" w:rsidRPr="000365ED" w:rsidRDefault="00930A9A" w:rsidP="00397401">
            <w:pPr>
              <w:rPr>
                <w:rFonts w:ascii="Times New Roman" w:hAnsi="Times New Roman" w:cs="Times New Roman"/>
              </w:rPr>
            </w:pPr>
            <w:r w:rsidRPr="000365ED">
              <w:rPr>
                <w:rFonts w:ascii="Times New Roman" w:hAnsi="Times New Roman" w:cs="Times New Roman"/>
              </w:rPr>
              <w:t>52</w:t>
            </w:r>
          </w:p>
        </w:tc>
        <w:tc>
          <w:tcPr>
            <w:tcW w:w="2253" w:type="dxa"/>
          </w:tcPr>
          <w:p w14:paraId="16C1FACB" w14:textId="41F4DBD9" w:rsidR="00944D91" w:rsidRPr="000365ED" w:rsidRDefault="003F403A"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{"citationID":"Py6knEQ4","properties":{"formattedCitation":"(Nduka et al., 2017)","plainCitation":"(Nduka et al., 2017)","noteIndex":0},"citationItems":[{"id":8451,"uris":["http://zotero.org/users/11836539/items/RSR3H7WK"],"itemData":{"id":8451,"type":"article-journal","abstract":"Purpose: The objective of this study was to evaluate drug utilization pattern in the pediatric departments of two tertiary health facilities in Nigeria using WHO core prescribing indicators. Methods: Using a cross-sectional retrospective study approach, prescriptions randomly selected for a period of 6 months from the pediatric out-patient departments of two tertiary hospitals: Chukwuemeka Odumegwu Ojukwu University Teaching Hospital (COOUTH), Awka and Nnamdi Azikiwe University Teaching Hospital (NAUTH), Nnewi in South- Eastern Nigeria were assessed. Prescribing indicators as listed by WHO were calculated and analyzed using SPSS version 20. Results: A total of 750 prescriptions (450 from NAUTH and 300 from COOUTH) containing 2,739 drugs were assessed. The mean number of drugs prescribed per encounter (mean ± SD) at NAUTH was 3.5 ± 0.9 and 3.8 ± 1.1 in COOUTH. The percentage of antibiotics prescribed per encounter in COOUTH and NAUTH were 72.3 and 77.1 %, respectively, whereas drugs prescribed by generic names were 61.7 and 64.2 %, respectively. Injections prescribed per encounter were above acceptable range, and percentages of drugs prescribed from essential medicine lists in the two hospitals were &gt; 85 %. Conclusion: This study identified irrational use of antibiotics, polypharmacy, non-adherence to generic prescribing and high use of injections in both hospitals. The need for improvement in prescription patterns is underscored. © Pharmacotherapy Group, Faculty of Pharmacy, University of Benin, Benin City, 300001 Nigeria. All rights reserved.","archive":"Scopus","container-title":"Tropical Journal of Pharmaceutical Research","DOI":"10.4314/tjpr.v16i3.28","ISSN":"1596-5996","issue":"3","language":"English","page":"705-711","source":"Scopus","title":"Prescribing practices for pediatric out-patients: A case study of two teaching hospitals in Nigeria","title-short":"Prescribing practices for pediatric out-patients","volume":"16","author":[{"family":"Nduka","given":"S.O."},{"family":"Edebeatu","given":"C."},{"family":"Isidienu","given":"C.P."},{"family":"Amorha","given":"K.C."}],"issued":{"date-parts":[["2017"]]}}}],"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(Nduka et al., 2017)</w:t>
            </w:r>
            <w:r w:rsidRPr="000365ED">
              <w:rPr>
                <w:rFonts w:ascii="Times New Roman" w:hAnsi="Times New Roman" w:cs="Times New Roman"/>
              </w:rPr>
              <w:fldChar w:fldCharType="end"/>
            </w:r>
          </w:p>
        </w:tc>
        <w:tc>
          <w:tcPr>
            <w:tcW w:w="2736" w:type="dxa"/>
          </w:tcPr>
          <w:p w14:paraId="2ABEF74B" w14:textId="2619A119" w:rsidR="00944D91" w:rsidRPr="000365ED" w:rsidRDefault="003F403A" w:rsidP="00397401">
            <w:pPr>
              <w:rPr>
                <w:rFonts w:ascii="Times New Roman" w:hAnsi="Times New Roman" w:cs="Times New Roman"/>
              </w:rPr>
            </w:pPr>
            <w:r w:rsidRPr="000365ED">
              <w:rPr>
                <w:rFonts w:ascii="Times New Roman" w:hAnsi="Times New Roman" w:cs="Times New Roman"/>
              </w:rPr>
              <w:t>Prescribing practices for pediatric out-patients: A case study of two teaching hospitals in Nigeria</w:t>
            </w:r>
          </w:p>
        </w:tc>
        <w:tc>
          <w:tcPr>
            <w:tcW w:w="2329" w:type="dxa"/>
          </w:tcPr>
          <w:p w14:paraId="7B21BEE6" w14:textId="695C1B87" w:rsidR="00944D91" w:rsidRPr="000365ED" w:rsidRDefault="007623AD" w:rsidP="00397401">
            <w:pPr>
              <w:rPr>
                <w:rFonts w:ascii="Times New Roman" w:hAnsi="Times New Roman" w:cs="Times New Roman"/>
              </w:rPr>
            </w:pPr>
            <w:r w:rsidRPr="000365ED">
              <w:rPr>
                <w:rFonts w:ascii="Times New Roman" w:hAnsi="Times New Roman" w:cs="Times New Roman"/>
              </w:rPr>
              <w:t xml:space="preserve">Does not cover prescribing </w:t>
            </w:r>
            <w:r w:rsidR="003F403A" w:rsidRPr="000365ED">
              <w:rPr>
                <w:rFonts w:ascii="Times New Roman" w:hAnsi="Times New Roman" w:cs="Times New Roman"/>
              </w:rPr>
              <w:t>appropriateness</w:t>
            </w:r>
            <w:r w:rsidRPr="000365ED">
              <w:rPr>
                <w:rFonts w:ascii="Times New Roman" w:hAnsi="Times New Roman" w:cs="Times New Roman"/>
              </w:rPr>
              <w:t xml:space="preserve"> </w:t>
            </w:r>
            <w:r w:rsidR="003F403A" w:rsidRPr="000365ED">
              <w:rPr>
                <w:rFonts w:ascii="Times New Roman" w:hAnsi="Times New Roman" w:cs="Times New Roman"/>
              </w:rPr>
              <w:t>or any other theme under our consideration</w:t>
            </w:r>
          </w:p>
        </w:tc>
      </w:tr>
      <w:tr w:rsidR="00944D91" w:rsidRPr="000365ED" w14:paraId="333D53BB" w14:textId="77777777" w:rsidTr="00944D91">
        <w:tc>
          <w:tcPr>
            <w:tcW w:w="1698" w:type="dxa"/>
          </w:tcPr>
          <w:p w14:paraId="63E061CC" w14:textId="6666C022" w:rsidR="00944D91" w:rsidRPr="000365ED" w:rsidRDefault="00930A9A" w:rsidP="00397401">
            <w:pPr>
              <w:rPr>
                <w:rFonts w:ascii="Times New Roman" w:hAnsi="Times New Roman" w:cs="Times New Roman"/>
              </w:rPr>
            </w:pPr>
            <w:r w:rsidRPr="000365ED">
              <w:rPr>
                <w:rFonts w:ascii="Times New Roman" w:hAnsi="Times New Roman" w:cs="Times New Roman"/>
              </w:rPr>
              <w:lastRenderedPageBreak/>
              <w:t>53</w:t>
            </w:r>
          </w:p>
        </w:tc>
        <w:tc>
          <w:tcPr>
            <w:tcW w:w="2253" w:type="dxa"/>
          </w:tcPr>
          <w:p w14:paraId="617CDA49" w14:textId="18E07F52" w:rsidR="00944D91" w:rsidRPr="000365ED" w:rsidRDefault="009C5D6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{"citationID":"V9NcA2iJ","properties":{"formattedCitation":"(Nelson et al., 2022)","plainCitation":"(Nelson et al., 2022)","noteIndex":0},"citationItems":[{"id":8219,"uris":["http://zotero.org/users/11836539/items/RTDV5HN3"],"itemData":{"id":8219,"type":"article-journal","abstract":"Importance: Inappropriate use of antibiotics for diarrheal illness can result in adverse effects and increase in antimicrobial resistance. Objective: To determine whether the diarrheal etiology prediction (DEP) algorithm, which uses patient-specific and location-specific features to estimate the probability that diarrhea etiology is exclusively viral, impacts antibiotic prescriptions in patients with acute diarrhea. Design, Setting, and Participants: A randomized crossover study was conducted to evaluate the DEP incorporated into a smartphone-based electronic clinical decision-support (eCDS) tool. The DEP calculated the probability of viral etiology of diarrhea, based on dynamic patient-specific and location-specific features. Physicians were randomized in the first 4-week study period to the intervention arm (eCDS with the DEP) or control arm (eCDS without the DEP), followed by a 1-week washout period before a subsequent 4-week crossover period. The study was conducted at 3 sites in Bangladesh from November 17, 2021, to January 21, 2021, and at 4 sites in Mali from January 6, 2021, to March 5, 2021. Eligible physicians were those who treated children with diarrhea. Eligible patients were children between ages 2 and 59 months with acute diarrhea and household access to a cell phone for follow-up. Interventions: Use of the eCDS with the DEP (intervention arm) vs use of the eCDS without the DEP (control arm). Main Outcomes and Measures: The primary outcome was the proportion of children prescribed an antibiotic. Results: A total of 30 physician participants and 941 patient participants (57.1% male; median [IQR] age, 12 [8-18] months) were enrolled. There was no evidence of a difference in the proportion of children prescribed antibiotics by physicians using the DEP (risk difference [RD], -4.2%; 95% CI, -10.7% to 1.0%). In a post hoc analysis that accounted for the predicted probability of a viral-only etiology, there was a statistically significant difference in risk of antibiotic prescription between the DEP and control arms (RD, -0.056; 95% CI, -0.128 to -0.01). No known adverse effects of the DEP were detected at 10-day postdischarge. Conclusions and Relevance: Use of a tool that provides an estimate of etiological likelihood did not result in a significant change in overall antibiotic prescriptions. Post hoc analysis suggests that a higher predicted probability of viral etiology was linked to reductions in antibiotic use. Trial Registration: Clinicaltrials.gov Identifier: NCT04602676. © 2022 American Medical Association. All rights reserved.","archive":"Scopus","container-title":"JAMA Pediatrics","DOI":"10.1001/jamapediatrics.2022.2535","ISSN":"2168-6203","issue":"10","language":"English","page":"973-979","source":"Scopus","title":"Improving Antibiotic Stewardship for Diarrheal Disease with Probability-Based Electronic Clinical Decision Support: A Randomized Crossover Trial","title-short":"Improving Antibiotic Stewardship for Diarrheal Disease with Probability-Based Electronic Clinical Decision Support","volume":"176","author":[{"family":"Nelson","given":"E.J."},{"family":"Khan","given":"A.I."},{"family":"Keita","given":"A.M."},{"family":"Brintz","given":"B.J."},{"family":"Keita","given":"Y."},{"family":"Sanogo","given":"D."},{"family":"Islam","given":"M.T."},{"family":"Khan","given":"Z.H."},{"family":"Rashid","given":"M.M."},{"family":"Nasrin","given":"D."},{"family":"Watt","given":"M.H."},{"family":"Ahmed","given":"S.M."},{"family":"Haaland","given":"B."},{"family":"Pavia","given":"A.T."},{"family":"Levine","given":"A.C."},{"family":"Chao","given":"D.L."},{"family":"Kotloff","given":"K.L."},{"family":"Qadri","given":"F."},{"family":"Sow","given":"S.O."}],"issued":{"date-parts":[["2022"]]}}}],"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(Nelson et al., 2022)</w:t>
            </w:r>
            <w:r w:rsidRPr="000365ED">
              <w:rPr>
                <w:rFonts w:ascii="Times New Roman" w:hAnsi="Times New Roman" w:cs="Times New Roman"/>
              </w:rPr>
              <w:fldChar w:fldCharType="end"/>
            </w:r>
          </w:p>
        </w:tc>
        <w:tc>
          <w:tcPr>
            <w:tcW w:w="2736" w:type="dxa"/>
          </w:tcPr>
          <w:p w14:paraId="0DCF11DE" w14:textId="20813A0F" w:rsidR="00944D91" w:rsidRPr="000365ED" w:rsidRDefault="003F403A" w:rsidP="00397401">
            <w:pPr>
              <w:rPr>
                <w:rFonts w:ascii="Times New Roman" w:hAnsi="Times New Roman" w:cs="Times New Roman"/>
              </w:rPr>
            </w:pPr>
            <w:r w:rsidRPr="000365ED">
              <w:rPr>
                <w:rFonts w:ascii="Times New Roman" w:hAnsi="Times New Roman" w:cs="Times New Roman"/>
              </w:rPr>
              <w:t xml:space="preserve">Improving Antibiotic Stewardship for Diarrheal Disease </w:t>
            </w:r>
            <w:proofErr w:type="gramStart"/>
            <w:r w:rsidRPr="000365ED">
              <w:rPr>
                <w:rFonts w:ascii="Times New Roman" w:hAnsi="Times New Roman" w:cs="Times New Roman"/>
              </w:rPr>
              <w:t>With</w:t>
            </w:r>
            <w:proofErr w:type="gramEnd"/>
            <w:r w:rsidRPr="000365ED">
              <w:rPr>
                <w:rFonts w:ascii="Times New Roman" w:hAnsi="Times New Roman" w:cs="Times New Roman"/>
              </w:rPr>
              <w:t xml:space="preserve"> Probability-Based Electronic Clinical Decision Support A Randomized Crossover Trial </w:t>
            </w:r>
          </w:p>
        </w:tc>
        <w:tc>
          <w:tcPr>
            <w:tcW w:w="2329" w:type="dxa"/>
          </w:tcPr>
          <w:p w14:paraId="5BED21FA" w14:textId="5739A16F" w:rsidR="00944D91" w:rsidRPr="000365ED" w:rsidRDefault="003F403A" w:rsidP="00397401">
            <w:pPr>
              <w:rPr>
                <w:rFonts w:ascii="Times New Roman" w:hAnsi="Times New Roman" w:cs="Times New Roman"/>
              </w:rPr>
            </w:pPr>
            <w:r w:rsidRPr="000365ED">
              <w:rPr>
                <w:rFonts w:ascii="Times New Roman" w:hAnsi="Times New Roman" w:cs="Times New Roman"/>
              </w:rPr>
              <w:t>Did not report on any outcome such as improvement after application of AMS</w:t>
            </w:r>
          </w:p>
        </w:tc>
      </w:tr>
      <w:tr w:rsidR="00944D91" w:rsidRPr="000365ED" w14:paraId="7866CEE4" w14:textId="77777777" w:rsidTr="00944D91">
        <w:tc>
          <w:tcPr>
            <w:tcW w:w="1698" w:type="dxa"/>
          </w:tcPr>
          <w:p w14:paraId="61C4145B" w14:textId="2197DDEF" w:rsidR="00944D91" w:rsidRPr="000365ED" w:rsidRDefault="00930A9A" w:rsidP="00397401">
            <w:pPr>
              <w:rPr>
                <w:rFonts w:ascii="Times New Roman" w:hAnsi="Times New Roman" w:cs="Times New Roman"/>
              </w:rPr>
            </w:pPr>
            <w:r w:rsidRPr="000365ED">
              <w:rPr>
                <w:rFonts w:ascii="Times New Roman" w:hAnsi="Times New Roman" w:cs="Times New Roman"/>
              </w:rPr>
              <w:t>54</w:t>
            </w:r>
          </w:p>
        </w:tc>
        <w:tc>
          <w:tcPr>
            <w:tcW w:w="2253" w:type="dxa"/>
          </w:tcPr>
          <w:p w14:paraId="4D3A15D1" w14:textId="1DFF611F" w:rsidR="00944D91" w:rsidRPr="000365ED" w:rsidRDefault="001A5A83"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{"citationID":"MCTgWUwH","properties":{"formattedCitation":"(Nyarko et al., 2023)","plainCitation":"(Nyarko et al., 2023)","noteIndex":0},"citationItems":[{"id":8521,"uris":["http://zotero.org/users/11836539/items/6J2MQFLB"],"itemData":{"id":8521,"type":"article-journal","abstract":"Introduction: Antimicrobials are consumed among patients globally, but in developing and middle-income countries, these drugs can be obtained without a prescription from pharmacies and licensed drug stores due to inadequate regulation in the pharmaceutical sector. This study aimed to assess antimicrobial dispensing practices in medicine sales outlets (i.e., pharmacies and licensed drug stores) to provide quantitative evidence for policy discussions to enhance patient safety and care quality in Ghana's pharmaceutical industry. Method: The data for this study were obtained from a cross-sectional survey conducted in the Greater Accra region between July and August 2022. The survey was conducted through interviewer-administered questionnaires, and 200 staff members from medicine sales outlets were randomly selected using a two-stage cluster and random sampling technique. The maximum difference experiment model, rooted in random utility theory, was used to analyze their antimicrobial dispensing practices. Result: We found that medicine sales outlet staffs were highly concerned about following the drug act and not dispensing antimicrobials without a prescription, and usually refer a patient to get a prescription from a doctor if the patient has complications (like high fever, generalized malaise, fatigue as symptoms, sinusitis). Stronger concerns were also observed for medicine outlet staff not dispensing antimicrobials without a prescription if the patient is pediatric or geriatric with a severe infection. They also evaluated patients and dispensed antimicrobials based on symptoms, not their age or gender. However, they tended not to dispense antibiotics if the patient had a mild fever and requested it without a prescription. Conclusion: Our results provide insight into the need for a national surveillance system for monitoring antimicrobial prescribing and dispensing practices at medicine sales outlets. Therefore, the selection of antimicrobials for treating infectious diseases may be informed by evidence-based antimicrobial prescribing and dispensing surveillance data and will help policymakers to know the pattern of commonly consumed antimicrobials in the medicine sales outlets.","container-title":"PLoS ONE","DOI":"10.1371/journal.pone.0288519","ISSN":"19326203","issue":"7","note":"publisher: Public Library of Science","page":"1-15","source":"EBSCOhost","title":"Perceived antimicrobial dispensing practices in medicine outlets in Ghana: A maximum difference experiment design","title-short":"Perceived antimicrobial dispensing practices in medicine outlets in Ghana","volume":"18","author":[{"family":"Nyarko","given":"Eric"},{"family":"Akoto","given":"Francisca Mawulawoe"},{"family":"Doku-Amponsah","given":"Kwabena"}],"issued":{"date-parts":[["2023",7,13]]}}}],"schema":"https://github.com/citation-style-language/schema/raw/master/csl-citation.json"}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(Nyarko et al., 2023)</w:t>
            </w:r>
            <w:r w:rsidRPr="000365ED">
              <w:rPr>
                <w:rFonts w:ascii="Times New Roman" w:hAnsi="Times New Roman" w:cs="Times New Roman"/>
              </w:rPr>
              <w:fldChar w:fldCharType="end"/>
            </w:r>
          </w:p>
        </w:tc>
        <w:tc>
          <w:tcPr>
            <w:tcW w:w="2736" w:type="dxa"/>
          </w:tcPr>
          <w:p w14:paraId="4863D229" w14:textId="298CCFCD" w:rsidR="00944D91" w:rsidRPr="000365ED" w:rsidRDefault="001A5A83" w:rsidP="00397401">
            <w:pPr>
              <w:rPr>
                <w:rFonts w:ascii="Times New Roman" w:hAnsi="Times New Roman" w:cs="Times New Roman"/>
              </w:rPr>
            </w:pPr>
            <w:r w:rsidRPr="000365ED">
              <w:rPr>
                <w:rFonts w:ascii="Times New Roman" w:hAnsi="Times New Roman" w:cs="Times New Roman"/>
              </w:rPr>
              <w:t xml:space="preserve">Perceived antimicrobial dispensing practices in medicine outlets in Ghana: </w:t>
            </w:r>
            <w:proofErr w:type="spellStart"/>
            <w:r w:rsidRPr="000365ED">
              <w:rPr>
                <w:rFonts w:ascii="Times New Roman" w:hAnsi="Times New Roman" w:cs="Times New Roman"/>
              </w:rPr>
              <w:t>Amaximum</w:t>
            </w:r>
            <w:proofErr w:type="spellEnd"/>
            <w:r w:rsidRPr="000365ED">
              <w:rPr>
                <w:rFonts w:ascii="Times New Roman" w:hAnsi="Times New Roman" w:cs="Times New Roman"/>
              </w:rPr>
              <w:t xml:space="preserve"> difference experiment design</w:t>
            </w:r>
          </w:p>
        </w:tc>
        <w:tc>
          <w:tcPr>
            <w:tcW w:w="2329" w:type="dxa"/>
          </w:tcPr>
          <w:p w14:paraId="38824390" w14:textId="329684FB" w:rsidR="00944D91" w:rsidRPr="000365ED" w:rsidRDefault="0002429F" w:rsidP="00397401">
            <w:pPr>
              <w:rPr>
                <w:rFonts w:ascii="Times New Roman" w:hAnsi="Times New Roman" w:cs="Times New Roman"/>
              </w:rPr>
            </w:pPr>
            <w:r w:rsidRPr="000365ED">
              <w:rPr>
                <w:rFonts w:ascii="Times New Roman" w:hAnsi="Times New Roman" w:cs="Times New Roman"/>
              </w:rPr>
              <w:t>Slightly not in line with our themes</w:t>
            </w:r>
          </w:p>
        </w:tc>
      </w:tr>
      <w:tr w:rsidR="00944D91" w:rsidRPr="000365ED" w14:paraId="039B5283" w14:textId="77777777" w:rsidTr="00944D91">
        <w:tc>
          <w:tcPr>
            <w:tcW w:w="1698" w:type="dxa"/>
          </w:tcPr>
          <w:p w14:paraId="568EAAF7" w14:textId="13ACB281" w:rsidR="00944D91" w:rsidRPr="000365ED" w:rsidRDefault="00930A9A" w:rsidP="00397401">
            <w:pPr>
              <w:rPr>
                <w:rFonts w:ascii="Times New Roman" w:hAnsi="Times New Roman" w:cs="Times New Roman"/>
              </w:rPr>
            </w:pPr>
            <w:r w:rsidRPr="000365ED">
              <w:rPr>
                <w:rFonts w:ascii="Times New Roman" w:hAnsi="Times New Roman" w:cs="Times New Roman"/>
              </w:rPr>
              <w:t>55</w:t>
            </w:r>
          </w:p>
        </w:tc>
        <w:tc>
          <w:tcPr>
            <w:tcW w:w="2253" w:type="dxa"/>
          </w:tcPr>
          <w:p w14:paraId="1B1BEA08" w14:textId="126B211B" w:rsidR="00944D91" w:rsidRPr="000365ED" w:rsidRDefault="0002429F"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{"citationID":"Xe0qqdgC","properties":{"formattedCitation":"(Obasanya et al., 2022)","plainCitation":"(Obasanya et al., 2022)","noteIndex":0},"citationItems":[{"id":8142,"uris":["http://zotero.org/users/11836539/items/EC5G7B8L"],"itemData":{"id":8142,"type":"article-journal","abstract":"Objectives\nAntimicrobial resistance (AMR) is a consequence of inappropriate actions, including irrational antimicrobial prescribing and use. Antimicrobial resistance remains an emergent and significant public health threat, particularly in low and middle-income countries (LMICs), including Nigeria. Optimizing antimicrobial (AM) use through functional hospital antimicrobial stewardship (AMS) programs is one of the strategies to control the spread of AMR. Literature is replete with evidence, but few studies examined the contextual factors limiting AMS functionality at the facility levels. This study explored the intrinsic contextual factors shaping AMS practice at the three-tiered levels of care.\nMethods\nThis was a qualitative case study with a purposeful sample size of 30 participants drawn from two primary, two secondary, and two tertiary health facilities in Nigeria. Data were coded and categorized for thematic analysis.\nResults\nEmergent themes include lack of AMS programs, inadequate guidelines, lack of modern equipment and incorrect diagnosis, absence of continuous medical education, imbalance of power among professionals, and pervasive external influence of pharmaceutical marketing companies. These findings demonstrate that the AMS program is lacking or poorly implemented at the three-tiered level of care.\nConclusion\nWe recommended that health facilities establish AMS programs in line with the World Health Organization's stepwise approach. These challenges, if addressed, will promote the successful performance of the AMS program, contributing to rational AM use at all levels of care. Since primary health centres constitute 85.4% of all health facilities, customizing the AMS core elements at this level will contribute to achieving the goals of universal health coverage.","container-title":"Journal of Global Antimicrobial Resistance","DOI":"10.1016/j.jgar.2022.08.007","ISSN":"2213-7165","journalAbbreviation":"Journal of Global Antimicrobial Resistance","page":"141-148","source":"ScienceDirect","title":"An appraisal of the contextual drivers of successful antimicrobial stewardship implementation in Nigerian health care facilities","volume":"31","author":[{"family":"Obasanya","given":"Joshua O."},{"family":"Ogunbode","given":"Oladipo"},{"family":"Landu-Adams","given":"Victoria"}],"issued":{"date-parts":[["2022",12,1]]}}}],"schema":"https://github.com/citation-style-language/schema/raw/master/csl-citation.json"}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(Obasanya et al., 2022)</w:t>
            </w:r>
            <w:r w:rsidRPr="000365ED">
              <w:rPr>
                <w:rFonts w:ascii="Times New Roman" w:hAnsi="Times New Roman" w:cs="Times New Roman"/>
              </w:rPr>
              <w:fldChar w:fldCharType="end"/>
            </w:r>
          </w:p>
        </w:tc>
        <w:tc>
          <w:tcPr>
            <w:tcW w:w="2736" w:type="dxa"/>
          </w:tcPr>
          <w:p w14:paraId="18EDE949" w14:textId="11269C44" w:rsidR="00944D91" w:rsidRPr="000365ED" w:rsidRDefault="0002429F" w:rsidP="00397401">
            <w:pPr>
              <w:rPr>
                <w:rFonts w:ascii="Times New Roman" w:hAnsi="Times New Roman" w:cs="Times New Roman"/>
              </w:rPr>
            </w:pPr>
            <w:r w:rsidRPr="000365ED">
              <w:rPr>
                <w:rFonts w:ascii="Times New Roman" w:hAnsi="Times New Roman" w:cs="Times New Roman"/>
              </w:rPr>
              <w:t>An appraisal of the contextual drivers of successful antimicrobial stewardship implementation in Nigerian health care facilities</w:t>
            </w:r>
          </w:p>
        </w:tc>
        <w:tc>
          <w:tcPr>
            <w:tcW w:w="2329" w:type="dxa"/>
          </w:tcPr>
          <w:p w14:paraId="7A1B47B8" w14:textId="05FBC296" w:rsidR="00944D91" w:rsidRPr="000365ED" w:rsidRDefault="0002429F" w:rsidP="00397401">
            <w:pPr>
              <w:rPr>
                <w:rFonts w:ascii="Times New Roman" w:hAnsi="Times New Roman" w:cs="Times New Roman"/>
              </w:rPr>
            </w:pPr>
            <w:r w:rsidRPr="000365ED">
              <w:rPr>
                <w:rFonts w:ascii="Times New Roman" w:hAnsi="Times New Roman" w:cs="Times New Roman"/>
              </w:rPr>
              <w:t>Did not report on any outcome such as improvement after application of AMS</w:t>
            </w:r>
          </w:p>
        </w:tc>
      </w:tr>
      <w:tr w:rsidR="00944D91" w:rsidRPr="000365ED" w14:paraId="030DABF3" w14:textId="77777777" w:rsidTr="00944D91">
        <w:tc>
          <w:tcPr>
            <w:tcW w:w="1698" w:type="dxa"/>
          </w:tcPr>
          <w:p w14:paraId="01B8FF8B" w14:textId="7A8C1BA2" w:rsidR="00944D91" w:rsidRPr="000365ED" w:rsidRDefault="00930A9A" w:rsidP="00397401">
            <w:pPr>
              <w:rPr>
                <w:rFonts w:ascii="Times New Roman" w:hAnsi="Times New Roman" w:cs="Times New Roman"/>
              </w:rPr>
            </w:pPr>
            <w:r w:rsidRPr="000365ED">
              <w:rPr>
                <w:rFonts w:ascii="Times New Roman" w:hAnsi="Times New Roman" w:cs="Times New Roman"/>
              </w:rPr>
              <w:t>56</w:t>
            </w:r>
          </w:p>
        </w:tc>
        <w:tc>
          <w:tcPr>
            <w:tcW w:w="2253" w:type="dxa"/>
          </w:tcPr>
          <w:p w14:paraId="78B91805" w14:textId="6FEA0992" w:rsidR="00944D91" w:rsidRPr="000365ED" w:rsidRDefault="0002429F"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{"citationID":"OqPkdYKb","properties":{"formattedCitation":"(Ogunnigbo et al., 2022)","plainCitation":"(Ogunnigbo et al., 2022)","noteIndex":0},"citationItems":[{"id":8266,"uris":["http://zotero.org/users/11836539/items/5AMRQUZ3"],"itemData":{"id":8266,"type":"article-journal","abstract":"Antimicrobial resistance (AMR) is a global health threat and one of the top 10 global public health threats facing humanity. AMR contributes to 700,000 deaths annually and more deaths, as many as 10 million are projected to happen by 2050. Antimicrobial stewardship (AMS) activities have been important in combating the ripple effects of AMR and several concerted efforts have been taken to address the issues of antimicrobial resistance. The Commonwealth Pharmacists Association through the Commonwealth Partnerships for Antimicrobial Stewardship (CwPAMS) pro-gramme has been enhancing the capacity of health institutions in Low-Middle-Income Countries (LMIC) to combat AMR. Through such efforts, an antimicrobial prescribing app (CwPAMS app) was launched and delivered to support antimicrobial prescribing and improve AMS practice in four African countries; Ghana, Uganda, Zambia, and Tanzania. The app provides easy access to infection management resources to improve appropriate use of antimicrobials in line with national and international guidelines. This study aimed to identify and explore the potential for the usability of the CwPAMS app among healthcare students across selected African countries that are part of the Commonwealth. The study equally evaluated the healthcare students’ understanding and attitudes towards antimicrobial resistance and stewardship. Despite 70% of the respondents indicating that they had been taught about prudent use of antibiotics, diagnosis of infections and their management using antibiotics in their universities, notable knowledge gaps were discovered: 52.2% of the respondents had no prior information on the term AMS, 50.6% of them reported a lack of resources for accessing up-to-date information on drugs, for instance only 36% had had an opportunity to access an app as a learning resource even when 70% of the respondents thought that a mobile app would support in increasing their knowledge. Those challenges reveal an opportunity for the CwPAMS App as a potential option to address AMR and AMS gaps among healthcare students. © 2022 by the authors. Licensee MDPI, Basel, Switzerland.","archive":"Scopus","container-title":"Antibiotics","DOI":"10.3390/antibiotics11050691","ISSN":"2079-6382","issue":"5","language":"English","source":"Scopus","title":"Exploring the Antimicrobial Stewardship Educational Needs of Healthcare Students and the Potential of an Antimicrobial Prescribing App as an Educational Tool in Selected African Countries","volume":"11","author":[{"family":"Ogunnigbo","given":"O."},{"family":"Nabiryo","given":"M."},{"family":"Atteh","given":"M."},{"family":"Muringu","given":"E."},{"family":"Olaitan","given":"O.J."},{"family":"Rutter","given":"V."},{"family":"Ashiru-Oredope","given":"D."}],"issued":{"date-parts":[["2022"]]}}}],"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(Ogunnigbo et al., 2022)</w:t>
            </w:r>
            <w:r w:rsidRPr="000365ED">
              <w:rPr>
                <w:rFonts w:ascii="Times New Roman" w:hAnsi="Times New Roman" w:cs="Times New Roman"/>
              </w:rPr>
              <w:fldChar w:fldCharType="end"/>
            </w:r>
          </w:p>
        </w:tc>
        <w:tc>
          <w:tcPr>
            <w:tcW w:w="2736" w:type="dxa"/>
          </w:tcPr>
          <w:p w14:paraId="6FDB6D00" w14:textId="42E3CBD9" w:rsidR="00944D91" w:rsidRPr="000365ED" w:rsidRDefault="0002429F" w:rsidP="00397401">
            <w:pPr>
              <w:rPr>
                <w:rFonts w:ascii="Times New Roman" w:hAnsi="Times New Roman" w:cs="Times New Roman"/>
              </w:rPr>
            </w:pPr>
            <w:r w:rsidRPr="000365ED">
              <w:rPr>
                <w:rFonts w:ascii="Times New Roman" w:hAnsi="Times New Roman" w:cs="Times New Roman"/>
              </w:rPr>
              <w:t>Exploring the Antimicrobial Stewardship Educational Needs of Healthcare Students and the Potential of an Antimicrobial Prescribing App as an Educational Tool in Selected African Countries</w:t>
            </w:r>
          </w:p>
        </w:tc>
        <w:tc>
          <w:tcPr>
            <w:tcW w:w="2329" w:type="dxa"/>
          </w:tcPr>
          <w:p w14:paraId="4FF19C80" w14:textId="5BFAEF86" w:rsidR="00944D91" w:rsidRPr="000365ED" w:rsidRDefault="0002429F" w:rsidP="00397401">
            <w:pPr>
              <w:rPr>
                <w:rFonts w:ascii="Times New Roman" w:hAnsi="Times New Roman" w:cs="Times New Roman"/>
              </w:rPr>
            </w:pPr>
            <w:r w:rsidRPr="000365ED">
              <w:rPr>
                <w:rFonts w:ascii="Times New Roman" w:hAnsi="Times New Roman" w:cs="Times New Roman"/>
              </w:rPr>
              <w:t>Did not report on any outcome such as improvement after application of AMS. Additionally, wrong geographical locations</w:t>
            </w:r>
          </w:p>
        </w:tc>
      </w:tr>
      <w:tr w:rsidR="00944D91" w:rsidRPr="000365ED" w14:paraId="06068E1C" w14:textId="77777777" w:rsidTr="00944D91">
        <w:tc>
          <w:tcPr>
            <w:tcW w:w="1698" w:type="dxa"/>
          </w:tcPr>
          <w:p w14:paraId="20CD9A0C" w14:textId="499E90AA" w:rsidR="00944D91" w:rsidRPr="000365ED" w:rsidRDefault="00930A9A" w:rsidP="00397401">
            <w:pPr>
              <w:rPr>
                <w:rFonts w:ascii="Times New Roman" w:hAnsi="Times New Roman" w:cs="Times New Roman"/>
              </w:rPr>
            </w:pPr>
            <w:r w:rsidRPr="000365ED">
              <w:rPr>
                <w:rFonts w:ascii="Times New Roman" w:hAnsi="Times New Roman" w:cs="Times New Roman"/>
              </w:rPr>
              <w:t>57</w:t>
            </w:r>
          </w:p>
        </w:tc>
        <w:tc>
          <w:tcPr>
            <w:tcW w:w="2253" w:type="dxa"/>
          </w:tcPr>
          <w:p w14:paraId="30E9B31E" w14:textId="4D979C50" w:rsidR="00944D91" w:rsidRPr="000365ED" w:rsidRDefault="0002429F"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{"citationID":"xaf53xyh","properties":{"formattedCitation":"(Ogunrinde et al., 2012)","plainCitation":"(Ogunrinde et al., 2012)","noteIndex":0},"citationItems":[{"id":8488,"uris":["http://zotero.org/users/11836539/items/LWNBSBWQ"],"itemData":{"id":8488,"type":"article-journal","abstract":"Objectives: Diarrhoeal diseases (DDs) constitute public health problem. Reduction in related mortality and morbidity hinges on active participation of home caregivers. It is pertinent to determine the degree of their empowerment. Design: Cross-sectional study. Setting: Randomly selected community primary health centres in northwestern Nigerian. Subjects: Home caregivers presenting with children aged 1-59 months having DD. Outcome measures: Knowledge, attitude and practice regards home management of DD. Results: Less than 1% of caregivers was knowledgeable about home management of DD. Antibiotics and anti-diarrhoeal agents use was common at 36%. ORS use was abysmally low at 8.6%. Only 32% of caregivers were aware of the use of zinc in the management of DD. Adherence to 10-day zinc supplementation was encouraging at 75.5%. Conclusion: There is an urgent need to scale up educational and promotional activities with regards to the home management of DD if the millennium development goals are to be met. © The Author [2011]. Published by Oxford University Press. All rights reserved.","archive":"Scopus","container-title":"Journal of Tropical Pediatrics","DOI":"10.1093/tropej/fmr048","ISSN":"1465-3664","issue":"2","language":"English","page":"143-146","source":"Scopus","title":"Knowledge, attitude and practice of home management of childhood diarrhoea among caregivers of under-5 children with diarrhoeal disease in northwestern Nigeria","volume":"58","author":[{"family":"Ogunrinde","given":"O.G."},{"family":"Raji","given":"T."},{"family":"Owolabi","given":"O.A."},{"family":"Anigo","given":"K.M."}],"issued":{"date-parts":[["2012"]]}}}],"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(Ogunrinde et al., 2012)</w:t>
            </w:r>
            <w:r w:rsidRPr="000365ED">
              <w:rPr>
                <w:rFonts w:ascii="Times New Roman" w:hAnsi="Times New Roman" w:cs="Times New Roman"/>
              </w:rPr>
              <w:fldChar w:fldCharType="end"/>
            </w:r>
          </w:p>
        </w:tc>
        <w:tc>
          <w:tcPr>
            <w:tcW w:w="2736" w:type="dxa"/>
          </w:tcPr>
          <w:p w14:paraId="10895434" w14:textId="0FDEC51C" w:rsidR="00944D91" w:rsidRPr="000365ED" w:rsidRDefault="0002429F" w:rsidP="00397401">
            <w:pPr>
              <w:rPr>
                <w:rFonts w:ascii="Times New Roman" w:hAnsi="Times New Roman" w:cs="Times New Roman"/>
              </w:rPr>
            </w:pPr>
            <w:r w:rsidRPr="000365ED">
              <w:rPr>
                <w:rFonts w:ascii="Times New Roman" w:hAnsi="Times New Roman" w:cs="Times New Roman"/>
              </w:rPr>
              <w:t xml:space="preserve">Knowledge, attitude and practice of home management of childhood </w:t>
            </w:r>
            <w:proofErr w:type="spellStart"/>
            <w:r w:rsidRPr="000365ED">
              <w:rPr>
                <w:rFonts w:ascii="Times New Roman" w:hAnsi="Times New Roman" w:cs="Times New Roman"/>
              </w:rPr>
              <w:t>diarrhoea</w:t>
            </w:r>
            <w:proofErr w:type="spellEnd"/>
            <w:r w:rsidRPr="000365ED">
              <w:rPr>
                <w:rFonts w:ascii="Times New Roman" w:hAnsi="Times New Roman" w:cs="Times New Roman"/>
              </w:rPr>
              <w:t xml:space="preserve"> among caregivers of under-5 children with </w:t>
            </w:r>
            <w:proofErr w:type="spellStart"/>
            <w:r w:rsidRPr="000365ED">
              <w:rPr>
                <w:rFonts w:ascii="Times New Roman" w:hAnsi="Times New Roman" w:cs="Times New Roman"/>
              </w:rPr>
              <w:t>diarrhoeal</w:t>
            </w:r>
            <w:proofErr w:type="spellEnd"/>
            <w:r w:rsidRPr="000365ED">
              <w:rPr>
                <w:rFonts w:ascii="Times New Roman" w:hAnsi="Times New Roman" w:cs="Times New Roman"/>
              </w:rPr>
              <w:t xml:space="preserve"> disease in northwestern Nigeria</w:t>
            </w:r>
          </w:p>
        </w:tc>
        <w:tc>
          <w:tcPr>
            <w:tcW w:w="2329" w:type="dxa"/>
          </w:tcPr>
          <w:p w14:paraId="7F6FFB3F" w14:textId="791379AB" w:rsidR="00944D91" w:rsidRPr="000365ED" w:rsidRDefault="0002429F" w:rsidP="00397401">
            <w:pPr>
              <w:rPr>
                <w:rFonts w:ascii="Times New Roman" w:hAnsi="Times New Roman" w:cs="Times New Roman"/>
              </w:rPr>
            </w:pPr>
            <w:r w:rsidRPr="000365ED">
              <w:rPr>
                <w:rFonts w:ascii="Times New Roman" w:hAnsi="Times New Roman" w:cs="Times New Roman"/>
              </w:rPr>
              <w:t>It’s a report</w:t>
            </w:r>
          </w:p>
        </w:tc>
      </w:tr>
      <w:tr w:rsidR="00944D91" w:rsidRPr="000365ED" w14:paraId="2C57C4FF" w14:textId="77777777" w:rsidTr="00944D91">
        <w:tc>
          <w:tcPr>
            <w:tcW w:w="1698" w:type="dxa"/>
          </w:tcPr>
          <w:p w14:paraId="099E8294" w14:textId="77AC652E" w:rsidR="00944D91" w:rsidRPr="000365ED" w:rsidRDefault="00930A9A" w:rsidP="00397401">
            <w:pPr>
              <w:rPr>
                <w:rFonts w:ascii="Times New Roman" w:hAnsi="Times New Roman" w:cs="Times New Roman"/>
              </w:rPr>
            </w:pPr>
            <w:r w:rsidRPr="000365ED">
              <w:rPr>
                <w:rFonts w:ascii="Times New Roman" w:hAnsi="Times New Roman" w:cs="Times New Roman"/>
              </w:rPr>
              <w:t>58</w:t>
            </w:r>
          </w:p>
        </w:tc>
        <w:tc>
          <w:tcPr>
            <w:tcW w:w="2253" w:type="dxa"/>
          </w:tcPr>
          <w:p w14:paraId="3908AA32" w14:textId="132C5018" w:rsidR="00944D91" w:rsidRPr="000365ED" w:rsidRDefault="0002429F"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{"citationID":"0v4bWPNJ","properties":{"formattedCitation":"(Okoro et al., 2019)","plainCitation":"(Okoro et al., 2019)","noteIndex":0},"citationItems":[{"id":8135,"uris":["http://zotero.org/users/11836539/items/CIG9ATAU"],"itemData":{"id":8135,"type":"article-journal","abstract":"Background: Subsidizing the cost of medicines through insurance schemes increases consumption of medicines and may contribute to irrational use of antibiotics. Objectives: To describe the systemic antibiotics prescriptions patterns and analyze the determinants of their utilization in the National Health insurance Scheme (NHIS).Methods: Established WHO guideline was followed to conduct this cross-sectional retrospective study at University of Nigeria Teaching Hospital, Nigeria. Data were collected from randomly sampled prescription sheets of one year duration. Logistic regression analysis was performed to determine the predictors of antibiotics prescriptions.Results: The results are based on 802 sampled out-patients NHIS prescriptions. Average number of medicines per encounter was 4.0 ± 1.8, whereas 46.9% of antibiotics were prescribed by generic name. Penicillins (most frequently amoxicillin/clavulanate), and nitroimidazole (most frequently metronidazole) were the most commonly prescribed antibiotics with percentage share of 43.3% and 22.2%. Being &amp;lt;5 years old, and taking more than 4 medicines (OR 2.20, 95% CI 1.37-3.55) were the factors associated with the highest risk of antibiotics exposure.Conclusion: There were poly-pharmacy, and non-adherence to generic antibiotic prescriptions. Penicillins (amoxicillin/clavulanate) were the most commonly prescribed antibiotic class. Being &amp;lt; 5 years old, and taking more than 4 medicines were significant predictors of antibiotics exposure.Keywords: Antibiotics; national health insurance scheme; Nigeria; poly-pharmacy; prescription.","container-title":"African Health Sciences","DOI":"10.4314/ahs.v19i3.8","ISSN":"1729-0503","issue":"3","language":"en","license":"Copyright (c)","note":"number: 3","page":"2356-2364","source":"www.ajol.info","title":"Antibiotics prescription pattern and determinants of utilization in the national health insurance scheme at a Tertiary Hospital in Nigeria","volume":"19","author":[{"family":"Okoro","given":"Roland Nnaemeka"},{"family":"Nmeka","given":"Chijioke"},{"family":"Erah","given":"Patrick O."}],"issued":{"date-parts":[["2019",11,4]]}}}],"schema":"https://github.com/citation-style-language/schema/raw/master/csl-citation.json"}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(Okoro et al., 2019)</w:t>
            </w:r>
            <w:r w:rsidRPr="000365ED">
              <w:rPr>
                <w:rFonts w:ascii="Times New Roman" w:hAnsi="Times New Roman" w:cs="Times New Roman"/>
              </w:rPr>
              <w:fldChar w:fldCharType="end"/>
            </w:r>
          </w:p>
        </w:tc>
        <w:tc>
          <w:tcPr>
            <w:tcW w:w="2736" w:type="dxa"/>
          </w:tcPr>
          <w:p w14:paraId="1C760C12" w14:textId="44B18359" w:rsidR="00944D91" w:rsidRPr="000365ED" w:rsidRDefault="0002429F" w:rsidP="00397401">
            <w:pPr>
              <w:rPr>
                <w:rFonts w:ascii="Times New Roman" w:hAnsi="Times New Roman" w:cs="Times New Roman"/>
              </w:rPr>
            </w:pPr>
            <w:r w:rsidRPr="000365ED">
              <w:rPr>
                <w:rFonts w:ascii="Times New Roman" w:hAnsi="Times New Roman" w:cs="Times New Roman"/>
              </w:rPr>
              <w:t>Antibiotics prescription pattern and determinants of utilization in the national health insurance scheme at a Tertiary Hospital in Nigeria</w:t>
            </w:r>
          </w:p>
        </w:tc>
        <w:tc>
          <w:tcPr>
            <w:tcW w:w="2329" w:type="dxa"/>
          </w:tcPr>
          <w:p w14:paraId="77B9C216" w14:textId="2CBA97B7" w:rsidR="00944D91" w:rsidRPr="000365ED" w:rsidRDefault="0002429F" w:rsidP="00397401">
            <w:pPr>
              <w:rPr>
                <w:rFonts w:ascii="Times New Roman" w:hAnsi="Times New Roman" w:cs="Times New Roman"/>
              </w:rPr>
            </w:pPr>
            <w:r w:rsidRPr="000365ED">
              <w:rPr>
                <w:rFonts w:ascii="Times New Roman" w:hAnsi="Times New Roman" w:cs="Times New Roman"/>
              </w:rPr>
              <w:t>Not reported in DDD</w:t>
            </w:r>
          </w:p>
        </w:tc>
      </w:tr>
      <w:tr w:rsidR="00944D91" w:rsidRPr="000365ED" w14:paraId="46FEE606" w14:textId="77777777" w:rsidTr="00944D91">
        <w:tc>
          <w:tcPr>
            <w:tcW w:w="1698" w:type="dxa"/>
          </w:tcPr>
          <w:p w14:paraId="386D2A7A" w14:textId="7C14506D" w:rsidR="00944D91" w:rsidRPr="000365ED" w:rsidRDefault="00930A9A" w:rsidP="00397401">
            <w:pPr>
              <w:rPr>
                <w:rFonts w:ascii="Times New Roman" w:hAnsi="Times New Roman" w:cs="Times New Roman"/>
              </w:rPr>
            </w:pPr>
            <w:r w:rsidRPr="000365ED">
              <w:rPr>
                <w:rFonts w:ascii="Times New Roman" w:hAnsi="Times New Roman" w:cs="Times New Roman"/>
              </w:rPr>
              <w:t>59</w:t>
            </w:r>
          </w:p>
        </w:tc>
        <w:tc>
          <w:tcPr>
            <w:tcW w:w="2253" w:type="dxa"/>
          </w:tcPr>
          <w:p w14:paraId="02D64106" w14:textId="4E7C1473" w:rsidR="00944D91" w:rsidRPr="000365ED" w:rsidRDefault="005C16FF"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{"citationID":"pvDVRSfY","properties":{"formattedCitation":"(Oli et al., 2021)","plainCitation":"(Oli et al., 2021)","noteIndex":0},"citationItems":[{"id":8290,"uris":["http://zotero.org/users/11836539/items/7ZVK2CZV"],"itemData":{"id":8290,"type":"article-journal","abstract":"Background: Regular evaluation of antimicrobials prescriptions is important for optimal use. Objective: This study determined the prescription patterns, class and costs of antimicrobials in the adult out-patient pharmacy of a Teaching Hospital in Nigeria. Methods: A 1-year retrospective study from 1st January to 31st December 2018. The data, which included identification code, age, sex, antibiotics prescribed, number of antibiotics per prescription, number of medicines per prescription, dosage form, generic prescribing, drug on the essential drug list, and cost, were used in the analysis. The Chi-square test and Analysis of Variance were used to compare our data with the WHO–developed antimicrobial prescription Guidelines for Anatomical Therapeutic Chemical and Defined Daily Dose assignment of 2019. Results: From 450 patient records, significantly more females (70%) were prescribed with antimicrobials (P = 0.0038). The prescription pattern showed that antimicrobials selection by class was significantly different (P &lt; 0.0001) (top three being Amino-penicillin &gt; Nitroimidazoles &gt; Fluoroquinolone). In addition, age differed significantly (P &lt; 0.0001) with 46–50 as the highest class. Dosage forms profile showed that the percentage of encounter with injections prescribed (1.8%) was less than WHO recommendation (13.4–24.1%). Most of the prescriptions (84.22%) were from the Essential Drug List. The average cost of prescriptions with two antimicrobials was the highest ($14.0807), then three ($10.7949), and one ($6.39858). The average number of drugs per prescription that had one (4.28), two (4.46), and three (5.55) antimicrobials, respectively, were more than double the average (2) recommended by WHO. Conclusion: The study showed that most of the patterns are within limit, however, highlights the need for frequent evaluation. © 2021, The Author(s).","archive":"Scopus","container-title":"Journal of Pharmaceutical Policy and Practice","DOI":"10.1186/s40545-021-00380-1","ISSN":"2052-3211","issue":"1","language":"English","source":"Scopus","title":"Evaluating antimicrobial prescribing in a Tertiary Healthcare Institution in Nigeria","volume":"14","author":[{"family":"Oli","given":"A.N."},{"family":"Onyeaso","given":"N."},{"family":"Emencheta","given":"S.C."},{"family":"Ofomata","given":"C.M."},{"family":"Kretchy","given":"J.-P."},{"family":"Okhamafe","given":"A."},{"family":"Ele","given":"G.N."}],"issued":{"date-parts":[["2021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(Oli et al., 2021)</w:t>
            </w:r>
            <w:r w:rsidRPr="000365ED">
              <w:rPr>
                <w:rFonts w:ascii="Times New Roman" w:hAnsi="Times New Roman" w:cs="Times New Roman"/>
              </w:rPr>
              <w:fldChar w:fldCharType="end"/>
            </w:r>
          </w:p>
        </w:tc>
        <w:tc>
          <w:tcPr>
            <w:tcW w:w="2736" w:type="dxa"/>
          </w:tcPr>
          <w:p w14:paraId="70894590" w14:textId="542532B5" w:rsidR="00944D91" w:rsidRPr="000365ED" w:rsidRDefault="005C16FF" w:rsidP="00397401">
            <w:pPr>
              <w:rPr>
                <w:rFonts w:ascii="Times New Roman" w:hAnsi="Times New Roman" w:cs="Times New Roman"/>
              </w:rPr>
            </w:pPr>
            <w:r w:rsidRPr="000365ED">
              <w:rPr>
                <w:rFonts w:ascii="Times New Roman" w:hAnsi="Times New Roman" w:cs="Times New Roman"/>
              </w:rPr>
              <w:t>Evaluating antimicrobial prescribing in a Tertiary Healthcare Institution in Nigeria</w:t>
            </w:r>
          </w:p>
        </w:tc>
        <w:tc>
          <w:tcPr>
            <w:tcW w:w="2329" w:type="dxa"/>
          </w:tcPr>
          <w:p w14:paraId="5D3EA2F8" w14:textId="79AB5973" w:rsidR="00944D91" w:rsidRPr="000365ED" w:rsidRDefault="0002429F" w:rsidP="00397401">
            <w:pPr>
              <w:rPr>
                <w:rFonts w:ascii="Times New Roman" w:hAnsi="Times New Roman" w:cs="Times New Roman"/>
              </w:rPr>
            </w:pPr>
            <w:r w:rsidRPr="000365ED">
              <w:rPr>
                <w:rFonts w:ascii="Times New Roman" w:hAnsi="Times New Roman" w:cs="Times New Roman"/>
              </w:rPr>
              <w:t>Fall short of the themes under consideration</w:t>
            </w:r>
          </w:p>
        </w:tc>
      </w:tr>
      <w:tr w:rsidR="00944D91" w:rsidRPr="000365ED" w14:paraId="0B3D7071" w14:textId="77777777" w:rsidTr="00944D91">
        <w:tc>
          <w:tcPr>
            <w:tcW w:w="1698" w:type="dxa"/>
          </w:tcPr>
          <w:p w14:paraId="4F0F771C" w14:textId="68B6AF30" w:rsidR="00944D91" w:rsidRPr="000365ED" w:rsidRDefault="00930A9A" w:rsidP="00397401">
            <w:pPr>
              <w:rPr>
                <w:rFonts w:ascii="Times New Roman" w:hAnsi="Times New Roman" w:cs="Times New Roman"/>
              </w:rPr>
            </w:pPr>
            <w:r w:rsidRPr="000365ED">
              <w:rPr>
                <w:rFonts w:ascii="Times New Roman" w:hAnsi="Times New Roman" w:cs="Times New Roman"/>
              </w:rPr>
              <w:t>60</w:t>
            </w:r>
          </w:p>
        </w:tc>
        <w:tc>
          <w:tcPr>
            <w:tcW w:w="2253" w:type="dxa"/>
          </w:tcPr>
          <w:p w14:paraId="1D87C9B2" w14:textId="59E4A9B3" w:rsidR="00944D91" w:rsidRPr="000365ED" w:rsidRDefault="005C16FF"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{"citationID":"UeOlld5o","properties":{"formattedCitation":"(Olliaro et al., 2023)","plainCitation":"(Olliaro et al., 2023)","noteIndex":0},"citationItems":[{"id":8175,"uris":["http://zotero.org/users/11836539/items/Y8RIFJ68"],"itemData":{"id":8175,"type":"article-journal","archive":"Scopus","container-title":"Clinical Infectious Diseases","DOI":"10.1093/cid/ciad324","ISSN":"1058-4838","language":"English","page":"S199-S205","source":"Scopus","title":"Synthesis and Meta-analysis of 3 Randomized Trials Conducted in Burkina Faso, Ghana, and Uganda Comparing the Effects of Point-of-Care Tests and Diagnostic Algorithms Versus Routine Care on Antibiotic Prescriptions and Clinical Outcomes in Ambulatory Patients &lt;18 Years of Age with Acute Febrile Illness","volume":"77","author":[{"family":"Olliaro","given":"P."},{"family":"Nkeramahame","given":"J."},{"family":"Horgan","given":"P."},{"family":"Tinto","given":"H."},{"family":"Kiemde","given":"F."},{"family":"Baiden","given":"R."},{"family":"Adjei","given":"A."},{"family":"Kapisi","given":"J."},{"family":"Hopkins","given":"H."},{"family":"Salami","given":"O."},{"family":"Moore","given":"C.E."},{"family":"Dittrich","given":"S."},{"family":"Weber","given":"S."},{"family":"Ongarello","given":"S."}],"issued":{"date-parts":[["2023"]]}}}],"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(Olliaro et al., 2023)</w:t>
            </w:r>
            <w:r w:rsidRPr="000365ED">
              <w:rPr>
                <w:rFonts w:ascii="Times New Roman" w:hAnsi="Times New Roman" w:cs="Times New Roman"/>
              </w:rPr>
              <w:fldChar w:fldCharType="end"/>
            </w:r>
          </w:p>
        </w:tc>
        <w:tc>
          <w:tcPr>
            <w:tcW w:w="2736" w:type="dxa"/>
          </w:tcPr>
          <w:p w14:paraId="7D518475" w14:textId="7D7721F8" w:rsidR="00944D91" w:rsidRPr="000365ED" w:rsidRDefault="005C16FF" w:rsidP="00397401">
            <w:pPr>
              <w:rPr>
                <w:rFonts w:ascii="Times New Roman" w:hAnsi="Times New Roman" w:cs="Times New Roman"/>
              </w:rPr>
            </w:pPr>
            <w:r w:rsidRPr="000365ED">
              <w:rPr>
                <w:rFonts w:ascii="Times New Roman" w:hAnsi="Times New Roman" w:cs="Times New Roman"/>
              </w:rPr>
              <w:t xml:space="preserve">Synthesis and Meta-analysis of 3 Randomized </w:t>
            </w:r>
            <w:r w:rsidRPr="000365ED">
              <w:rPr>
                <w:rFonts w:ascii="Times New Roman" w:hAnsi="Times New Roman" w:cs="Times New Roman"/>
              </w:rPr>
              <w:lastRenderedPageBreak/>
              <w:t xml:space="preserve">Trials Conducted in Burkina Faso, Ghana, and Uganda Comparing the Effects of Point-of-Care Tests and Diagnostic Algorithms Versus Routine Care on Antibiotic Prescriptions and Clinical Outcomes in Ambulatory Patients &lt;18 Years of Age </w:t>
            </w:r>
            <w:proofErr w:type="gramStart"/>
            <w:r w:rsidRPr="000365ED">
              <w:rPr>
                <w:rFonts w:ascii="Times New Roman" w:hAnsi="Times New Roman" w:cs="Times New Roman"/>
              </w:rPr>
              <w:t>With</w:t>
            </w:r>
            <w:proofErr w:type="gramEnd"/>
            <w:r w:rsidRPr="000365ED">
              <w:rPr>
                <w:rFonts w:ascii="Times New Roman" w:hAnsi="Times New Roman" w:cs="Times New Roman"/>
              </w:rPr>
              <w:t xml:space="preserve"> Acute Febrile Illness</w:t>
            </w:r>
          </w:p>
        </w:tc>
        <w:tc>
          <w:tcPr>
            <w:tcW w:w="2329" w:type="dxa"/>
          </w:tcPr>
          <w:p w14:paraId="3B5371B1" w14:textId="34B2B782" w:rsidR="00944D91" w:rsidRPr="000365ED" w:rsidRDefault="005C16FF" w:rsidP="00397401">
            <w:pPr>
              <w:rPr>
                <w:rFonts w:ascii="Times New Roman" w:hAnsi="Times New Roman" w:cs="Times New Roman"/>
              </w:rPr>
            </w:pPr>
            <w:r w:rsidRPr="000365ED">
              <w:rPr>
                <w:rFonts w:ascii="Times New Roman" w:hAnsi="Times New Roman" w:cs="Times New Roman"/>
              </w:rPr>
              <w:lastRenderedPageBreak/>
              <w:t>Does not meet our inclusion criteria</w:t>
            </w:r>
          </w:p>
        </w:tc>
      </w:tr>
      <w:tr w:rsidR="00944D91" w:rsidRPr="000365ED" w14:paraId="3E88E953" w14:textId="77777777" w:rsidTr="00944D91">
        <w:tc>
          <w:tcPr>
            <w:tcW w:w="1698" w:type="dxa"/>
          </w:tcPr>
          <w:p w14:paraId="415ED4BC" w14:textId="164FD12E" w:rsidR="00944D91" w:rsidRPr="000365ED" w:rsidRDefault="00930A9A" w:rsidP="00397401">
            <w:pPr>
              <w:rPr>
                <w:rFonts w:ascii="Times New Roman" w:hAnsi="Times New Roman" w:cs="Times New Roman"/>
              </w:rPr>
            </w:pPr>
            <w:r w:rsidRPr="000365ED">
              <w:rPr>
                <w:rFonts w:ascii="Times New Roman" w:hAnsi="Times New Roman" w:cs="Times New Roman"/>
              </w:rPr>
              <w:t>61</w:t>
            </w:r>
          </w:p>
        </w:tc>
        <w:tc>
          <w:tcPr>
            <w:tcW w:w="2253" w:type="dxa"/>
          </w:tcPr>
          <w:p w14:paraId="4F0F4A0F" w14:textId="4156F05E" w:rsidR="00944D91" w:rsidRPr="000365ED" w:rsidRDefault="005C16FF"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{"citationID":"WCjYTX8m","properties":{"formattedCitation":"(Oloso et al., 2022)","plainCitation":"(Oloso et al., 2022)","noteIndex":0},"citationItems":[{"id":8270,"uris":["http://zotero.org/users/11836539/items/7LQ2N6SS"],"itemData":{"id":8270,"type":"article-journal","abstract":"Assessing knowledge, attitudes, and risk perception of Nigerian broiler grow-out farmers (n = 152) to antimicrobial resistance (AMR) with a five sectional purposive-structured-questionnaire: demographics; knowledge; attitudes; risk-perception; and response to regulation of antimicrobial practices. Data were analyzed using descriptive statistics, chi-square test, and binary logistic regres-sion. Respondents’ knowledge score, in total, was lower than average, with all (100%) respondents having the understanding that antibiotics kill/reduce bacteria, most participants (&gt;73%) believing that feeding antibiotics to broiler chickens is a necessity for weight gain, and many (&gt;69%) thinking that no negative side-effects exist with the use of antibiotics. Poor attitude towards antimicrobial usage was prevalent (&gt;63%) with unsatisfactory performance in most instruments: &gt;60% of farmers reported using antimicrobials every week and still use antimicrobials when birds appear sick, and most (&gt;84%) arbitrarily increase the drug dosages when used. However, a satisfactory performance score was reported (68%) in risk perception of AMR with &gt;63% perceiving that inappropriate use of antibiotics is the main factor causing the emergence of resistant bacteria; &gt;65.8% expressed that AMR in broiler chickens is not essential for public health, that AMR cannot develop from broiler bacteria diseases, that increasing the frequency of antimicrobial use cannot increase AMR in future, and that usage cannot lead to antibiotic residue in broiler-meat products leading to AMR development in human. None of the respondents were aware of any regulation for monitoring antimicrobial use. Significant factors associated with knowledge, attitudes, and risk perception of antimicrobial use and resistance among broiler grow-out farmers include marital status, farm category, education, educational specialization, sales target, growth duration/cycle, broiler stocking batch, and feed source. Identified gaps exist in AMR awareness among Nigerian broiler farmers and should be targeted through stakeholders’ participation in combatting AMR threats. © 2022 by the authors. Licensee MDPI, Basel, Switzerland.","archive":"Scopus","container-title":"Antibiotics","DOI":"10.3390/antibiotics11050567","ISSN":"2079-6382","issue":"5","language":"English","source":"Scopus","title":"Knowledge, Attitudes, and Risk Perception of Broiler Grow-Out Farmers on Antimicrobial Use and Resistance in Oyo State, Nigeria","volume":"11","author":[{"family":"Oloso","given":"N.O."},{"family":"Odetokun","given":"I.A."},{"family":"Ghali-Mohammed","given":"I."},{"family":"Fasina","given":"F.O."},{"family":"Olatoye","given":"I.O."},{"family":"Adetunji","given":"V.O."}],"issued":{"date-parts":[["2022"]]}}}],"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(Oloso et al., 2022)</w:t>
            </w:r>
            <w:r w:rsidRPr="000365ED">
              <w:rPr>
                <w:rFonts w:ascii="Times New Roman" w:hAnsi="Times New Roman" w:cs="Times New Roman"/>
              </w:rPr>
              <w:fldChar w:fldCharType="end"/>
            </w:r>
          </w:p>
        </w:tc>
        <w:tc>
          <w:tcPr>
            <w:tcW w:w="2736" w:type="dxa"/>
          </w:tcPr>
          <w:p w14:paraId="18990555" w14:textId="76A95F69" w:rsidR="00944D91" w:rsidRPr="000365ED" w:rsidRDefault="005C16FF" w:rsidP="00397401">
            <w:pPr>
              <w:rPr>
                <w:rFonts w:ascii="Times New Roman" w:hAnsi="Times New Roman" w:cs="Times New Roman"/>
              </w:rPr>
            </w:pPr>
            <w:r w:rsidRPr="000365ED">
              <w:rPr>
                <w:rFonts w:ascii="Times New Roman" w:hAnsi="Times New Roman" w:cs="Times New Roman"/>
              </w:rPr>
              <w:t>Knowledge, Attitudes, and Risk Perception of Broiler Grow-Out Farmers on Antimicrobial Use and Resistance in Oyo State, Nigeria</w:t>
            </w:r>
          </w:p>
        </w:tc>
        <w:tc>
          <w:tcPr>
            <w:tcW w:w="2329" w:type="dxa"/>
          </w:tcPr>
          <w:p w14:paraId="416E463A" w14:textId="565AC82E" w:rsidR="00944D91" w:rsidRPr="000365ED" w:rsidRDefault="005C16FF" w:rsidP="00397401">
            <w:pPr>
              <w:rPr>
                <w:rFonts w:ascii="Times New Roman" w:hAnsi="Times New Roman" w:cs="Times New Roman"/>
              </w:rPr>
            </w:pPr>
            <w:r w:rsidRPr="000365ED">
              <w:rPr>
                <w:rFonts w:ascii="Times New Roman" w:hAnsi="Times New Roman" w:cs="Times New Roman"/>
              </w:rPr>
              <w:t>Not on human antibiotic use</w:t>
            </w:r>
          </w:p>
        </w:tc>
      </w:tr>
      <w:tr w:rsidR="00944D91" w:rsidRPr="000365ED" w14:paraId="513E472B" w14:textId="77777777" w:rsidTr="00944D91">
        <w:tc>
          <w:tcPr>
            <w:tcW w:w="1698" w:type="dxa"/>
          </w:tcPr>
          <w:p w14:paraId="0F2C710A" w14:textId="39EE3D4B" w:rsidR="00944D91" w:rsidRPr="000365ED" w:rsidRDefault="00930A9A" w:rsidP="00397401">
            <w:pPr>
              <w:rPr>
                <w:rFonts w:ascii="Times New Roman" w:hAnsi="Times New Roman" w:cs="Times New Roman"/>
              </w:rPr>
            </w:pPr>
            <w:r w:rsidRPr="000365ED">
              <w:rPr>
                <w:rFonts w:ascii="Times New Roman" w:hAnsi="Times New Roman" w:cs="Times New Roman"/>
              </w:rPr>
              <w:t>62</w:t>
            </w:r>
          </w:p>
        </w:tc>
        <w:tc>
          <w:tcPr>
            <w:tcW w:w="2253" w:type="dxa"/>
          </w:tcPr>
          <w:p w14:paraId="256BEF38" w14:textId="55626AA6" w:rsidR="00944D91" w:rsidRPr="000365ED" w:rsidRDefault="007060C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{"citationID":"A9TEmHJ4","properties":{"formattedCitation":"(Opintan, 2018)","plainCitation":"(Opintan, 2018)","noteIndex":0},"citationItems":[{"id":8424,"uris":["http://zotero.org/users/11836539/items/9KEJMRKW"],"itemData":{"id":8424,"type":"article-journal","abstract":"Background: To mitigate the increasing trend of antimicrobial drug resistance (AMR), the Global Action Plan (GAP) on AMR was adopted at the 68th World Health Assembly in May 2015. Subsequently, member countries were encouraged to mirror the five key strategic objectives of GAP to develop their respective National Action Plans (NAPs) by 2017. Country-specific data on AMR is, however, critical for a comprehensive NAP that will inform policy and also anchor all the objectives of GAP. Systematic reviews have been suggested by some authors to generate relevant data to inform NAP development. Objectives: This article highlights Ghana’s success story in the development of its AMR policy documents and how it could further be implemented through donor support. Methods: Literature and desk review of the activities of Ghana’s National Platform on Antimicrobial Resistance leading to the development of the NAP and AMR policy was done. Results: Ghana launched its NAP together with the accompanying policy document in April 2018. Country-specific data, which guided these documents, were obtained by leveraging donor support activities through the National Platform on Antimicrobial Resistance. Conclusion: Ghana’s success story on the development of AMR policy documents is pivoted on a strong political will and the leveraging of donor support for specific activities. © 2018. The Authors.","archive":"Scopus","container-title":"African Journal of Laboratory Medicine","DOI":"10.4102/ajlm.v7i2.825","ISSN":"2225-2002","issue":"2","language":"English","source":"Scopus","title":"Leveraging donor support to develop a national antimicrobial resistance policy and action plan: Ghana’s success story","title-short":"Leveraging donor support to develop a national antimicrobial resistance policy and action plan","volume":"7","author":[{"family":"Opintan","given":"J.A."}],"issued":{"date-parts":[["2018"]]}}}],"schema":"https://github.com/citation-style-language/schema/raw/master/csl-citation.json"}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(Opintan, 2018)</w:t>
            </w:r>
            <w:r w:rsidRPr="000365ED">
              <w:rPr>
                <w:rFonts w:ascii="Times New Roman" w:hAnsi="Times New Roman" w:cs="Times New Roman"/>
              </w:rPr>
              <w:fldChar w:fldCharType="end"/>
            </w:r>
          </w:p>
        </w:tc>
        <w:tc>
          <w:tcPr>
            <w:tcW w:w="2736" w:type="dxa"/>
          </w:tcPr>
          <w:p w14:paraId="38C4F78F" w14:textId="39513705" w:rsidR="00944D91" w:rsidRPr="000365ED" w:rsidRDefault="005C16FF" w:rsidP="00397401">
            <w:pPr>
              <w:rPr>
                <w:rFonts w:ascii="Times New Roman" w:hAnsi="Times New Roman" w:cs="Times New Roman"/>
              </w:rPr>
            </w:pPr>
            <w:r w:rsidRPr="000365ED">
              <w:rPr>
                <w:rFonts w:ascii="Times New Roman" w:hAnsi="Times New Roman" w:cs="Times New Roman"/>
              </w:rPr>
              <w:t>Leveraging donor support to develop a national antimicrobial resistance policy and action plan: Ghana’s success story</w:t>
            </w:r>
          </w:p>
        </w:tc>
        <w:tc>
          <w:tcPr>
            <w:tcW w:w="2329" w:type="dxa"/>
          </w:tcPr>
          <w:p w14:paraId="7759F5F9" w14:textId="4262FB7B" w:rsidR="00944D91" w:rsidRPr="000365ED" w:rsidRDefault="005C16FF" w:rsidP="00397401">
            <w:pPr>
              <w:rPr>
                <w:rFonts w:ascii="Times New Roman" w:hAnsi="Times New Roman" w:cs="Times New Roman"/>
              </w:rPr>
            </w:pPr>
            <w:r w:rsidRPr="000365ED">
              <w:rPr>
                <w:rFonts w:ascii="Times New Roman" w:hAnsi="Times New Roman" w:cs="Times New Roman"/>
              </w:rPr>
              <w:t xml:space="preserve">Did not report on </w:t>
            </w:r>
            <w:r w:rsidR="007060C1" w:rsidRPr="000365ED">
              <w:rPr>
                <w:rFonts w:ascii="Times New Roman" w:hAnsi="Times New Roman" w:cs="Times New Roman"/>
              </w:rPr>
              <w:t xml:space="preserve">the situation before the implementation of AMS or </w:t>
            </w:r>
            <w:r w:rsidRPr="000365ED">
              <w:rPr>
                <w:rFonts w:ascii="Times New Roman" w:hAnsi="Times New Roman" w:cs="Times New Roman"/>
              </w:rPr>
              <w:t>any outcome such as improvement after application of AMS.</w:t>
            </w:r>
          </w:p>
        </w:tc>
      </w:tr>
      <w:tr w:rsidR="00944D91" w:rsidRPr="000365ED" w14:paraId="4C068137" w14:textId="77777777" w:rsidTr="00944D91">
        <w:tc>
          <w:tcPr>
            <w:tcW w:w="1698" w:type="dxa"/>
          </w:tcPr>
          <w:p w14:paraId="15B2661A" w14:textId="661B1724" w:rsidR="00944D91" w:rsidRPr="000365ED" w:rsidRDefault="00930A9A" w:rsidP="00397401">
            <w:pPr>
              <w:rPr>
                <w:rFonts w:ascii="Times New Roman" w:hAnsi="Times New Roman" w:cs="Times New Roman"/>
              </w:rPr>
            </w:pPr>
            <w:r w:rsidRPr="000365ED">
              <w:rPr>
                <w:rFonts w:ascii="Times New Roman" w:hAnsi="Times New Roman" w:cs="Times New Roman"/>
              </w:rPr>
              <w:t>63</w:t>
            </w:r>
          </w:p>
        </w:tc>
        <w:tc>
          <w:tcPr>
            <w:tcW w:w="2253" w:type="dxa"/>
          </w:tcPr>
          <w:p w14:paraId="5D3D243F" w14:textId="07EA6953" w:rsidR="00944D91" w:rsidRPr="000365ED" w:rsidRDefault="007060C1"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{"citationID":"Y3d31Lx9","properties":{"formattedCitation":"(Oppong et al., 2022)","plainCitation":"(Oppong et al., 2022)","noteIndex":0},"citationItems":[{"id":8225,"uris":["http://zotero.org/users/11836539/items/V2RCU7FT"],"itemData":{"id":8225,"type":"article-journal","abstract":"Purpose: The study was intended to ascertain the existence of an antibiotic stewardship programme at the Child Health Directorate of Komfo Anokye Teaching Hospital (KATH) and assess the knowledge of health professionals about the importance of the antimicrobial stewardship programme. Again, it sort to assess the experience of participants with pharmacotherapy of infections and patient outcomes with generic and innovative brands of antibiotics. The third was to assess reporting on adverse reactions and storage conditions of the antibiotics. Design/Methodology/ Approach: This was a cross-sectional study involving health professionals who participated in the provision of infectious disease management services. Eighty-eight (88) professionals were involved in the study, comprising nurses (n=51), medical doctors (n=21), pharmacists (n=8), biomedical scientists (n=5) and public health officers (n=3). Findings: The majority (75 %, n=66) reported treatment failure with generic brands of antibiotics compared to innovator brands. Thirty-four percent of the participants reported adverse drug reactions (ADRs) on antibiotic therapy to superiors instead of filling out ADR forms. Research Limitations: The study was done in one Directorate in the hospital and thus cannot be generalized to reflect the situation in all teaching hospitals in Ghana. Practical implication: The evidence obtained highlighted the need for pragmatic antimicrobial stewardship (AMS) at the directorate to help optimize the management of childhood infections and minimize the emergence and spread of antibiotic resistance. Originality/Value. This was an original project designed to generate evidence to inform interventions to promote the responsible use of antimicrobials in children. © African Journal of Applied Research Arca Academic Publisher.","archive":"Scopus","container-title":"African Journal of Applied Research","DOI":"10.26437/ajar.31.10.2022.22","ISSN":"2408-7920","issue":"2","language":"English","page":"322-331","source":"Scopus","title":"ANTIBIOTIC STEWARDSHIP AND ITS IMPACT ON ANTIBIOTIC USE AT THE CHILD HEALTH DIRECTORATE OF A TEACHING HOSPITAL IN GHANA","volume":"8","author":[{"family":"Oppong","given":"K.G."},{"family":"Attakorah","given":"J."},{"family":"Enimil","given":"A."},{"family":"Ansah","given":"C."},{"family":"Buabeng","given":"K.O."}],"issued":{"date-parts":[["2022"]]}}}],"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(Oppong et al., 2022)</w:t>
            </w:r>
            <w:r w:rsidRPr="000365ED">
              <w:rPr>
                <w:rFonts w:ascii="Times New Roman" w:hAnsi="Times New Roman" w:cs="Times New Roman"/>
              </w:rPr>
              <w:fldChar w:fldCharType="end"/>
            </w:r>
          </w:p>
        </w:tc>
        <w:tc>
          <w:tcPr>
            <w:tcW w:w="2736" w:type="dxa"/>
          </w:tcPr>
          <w:p w14:paraId="0DA466BF" w14:textId="40DFCD21" w:rsidR="00944D91" w:rsidRPr="000365ED" w:rsidRDefault="006821D0" w:rsidP="00397401">
            <w:pPr>
              <w:rPr>
                <w:rFonts w:ascii="Times New Roman" w:hAnsi="Times New Roman" w:cs="Times New Roman"/>
              </w:rPr>
            </w:pPr>
            <w:r w:rsidRPr="000365ED">
              <w:rPr>
                <w:rFonts w:ascii="Times New Roman" w:hAnsi="Times New Roman" w:cs="Times New Roman"/>
              </w:rPr>
              <w:t>Antibiotic stewardship and its impact on antibiotic use at the child health directorate of a teaching hospital in Ghana</w:t>
            </w:r>
          </w:p>
        </w:tc>
        <w:tc>
          <w:tcPr>
            <w:tcW w:w="2329" w:type="dxa"/>
          </w:tcPr>
          <w:p w14:paraId="77066967" w14:textId="66DE1DCA" w:rsidR="00944D91" w:rsidRPr="000365ED" w:rsidRDefault="007060C1" w:rsidP="00397401">
            <w:pPr>
              <w:rPr>
                <w:rFonts w:ascii="Times New Roman" w:hAnsi="Times New Roman" w:cs="Times New Roman"/>
              </w:rPr>
            </w:pPr>
            <w:r w:rsidRPr="000365ED">
              <w:rPr>
                <w:rFonts w:ascii="Times New Roman" w:hAnsi="Times New Roman" w:cs="Times New Roman"/>
              </w:rPr>
              <w:t>Did not report on the situation before the implementation of AMS or any outcome such as improvement after application of AMS.</w:t>
            </w:r>
          </w:p>
        </w:tc>
      </w:tr>
      <w:tr w:rsidR="00944D91" w:rsidRPr="000365ED" w14:paraId="6E25B8EF" w14:textId="77777777" w:rsidTr="00944D91">
        <w:tc>
          <w:tcPr>
            <w:tcW w:w="1698" w:type="dxa"/>
          </w:tcPr>
          <w:p w14:paraId="40C56AC9" w14:textId="7B21F415" w:rsidR="00944D91" w:rsidRPr="000365ED" w:rsidRDefault="00930A9A" w:rsidP="00397401">
            <w:pPr>
              <w:rPr>
                <w:rFonts w:ascii="Times New Roman" w:hAnsi="Times New Roman" w:cs="Times New Roman"/>
              </w:rPr>
            </w:pPr>
            <w:r w:rsidRPr="000365ED">
              <w:rPr>
                <w:rFonts w:ascii="Times New Roman" w:hAnsi="Times New Roman" w:cs="Times New Roman"/>
              </w:rPr>
              <w:t>64</w:t>
            </w:r>
          </w:p>
        </w:tc>
        <w:tc>
          <w:tcPr>
            <w:tcW w:w="2253" w:type="dxa"/>
          </w:tcPr>
          <w:p w14:paraId="3097EAEE" w14:textId="177ADC77" w:rsidR="00944D91" w:rsidRPr="000365ED" w:rsidRDefault="00133F49"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{"citationID":"sfAZpkN6","properties":{"formattedCitation":"(Osifo &amp; Aghahowa, 2011)","plainCitation":"(Osifo &amp; Aghahowa, 2011)","noteIndex":0},"citationItems":[{"id":8497,"uris":["http://zotero.org/users/11836539/items/348HSW97"],"itemData":{"id":8497,"type":"article-journal","abstract":"Objective: To report the outcome of commonly used antibiotic combinations in surgical neonates in sub-Saharan African settings. Methods: A retrospective analysis that determines the outcome of commonly combined antibiotics in surgical neonates between January 2006 and December 2008 at two referral paediatric surgical centres in Benin city was carried out. Results: Ampicillin ampiclox, metronidazole, gentamicin, cefuroxime and ceftriaxone were variously combined in the management of 161 neonates with a mean age at presentation of 9.2 ± 2.6 days, mean weight 3.1 ± 1.4 kg and a male:female ratio 1.6:1. Polymicrobial postoperative wound infections and sepsis caused by Staphylococcus aureus, Escherichia coli, Neisseria meningitidis, Klebsiella pneumonia, Pseudomonas aeroginosa and anaerobes, were mainly encountered. The most common aerobes isolated from wound cultures were S. aureus and P. aeroginosa while the ones from that of blood cultures were E. coli and K. pneumonia. Overall postoperative infections recorded were: wound infection 19 (11.8%), sepsis 16 (9.9%) and sepsis-related deaths 6 (3.7%). Conclusion: Combinations of gentamicin/metronidazole/cefuroxime and gentamicin/cefuroxime were adequate for gastrointestinal and extra-gastrointestinal neonatal operations, respectively, in these sub-Saharan African settings, which may be useful in similar regions.","archive":"Scopus","container-title":"African Journal of Paediatric Surgery","DOI":"10.4103/0189-6725.78664","ISSN":"0974-5998","issue":"1","language":"English","page":"23-28","source":"Scopus","title":"Audit of antibiotic therapy in surgical neonates in a tertiary hospital in Benin City, Nigeria","volume":"8","author":[{"family":"Osifo","given":"O."},{"family":"Aghahowa","given":"S."}],"issued":{"date-parts":[["2011"]]}}}],"schema":"https://github.com/citation-style-language/schema/raw/master/csl-citation.json"}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(Osifo &amp; Aghahowa, 2011)</w:t>
            </w:r>
            <w:r w:rsidRPr="000365ED">
              <w:rPr>
                <w:rFonts w:ascii="Times New Roman" w:hAnsi="Times New Roman" w:cs="Times New Roman"/>
              </w:rPr>
              <w:fldChar w:fldCharType="end"/>
            </w:r>
          </w:p>
        </w:tc>
        <w:tc>
          <w:tcPr>
            <w:tcW w:w="2736" w:type="dxa"/>
          </w:tcPr>
          <w:p w14:paraId="4F1C7F08" w14:textId="1CC2BF29" w:rsidR="00944D91" w:rsidRPr="000365ED" w:rsidRDefault="00133F49" w:rsidP="00397401">
            <w:pPr>
              <w:rPr>
                <w:rFonts w:ascii="Times New Roman" w:hAnsi="Times New Roman" w:cs="Times New Roman"/>
              </w:rPr>
            </w:pPr>
            <w:r w:rsidRPr="000365ED">
              <w:rPr>
                <w:rFonts w:ascii="Times New Roman" w:hAnsi="Times New Roman" w:cs="Times New Roman"/>
              </w:rPr>
              <w:t>Audit of antibiotic therapy in surgical neonates in a tertiary hospital in Benin City, Nigeria</w:t>
            </w:r>
          </w:p>
        </w:tc>
        <w:tc>
          <w:tcPr>
            <w:tcW w:w="2329" w:type="dxa"/>
          </w:tcPr>
          <w:p w14:paraId="13423631" w14:textId="6EEDF750" w:rsidR="00944D91" w:rsidRPr="000365ED" w:rsidRDefault="00133F49" w:rsidP="00397401">
            <w:pPr>
              <w:rPr>
                <w:rFonts w:ascii="Times New Roman" w:hAnsi="Times New Roman" w:cs="Times New Roman"/>
              </w:rPr>
            </w:pPr>
            <w:r w:rsidRPr="000365ED">
              <w:rPr>
                <w:rFonts w:ascii="Times New Roman" w:hAnsi="Times New Roman" w:cs="Times New Roman"/>
              </w:rPr>
              <w:t>Fall short of the themes under consideration</w:t>
            </w:r>
          </w:p>
        </w:tc>
      </w:tr>
      <w:tr w:rsidR="00944D91" w:rsidRPr="000365ED" w14:paraId="002550AD" w14:textId="77777777" w:rsidTr="00944D91">
        <w:tc>
          <w:tcPr>
            <w:tcW w:w="1698" w:type="dxa"/>
          </w:tcPr>
          <w:p w14:paraId="081EBB27" w14:textId="1EB3F4F5" w:rsidR="00944D91" w:rsidRPr="000365ED" w:rsidRDefault="00930A9A" w:rsidP="00397401">
            <w:pPr>
              <w:rPr>
                <w:rFonts w:ascii="Times New Roman" w:hAnsi="Times New Roman" w:cs="Times New Roman"/>
              </w:rPr>
            </w:pPr>
            <w:r w:rsidRPr="000365ED">
              <w:rPr>
                <w:rFonts w:ascii="Times New Roman" w:hAnsi="Times New Roman" w:cs="Times New Roman"/>
              </w:rPr>
              <w:t>65</w:t>
            </w:r>
          </w:p>
        </w:tc>
        <w:tc>
          <w:tcPr>
            <w:tcW w:w="2253" w:type="dxa"/>
          </w:tcPr>
          <w:p w14:paraId="38349F70" w14:textId="768CCE54" w:rsidR="00944D91" w:rsidRPr="000365ED" w:rsidRDefault="00133F49"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{"citationID":"dFrCt6IY","properties":{"formattedCitation":"(Prah et al., 2017)","plainCitation":"(Prah et al., 2017)","noteIndex":0},"citationItems":[{"id":8442,"uris":["http://zotero.org/users/11836539/items/N85CAJSU"],"itemData":{"id":8442,"type":"article-journal","abstract":"Introduction: A major challenge to the provision of health care worldwide is the irrational use of antibiotics. To help promote rational use of drugs, standard treatment guidelines (STG) and essential medicine lists and facility-specific formularies have been developed to be used by clinicians. This study assessed the prescription pattern of antibiotics and explored the use of STG by clinicians. Methods: A prospective cross sectional study that made use of seven core drug use indicators was conducted from February, 2017 to July, 2017. Prescribing indicators were assessed using 388 prescriptions that were submitted for filling and dispensing at the pharmacy unit of the hospital. Clinicians were interviewed to assess their use of STG. Data were analyzed using SPSS version 20.0 with a p-value of &lt; 0.05 considered as statistically significant. Results: A total of 1351 drugs were prescribed for 388 patients. The average number of medicines per prescription was 3.5. Of the 388 prescriptions, 55.2% bore antibiotics, with amoxicillin (22.5%) and ciprofloxacin (18.4%) being the most prescribed antibiotics. Patients' knowledge about their medications was found to be significantly associated with the number of drugs per prescription (p = 0.001), age (p = 0.015) and educational level (p = 0.001). Only 41.7% of prescribers had copies of STG and used them. Conclusion: The prescribing and dispensing practices in the hospital were generally not satisfactory with a low patronage of STG among prescribers. In order to improve the situation, clinicians should practice evidence based medicine rather than empirical treatment of conditions as well as use the STG in practice. © James Prah et al.","archive":"Scopus","container-title":"Pan African Medical Journal","DOI":"10.11604/pamj.2017.28.214.13940","ISSN":"1937-8688","language":"English","source":"Scopus","title":"Antibiotic prescription pattern in a Ghanaian primary health care facility","volume":"28","author":[{"family":"Prah","given":"J."},{"family":"Kizzie-Hayford","given":"J."},{"family":"Walker","given":"E."},{"family":"Ampofo-Asiama","given":"A."}],"issued":{"date-parts":[["2017"]]}}}],"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(Prah et al., 2017)</w:t>
            </w:r>
            <w:r w:rsidRPr="000365ED">
              <w:rPr>
                <w:rFonts w:ascii="Times New Roman" w:hAnsi="Times New Roman" w:cs="Times New Roman"/>
              </w:rPr>
              <w:fldChar w:fldCharType="end"/>
            </w:r>
          </w:p>
        </w:tc>
        <w:tc>
          <w:tcPr>
            <w:tcW w:w="2736" w:type="dxa"/>
          </w:tcPr>
          <w:p w14:paraId="55D553D8" w14:textId="1E85FD61" w:rsidR="00944D91" w:rsidRPr="000365ED" w:rsidRDefault="00133F49" w:rsidP="00397401">
            <w:pPr>
              <w:rPr>
                <w:rFonts w:ascii="Times New Roman" w:hAnsi="Times New Roman" w:cs="Times New Roman"/>
              </w:rPr>
            </w:pPr>
            <w:r w:rsidRPr="000365ED">
              <w:rPr>
                <w:rFonts w:ascii="Times New Roman" w:hAnsi="Times New Roman" w:cs="Times New Roman"/>
              </w:rPr>
              <w:t>Antibiotic prescription pattern in a Ghanaian primary health care facility</w:t>
            </w:r>
          </w:p>
        </w:tc>
        <w:tc>
          <w:tcPr>
            <w:tcW w:w="2329" w:type="dxa"/>
          </w:tcPr>
          <w:p w14:paraId="73FE5C3C" w14:textId="6A68D278" w:rsidR="00944D91" w:rsidRPr="000365ED" w:rsidRDefault="00133F49" w:rsidP="00397401">
            <w:pPr>
              <w:rPr>
                <w:rFonts w:ascii="Times New Roman" w:hAnsi="Times New Roman" w:cs="Times New Roman"/>
              </w:rPr>
            </w:pPr>
            <w:r w:rsidRPr="000365ED">
              <w:rPr>
                <w:rFonts w:ascii="Times New Roman" w:hAnsi="Times New Roman" w:cs="Times New Roman"/>
              </w:rPr>
              <w:t>Value for the antibiotic prescription appropriateness not stated. Antibiotic consumption not reported in DDD.</w:t>
            </w:r>
          </w:p>
        </w:tc>
      </w:tr>
      <w:tr w:rsidR="00944D91" w:rsidRPr="000365ED" w14:paraId="452E4EB2" w14:textId="77777777" w:rsidTr="00944D91">
        <w:tc>
          <w:tcPr>
            <w:tcW w:w="1698" w:type="dxa"/>
          </w:tcPr>
          <w:p w14:paraId="47DED02A" w14:textId="53D2FB24" w:rsidR="00944D91" w:rsidRPr="000365ED" w:rsidRDefault="00930A9A" w:rsidP="00397401">
            <w:pPr>
              <w:rPr>
                <w:rFonts w:ascii="Times New Roman" w:hAnsi="Times New Roman" w:cs="Times New Roman"/>
              </w:rPr>
            </w:pPr>
            <w:r w:rsidRPr="000365ED">
              <w:rPr>
                <w:rFonts w:ascii="Times New Roman" w:hAnsi="Times New Roman" w:cs="Times New Roman"/>
              </w:rPr>
              <w:t>66</w:t>
            </w:r>
          </w:p>
        </w:tc>
        <w:tc>
          <w:tcPr>
            <w:tcW w:w="2253" w:type="dxa"/>
          </w:tcPr>
          <w:p w14:paraId="519DB559" w14:textId="25E8A8BF" w:rsidR="00944D91" w:rsidRPr="000365ED" w:rsidRDefault="00133F49"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{"citationID":"u4T84Wl6","properties":{"formattedCitation":"(Roberts et al., 2020)","plainCitation":"(Roberts et al., 2020)","noteIndex":0},"citationItems":[{"id":8515,"uris":["http://zotero.org/users/11836539/items/VRXL4AAE"],"itemData":{"id":8515,"type":"article-journal","abstract":"Background: \n          Antimicrobial resistance, a global problem, is mostly a consequence of misuse or overuse of antimicrobials. This study sought to audit the compliance to hospital antimicrobial policy and determine the ability of medical students to carry out audits.\n          Methodology: \n          This was a retrospective study to determine compliance with departmental policies in the preceding 2 months in the Children's Emergency Room (ChER) using a checklist. The primary outcome was to determine the rational use of antibiotics. The secondary outcomes were to determine whether the de-escalation of antibiotic, change from intravenous to oral or change in prescriptions were performed in line with culture results based on the departmental policy.\n          Results: \n          The records of 450 children who attended ChER of Lagos University Teaching Hospital in January and February 2018 were retrieved for this study, of which 279 (62.0%) were prescribed antimicrobials. A suspected or confirmed diagnosis of infection was made in 214 (76.6%) of the patients, significantly highest in the infant age group (P = 0.03). Cultures were taken from 94 patients (33.7%), and although not statistically significant, cultures were mostly taken from neonatal patients aged &lt;28 days (20/49, 40.8%). Applying the criteria, compliance with departmental guidelines was found in 111 (39.8%) of the cases.\n          Conclusion: \n          We found that the use of antimicrobials was judged unnecessary in 17.2% of the patients seen in ChER. There was a poor practice of collecting samples for culture before prescribing antibiotics. Prospective audit and feedback is feasible and it can be done with medical students who will report their findings to consultants and other doctors knowledgeable in principles of antimicrobial therapy.","container-title":"Nigerian Postgraduate Medical Journal","DOI":"10.4103/npmj.npmj_115_19","ISSN":"1117-1936","issue":"1","language":"en-US","page":"54","source":"journals.lww.com","title":"Feasibility Study of Prospective Audit, Intervention and Feedback as an Antimicrobial Stewardship Strategy at the Lagos University Teaching Hospital","volume":"27","author":[{"family":"Roberts","given":"Alero Ann"},{"family":"Fajolu","given":"Iretiolu"},{"family":"Oshun","given":"Philip"},{"family":"Osuagwu","given":"Chioma"},{"family":"Awofeso","given":"Opeyemi"},{"family":"Temiye","given":"Edamisan"},{"family":"Oduyebo","given":"O. Oyin"}],"issued":{"date-parts":[["2020",3]]}}}],"schema":"https://github.com/citation-style-language/schema/raw/master/csl-citation.json"}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(Roberts et al., 2020)</w:t>
            </w:r>
            <w:r w:rsidRPr="000365ED">
              <w:rPr>
                <w:rFonts w:ascii="Times New Roman" w:hAnsi="Times New Roman" w:cs="Times New Roman"/>
              </w:rPr>
              <w:fldChar w:fldCharType="end"/>
            </w:r>
          </w:p>
        </w:tc>
        <w:tc>
          <w:tcPr>
            <w:tcW w:w="2736" w:type="dxa"/>
          </w:tcPr>
          <w:p w14:paraId="2A430302" w14:textId="63A9A144" w:rsidR="00944D91" w:rsidRPr="000365ED" w:rsidRDefault="00133F49" w:rsidP="00397401">
            <w:pPr>
              <w:rPr>
                <w:rFonts w:ascii="Times New Roman" w:hAnsi="Times New Roman" w:cs="Times New Roman"/>
              </w:rPr>
            </w:pPr>
            <w:r w:rsidRPr="000365ED">
              <w:rPr>
                <w:rFonts w:ascii="Times New Roman" w:hAnsi="Times New Roman" w:cs="Times New Roman"/>
              </w:rPr>
              <w:t xml:space="preserve">Feasibility Study of Prospective Audit, Intervention and Feedback as an Antimicrobial Stewardship Strategy at </w:t>
            </w:r>
            <w:r w:rsidRPr="000365ED">
              <w:rPr>
                <w:rFonts w:ascii="Times New Roman" w:hAnsi="Times New Roman" w:cs="Times New Roman"/>
              </w:rPr>
              <w:lastRenderedPageBreak/>
              <w:t>the Lagos University Teaching Hospital</w:t>
            </w:r>
          </w:p>
        </w:tc>
        <w:tc>
          <w:tcPr>
            <w:tcW w:w="2329" w:type="dxa"/>
          </w:tcPr>
          <w:p w14:paraId="67D72EE1" w14:textId="1437E73C" w:rsidR="00944D91" w:rsidRPr="000365ED" w:rsidRDefault="00133F49" w:rsidP="00397401">
            <w:pPr>
              <w:rPr>
                <w:rFonts w:ascii="Times New Roman" w:hAnsi="Times New Roman" w:cs="Times New Roman"/>
              </w:rPr>
            </w:pPr>
            <w:r w:rsidRPr="000365ED">
              <w:rPr>
                <w:rFonts w:ascii="Times New Roman" w:hAnsi="Times New Roman" w:cs="Times New Roman"/>
              </w:rPr>
              <w:lastRenderedPageBreak/>
              <w:t>Did not report on the situation before the implementation of AMS or any outcome such as improvement after application of AMS.</w:t>
            </w:r>
          </w:p>
        </w:tc>
      </w:tr>
      <w:tr w:rsidR="00944D91" w:rsidRPr="000365ED" w14:paraId="4C193695" w14:textId="77777777" w:rsidTr="00944D91">
        <w:tc>
          <w:tcPr>
            <w:tcW w:w="1698" w:type="dxa"/>
          </w:tcPr>
          <w:p w14:paraId="64F61DE9" w14:textId="7EC6E45E" w:rsidR="00944D91" w:rsidRPr="000365ED" w:rsidRDefault="00930A9A" w:rsidP="00397401">
            <w:pPr>
              <w:rPr>
                <w:rFonts w:ascii="Times New Roman" w:hAnsi="Times New Roman" w:cs="Times New Roman"/>
              </w:rPr>
            </w:pPr>
            <w:r w:rsidRPr="000365ED">
              <w:rPr>
                <w:rFonts w:ascii="Times New Roman" w:hAnsi="Times New Roman" w:cs="Times New Roman"/>
              </w:rPr>
              <w:t>67</w:t>
            </w:r>
          </w:p>
        </w:tc>
        <w:tc>
          <w:tcPr>
            <w:tcW w:w="2253" w:type="dxa"/>
          </w:tcPr>
          <w:p w14:paraId="1C8DDE27" w14:textId="407FCFD6" w:rsidR="00944D91" w:rsidRPr="000365ED" w:rsidRDefault="00A536E9"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{"citationID":"wTZjplU2","properties":{"formattedCitation":"(Saleem et al., 2022)","plainCitation":"(Saleem et al., 2022)","noteIndex":0},"citationItems":[{"id":8210,"uris":["http://zotero.org/users/11836539/items/Y79GG92N"],"itemData":{"id":8210,"type":"article-journal","abstract":"There are serious concerns with rising antimicrobial resistance (AMR) across countries increasing morbidity, mortality and costs. These concerns have resulted in a plethora of initiatives globally and nationally including national action plans (NAPs) to reduce AMR. Africa is no exception, especially with the highest rates of AMR globally. Key activities in NAPs include gaining a greater understanding of current antimicrobial utilization patterns through point prevalence surveys (PPS) and subsequently instigating antimicrobial stewardship programs (ASPs). Consequently, there is a need to comprehensively document current utilization patterns among hospitals across Africa coupled with ASP studies. In total, 33 PPS studies ranging from single up to 18 hospitals were documented from a narrative review with typically over 50% of in-patients prescribed antimicrobials, up to 97.6% in Nigeria. The penicillins, ceftriaxone and metronidazole, were the most prescribed antibiotics. Appreciable extended prescribing of antibiotics up to 6 days or more post-operatively was seen across Africa to prevent surgical site infections. At least 19 ASPs have been instigated across Africa in recent years to improve future prescribing utilizing a range of prescribing indicators. The various findings resulted in a range of suggested activities that key stakeholders, including governments and healthcare professionals, should undertake in the short, medium and long term to improve future antimicrobial prescribing and reduce AMR across Africa. © 2022 by the authors.","archive":"Scopus","container-title":"Antibiotics","DOI":"10.3390/antibiotics11121824","ISSN":"2079-6382","issue":"12","language":"English","source":"Scopus","title":"Ongoing Efforts to Improve Antimicrobial Utilization in Hospitals among African Countries and Implications for the Future","volume":"11","author":[{"family":"Saleem","given":"Z."},{"family":"Godman","given":"B."},{"family":"Cook","given":"A."},{"family":"Khan","given":"M.A."},{"family":"Campbell","given":"S.M."},{"family":"Seaton","given":"R.A."},{"family":"Siachalinga","given":"L."},{"family":"Haseeb","given":"A."},{"family":"Amir","given":"A."},{"family":"Kurdi","given":"A."},{"family":"Mwita","given":"J.C."},{"family":"Sefah","given":"I.A."},{"family":"Opanga","given":"S.A."},{"family":"Fadare","given":"J.O."},{"family":"Ogunleye","given":"O.O."},{"family":"Meyer","given":"J.C."},{"family":"Massele","given":"A."},{"family":"Kibuule","given":"D."},{"family":"Kalungia","given":"A.C."},{"family":"Shahwan","given":"M."},{"family":"Nabayiga","given":"H."},{"family":"Pichierri","given":"G."},{"family":"Moore","given":"C.E."}],"issued":{"date-parts":[["2022"]]}}}],"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(Saleem et al., 2022)</w:t>
            </w:r>
            <w:r w:rsidRPr="000365ED">
              <w:rPr>
                <w:rFonts w:ascii="Times New Roman" w:hAnsi="Times New Roman" w:cs="Times New Roman"/>
              </w:rPr>
              <w:fldChar w:fldCharType="end"/>
            </w:r>
          </w:p>
        </w:tc>
        <w:tc>
          <w:tcPr>
            <w:tcW w:w="2736" w:type="dxa"/>
          </w:tcPr>
          <w:p w14:paraId="09904FB2" w14:textId="7B4DF030" w:rsidR="00944D91" w:rsidRPr="000365ED" w:rsidRDefault="00A536E9" w:rsidP="00397401">
            <w:pPr>
              <w:rPr>
                <w:rFonts w:ascii="Times New Roman" w:hAnsi="Times New Roman" w:cs="Times New Roman"/>
              </w:rPr>
            </w:pPr>
            <w:r w:rsidRPr="000365ED">
              <w:rPr>
                <w:rFonts w:ascii="Times New Roman" w:hAnsi="Times New Roman" w:cs="Times New Roman"/>
              </w:rPr>
              <w:t>Ongoing Efforts to Improve Antimicrobial Utilization in Hospitals among African Countries and Implications for the Future</w:t>
            </w:r>
          </w:p>
        </w:tc>
        <w:tc>
          <w:tcPr>
            <w:tcW w:w="2329" w:type="dxa"/>
          </w:tcPr>
          <w:p w14:paraId="004E04C2" w14:textId="08540BB3" w:rsidR="00944D91" w:rsidRPr="000365ED" w:rsidRDefault="00A536E9" w:rsidP="00397401">
            <w:pPr>
              <w:rPr>
                <w:rFonts w:ascii="Times New Roman" w:hAnsi="Times New Roman" w:cs="Times New Roman"/>
              </w:rPr>
            </w:pPr>
            <w:r w:rsidRPr="000365ED">
              <w:rPr>
                <w:rFonts w:ascii="Times New Roman" w:hAnsi="Times New Roman" w:cs="Times New Roman"/>
              </w:rPr>
              <w:t>Not in line with our inclusion criteria</w:t>
            </w:r>
          </w:p>
        </w:tc>
      </w:tr>
      <w:tr w:rsidR="00944D91" w:rsidRPr="000365ED" w14:paraId="0A475A4F" w14:textId="77777777" w:rsidTr="00944D91">
        <w:tc>
          <w:tcPr>
            <w:tcW w:w="1698" w:type="dxa"/>
          </w:tcPr>
          <w:p w14:paraId="2EB5DA08" w14:textId="753F559D" w:rsidR="00944D91" w:rsidRPr="000365ED" w:rsidRDefault="00930A9A" w:rsidP="00397401">
            <w:pPr>
              <w:rPr>
                <w:rFonts w:ascii="Times New Roman" w:hAnsi="Times New Roman" w:cs="Times New Roman"/>
              </w:rPr>
            </w:pPr>
            <w:r w:rsidRPr="000365ED">
              <w:rPr>
                <w:rFonts w:ascii="Times New Roman" w:hAnsi="Times New Roman" w:cs="Times New Roman"/>
              </w:rPr>
              <w:t>68</w:t>
            </w:r>
          </w:p>
        </w:tc>
        <w:tc>
          <w:tcPr>
            <w:tcW w:w="2253" w:type="dxa"/>
          </w:tcPr>
          <w:p w14:paraId="7E4FBD21" w14:textId="71763EC0" w:rsidR="00944D91" w:rsidRPr="000365ED" w:rsidRDefault="00A536E9"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{"citationID":"5RG0vs8h","properties":{"formattedCitation":"(Sawadogo et al., 2023)","plainCitation":"(Sawadogo et al., 2023)","noteIndex":0},"citationItems":[{"id":8208,"uris":["http://zotero.org/users/11836539/items/XBBP797T"],"itemData":{"id":8208,"type":"article-journal","abstract":"Increased use of antibiotics in livestock is a public health concern, as it poses risks of antibiotic residues and antibiotic-resistant pathogens entering the food chains and infecting humans. A cross-sectional survey was conducted on 216 poultry farms to study knowledge, attitudes and practices of poultry farmers on the use of antibiotics in urban and peri-urban areas of Ouagadougou. Results show that only 17.13% (37/216) of farmers attended training on poultry production. Majority of farmers—85.65% (185/216) were not knowledgeable about the rational use of antibiotics. When there was a disease outbreak, 31.98% (63/197) of farmers used veterinary drugs without a prescription and 22.34% (44/197) consulted a community animal health worker. It should also be noted that 79.19% (156/197) of farmers reported using chicken meat as per normal if the bird died during or right after treatment with an antibiotic. Knowledge of rational use of antibiotics was positively influenced by a good attitude adopted by the farmer during the illness of birds and negatively influenced by disease treatment success and high level of education of the farmer. Lack of knowledge about the rational use of antibiotics including their use without a prescription are serious risk factors for the emergence of antimicrobial resistance. Awareness of farmers and other veterinary drug supply chain actors such as drug stockists and animal health workers on best practices in antimicrobial use and promotion of good biosecurity on farms are important to reduce the misuse of antibiotics. © 2023 by the authors.","archive":"Scopus","container-title":"Antibiotics","DOI":"10.3390/antibiotics12010133","ISSN":"2079-6382","issue":"1","language":"English","source":"Scopus","title":"Knowledge, Attitudes, and Practices Related to Antibiotic Use and Antibiotic Resistance among Poultry Farmers in Urban and Peri-Urban Areas of Ouagadougou, Burkina Faso","volume":"12","author":[{"family":"Sawadogo","given":"A."},{"family":"Kagambèga","given":"A."},{"family":"Moodley","given":"A."},{"family":"Ouedraogo","given":"A.A."},{"family":"Barro","given":"N."},{"family":"Dione","given":"M."}],"issued":{"date-parts":[["2023"]]}}}],"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(Sawadogo et al., 2023)</w:t>
            </w:r>
            <w:r w:rsidRPr="000365ED">
              <w:rPr>
                <w:rFonts w:ascii="Times New Roman" w:hAnsi="Times New Roman" w:cs="Times New Roman"/>
              </w:rPr>
              <w:fldChar w:fldCharType="end"/>
            </w:r>
          </w:p>
        </w:tc>
        <w:tc>
          <w:tcPr>
            <w:tcW w:w="2736" w:type="dxa"/>
          </w:tcPr>
          <w:p w14:paraId="5417A2C2" w14:textId="28784E35" w:rsidR="00944D91" w:rsidRPr="000365ED" w:rsidRDefault="00A536E9" w:rsidP="00397401">
            <w:pPr>
              <w:rPr>
                <w:rFonts w:ascii="Times New Roman" w:hAnsi="Times New Roman" w:cs="Times New Roman"/>
              </w:rPr>
            </w:pPr>
            <w:r w:rsidRPr="000365ED">
              <w:rPr>
                <w:rFonts w:ascii="Times New Roman" w:hAnsi="Times New Roman" w:cs="Times New Roman"/>
              </w:rPr>
              <w:t>Knowledge, Attitudes, and Practices Related to Antibiotic Use and Antibiotic Resistance among Poultry Farmers in Urban and Peri-Urban Areas of Ouagadougou, Burkina Faso</w:t>
            </w:r>
          </w:p>
        </w:tc>
        <w:tc>
          <w:tcPr>
            <w:tcW w:w="2329" w:type="dxa"/>
          </w:tcPr>
          <w:p w14:paraId="29CBCB6A" w14:textId="500EF1D5" w:rsidR="00944D91" w:rsidRPr="000365ED" w:rsidRDefault="00A536E9" w:rsidP="00397401">
            <w:pPr>
              <w:rPr>
                <w:rFonts w:ascii="Times New Roman" w:hAnsi="Times New Roman" w:cs="Times New Roman"/>
              </w:rPr>
            </w:pPr>
            <w:r w:rsidRPr="000365ED">
              <w:rPr>
                <w:rFonts w:ascii="Times New Roman" w:hAnsi="Times New Roman" w:cs="Times New Roman"/>
              </w:rPr>
              <w:t>Among Poultry Farmers</w:t>
            </w:r>
          </w:p>
        </w:tc>
      </w:tr>
      <w:tr w:rsidR="00944D91" w:rsidRPr="000365ED" w14:paraId="4BDDCFB5" w14:textId="77777777" w:rsidTr="00944D91">
        <w:tc>
          <w:tcPr>
            <w:tcW w:w="1698" w:type="dxa"/>
          </w:tcPr>
          <w:p w14:paraId="158767F2" w14:textId="1BCF014A" w:rsidR="00944D91" w:rsidRPr="000365ED" w:rsidRDefault="00930A9A" w:rsidP="00397401">
            <w:pPr>
              <w:rPr>
                <w:rFonts w:ascii="Times New Roman" w:hAnsi="Times New Roman" w:cs="Times New Roman"/>
              </w:rPr>
            </w:pPr>
            <w:r w:rsidRPr="000365ED">
              <w:rPr>
                <w:rFonts w:ascii="Times New Roman" w:hAnsi="Times New Roman" w:cs="Times New Roman"/>
              </w:rPr>
              <w:t>69</w:t>
            </w:r>
          </w:p>
        </w:tc>
        <w:tc>
          <w:tcPr>
            <w:tcW w:w="2253" w:type="dxa"/>
          </w:tcPr>
          <w:p w14:paraId="6E603009" w14:textId="1F561C14" w:rsidR="00944D91" w:rsidRPr="000365ED" w:rsidRDefault="00A536E9"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{"citationID":"4JaEzhGp","properties":{"formattedCitation":"(Senn et al., 2014)","plainCitation":"(Senn et al., 2014)","noteIndex":0},"citationItems":[{"id":8529,"uris":["http://zotero.org/users/11836539/items/WVMVFR2W"],"itemData":{"id":8529,"type":"article-journal","abstract":"Introduction: There is a need to investigate the effectiveness and appropriateness of antibiotics prescription within the Integrated Management of Childhood Illness (IMCI) strategy in the context of routine outpatient clinics. Methods: Making use of a passive case detection system established for a malaria prevention trial in outpatient clinics in Papua New Guinea, the appropriateness and effectiveness of the use of antibiotics within the IMCI was assessed in 1605 young children. Main outcomes were prescription of antibiotics and re-attendances within 14 days for mild pneumonia, mild diarrhoea and uncomplicated malaria whether they were managed with or without antibiotics (proxy of effectiveness). Appropriateness was assessed for both mild and severe cases, while effectiveness was assessed only for mild diseases. Results: A total of 6975 illness episodes out of 8944 fulfilled inclusion criteria (no previous attendance &lt;14 days+full medical records). Clinical incidence rates (episodes/child/year; 95% CI) were 0.85 (0.81–0.90) for pneumonia, 0.62 (0.58–0.66) for malaria and 0.72 (0.65–0.93) for diarrhoea. Fifty three percent of 6975 sick children were treated with antibiotics, 11% were not treated with antibiotics when they should have been and in 29% antibiotics were prescribed when they should not have been. Re-attendance rates within 14 days following clinical diagnosis of mild pneumonia were 9% (126/1401) when managed with antibiotics compared to 8% (56/701) when managed without (adjusted Hazard Ratio (aHR) = 1.00 (0.57–1.76), p = 0.98). Rates for mild diarrhoea were 8% (73/874) and 9% (79/866) respectively (aHR = 0.8 (0.42–1.57), p = 0.53). Conclusion: Non-adherence to IMCI recommendations for prescription of antibiotics is common in routine settings in Papua New Guinea. Although recommended, the use of antibiotics in young children with mild pneumonia as defined by IMCI criteria did not impact on their outcome. Better tools and new strategies for the identification of bacterial infections that require antibiotics are urgently needed.","container-title":"PLoS ONE","DOI":"10.1371/journal.pone.0090990","ISSN":"19326203","issue":"3","note":"publisher: Public Library of Science","page":"1-9","source":"EBSCOhost","title":"Use of Antibiotics within the IMCI Guidelines in Outpatient Settings in Papua New Guinean Children: An Observational and Effectiveness Study","title-short":"Use of Antibiotics within the IMCI Guidelines in Outpatient Settings in Papua New Guinean Children","volume":"9","author":[{"family":"Senn","given":"Nicolas"},{"family":"Rarau","given":"Patricia"},{"family":"Salib","given":"Mary"},{"family":"Manong","given":"Doris"},{"family":"Siba","given":"Peter"},{"family":"Rogerson","given":"Stephen"},{"family":"Mueller","given":"Ivo"},{"family":"Genton","given":"Blaise"}],"issued":{"date-parts":[["2014",3]]}}}],"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(Senn et al., 2014)</w:t>
            </w:r>
            <w:r w:rsidRPr="000365ED">
              <w:rPr>
                <w:rFonts w:ascii="Times New Roman" w:hAnsi="Times New Roman" w:cs="Times New Roman"/>
              </w:rPr>
              <w:fldChar w:fldCharType="end"/>
            </w:r>
          </w:p>
        </w:tc>
        <w:tc>
          <w:tcPr>
            <w:tcW w:w="2736" w:type="dxa"/>
          </w:tcPr>
          <w:p w14:paraId="7B1FB0F8" w14:textId="55448280" w:rsidR="00944D91" w:rsidRPr="000365ED" w:rsidRDefault="00A536E9" w:rsidP="00397401">
            <w:pPr>
              <w:rPr>
                <w:rFonts w:ascii="Times New Roman" w:hAnsi="Times New Roman" w:cs="Times New Roman"/>
              </w:rPr>
            </w:pPr>
            <w:r w:rsidRPr="000365ED">
              <w:rPr>
                <w:rFonts w:ascii="Times New Roman" w:hAnsi="Times New Roman" w:cs="Times New Roman"/>
              </w:rPr>
              <w:t>Use of Antibiotics within the IMCI Guidelines in Outpatient Settings in Papua New Guinean Children: An Observational and Effectiveness Study</w:t>
            </w:r>
          </w:p>
        </w:tc>
        <w:tc>
          <w:tcPr>
            <w:tcW w:w="2329" w:type="dxa"/>
          </w:tcPr>
          <w:p w14:paraId="09D502EC" w14:textId="1B267004" w:rsidR="00944D91" w:rsidRPr="000365ED" w:rsidRDefault="00A536E9" w:rsidP="00397401">
            <w:pPr>
              <w:rPr>
                <w:rFonts w:ascii="Times New Roman" w:hAnsi="Times New Roman" w:cs="Times New Roman"/>
              </w:rPr>
            </w:pPr>
            <w:r w:rsidRPr="000365ED">
              <w:rPr>
                <w:rFonts w:ascii="Times New Roman" w:hAnsi="Times New Roman" w:cs="Times New Roman"/>
              </w:rPr>
              <w:t>Wrong geographical location</w:t>
            </w:r>
          </w:p>
        </w:tc>
      </w:tr>
      <w:tr w:rsidR="00944D91" w:rsidRPr="000365ED" w14:paraId="6C9C69EC" w14:textId="77777777" w:rsidTr="00944D91">
        <w:tc>
          <w:tcPr>
            <w:tcW w:w="1698" w:type="dxa"/>
          </w:tcPr>
          <w:p w14:paraId="7B5440AE" w14:textId="66E53937" w:rsidR="00944D91" w:rsidRPr="000365ED" w:rsidRDefault="00930A9A" w:rsidP="00397401">
            <w:pPr>
              <w:rPr>
                <w:rFonts w:ascii="Times New Roman" w:hAnsi="Times New Roman" w:cs="Times New Roman"/>
              </w:rPr>
            </w:pPr>
            <w:r w:rsidRPr="000365ED">
              <w:rPr>
                <w:rFonts w:ascii="Times New Roman" w:hAnsi="Times New Roman" w:cs="Times New Roman"/>
              </w:rPr>
              <w:t>70</w:t>
            </w:r>
          </w:p>
        </w:tc>
        <w:tc>
          <w:tcPr>
            <w:tcW w:w="2253" w:type="dxa"/>
          </w:tcPr>
          <w:p w14:paraId="17762088" w14:textId="155A4950" w:rsidR="00EC2D4F" w:rsidRPr="000365ED" w:rsidRDefault="004B0220"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{"citationID":"tCza87Mt","properties":{"formattedCitation":"(Si\\uc0\\u233{} et al., 2019)","plainCitation":"(Sié et al., 2019)","noteIndex":0},"citationItems":[{"id":8412,"uris":["http://zotero.org/users/11836539/items/HKRN4YNC"],"itemData":{"id":8412,"type":"article-journal","abstract":"Understanding antibiotic use may help predict emergence of antimicrobial resistance. We evaluated antibiotic prescription trends in rural Burkina Faso, where little is known about antibiotic consumption. Antibiotic prescription data for 20 communities were extracted through record review in six primary health-care facilities serving the communities. The number of antibiotic prescriptions per child-year was calculated using population-based census data from the communities. A total of 1,444 antibiotic prescriptions were made from March to June 2017 among 3,401 children in the communities. The frequency of antibiotic prescription was 1.70 prescriptions per child-year (95% CI: 1.61–1.79). Penicillins were the most common (1.04 prescriptions per child-year, 95% CI: 1.01–1.06), followed by sulfonamides (0.69 prescriptions per child-year, 95% CI: 0.67–0.71) and macrolides (0.38 prescriptions per child-year, 95% CI: 0.37–0.40). Continued monitoring of antibiotic consumption in diverse settings will be important to understand the potential for emergence of antibiotic resistance. Copyright © 2019 by The American Society of Tropical Medicine and Hygiene","archive":"Scopus","container-title":"American Journal of Tropical Medicine and Hygiene","DOI":"10.4269/ajtmh.18-0791","ISSN":"0002-9637","issue":"5","language":"English","page":"1121-1124","source":"Scopus","title":"Antibiotic prescription patterns among children younger than 5 years in Nouna district, Burkina Faso","volume":"100","author":[{"family":"Sié","given":"A."},{"family":"Coulibaly","given":"B."},{"family":"Adama","given":"S."},{"family":"Ouermi","given":"L."},{"family":"Dah","given":"C."},{"family":"Tapsoba","given":"C."},{"family":"Bärnighausen","given":"T."},{"family":"Kelly","given":"J.D."},{"family":"Doan","given":"T."},{"family":"Lietman","given":"T.M."},{"family":"Keenan","given":"J.D."},{"family":"Oldenburg","given":"C.E."}],"issued":{"date-parts":[["2019"]]}}}],"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lang w:val="en-GB"/>
              </w:rPr>
              <w:t>(Sié et al., 2019)</w:t>
            </w:r>
            <w:r w:rsidRPr="000365ED">
              <w:rPr>
                <w:rFonts w:ascii="Times New Roman" w:hAnsi="Times New Roman" w:cs="Times New Roman"/>
              </w:rPr>
              <w:fldChar w:fldCharType="end"/>
            </w:r>
          </w:p>
        </w:tc>
        <w:tc>
          <w:tcPr>
            <w:tcW w:w="2736" w:type="dxa"/>
          </w:tcPr>
          <w:p w14:paraId="29CAC9B7" w14:textId="6513019C" w:rsidR="00944D91" w:rsidRPr="000365ED" w:rsidRDefault="00A536E9" w:rsidP="00397401">
            <w:pPr>
              <w:rPr>
                <w:rFonts w:ascii="Times New Roman" w:hAnsi="Times New Roman" w:cs="Times New Roman"/>
              </w:rPr>
            </w:pPr>
            <w:r w:rsidRPr="000365ED">
              <w:rPr>
                <w:rFonts w:ascii="Times New Roman" w:hAnsi="Times New Roman" w:cs="Times New Roman"/>
              </w:rPr>
              <w:t>Antibiotic Prescription Patterns among Children Younger than 5 Years in Nouna District, Burkina Faso</w:t>
            </w:r>
          </w:p>
        </w:tc>
        <w:tc>
          <w:tcPr>
            <w:tcW w:w="2329" w:type="dxa"/>
          </w:tcPr>
          <w:p w14:paraId="63A92FD2" w14:textId="5549066E" w:rsidR="00944D91" w:rsidRPr="000365ED" w:rsidRDefault="00A536E9" w:rsidP="00397401">
            <w:pPr>
              <w:rPr>
                <w:rFonts w:ascii="Times New Roman" w:hAnsi="Times New Roman" w:cs="Times New Roman"/>
              </w:rPr>
            </w:pPr>
            <w:r w:rsidRPr="000365ED">
              <w:rPr>
                <w:rFonts w:ascii="Times New Roman" w:hAnsi="Times New Roman" w:cs="Times New Roman"/>
              </w:rPr>
              <w:t>Value for the antibiotic prescription appropriateness not stated. Antibiotic consumption not reported in DDD.</w:t>
            </w:r>
          </w:p>
        </w:tc>
      </w:tr>
      <w:tr w:rsidR="00944D91" w:rsidRPr="000365ED" w14:paraId="0A15D10A" w14:textId="77777777" w:rsidTr="00944D91">
        <w:tc>
          <w:tcPr>
            <w:tcW w:w="1698" w:type="dxa"/>
          </w:tcPr>
          <w:p w14:paraId="0F6F8546" w14:textId="64760CEA" w:rsidR="00944D91" w:rsidRPr="000365ED" w:rsidRDefault="00930A9A" w:rsidP="00397401">
            <w:pPr>
              <w:rPr>
                <w:rFonts w:ascii="Times New Roman" w:hAnsi="Times New Roman" w:cs="Times New Roman"/>
              </w:rPr>
            </w:pPr>
            <w:r w:rsidRPr="000365ED">
              <w:rPr>
                <w:rFonts w:ascii="Times New Roman" w:hAnsi="Times New Roman" w:cs="Times New Roman"/>
              </w:rPr>
              <w:t>71</w:t>
            </w:r>
          </w:p>
        </w:tc>
        <w:tc>
          <w:tcPr>
            <w:tcW w:w="2253" w:type="dxa"/>
          </w:tcPr>
          <w:p w14:paraId="47986C62" w14:textId="61FADC9A" w:rsidR="00944D91" w:rsidRPr="000365ED" w:rsidRDefault="004B0220"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{"citationID":"PigmlRle","properties":{"formattedCitation":"(Si\\uc0\\u233{} et al., 2021)","plainCitation":"(Sié et al., 2021)","noteIndex":0},"citationItems":[{"id":8309,"uris":["http://zotero.org/users/11836539/items/7BV7AKQD"],"itemData":{"id":8309,"type":"article-journal","abstract":"Of 61 355 visits by children &lt;5 years old to 48 government-run primary healthcare facilities in Nouna District, Burkina Faso, 30 975 had an antibiotic prescribed (58% for pneumonia diagnoses). A minority of prescriptions were for diagnoses not requiring antibiotics, including malaria, nonbloody diarrhea, and cough without pneumonia. © 2021 The Author(s). Published by Oxford University Press for the Infectious Diseases Society of America.","archive":"Scopus","container-title":"Clinical Infectious Diseases","DOI":"10.1093/cid/ciab471","ISSN":"1058-4838","issue":"7","language":"English","page":"1288-1291","source":"Scopus","title":"Indication for Antibiotic Prescription among Children Attending Primary Healthcare Services in Rural Burkina Faso","volume":"73","author":[{"family":"Sié","given":"A."},{"family":"Ouattara","given":"M."},{"family":"Bountogo","given":"M."},{"family":"Dah","given":"C."},{"family":"Compaoré","given":"G."},{"family":"Boudo","given":"V."},{"family":"Lebas","given":"E."},{"family":"Brogdon","given":"J."},{"family":"Nyatigo","given":"F."},{"family":"Arnold","given":"B.F."},{"family":"Lietman","given":"T.M."},{"family":"Oldenburg","given":"C.E."}],"issued":{"date-parts":[["2021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lang w:val="en-GB"/>
              </w:rPr>
              <w:t>(Sié et al., 2021)</w:t>
            </w:r>
            <w:r w:rsidRPr="000365ED">
              <w:rPr>
                <w:rFonts w:ascii="Times New Roman" w:hAnsi="Times New Roman" w:cs="Times New Roman"/>
              </w:rPr>
              <w:fldChar w:fldCharType="end"/>
            </w:r>
          </w:p>
        </w:tc>
        <w:tc>
          <w:tcPr>
            <w:tcW w:w="2736" w:type="dxa"/>
          </w:tcPr>
          <w:p w14:paraId="3D82C9F0" w14:textId="11B0A3DB" w:rsidR="00944D91" w:rsidRPr="000365ED" w:rsidRDefault="004B0220" w:rsidP="00397401">
            <w:pPr>
              <w:rPr>
                <w:rFonts w:ascii="Times New Roman" w:hAnsi="Times New Roman" w:cs="Times New Roman"/>
              </w:rPr>
            </w:pPr>
            <w:r w:rsidRPr="000365ED">
              <w:rPr>
                <w:rFonts w:ascii="Times New Roman" w:hAnsi="Times New Roman" w:cs="Times New Roman"/>
              </w:rPr>
              <w:t>Indication for Antibiotic Prescription among Children Attending Primary Healthcare Services in Rural Burkina Faso</w:t>
            </w:r>
          </w:p>
        </w:tc>
        <w:tc>
          <w:tcPr>
            <w:tcW w:w="2329" w:type="dxa"/>
          </w:tcPr>
          <w:p w14:paraId="5D89C9F6" w14:textId="56560E3C" w:rsidR="00944D91" w:rsidRPr="000365ED" w:rsidRDefault="004B0220" w:rsidP="00397401">
            <w:pPr>
              <w:rPr>
                <w:rFonts w:ascii="Times New Roman" w:hAnsi="Times New Roman" w:cs="Times New Roman"/>
              </w:rPr>
            </w:pPr>
            <w:proofErr w:type="spellStart"/>
            <w:r w:rsidRPr="000365ED">
              <w:rPr>
                <w:rFonts w:ascii="Times New Roman" w:hAnsi="Times New Roman" w:cs="Times New Roman"/>
              </w:rPr>
              <w:t>Its</w:t>
            </w:r>
            <w:proofErr w:type="spellEnd"/>
            <w:r w:rsidRPr="000365ED">
              <w:rPr>
                <w:rFonts w:ascii="Times New Roman" w:hAnsi="Times New Roman" w:cs="Times New Roman"/>
              </w:rPr>
              <w:t xml:space="preserve"> a report</w:t>
            </w:r>
          </w:p>
        </w:tc>
      </w:tr>
      <w:tr w:rsidR="00930A9A" w:rsidRPr="000365ED" w14:paraId="35186178" w14:textId="77777777" w:rsidTr="00944D91">
        <w:tc>
          <w:tcPr>
            <w:tcW w:w="1698" w:type="dxa"/>
          </w:tcPr>
          <w:p w14:paraId="32956DC9" w14:textId="2278CC6B" w:rsidR="00930A9A" w:rsidRPr="000365ED" w:rsidRDefault="00431F1B" w:rsidP="00397401">
            <w:pPr>
              <w:rPr>
                <w:rFonts w:ascii="Times New Roman" w:hAnsi="Times New Roman" w:cs="Times New Roman"/>
              </w:rPr>
            </w:pPr>
            <w:r w:rsidRPr="000365ED">
              <w:rPr>
                <w:rFonts w:ascii="Times New Roman" w:hAnsi="Times New Roman" w:cs="Times New Roman"/>
              </w:rPr>
              <w:t>72</w:t>
            </w:r>
          </w:p>
        </w:tc>
        <w:tc>
          <w:tcPr>
            <w:tcW w:w="2253" w:type="dxa"/>
          </w:tcPr>
          <w:p w14:paraId="29A19681" w14:textId="1B920891" w:rsidR="00930A9A" w:rsidRPr="000365ED" w:rsidRDefault="004B0220"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{"citationID":"KL6t9Gqk","properties":{"formattedCitation":"(Umar et al., 2018)","plainCitation":"(Umar et al., 2018)","noteIndex":0},"citationItems":[{"id":8434,"uris":["http://zotero.org/users/11836539/items/ZYUU7R6G"],"itemData":{"id":8434,"type":"article-journal","abstract":"Background: Assessment of patterns of drug to detect performance problems and compliance with standards facilitates objective comparisons and impact evaluation. Children are at higher risk of consequences of irrational prescribing and antibiotic misuse. Objective: The objective of the study was to evaluate the prescribing pattern and utilization of antibiotics for children using standard prescribing indicators and indices of rational drug prescribing. Materials and Methods: This was a retrospective study of prescriptions for pediatric inpatients at a teaching hospital in Northern Nigeria. Information was obtained from eligible prescriptions received over 24-month period using a modified WHO prescribing indicator form. The WHO prescribing indicators and the Index of Rational Drug Prescribing (IRDP) were used to evaluate prescriptions. Data were analyzed and presented as proportions, means, tables, and charts, comparing with WHO standards and with findings of similar studies. Results: There were 3908 eligible prescription orders, with a mean patient age of 3.1 (±2.7) years. With an average of 2.1 drugs per prescription, 66.8% were written with generic names, whereas a single antibiotic was included among 63% of prescriptions with antibiotics. Antibiotics and injections were contained in 49.5% and 67.7% of prescriptions, respectively. Medications were available in the Essential Medicines List in 95.5% of cases. The IRDP obtained is 2.99, against a standard of 5. Aminoglycosides, cephalosporins, and penicillins were the most common choices, whereas ampicillin/cloxacillin was the most common combination. Conclusion: Drug prescribing and antibiotic use were generally inappropriate compared with ideal standards. Continuous training/retraining on rational drug use, periodic monitoring, and use of treatment protocols in tertiary hospitals are recommended. © 2018 Annals of African Medicine | Published by Wolters Kluwer - Medknow.","archive":"Scopus","container-title":"Annals of African Medicine","DOI":"10.4103/aam.aam_44_17","ISSN":"1596-3519","issue":"1","language":"English","page":"26-32","source":"Scopus","title":"Prescribing pattern and antibiotic use for hospitalized children in a Northern Nigerian Teaching Hospital","volume":"17","author":[{"family":"Umar","given":"L.W."},{"family":"Isah","given":"A."},{"family":"Musa","given":"S."},{"family":"Umar","given":"B."}],"issued":{"date-parts":[["2018"]]}}}],"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(Umar et al., 2018)</w:t>
            </w:r>
            <w:r w:rsidRPr="000365ED">
              <w:rPr>
                <w:rFonts w:ascii="Times New Roman" w:hAnsi="Times New Roman" w:cs="Times New Roman"/>
              </w:rPr>
              <w:fldChar w:fldCharType="end"/>
            </w:r>
          </w:p>
        </w:tc>
        <w:tc>
          <w:tcPr>
            <w:tcW w:w="2736" w:type="dxa"/>
          </w:tcPr>
          <w:p w14:paraId="3717AE94" w14:textId="5DCAA18F" w:rsidR="00930A9A" w:rsidRPr="000365ED" w:rsidRDefault="004B0220" w:rsidP="00397401">
            <w:pPr>
              <w:rPr>
                <w:rFonts w:ascii="Times New Roman" w:hAnsi="Times New Roman" w:cs="Times New Roman"/>
              </w:rPr>
            </w:pPr>
            <w:r w:rsidRPr="000365ED">
              <w:rPr>
                <w:rFonts w:ascii="Times New Roman" w:hAnsi="Times New Roman" w:cs="Times New Roman"/>
              </w:rPr>
              <w:t>Prescribing pattern and antibiotic use for hospitalized children in a Northern Nigerian Teaching Hospital</w:t>
            </w:r>
          </w:p>
        </w:tc>
        <w:tc>
          <w:tcPr>
            <w:tcW w:w="2329" w:type="dxa"/>
          </w:tcPr>
          <w:p w14:paraId="229123D5" w14:textId="7502B3BC" w:rsidR="00930A9A" w:rsidRPr="000365ED" w:rsidRDefault="004B0220" w:rsidP="00397401">
            <w:pPr>
              <w:rPr>
                <w:rFonts w:ascii="Times New Roman" w:hAnsi="Times New Roman" w:cs="Times New Roman"/>
              </w:rPr>
            </w:pPr>
            <w:r w:rsidRPr="000365ED">
              <w:rPr>
                <w:rFonts w:ascii="Times New Roman" w:hAnsi="Times New Roman" w:cs="Times New Roman"/>
              </w:rPr>
              <w:t>Not in line with our inclusion criteria</w:t>
            </w:r>
          </w:p>
        </w:tc>
      </w:tr>
      <w:tr w:rsidR="00930A9A" w:rsidRPr="000365ED" w14:paraId="56380420" w14:textId="77777777" w:rsidTr="00944D91">
        <w:tc>
          <w:tcPr>
            <w:tcW w:w="1698" w:type="dxa"/>
          </w:tcPr>
          <w:p w14:paraId="11C4DC25" w14:textId="2FBDB3C7" w:rsidR="00930A9A" w:rsidRPr="000365ED" w:rsidRDefault="00431F1B" w:rsidP="00397401">
            <w:pPr>
              <w:rPr>
                <w:rFonts w:ascii="Times New Roman" w:hAnsi="Times New Roman" w:cs="Times New Roman"/>
              </w:rPr>
            </w:pPr>
            <w:r w:rsidRPr="000365ED">
              <w:rPr>
                <w:rFonts w:ascii="Times New Roman" w:hAnsi="Times New Roman" w:cs="Times New Roman"/>
              </w:rPr>
              <w:t>73</w:t>
            </w:r>
          </w:p>
        </w:tc>
        <w:tc>
          <w:tcPr>
            <w:tcW w:w="2253" w:type="dxa"/>
          </w:tcPr>
          <w:p w14:paraId="483E2E97" w14:textId="5BD0ABD7" w:rsidR="00930A9A" w:rsidRPr="000365ED" w:rsidRDefault="004B0220"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{"citationID":"1Xrg6ysg","properties":{"formattedCitation":"(Valia et al., 2022)","plainCitation":"(Valia et al., 2022)","noteIndex":0},"citationItems":[{"id":8228,"uris":["http://zotero.org/users/11836539/items/J2JPKCTX"],"itemData":{"id":8228,"type":"article-journal","abstract":"Background: In low- and middle-income countries, the prevalence of antimicrobial resistance (AMR) is increasing. To control AMR, WHO recommends monitoring antibiotic use, in particular Watch antibiotics. These are critically important antibiotics, with restricted use because at risk of becoming ineffective due to increasing AMR. We investigated pre-hospital antibiotic use in rural Burkina Faso. Methods: During 2016–2017, we collected data from patients aged &gt; 3 months presenting with severe acute fever to the rural hospital of Nanoro Health District, Burkina Faso, including antibiotic use in the two weeks prior to consultation or hospitalization. We analysed reported antibiotic use by applying the WHO Access, Watch, Reserve classification. Results: Of 920 febrile participants (63.0% ≤ 14 years), pre-hospital antibiotic use was reported by 363 (39.5%). Among these 363, microbiological diagnoses were available for 275 (75.8%) patients, of whom 162 (58.9%) were non-bacterial infections. Use of more than one antibiotic was reported by 58/363 (16.0%) participants. Of 491 self-referred patients who did not previously visit a primary health care center, 131 (26.7%) reported antibiotic use. Of 424 antibiotics reported, 265 (62.5%) were Access and 159 (37.5%) Watch antibiotics. Watch antibiotic use was more frequent among patients &gt; 14 year olds (51.1%) compared to those 0–14 year old (30.7%, p &lt; 0.001) and among referrals from the primary health care centers (42.2%) compared to self-referred patients (28.1%, p = 0.004). Most frequently reported Watch antibiotics were ceftriaxone (114, 71.7%) and ciprofloxacin (32, 20.1%). Conclusion: The reported frequent use of Watch group antibiotics among febrile patients prior to presentation to the hospital in rural Burkina Faso highlights the need to develop targeted interventions to improve antibiotic use in community settings as part of strengthening antibiotic stewardship in low- and middle-income countries. This should include facilitating referral, access to qualified prescribers and diagnostic tools in rural primary health care centers. Trial registration ClinicalTrials.gov identifier: NCT02669823. Registration date was February 1, 2016. © 2022, The Author(s).","archive":"Scopus","container-title":"Antimicrobial Resistance and Infection Control","DOI":"10.1186/s13756-022-01098-8","ISSN":"2047-2994","issue":"1","language":"English","source":"Scopus","title":"Use of WATCH antibiotics prior to presentation to the hospital in rural Burkina Faso","volume":"11","author":[{"family":"Valia","given":"D."},{"family":"Ingelbeen","given":"B."},{"family":"Kaboré","given":"B."},{"family":"Karama","given":"I."},{"family":"Peeters","given":"M."},{"family":"Lompo","given":"P."},{"family":"Vlieghe","given":"E."},{"family":"Post","given":"A."},{"family":"Cox","given":"J."},{"family":"Mast","given":"Q.","non-dropping-particle":"de"},{"family":"Robert","given":"A."},{"family":"Sande","given":"M.A.B.","non-dropping-particle":"van der"},{"family":"Villalobos","given":"H.R."},{"family":"Ven","given":"A.","non-dropping-particle":"van der"},{"family":"Tinto","given":"H."},{"family":"Jacobs","given":"J."}],"issued":{"date-parts":[["2022"]]}}}],"schema":"https://github.com/citation-style-language/schema/raw/master/csl-citation.json"}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(Valia et al., 2022)</w:t>
            </w:r>
            <w:r w:rsidRPr="000365ED">
              <w:rPr>
                <w:rFonts w:ascii="Times New Roman" w:hAnsi="Times New Roman" w:cs="Times New Roman"/>
              </w:rPr>
              <w:fldChar w:fldCharType="end"/>
            </w:r>
          </w:p>
        </w:tc>
        <w:tc>
          <w:tcPr>
            <w:tcW w:w="2736" w:type="dxa"/>
          </w:tcPr>
          <w:p w14:paraId="148E24B5" w14:textId="237E46F0" w:rsidR="00930A9A" w:rsidRPr="000365ED" w:rsidRDefault="004B0220" w:rsidP="00397401">
            <w:pPr>
              <w:rPr>
                <w:rFonts w:ascii="Times New Roman" w:hAnsi="Times New Roman" w:cs="Times New Roman"/>
              </w:rPr>
            </w:pPr>
            <w:r w:rsidRPr="000365ED">
              <w:rPr>
                <w:rFonts w:ascii="Times New Roman" w:hAnsi="Times New Roman" w:cs="Times New Roman"/>
              </w:rPr>
              <w:t>Use of WATCH antibiotics prior to presentation to the hospital in rural Burkina Faso</w:t>
            </w:r>
          </w:p>
        </w:tc>
        <w:tc>
          <w:tcPr>
            <w:tcW w:w="2329" w:type="dxa"/>
          </w:tcPr>
          <w:p w14:paraId="2C230308" w14:textId="5DE74CAE" w:rsidR="00930A9A" w:rsidRPr="000365ED" w:rsidRDefault="004B0220" w:rsidP="00397401">
            <w:pPr>
              <w:rPr>
                <w:rFonts w:ascii="Times New Roman" w:hAnsi="Times New Roman" w:cs="Times New Roman"/>
              </w:rPr>
            </w:pPr>
            <w:r w:rsidRPr="000365ED">
              <w:rPr>
                <w:rFonts w:ascii="Times New Roman" w:hAnsi="Times New Roman" w:cs="Times New Roman"/>
              </w:rPr>
              <w:t>Not in DDD</w:t>
            </w:r>
          </w:p>
        </w:tc>
      </w:tr>
      <w:tr w:rsidR="00930A9A" w:rsidRPr="000365ED" w14:paraId="5BD5064F" w14:textId="77777777" w:rsidTr="00944D91">
        <w:tc>
          <w:tcPr>
            <w:tcW w:w="1698" w:type="dxa"/>
          </w:tcPr>
          <w:p w14:paraId="3E031EA2" w14:textId="60E322AF" w:rsidR="00930A9A" w:rsidRPr="000365ED" w:rsidRDefault="00431F1B" w:rsidP="00397401">
            <w:pPr>
              <w:rPr>
                <w:rFonts w:ascii="Times New Roman" w:hAnsi="Times New Roman" w:cs="Times New Roman"/>
              </w:rPr>
            </w:pPr>
            <w:r w:rsidRPr="000365ED">
              <w:rPr>
                <w:rFonts w:ascii="Times New Roman" w:hAnsi="Times New Roman" w:cs="Times New Roman"/>
              </w:rPr>
              <w:t>74</w:t>
            </w:r>
          </w:p>
        </w:tc>
        <w:tc>
          <w:tcPr>
            <w:tcW w:w="2253" w:type="dxa"/>
          </w:tcPr>
          <w:p w14:paraId="18BB12FB" w14:textId="54C3974C" w:rsidR="00930A9A" w:rsidRPr="000365ED" w:rsidRDefault="003D0B37"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{"citationID":"bXt3jeQ2","properties":{"formattedCitation":"(Valia et al., 2023)","plainCitation":"(Valia et al., 2023)","noteIndex":0},"citationItems":[{"id":8197,"uris":["http://zotero.org/users/11836539/items/CFNDS4BT"],"itemData":{"id":8197,"type":"article-journal","abstract":"Objective: Optimising antibiotic use is important to limit increasing antibiotic resistance. In rural Burkina Faso, over-the-counter dispensing of antibiotics in community pharmacies and non-licensed medicine retail outlets facilitates self-medication. We investigated its extent, reasons and dispensing patterns. Methods: In an exploratory mixed-method design conducted between October 2020 and December 2021, this study first explored illness perceptions, the range of healthcare providers in communities, antibiotics knowledge and reasons for seeking healthcare outside healthcare facilities. Second, frequencies of illness and healthcare utilisation in the last 3 months were quantitatively measured. Results: Participants distinguished between natural and magico-religious illnesses, according to origins. For illnesses considered to be ‘natural’, healthcare was mainly sought at healthcare facilities, private pharmacies and informal drug outlets. For illnesses considered as magico-religious, traditional healers were mainly visited. Antibiotics were perceived in the community as medicines similar to painkillers. Healthcare-seeking outside healthcare facilities was reported by 660/1973 (33.5%) participants reporting symptoms, including 315 (47.7%) to informal vendors. Healthcare seeking outside facilities was less common for 0–4-year-olds (58/534, 10.9% vs. 379/850, 44.1% for ≥5-year-olds) and decreased with improving socio-economic status (108/237, 45.6% in the lowest quintile; 96/418, 23.0% in the highest). Reported reasons included financial limitation, and also proximity to informal drug vendors, long waiting times at healthcare facilities, and health professionals' non-empathetic attitudes towards their patients. Conclusion: This study highlights the need to facilitate and promote access to healthcare facilities through universal health insurance and patient-centred care including reducing patients' waiting time. Furthermore, community-level antibiotic stewardship programmes should include community pharmacies and informal vendors. © 2023 The Authors Tropical Medicine &amp; International Health Published by John Wiley &amp; Sons Ltd.","archive":"Scopus","container-title":"Tropical Medicine and International Health","DOI":"10.1111/tmi.13868","ISSN":"1360-2276","issue":"5","language":"English","page":"391-400","source":"Scopus","title":"Healthcare seeking outside healthcare facilities and antibiotic dispensing patterns in rural Burkina Faso: A mixed methods study","title-short":"Healthcare seeking outside healthcare facilities and antibiotic dispensing patterns in rural Burkina Faso","volume":"28","author":[{"family":"Valia","given":"D."},{"family":"Kouanda","given":"J.S."},{"family":"Ingelbeen","given":"B."},{"family":"Derra","given":"K."},{"family":"Kaboré","given":"B."},{"family":"Kiemdé","given":"F."},{"family":"Rouamba","given":"T."},{"family":"Rouamba","given":"E."},{"family":"Hien","given":"F.S."},{"family":"Campbell","given":"L."},{"family":"Meudec","given":"M."},{"family":"Robert","given":"A."},{"family":"Tinto","given":"H."},{"family":"Sande","given":"M.A.B.","non-dropping-particle":"van der"},{"family":"Villalobos","given":"H.R."}],"issued":{"date-parts":[["2023"]]}}}],"schema":"https://github.com/citation-style-language/schema/raw/master/csl-citation.json"}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(Valia et al., 2023)</w:t>
            </w:r>
            <w:r w:rsidRPr="000365ED">
              <w:rPr>
                <w:rFonts w:ascii="Times New Roman" w:hAnsi="Times New Roman" w:cs="Times New Roman"/>
              </w:rPr>
              <w:fldChar w:fldCharType="end"/>
            </w:r>
          </w:p>
        </w:tc>
        <w:tc>
          <w:tcPr>
            <w:tcW w:w="2736" w:type="dxa"/>
          </w:tcPr>
          <w:p w14:paraId="5BD3F0C3" w14:textId="4311F3C9" w:rsidR="00930A9A" w:rsidRPr="000365ED" w:rsidRDefault="003D0B37" w:rsidP="00397401">
            <w:pPr>
              <w:rPr>
                <w:rFonts w:ascii="Times New Roman" w:hAnsi="Times New Roman" w:cs="Times New Roman"/>
              </w:rPr>
            </w:pPr>
            <w:r w:rsidRPr="000365ED">
              <w:rPr>
                <w:rFonts w:ascii="Times New Roman" w:hAnsi="Times New Roman" w:cs="Times New Roman"/>
              </w:rPr>
              <w:t xml:space="preserve">Healthcare seeking outside healthcare facilities and antibiotic dispensing patterns in </w:t>
            </w:r>
            <w:r w:rsidRPr="000365ED">
              <w:rPr>
                <w:rFonts w:ascii="Times New Roman" w:hAnsi="Times New Roman" w:cs="Times New Roman"/>
              </w:rPr>
              <w:lastRenderedPageBreak/>
              <w:t>rural Burkina Faso: A mixed methods study</w:t>
            </w:r>
          </w:p>
        </w:tc>
        <w:tc>
          <w:tcPr>
            <w:tcW w:w="2329" w:type="dxa"/>
          </w:tcPr>
          <w:p w14:paraId="6CC850EA" w14:textId="7FC5A3D2" w:rsidR="00930A9A" w:rsidRPr="000365ED" w:rsidRDefault="003D0B37" w:rsidP="00397401">
            <w:pPr>
              <w:rPr>
                <w:rFonts w:ascii="Times New Roman" w:hAnsi="Times New Roman" w:cs="Times New Roman"/>
              </w:rPr>
            </w:pPr>
            <w:r w:rsidRPr="000365ED">
              <w:rPr>
                <w:rFonts w:ascii="Times New Roman" w:hAnsi="Times New Roman" w:cs="Times New Roman"/>
              </w:rPr>
              <w:lastRenderedPageBreak/>
              <w:t>Not in line with our inclusion criteria</w:t>
            </w:r>
          </w:p>
        </w:tc>
      </w:tr>
      <w:tr w:rsidR="00930A9A" w:rsidRPr="000365ED" w14:paraId="275E6888" w14:textId="77777777" w:rsidTr="00944D91">
        <w:tc>
          <w:tcPr>
            <w:tcW w:w="1698" w:type="dxa"/>
          </w:tcPr>
          <w:p w14:paraId="165FF4B8" w14:textId="66EEFD66" w:rsidR="00930A9A" w:rsidRPr="000365ED" w:rsidRDefault="00431F1B" w:rsidP="00397401">
            <w:pPr>
              <w:rPr>
                <w:rFonts w:ascii="Times New Roman" w:hAnsi="Times New Roman" w:cs="Times New Roman"/>
              </w:rPr>
            </w:pPr>
            <w:r w:rsidRPr="000365ED">
              <w:rPr>
                <w:rFonts w:ascii="Times New Roman" w:hAnsi="Times New Roman" w:cs="Times New Roman"/>
              </w:rPr>
              <w:t>75</w:t>
            </w:r>
          </w:p>
        </w:tc>
        <w:tc>
          <w:tcPr>
            <w:tcW w:w="2253" w:type="dxa"/>
          </w:tcPr>
          <w:p w14:paraId="7A3BFF85" w14:textId="602C2CBE" w:rsidR="00930A9A" w:rsidRPr="000365ED" w:rsidRDefault="003D0B37"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{"citationID":"0LFYcLxp","properties":{"formattedCitation":"(Vialle-Valentin et al., 2012)","plainCitation":"(Vialle-Valentin et al., 2012)","noteIndex":0},"citationItems":[{"id":8078,"uris":["http://zotero.org/users/11836539/items/KNI54Q4M"],"itemData":{"id":8078,"type":"article-journal","abstract":"Objectives To investigate antibiotic use in five national household surveys conducted with the WHO methodology to identify key determinants of antibiotic use in the community. Methods Data from The Gambia, Ghana, Kenya, Nigeria and Uganda surveys were combined. We used logistic regression models that accounted for the clustered survey design to identify the determinants of care seeking outside the home and antibiotic use for 2914 cases of recent acute illness. Results Overall, 95% of individuals with acute illness took medicines, 90% sought care outside their homes and 36% took antibiotics. In multivariate analyses, illness severity was a strong predictor of seeking care outside the home. Among those who sought outside care, the strongest predictor of antibiotic use was the presence of upper respiratory symptoms (OR: 3.02, CI: 2.36–3.86, P &lt; 0.001), followed by gastrointestinal symptoms or difficulty breathing, and antibiotics use was less likely if they had fever. The odds of receiving antibiotics were higher when visiting a public hospital or more than one healthcare facility. Conclusions The nature and severity of symptoms and patterns of care seeking had the greatest influence on decisions to take antibiotics. Antibiotics were widely available and inappropriately used in all settings. Policies to regulate antibiotics distribution as well as interventions to educate prescribers, dispensers and consumers are needed to improve antibiotic use.","container-title":"Tropical Medicine &amp; International Health","DOI":"10.1111/j.1365-3156.2011.02895.x","ISSN":"1365-3156","issue":"2","language":"en","license":"© 2011 Blackwell Publishing Ltd","note":"_eprint: https://onlinelibrary.wiley.com/doi/pdf/10.1111/j.1365-3156.2011.02895.x","page":"211-222","source":"Wiley Online Library","title":"Predictors of antibiotic use in African communities: evidence from medicines household surveys in five countries","title-short":"Predictors of antibiotic use in African communities","volume":"17","author":[{"family":"Vialle-Valentin","given":"C. E."},{"family":"LeCates","given":"R. F."},{"family":"Zhang","given":"F."},{"family":"Desta","given":"A. T."},{"family":"Ross-Degnan","given":"D."}],"issued":{"date-parts":[["2012"]]}}}],"schema":"https://github.com/citation-style-language/schema/raw/master/csl-citation.json"}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(Vialle-Valentin et al., 2012)</w:t>
            </w:r>
            <w:r w:rsidRPr="000365ED">
              <w:rPr>
                <w:rFonts w:ascii="Times New Roman" w:hAnsi="Times New Roman" w:cs="Times New Roman"/>
              </w:rPr>
              <w:fldChar w:fldCharType="end"/>
            </w:r>
          </w:p>
        </w:tc>
        <w:tc>
          <w:tcPr>
            <w:tcW w:w="2736" w:type="dxa"/>
          </w:tcPr>
          <w:p w14:paraId="6AC698DC" w14:textId="6720BF8A" w:rsidR="00930A9A" w:rsidRPr="000365ED" w:rsidRDefault="003D0B37" w:rsidP="00397401">
            <w:pPr>
              <w:rPr>
                <w:rFonts w:ascii="Times New Roman" w:hAnsi="Times New Roman" w:cs="Times New Roman"/>
              </w:rPr>
            </w:pPr>
            <w:r w:rsidRPr="000365ED">
              <w:rPr>
                <w:rFonts w:ascii="Times New Roman" w:hAnsi="Times New Roman" w:cs="Times New Roman"/>
              </w:rPr>
              <w:t>Predictors of antibiotic use in African communities: evidence from medicines household surveys in five countries</w:t>
            </w:r>
          </w:p>
        </w:tc>
        <w:tc>
          <w:tcPr>
            <w:tcW w:w="2329" w:type="dxa"/>
          </w:tcPr>
          <w:p w14:paraId="5FE32063" w14:textId="0C806E59" w:rsidR="00930A9A" w:rsidRPr="000365ED" w:rsidRDefault="003D0B37" w:rsidP="00397401">
            <w:pPr>
              <w:rPr>
                <w:rFonts w:ascii="Times New Roman" w:hAnsi="Times New Roman" w:cs="Times New Roman"/>
              </w:rPr>
            </w:pPr>
            <w:r w:rsidRPr="000365ED">
              <w:rPr>
                <w:rFonts w:ascii="Times New Roman" w:hAnsi="Times New Roman" w:cs="Times New Roman"/>
              </w:rPr>
              <w:t>Wrong geographical location</w:t>
            </w:r>
          </w:p>
        </w:tc>
      </w:tr>
      <w:tr w:rsidR="00930A9A" w:rsidRPr="000365ED" w14:paraId="6063C7E1" w14:textId="77777777" w:rsidTr="00944D91">
        <w:tc>
          <w:tcPr>
            <w:tcW w:w="1698" w:type="dxa"/>
          </w:tcPr>
          <w:p w14:paraId="6BDCF8D4" w14:textId="2BF46769" w:rsidR="00930A9A" w:rsidRPr="000365ED" w:rsidRDefault="00431F1B" w:rsidP="00397401">
            <w:pPr>
              <w:rPr>
                <w:rFonts w:ascii="Times New Roman" w:hAnsi="Times New Roman" w:cs="Times New Roman"/>
              </w:rPr>
            </w:pPr>
            <w:r w:rsidRPr="000365ED">
              <w:rPr>
                <w:rFonts w:ascii="Times New Roman" w:hAnsi="Times New Roman" w:cs="Times New Roman"/>
              </w:rPr>
              <w:t>76</w:t>
            </w:r>
          </w:p>
        </w:tc>
        <w:tc>
          <w:tcPr>
            <w:tcW w:w="2253" w:type="dxa"/>
          </w:tcPr>
          <w:p w14:paraId="1742CB8A" w14:textId="3C8E8050" w:rsidR="00930A9A" w:rsidRPr="000365ED" w:rsidRDefault="003D0B37"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{"citationID":"3NkvMyjA","properties":{"formattedCitation":"(Wieters et al., 2024)","plainCitation":"(Wieters et al., 2024)","noteIndex":0},"citationItems":[{"id":8074,"uris":["http://zotero.org/users/11836539/items/UDN7CMIJ"],"itemData":{"id":8074,"type":"article-journal","abstract":"Exposure to antibiotics has been shown to be one of the drivers of antimicrobial resistance (AMR) and is critical to address when planning and implementing strategies for combatting AMR. However, data on antibiotic use in sub-Saharan Africa are still limited. Using hospital-based surveillance data from the African Network for Improved Diagnostics, Epidemiology and Management of Common Infectious Agents (ANDEMIA), we assessed self-reported antibiotic use in multiple sub-Saharan African countries.","container-title":"Antimicrobial Resistance &amp; Infection Control","DOI":"10.1186/s13756-024-01365-w","ISSN":"2047-2994","issue":"1","journalAbbreviation":"Antimicrob Resist Infect Control","language":"en","page":"9","source":"Springer Link","title":"Reported antibiotic use among patients in the multicenter ANDEMIA infectious diseases surveillance study in sub-saharan Africa","volume":"13","author":[{"family":"Wieters","given":"Imke"},{"family":"Johnstone","given":"Siobhan"},{"family":"Makiala-Mandanda","given":"Sheila"},{"family":"Poda","given":"Armel"},{"family":"Akoua-Koffi","given":"Chantal"},{"family":"Abu Sin","given":"Muna"},{"family":"Eckmanns","given":"Tim"},{"family":"Galeone","given":"Valentina"},{"family":"Kaboré","given":"Firmin Nongodo"},{"family":"Kahwata","given":"François"},{"family":"Leendertz","given":"Fabian H."},{"family":"Mputu","given":"Benoit"},{"family":"Ouedraogo","given":"Abdoul-Salam"},{"family":"Page","given":"Nicola"},{"family":"Schink","given":"Susanne B."},{"family":"Touré","given":"Fidèle Sounan"},{"family":"Traoré","given":"Adjaratou"},{"family":"Venter","given":"Marietjie"},{"family":"Vietor","given":"Ann Christin"},{"family":"Schubert","given":"Grit"},{"family":"Tomczyk","given":"Sara"}],"issued":{"date-parts":[["2024",1,25]]}}}],"schema":"https://github.com/citation-style-language/schema/raw/master/csl-citation.json"}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(Wieters et al., 2024)</w:t>
            </w:r>
            <w:r w:rsidRPr="000365ED">
              <w:rPr>
                <w:rFonts w:ascii="Times New Roman" w:hAnsi="Times New Roman" w:cs="Times New Roman"/>
              </w:rPr>
              <w:fldChar w:fldCharType="end"/>
            </w:r>
          </w:p>
        </w:tc>
        <w:tc>
          <w:tcPr>
            <w:tcW w:w="2736" w:type="dxa"/>
          </w:tcPr>
          <w:p w14:paraId="78871D9C" w14:textId="60B9CC3F" w:rsidR="00930A9A" w:rsidRPr="000365ED" w:rsidRDefault="003D0B37" w:rsidP="00397401">
            <w:pPr>
              <w:rPr>
                <w:rFonts w:ascii="Times New Roman" w:hAnsi="Times New Roman" w:cs="Times New Roman"/>
              </w:rPr>
            </w:pPr>
            <w:r w:rsidRPr="000365ED">
              <w:rPr>
                <w:rFonts w:ascii="Times New Roman" w:hAnsi="Times New Roman" w:cs="Times New Roman"/>
              </w:rPr>
              <w:t xml:space="preserve">Reported antibiotic use among patients in the multicenter ANDEMIA infectious diseases surveillance study in </w:t>
            </w:r>
            <w:proofErr w:type="spellStart"/>
            <w:r w:rsidRPr="000365ED">
              <w:rPr>
                <w:rFonts w:ascii="Times New Roman" w:hAnsi="Times New Roman" w:cs="Times New Roman"/>
              </w:rPr>
              <w:t>sub-saharan</w:t>
            </w:r>
            <w:proofErr w:type="spellEnd"/>
            <w:r w:rsidRPr="000365ED">
              <w:rPr>
                <w:rFonts w:ascii="Times New Roman" w:hAnsi="Times New Roman" w:cs="Times New Roman"/>
              </w:rPr>
              <w:t xml:space="preserve"> Africa</w:t>
            </w:r>
          </w:p>
        </w:tc>
        <w:tc>
          <w:tcPr>
            <w:tcW w:w="2329" w:type="dxa"/>
          </w:tcPr>
          <w:p w14:paraId="7287D784" w14:textId="25FD5041" w:rsidR="00930A9A" w:rsidRPr="000365ED" w:rsidRDefault="003D0B37" w:rsidP="00397401">
            <w:pPr>
              <w:rPr>
                <w:rFonts w:ascii="Times New Roman" w:hAnsi="Times New Roman" w:cs="Times New Roman"/>
              </w:rPr>
            </w:pPr>
            <w:r w:rsidRPr="000365ED">
              <w:rPr>
                <w:rFonts w:ascii="Times New Roman" w:hAnsi="Times New Roman" w:cs="Times New Roman"/>
              </w:rPr>
              <w:t>Antibiotic use not reported in DDD</w:t>
            </w:r>
          </w:p>
        </w:tc>
      </w:tr>
      <w:tr w:rsidR="00930A9A" w:rsidRPr="000365ED" w14:paraId="739D2A3D" w14:textId="77777777" w:rsidTr="00944D91">
        <w:tc>
          <w:tcPr>
            <w:tcW w:w="1698" w:type="dxa"/>
          </w:tcPr>
          <w:p w14:paraId="6EF7F65A" w14:textId="7B66BA76" w:rsidR="00930A9A" w:rsidRPr="000365ED" w:rsidRDefault="00431F1B" w:rsidP="00397401">
            <w:pPr>
              <w:rPr>
                <w:rFonts w:ascii="Times New Roman" w:hAnsi="Times New Roman" w:cs="Times New Roman"/>
              </w:rPr>
            </w:pPr>
            <w:r w:rsidRPr="000365ED">
              <w:rPr>
                <w:rFonts w:ascii="Times New Roman" w:hAnsi="Times New Roman" w:cs="Times New Roman"/>
              </w:rPr>
              <w:t>77</w:t>
            </w:r>
          </w:p>
        </w:tc>
        <w:tc>
          <w:tcPr>
            <w:tcW w:w="2253" w:type="dxa"/>
          </w:tcPr>
          <w:p w14:paraId="39B2BEF3" w14:textId="3923A21F" w:rsidR="00930A9A" w:rsidRPr="000365ED" w:rsidRDefault="003D0B37"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{"citationID":"ARimuL6C","properties":{"formattedCitation":"(Wood et al., 2022)","plainCitation":"(Wood et al., 2022)","noteIndex":0},"citationItems":[{"id":8281,"uris":["http://zotero.org/users/11836539/items/PGET266I"],"itemData":{"id":8281,"type":"article-journal","abstract":"Background: In Nigeria, the prescription of surgical antibiotic prophylaxis for prevention of surgical site infection tends to be driven by local policy rather than by published guidelines (e.g. WHO and Sanford). Objectives: To triangulate three datasets and understand key barriers to implementation using a behavioural science framework. Methods: Surgeons (N=94) from three teaching hospitals in Nigeria participated in an online survey and in focus group discussions about barriers to implementation. The theoretical domains framework (TDF) was used to structure question items and interview schedules. A subgroup (N=20) piloted a gamified decision support app over the course of 6months and reported barriers at the point of care. Results: Knowledge of guidelines and intention to implement them in practice was high. Key barriers to implementation were related to environmental context and resources and concern over potential consequences of implementing recommendations within the Nigerian context applicable for similar settings in low-to-middle-income countries. Conclusions: The environmental context and limited resource setting of Nigerian hospitals currently presents a significant barrier to implementation of WHO and Sanford guidelines. Research and data collected from the local context must directly inform the writing of future international guidelines to increase rates of implementation. © 2022 The Author(s) 2022. Published by Oxford University Press on behalf of British Society for Antimicrobial Chemotherapy.","archive":"Scopus","container-title":"JAC-Antimicrobial Resistance","DOI":"10.1093/jacamr/dlac044","ISSN":"2632-1823","issue":"2","language":"English","source":"Scopus","title":"Exploring barriers to guideline implementation for prescription of surgical antibiotic prophylaxis in Nigeria","volume":"4","author":[{"family":"Wood","given":"C.E."},{"family":"Luedtke","given":"S."},{"family":"Musah","given":"A."},{"family":"Bammeke","given":"F."},{"family":"Mutiu","given":"B."},{"family":"Ojewola","given":"R."},{"family":"Bankole","given":"O."},{"family":"Ademuyiwa","given":"A.O."},{"family":"Ekumankama","given":"C.B."},{"family":"Ogunsola","given":"F."},{"family":"Okonji","given":"P."},{"family":"Kpokiri","given":"E.E."},{"family":"Ayibanoah","given":"T."},{"family":"Aworabhi-Oki","given":"N."},{"family":"Shallcross","given":"L."},{"family":"Molnar","given":"A."},{"family":"Wiseman","given":"S."},{"family":"Hayward","given":"A."},{"family":"Soriano","given":"D."},{"family":"Birjovanu","given":"G."},{"family":"Lefevre","given":"C."},{"family":"Olufemi","given":"O."},{"family":"Kostkova","given":"P."}],"issued":{"date-parts":[["2022"]]}}}],"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(Wood et al., 2022)</w:t>
            </w:r>
            <w:r w:rsidRPr="000365ED">
              <w:rPr>
                <w:rFonts w:ascii="Times New Roman" w:hAnsi="Times New Roman" w:cs="Times New Roman"/>
              </w:rPr>
              <w:fldChar w:fldCharType="end"/>
            </w:r>
          </w:p>
        </w:tc>
        <w:tc>
          <w:tcPr>
            <w:tcW w:w="2736" w:type="dxa"/>
          </w:tcPr>
          <w:p w14:paraId="19544B9E" w14:textId="34A9C6E0" w:rsidR="00930A9A" w:rsidRPr="000365ED" w:rsidRDefault="003D0B37" w:rsidP="00397401">
            <w:pPr>
              <w:rPr>
                <w:rFonts w:ascii="Times New Roman" w:hAnsi="Times New Roman" w:cs="Times New Roman"/>
              </w:rPr>
            </w:pPr>
            <w:r w:rsidRPr="000365ED">
              <w:rPr>
                <w:rFonts w:ascii="Times New Roman" w:hAnsi="Times New Roman" w:cs="Times New Roman"/>
              </w:rPr>
              <w:t>Exploring barriers to guideline implementation for prescription of surgical antibiotic prophylaxis in Nigeria</w:t>
            </w:r>
          </w:p>
        </w:tc>
        <w:tc>
          <w:tcPr>
            <w:tcW w:w="2329" w:type="dxa"/>
          </w:tcPr>
          <w:p w14:paraId="51E5AFFC" w14:textId="0519641B" w:rsidR="00930A9A" w:rsidRPr="000365ED" w:rsidRDefault="003D0B37" w:rsidP="00397401">
            <w:pPr>
              <w:rPr>
                <w:rFonts w:ascii="Times New Roman" w:hAnsi="Times New Roman" w:cs="Times New Roman"/>
              </w:rPr>
            </w:pPr>
            <w:r w:rsidRPr="000365ED">
              <w:rPr>
                <w:rFonts w:ascii="Times New Roman" w:hAnsi="Times New Roman" w:cs="Times New Roman"/>
              </w:rPr>
              <w:t>Not related to the themes under our consideration</w:t>
            </w:r>
          </w:p>
        </w:tc>
      </w:tr>
      <w:tr w:rsidR="00930A9A" w:rsidRPr="000365ED" w14:paraId="19397039" w14:textId="77777777" w:rsidTr="00944D91">
        <w:tc>
          <w:tcPr>
            <w:tcW w:w="1698" w:type="dxa"/>
          </w:tcPr>
          <w:p w14:paraId="6F6A623D" w14:textId="03BBE634" w:rsidR="00930A9A" w:rsidRPr="000365ED" w:rsidRDefault="00431F1B" w:rsidP="00397401">
            <w:pPr>
              <w:rPr>
                <w:rFonts w:ascii="Times New Roman" w:hAnsi="Times New Roman" w:cs="Times New Roman"/>
              </w:rPr>
            </w:pPr>
            <w:r w:rsidRPr="000365ED">
              <w:rPr>
                <w:rFonts w:ascii="Times New Roman" w:hAnsi="Times New Roman" w:cs="Times New Roman"/>
              </w:rPr>
              <w:t>78</w:t>
            </w:r>
          </w:p>
        </w:tc>
        <w:tc>
          <w:tcPr>
            <w:tcW w:w="2253" w:type="dxa"/>
          </w:tcPr>
          <w:p w14:paraId="5F47B691" w14:textId="10D6AC7F" w:rsidR="00930A9A" w:rsidRPr="000365ED" w:rsidRDefault="00717103"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{"citationID":"bnYwGyfB","properties":{"formattedCitation":"(Yevutsey et al., 2017)","plainCitation":"(Yevutsey et al., 2017)","noteIndex":0},"citationItems":[{"id":8440,"uris":["http://zotero.org/users/11836539/items/JW7C4JMH"],"itemData":{"id":8440,"type":"article-journal","abstract":"Background: Antibiotics have played an essential role in decreasing morbidity and mortality from infectious diseases. However, indiscriminate use and unrestricted access is contributing to the emergence of bacterial resistance. This paper reports on a situational analysis of antimicrobial use and resistance in Ghana, with focus on policy and regulation. Methods: Relevant policy documents, reports, regulations and enactments were reviewed. PubMed and Google search engines were used to extract relevant published papers. Websites of stakeholders such as Ministry of Health (MOH) and its agencies were also reviewed. An interview guide was used to elicit responses from selected officials from these sectors. Results: Laws and guidelines to control the use of antimicrobials in humans were available but not for animals. There was no National Antimicrobial Policy (NAP). A health practice regulatory law mandates Physicians, Physician Assistants, Midwives and trained Nurses to prescribe antimicrobials. However, antibiotics are widely prescribed and dispensed by unauthorised persons, suggesting weak enforcement of the laws. Antibiotics were also supplied to and from unapproved medicine outlets. The Standard Treatment Guidelines (STG), Essential Medicines List (EML) and the National Health Insurance Scheme Medicines List (NHISML) provide restrictions regarding levels of prescribing of antimicrobials. However, existing guidelines on antibiotic use are mostly not adhered to. The use of Automatic Stop Orders to avoid wastage in the hospitals is also not practiced. Data on use of antibiotics for individuals are not readily available in most facilities. Again, there are no standards or guidelines on veterinary use of antibiotics. Surveillance systems for consumption of antibiotics and resistance monitoring were not in place in most health facilities. However, there is an ongoing national action to create awareness on bacteria resistance, strengthening knowledge through research and surveillance and development of NAP in line with global action plan on antimicrobial resistance. Conclusion: Absence of national antimicrobial policy, weak regulatory environment and non-adherence to practice standards may have contributed to increased and unregulated access to antimicrobials in Ghana, a catalyst for development and spread of antimicrobial resistance. © 2017 The Author(s).","archive":"Scopus","container-title":"BMC Public Health","DOI":"10.1186/s12889-017-4910-7","ISSN":"1471-2458","issue":"1","language":"English","source":"Scopus","title":"Situational analysis of antibiotic use and resistance in Ghana: Policy and regulation","title-short":"Situational analysis of antibiotic use and resistance in Ghana","volume":"17","author":[{"family":"Yevutsey","given":"S.K."},{"family":"Buabeng","given":"K.O."},{"family":"Aikins","given":"M."},{"family":"Anto","given":"B.P."},{"family":"Biritwum","given":"R.B."},{"family":"Frimodt-Møller","given":"N."},{"family":"Gyansa-Lutterodt","given":"M."}],"issued":{"date-parts":[["2017"]]}}}],"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(Yevutsey et al., 2017)</w:t>
            </w:r>
            <w:r w:rsidRPr="000365ED">
              <w:rPr>
                <w:rFonts w:ascii="Times New Roman" w:hAnsi="Times New Roman" w:cs="Times New Roman"/>
              </w:rPr>
              <w:fldChar w:fldCharType="end"/>
            </w:r>
          </w:p>
        </w:tc>
        <w:tc>
          <w:tcPr>
            <w:tcW w:w="2736" w:type="dxa"/>
          </w:tcPr>
          <w:p w14:paraId="5D33D4FB" w14:textId="5A85104A" w:rsidR="00930A9A" w:rsidRPr="000365ED" w:rsidRDefault="003D0B37" w:rsidP="00397401">
            <w:pPr>
              <w:rPr>
                <w:rFonts w:ascii="Times New Roman" w:hAnsi="Times New Roman" w:cs="Times New Roman"/>
              </w:rPr>
            </w:pPr>
            <w:r w:rsidRPr="000365ED">
              <w:rPr>
                <w:rFonts w:ascii="Times New Roman" w:hAnsi="Times New Roman" w:cs="Times New Roman"/>
              </w:rPr>
              <w:t>Situational analysis of antibiotic use and resistance in Ghana: Policy and regulation</w:t>
            </w:r>
          </w:p>
        </w:tc>
        <w:tc>
          <w:tcPr>
            <w:tcW w:w="2329" w:type="dxa"/>
          </w:tcPr>
          <w:p w14:paraId="287E8823" w14:textId="4CE049F7" w:rsidR="00930A9A" w:rsidRPr="000365ED" w:rsidRDefault="00717103" w:rsidP="00397401">
            <w:pPr>
              <w:rPr>
                <w:rFonts w:ascii="Times New Roman" w:hAnsi="Times New Roman" w:cs="Times New Roman"/>
              </w:rPr>
            </w:pPr>
            <w:r w:rsidRPr="000365ED">
              <w:rPr>
                <w:rFonts w:ascii="Times New Roman" w:hAnsi="Times New Roman" w:cs="Times New Roman"/>
              </w:rPr>
              <w:t>Not in line with our inclusion criteria</w:t>
            </w:r>
          </w:p>
        </w:tc>
      </w:tr>
      <w:tr w:rsidR="00930A9A" w:rsidRPr="000365ED" w14:paraId="396F46DD" w14:textId="77777777" w:rsidTr="00944D91">
        <w:tc>
          <w:tcPr>
            <w:tcW w:w="1698" w:type="dxa"/>
          </w:tcPr>
          <w:p w14:paraId="4B92F573" w14:textId="3F091323" w:rsidR="00930A9A" w:rsidRPr="000365ED" w:rsidRDefault="00431F1B" w:rsidP="00397401">
            <w:pPr>
              <w:rPr>
                <w:rFonts w:ascii="Times New Roman" w:hAnsi="Times New Roman" w:cs="Times New Roman"/>
              </w:rPr>
            </w:pPr>
            <w:r w:rsidRPr="000365ED">
              <w:rPr>
                <w:rFonts w:ascii="Times New Roman" w:hAnsi="Times New Roman" w:cs="Times New Roman"/>
              </w:rPr>
              <w:t>79</w:t>
            </w:r>
          </w:p>
        </w:tc>
        <w:tc>
          <w:tcPr>
            <w:tcW w:w="2253" w:type="dxa"/>
          </w:tcPr>
          <w:p w14:paraId="5FDF2633" w14:textId="66EE3F83" w:rsidR="00930A9A" w:rsidRPr="000365ED" w:rsidRDefault="00717103"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{"citationID":"9Vol0lO1","properties":{"formattedCitation":"(Yi et al., 2022)","plainCitation":"(Yi et al., 2022)","noteIndex":0},"citationItems":[{"id":8272,"uris":["http://zotero.org/users/11836539/items/2XDCTUFR"],"itemData":{"id":8272,"type":"article-journal","abstract":"Objective Data on antimicrobial use in low-income and middle-income countries (LMICs) remain limited. In Liberia, the absence of local data impedes surveillance and may lead to suboptimal treatment, injudicious use and resistance against antimicrobials. This study aims to examine antimicrobial prescribing patterns for patients in the emergency department (ED) of a large Liberian public hospital. Secondarily, this prescribing was compared with WHO prescribing indicators. Design Retrospective observational study. Setting An adult ED of a large public hospital in Monrovia, Liberia. Participants A total of 1082 adult patients (&gt;18 years of age) were recorded in the ED, from 1 January to 30 June 2019. Main outcome measures Number, type and name of antimicrobials ordered per patient were presented as number and percentages, with comparison to known WHO prescribing indicators. Pearson χ 2 tests were used to assess patient variables and trends in medication use. Results Of the total patients, 44.0% (n=476) were female and the mean age was 40.2 years (SD=17.4). An average of 2.78 (SD=2.02) medicines were prescribed per patient encounter. At least one antimicrobial was ordered for 64.5% encounters (n=713) and two or more antimicrobials for 35.7% (n=386). All antimicrobial orders in our sample used the generic name. Ceftriaxone, metronidazole and ampicillin were the most common and accounted for 61.2% (n=743) of antimicrobial prescriptions. The majority (99.9%, n=1211) of antimicrobials prescribed were from the WHO Essential Drugs List. Conclusion This study is one of the first on ED-specific antimicrobial use in LMICs. We revealed a high rate of antimicrobial prescription, regardless of patient demographic or diagnosis. While empiric antimicrobial use is justified in certain acute clinical scenarios, the high rate from this setting warrants further investigation. The results of this study underscore the importance of ED surveillance to develop targeted antimicrobial stewardship interventions and improve patient care. © 2022 Author(s). Published by BMJ.","archive":"Scopus","container-title":"BMJ Open","DOI":"10.1136/bmjopen-2021-056709","ISSN":"2044-6055","issue":"4","language":"English","source":"Scopus","title":"Emergency department antimicrobial use in a low-resource setting: Results from a retrospective observational study at a referral hospital in Liberia","title-short":"Emergency department antimicrobial use in a low-resource setting","volume":"12","author":[{"family":"Yi","given":"S."},{"family":"Ramachandran","given":"A."},{"family":"Epps","given":"L."},{"family":"Mayah","given":"A."},{"family":"Burkholder","given":"T.W."},{"family":"Jaung","given":"M.S."},{"family":"Haider","given":"A."},{"family":"Whesseh","given":"P."},{"family":"Shakpeh","given":"J."},{"family":"Enriquez","given":"K."},{"family":"Bills","given":"C."}],"issued":{"date-parts":[["2022"]]}}}],"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(Yi et al., 2022)</w:t>
            </w:r>
            <w:r w:rsidRPr="000365ED">
              <w:rPr>
                <w:rFonts w:ascii="Times New Roman" w:hAnsi="Times New Roman" w:cs="Times New Roman"/>
              </w:rPr>
              <w:fldChar w:fldCharType="end"/>
            </w:r>
          </w:p>
        </w:tc>
        <w:tc>
          <w:tcPr>
            <w:tcW w:w="2736" w:type="dxa"/>
          </w:tcPr>
          <w:p w14:paraId="0EC9622C" w14:textId="2430DF88" w:rsidR="00930A9A" w:rsidRPr="000365ED" w:rsidRDefault="00717103" w:rsidP="00397401">
            <w:pPr>
              <w:rPr>
                <w:rFonts w:ascii="Times New Roman" w:hAnsi="Times New Roman" w:cs="Times New Roman"/>
              </w:rPr>
            </w:pPr>
            <w:r w:rsidRPr="000365ED">
              <w:rPr>
                <w:rFonts w:ascii="Times New Roman" w:hAnsi="Times New Roman" w:cs="Times New Roman"/>
              </w:rPr>
              <w:t>Emergency department antimicrobial use in a low-resource setting: Results from a retrospective observational study at a referral hospital in Liberia</w:t>
            </w:r>
          </w:p>
        </w:tc>
        <w:tc>
          <w:tcPr>
            <w:tcW w:w="2329" w:type="dxa"/>
          </w:tcPr>
          <w:p w14:paraId="5EC7FE2F" w14:textId="56FAF65D" w:rsidR="00930A9A" w:rsidRPr="000365ED" w:rsidRDefault="00717103" w:rsidP="00397401">
            <w:pPr>
              <w:rPr>
                <w:rFonts w:ascii="Times New Roman" w:hAnsi="Times New Roman" w:cs="Times New Roman"/>
              </w:rPr>
            </w:pPr>
            <w:r w:rsidRPr="000365ED">
              <w:rPr>
                <w:rFonts w:ascii="Times New Roman" w:hAnsi="Times New Roman" w:cs="Times New Roman"/>
              </w:rPr>
              <w:t>Antibiotic use not reported in DDD</w:t>
            </w:r>
          </w:p>
        </w:tc>
      </w:tr>
      <w:tr w:rsidR="00930A9A" w:rsidRPr="000365ED" w14:paraId="1B62D7AC" w14:textId="77777777" w:rsidTr="00944D91">
        <w:tc>
          <w:tcPr>
            <w:tcW w:w="1698" w:type="dxa"/>
          </w:tcPr>
          <w:p w14:paraId="7CFE5470" w14:textId="7F2C5397" w:rsidR="00930A9A" w:rsidRPr="000365ED" w:rsidRDefault="00431F1B" w:rsidP="00397401">
            <w:pPr>
              <w:rPr>
                <w:rFonts w:ascii="Times New Roman" w:hAnsi="Times New Roman" w:cs="Times New Roman"/>
              </w:rPr>
            </w:pPr>
            <w:r w:rsidRPr="000365ED">
              <w:rPr>
                <w:rFonts w:ascii="Times New Roman" w:hAnsi="Times New Roman" w:cs="Times New Roman"/>
              </w:rPr>
              <w:t>80</w:t>
            </w:r>
          </w:p>
        </w:tc>
        <w:tc>
          <w:tcPr>
            <w:tcW w:w="2253" w:type="dxa"/>
          </w:tcPr>
          <w:p w14:paraId="43FA49D1" w14:textId="0D2150FF" w:rsidR="00930A9A" w:rsidRPr="000365ED" w:rsidRDefault="00717103"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{"citationID":"90WkJMox","properties":{"formattedCitation":"(Yusuf et al., 2021)","plainCitation":"(Yusuf et al., 2021)","noteIndex":0},"citationItems":[{"id":8138,"uris":["http://zotero.org/users/11836539/items/FMDIC7DE"],"itemData":{"id":8138,"type":"article-journal","abstract":"Introduction:&amp;nbsp;the 2014 Ebola virus disease (EVD) outbreak in Nigeria has further raised the awareness of health-care workers (HCWs) and community members (MCs) on the threat posed by infectious diseases and the need for improvement on infection control practices. However, awareness of dangers of increasing incidences of antimicrobial resistance (AMR) in hospitals and communities remained low.\nMethods:&amp;nbsp;a cross-sectional survey of awareness of 195 HCWs and 265 MCs toward EVD and AMR was conducted through a structured questionnaire.\nResults:&amp;nbsp;majority of HCWs (95.4%) and MCs (82.8%) still have knowledge of EVD´s danger and give reasons like its unique way of killing and unavailability of drugs for their awareness. Only 17.2% of MCs are aware of AMR as a problem, and only 3.4% of MCs and 10.3% of HCWs agreed that AMR is more dangerous than EVD. On the contrary, 76.4% of doctors, 95.1% nurses, 67.9% laboratory scientists, 66.7% pharmacists, 77.4% students and 100% of civil servants, drivers and religious leaders believed that EVD is more horrific and spread faster. They both attributed the rapid awareness of EVD in Nigeria, despite being new at the time of the outbreak, to the seriousness with which stakeholders and the media fought EVD, the gesture AMR is yet to receive. Though both HCWs and MCs agreed that prevention, not treatment is the best option to tackle Ebola like-diseases, but surprisingly, about 37% and 65% of HCWs and MCs respectively, still believe that traditional medicines can be used to treat Ebola related illnesses.\nConclusion:&amp;nbsp;AMR awareness remains low among MCs and some HCWs when compared with EVD. It is recommended that efforts put in place during EVD outbreak by all stakeholders and the media need to be doubled to increase the knowledge of both HCWs and MCs toward AMR.","container-title":"Pan African Medical Journal","ISSN":"1937-8688","issue":"1","language":"en","license":"Copyright (c) 0","note":"number: 1","source":"www.ajol.info","title":"Cross-sectional survey of knowledge and attitudes of healthcare workers and community members toward the Ebola virus disease and antimicrobial resistance pathogens outbreaks in Nigeria","URL":"https://www.ajol.info/index.php/pamj/article/view/231226","volume":"40","author":[{"family":"Yusuf","given":"Ibrahim"},{"family":"Arzai","given":"Auwalu Halliru"},{"family":"Yusha´u","given":"Muhammad"},{"family":"Garba","given":"Lawal"},{"family":"Haruna","given":"Musa"},{"family":"Getso","given":"Muhammad Ibrahim"}],"accessed":{"date-parts":[["2024",2,28]]},"issued":{"date-parts":[["2021",10,22]]}}}],"schema":"https://github.com/citation-style-language/schema/raw/master/csl-citation.json"}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(Yusuf et al., 2021)</w:t>
            </w:r>
            <w:r w:rsidRPr="000365ED">
              <w:rPr>
                <w:rFonts w:ascii="Times New Roman" w:hAnsi="Times New Roman" w:cs="Times New Roman"/>
              </w:rPr>
              <w:fldChar w:fldCharType="end"/>
            </w:r>
          </w:p>
        </w:tc>
        <w:tc>
          <w:tcPr>
            <w:tcW w:w="2736" w:type="dxa"/>
          </w:tcPr>
          <w:p w14:paraId="73EEBDF3" w14:textId="0E1F64D2" w:rsidR="00930A9A" w:rsidRPr="000365ED" w:rsidRDefault="00717103" w:rsidP="00397401">
            <w:pPr>
              <w:rPr>
                <w:rFonts w:ascii="Times New Roman" w:hAnsi="Times New Roman" w:cs="Times New Roman"/>
              </w:rPr>
            </w:pPr>
            <w:r w:rsidRPr="000365ED">
              <w:rPr>
                <w:rFonts w:ascii="Times New Roman" w:hAnsi="Times New Roman" w:cs="Times New Roman"/>
              </w:rPr>
              <w:t>Cross-sectional survey of knowledge and attitudes of healthcare workers and community members toward the Ebola virus disease and antimicrobial resistance pathogens outbreaks in Nigeria</w:t>
            </w:r>
          </w:p>
        </w:tc>
        <w:tc>
          <w:tcPr>
            <w:tcW w:w="2329" w:type="dxa"/>
          </w:tcPr>
          <w:p w14:paraId="28FA0A1E" w14:textId="097B5C34" w:rsidR="00930A9A" w:rsidRPr="000365ED" w:rsidRDefault="003D32FA" w:rsidP="00397401">
            <w:pPr>
              <w:rPr>
                <w:rFonts w:ascii="Times New Roman" w:hAnsi="Times New Roman" w:cs="Times New Roman"/>
              </w:rPr>
            </w:pPr>
            <w:r w:rsidRPr="000365ED">
              <w:rPr>
                <w:rFonts w:ascii="Times New Roman" w:hAnsi="Times New Roman" w:cs="Times New Roman"/>
              </w:rPr>
              <w:t>Not in line with our inclusion criteria</w:t>
            </w:r>
          </w:p>
        </w:tc>
      </w:tr>
      <w:tr w:rsidR="00930A9A" w:rsidRPr="000365ED" w14:paraId="69355D29" w14:textId="77777777" w:rsidTr="00944D91">
        <w:tc>
          <w:tcPr>
            <w:tcW w:w="1698" w:type="dxa"/>
          </w:tcPr>
          <w:p w14:paraId="5B83ABF6" w14:textId="39D737E7" w:rsidR="00930A9A" w:rsidRPr="000365ED" w:rsidRDefault="00431F1B" w:rsidP="00397401">
            <w:pPr>
              <w:rPr>
                <w:rFonts w:ascii="Times New Roman" w:hAnsi="Times New Roman" w:cs="Times New Roman"/>
              </w:rPr>
            </w:pPr>
            <w:r w:rsidRPr="000365ED">
              <w:rPr>
                <w:rFonts w:ascii="Times New Roman" w:hAnsi="Times New Roman" w:cs="Times New Roman"/>
              </w:rPr>
              <w:t>81</w:t>
            </w:r>
          </w:p>
        </w:tc>
        <w:tc>
          <w:tcPr>
            <w:tcW w:w="2253" w:type="dxa"/>
          </w:tcPr>
          <w:p w14:paraId="6568D42E" w14:textId="0D8CD658" w:rsidR="00930A9A" w:rsidRPr="000365ED" w:rsidRDefault="003D32FA"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{"citationID":"qQXSQ8na","properties":{"formattedCitation":"(The CDI Study Group, 2010)","plainCitation":"(The CDI Study Group, 2010)","noteIndex":0},"citationItems":[{"id":8147,"uris":["http://zotero.org/users/11836539/items/KK4UCXXI"],"itemData":{"id":8147,"type":"article-journal","abstract":"Objective\nTo determine the extent to which the community-directed approach used in onchocerciasis control in Africa could effectively and efficiently provide integrated delivery of other health interventions.\n\nMethods\nA three-year experimental study was undertaken in 35 health districts from 2005 to 2007 in seven research sites in Cameroon, Nigeria and Uganda. Four trial districts and one comparison district were randomly selected in each site. All districts had established ivermectin treatment programmes, and in the trial districts four other established interventions – vitamin A supplementation, use of insecticide-treated nets, home management of malaria and short-course, directly-observed treatment for tuberculosis patients – were progressively incorporated into a community-directed intervention (CDI) process. At the end of each of the three study years, we performed quantitative evaluations of intervention coverage and provider costs, as well as qualitative assessments of the CDI process.\n\nFindings\nWith the CDI strategy, significantly higher coverage was achieved than with other delivery approaches for all interventions except for short-course, directly-observed treatment. The coverage of malaria interventions more than doubled. The district-level costs of delivering all five interventions were lower in the CDI districts, but no cost difference was found at the first-line health facility level. Process evaluation showed that: (i) participatory processes were important; (ii) recurrent problems with the supply of intervention materials were a major constraint to implementation; (iii) the communities and community implementers were deeply committed to the CDI process; (iv) community implementers were more motivated by intangible incentives than by external financial incentives.\n\nConclusion\nThe CDI strategy, which builds upon the core principles of primary health care, is an effective and efficient model for integrated delivery of appropriate health interventions at the community level in Africa.","container-title":"Bulletin of the World Health Organization","DOI":"10.2471/BLT.09.069203","ISSN":"0042-9686","issue":"7","journalAbbreviation":"Bull World Health Organ","note":"PMID: 20616970\nPMCID: PMC2897985","page":"509-518","source":"PubMed Central","title":"Community-directed interventions for priority health problems in Africa: results of a multicountry study","title-short":"Community-directed interventions for priority health problems in Africa","volume":"88","author":[{"family":"The CDI Study Group","given":""}],"issued":{"date-parts":[["2010",7,1]]}}}],"schema":"https://github.com/citation-style-language/schema/raw/master/csl-citation.json"}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(The CDI Study Group, 2010)</w:t>
            </w:r>
            <w:r w:rsidRPr="000365ED">
              <w:rPr>
                <w:rFonts w:ascii="Times New Roman" w:hAnsi="Times New Roman" w:cs="Times New Roman"/>
              </w:rPr>
              <w:fldChar w:fldCharType="end"/>
            </w:r>
          </w:p>
        </w:tc>
        <w:tc>
          <w:tcPr>
            <w:tcW w:w="2736" w:type="dxa"/>
          </w:tcPr>
          <w:p w14:paraId="01A0E46C" w14:textId="6352F3AB" w:rsidR="00930A9A" w:rsidRPr="000365ED" w:rsidRDefault="00717103" w:rsidP="00397401">
            <w:pPr>
              <w:rPr>
                <w:rFonts w:ascii="Times New Roman" w:hAnsi="Times New Roman" w:cs="Times New Roman"/>
              </w:rPr>
            </w:pPr>
            <w:r w:rsidRPr="000365ED">
              <w:rPr>
                <w:rFonts w:ascii="Times New Roman" w:hAnsi="Times New Roman" w:cs="Times New Roman"/>
              </w:rPr>
              <w:t xml:space="preserve">Community-directed interventions for priority health problems in Africa: results of a </w:t>
            </w:r>
            <w:proofErr w:type="spellStart"/>
            <w:r w:rsidRPr="000365ED">
              <w:rPr>
                <w:rFonts w:ascii="Times New Roman" w:hAnsi="Times New Roman" w:cs="Times New Roman"/>
              </w:rPr>
              <w:t>multicountry</w:t>
            </w:r>
            <w:proofErr w:type="spellEnd"/>
            <w:r w:rsidRPr="000365ED">
              <w:rPr>
                <w:rFonts w:ascii="Times New Roman" w:hAnsi="Times New Roman" w:cs="Times New Roman"/>
              </w:rPr>
              <w:t xml:space="preserve"> study</w:t>
            </w:r>
          </w:p>
        </w:tc>
        <w:tc>
          <w:tcPr>
            <w:tcW w:w="2329" w:type="dxa"/>
          </w:tcPr>
          <w:p w14:paraId="1467B271" w14:textId="0C48FDA7" w:rsidR="00930A9A" w:rsidRPr="000365ED" w:rsidRDefault="003D32FA" w:rsidP="00397401">
            <w:pPr>
              <w:rPr>
                <w:rFonts w:ascii="Times New Roman" w:hAnsi="Times New Roman" w:cs="Times New Roman"/>
              </w:rPr>
            </w:pPr>
            <w:r w:rsidRPr="000365ED">
              <w:rPr>
                <w:rFonts w:ascii="Times New Roman" w:hAnsi="Times New Roman" w:cs="Times New Roman"/>
              </w:rPr>
              <w:t>Not related to the themes under our consideration</w:t>
            </w:r>
          </w:p>
        </w:tc>
      </w:tr>
      <w:tr w:rsidR="00930A9A" w:rsidRPr="000365ED" w14:paraId="3321F241" w14:textId="77777777" w:rsidTr="00944D91">
        <w:tc>
          <w:tcPr>
            <w:tcW w:w="1698" w:type="dxa"/>
          </w:tcPr>
          <w:p w14:paraId="3F43D782" w14:textId="5D6AF0DD" w:rsidR="00930A9A" w:rsidRPr="000365ED" w:rsidRDefault="00431F1B" w:rsidP="00397401">
            <w:pPr>
              <w:rPr>
                <w:rFonts w:ascii="Times New Roman" w:hAnsi="Times New Roman" w:cs="Times New Roman"/>
              </w:rPr>
            </w:pPr>
            <w:r w:rsidRPr="000365ED">
              <w:rPr>
                <w:rFonts w:ascii="Times New Roman" w:hAnsi="Times New Roman" w:cs="Times New Roman"/>
              </w:rPr>
              <w:t>82</w:t>
            </w:r>
          </w:p>
        </w:tc>
        <w:tc>
          <w:tcPr>
            <w:tcW w:w="2253" w:type="dxa"/>
          </w:tcPr>
          <w:p w14:paraId="28AF5DB6" w14:textId="771FD1E1" w:rsidR="00930A9A" w:rsidRPr="000365ED" w:rsidRDefault="006166F6"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{"citationID":"IbFXOdA3","properties":{"formattedCitation":"(Lakoh et al., 2023)","plainCitation":"(Lakoh et al., 2023)","noteIndex":0},"citationItems":[{"id":8200,"uris":["http://zotero.org/users/11836539/items/4BYSDY2V"],"itemData":{"id":8200,"type":"article-journal","abstract":"Antimicrobial Resistance (AMR) is a growing global health challenge that threatens to undo gains in human and animal health. Prevention and control of AMR requires functional antimicrobial stewardship (AMS) program, which is complex and often difficult to implement in low- and middle-income countries. We aimed to describe the processes of establishing and implementing an AMS program at Connaught Hospital in Sierra Leone. The project involved the setting up of an AMS program, capacity building and performing a global point prevalence survey (GPPS) at Sierra Leone’s national referral hospital. Connaught Hospital established a multidisciplinary AMS subcommittee in 2021 to provide AMS services such as awareness campaigns, education and training and review of guidelines. We performed a GPPS on 175 patients, of whom more than half (98, 56.0%) were prescribed an antibiotic: 63 (69.2%) in the surgical wards and 53 (51.2%) in the medical wards. Ceftriaxone (60, 34.3%) and metronidazole (53, 30.3%) were the most common antibiotics prescribed to patients. In conclusion, it is feasible to establish and implement an AMS program in low-income countries, where most hospitalized patients were prescribed an antibiotic. © 2023 by the authors.","archive":"Scopus","container-title":"Antibiotics","DOI":"10.3390/antibiotics12030424","ISSN":"2079-6382","issue":"3","language":"English","source":"Scopus","title":"Establishing an Antimicrobial Stewardship Program in Sierra Leone: A Report of the Experience of a Low-Income Country in West Africa","title-short":"Establishing an Antimicrobial Stewardship Program in Sierra Leone","volume":"12","author":[{"family":"Lakoh","given":"S."},{"family":"Bawoh","given":"M."},{"family":"Lewis","given":"H."},{"family":"Jalloh","given":"I."},{"family":"Thomas","given":"C."},{"family":"Barlatt","given":"S."},{"family":"Jalloh","given":"A."},{"family":"Deen","given":"G.F."},{"family":"Russell","given":"J.B.W."},{"family":"Kabba","given":"M.S."},{"family":"Batema","given":"M.N.P."},{"family":"Borgstein","given":"C."},{"family":"Sesay","given":"N."},{"family":"Sesay","given":"D."},{"family":"Nagi","given":"N.K."},{"family":"Firima","given":"E."},{"family":"Thomas","given":"S."}],"issued":{"date-parts":[["2023"]]}}}],"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(Lakoh et al., 2023)</w:t>
            </w:r>
            <w:r w:rsidRPr="000365ED">
              <w:rPr>
                <w:rFonts w:ascii="Times New Roman" w:hAnsi="Times New Roman" w:cs="Times New Roman"/>
              </w:rPr>
              <w:fldChar w:fldCharType="end"/>
            </w:r>
          </w:p>
        </w:tc>
        <w:tc>
          <w:tcPr>
            <w:tcW w:w="2736" w:type="dxa"/>
          </w:tcPr>
          <w:p w14:paraId="6AAACD88" w14:textId="323DCCF9" w:rsidR="00930A9A" w:rsidRPr="000365ED" w:rsidRDefault="006166F6" w:rsidP="00397401">
            <w:pPr>
              <w:rPr>
                <w:rFonts w:ascii="Times New Roman" w:hAnsi="Times New Roman" w:cs="Times New Roman"/>
              </w:rPr>
            </w:pPr>
            <w:r w:rsidRPr="000365ED">
              <w:rPr>
                <w:rFonts w:ascii="Times New Roman" w:hAnsi="Times New Roman" w:cs="Times New Roman"/>
              </w:rPr>
              <w:t>Establishing an Antimicrobial Stewardship Program in Sierra Leone: A Report of the Experience of a Low-</w:t>
            </w:r>
            <w:r w:rsidRPr="000365ED">
              <w:rPr>
                <w:rFonts w:ascii="Times New Roman" w:hAnsi="Times New Roman" w:cs="Times New Roman"/>
              </w:rPr>
              <w:lastRenderedPageBreak/>
              <w:t>Income Country in West Africa</w:t>
            </w:r>
          </w:p>
        </w:tc>
        <w:tc>
          <w:tcPr>
            <w:tcW w:w="2329" w:type="dxa"/>
          </w:tcPr>
          <w:p w14:paraId="359BC003" w14:textId="582CEF83" w:rsidR="00930A9A" w:rsidRPr="000365ED" w:rsidRDefault="006166F6" w:rsidP="00397401">
            <w:pPr>
              <w:rPr>
                <w:rFonts w:ascii="Times New Roman" w:hAnsi="Times New Roman" w:cs="Times New Roman"/>
              </w:rPr>
            </w:pPr>
            <w:r w:rsidRPr="000365ED">
              <w:rPr>
                <w:rFonts w:ascii="Times New Roman" w:hAnsi="Times New Roman" w:cs="Times New Roman"/>
              </w:rPr>
              <w:lastRenderedPageBreak/>
              <w:t>Antibiotic use not reported in DDD</w:t>
            </w:r>
          </w:p>
        </w:tc>
      </w:tr>
      <w:tr w:rsidR="003A7637" w:rsidRPr="000365ED" w14:paraId="7B2A1D8F" w14:textId="77777777" w:rsidTr="00944D91">
        <w:tc>
          <w:tcPr>
            <w:tcW w:w="1698" w:type="dxa"/>
          </w:tcPr>
          <w:p w14:paraId="7BAABAA6" w14:textId="02E95355" w:rsidR="003A7637" w:rsidRPr="000365ED" w:rsidRDefault="003A7637" w:rsidP="00397401">
            <w:pPr>
              <w:rPr>
                <w:rFonts w:ascii="Times New Roman" w:hAnsi="Times New Roman" w:cs="Times New Roman"/>
              </w:rPr>
            </w:pPr>
            <w:r w:rsidRPr="000365ED">
              <w:rPr>
                <w:rFonts w:ascii="Times New Roman" w:hAnsi="Times New Roman" w:cs="Times New Roman"/>
              </w:rPr>
              <w:t>83</w:t>
            </w:r>
          </w:p>
        </w:tc>
        <w:tc>
          <w:tcPr>
            <w:tcW w:w="2253" w:type="dxa"/>
          </w:tcPr>
          <w:p w14:paraId="5FC77906" w14:textId="6D11D886" w:rsidR="003A7637" w:rsidRPr="000365ED" w:rsidRDefault="00D26427"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{"citationID":"TYglTLHv","properties":{"formattedCitation":"(Aulakh et al., 2018)","plainCitation":"(Aulakh et al., 2018)","noteIndex":0},"citationItems":[{"id":11416,"uris":["http://zotero.org/users/11836539/items/ELTLAUYE"],"itemData":{"id":11416,"type":"article-journal","abstract":"Ours is the first published study to examine post-Caesarean section (CS) wound infections in The Gambia. We explored risk factors and clinical management retrospectively at a large referral hospital over a 12-month period. A total of 777 cases were identified and records for 682 (88%) were retrieved. The CS rate was 21.8% and the wound infection rate 13.2%. Risk factors included: length of labour; decision-to-incision time and stillbirth. Only 7.4% of women received preoperative antibiotic prophylaxis, but all women received multiple-dose, postoperative antibiotics. The wound infection rate found is likely to be an underestimate owing to loss to follow-up. The adherence to international guidelines regarding preoperative antibiotic prophylaxis needs to be improved.","container-title":"Tropical Doctor","DOI":"10.1177/0049475517739539","ISSN":"0049-4755","issue":"3","journalAbbreviation":"Trop Doct","language":"en","note":"publisher: SAGE Publications","page":"192-199","source":"SAGE Journals","title":"Caesarean section wound infections and antibiotic use: a retrospective case-series in a tertiary referral hospital in The Gambia","title-short":"Caesarean section wound infections and antibiotic use","volume":"48","author":[{"family":"Aulakh","given":"Alex"},{"family":"Idoko","given":"Patrick"},{"family":"Anderson","given":"Suzanne T"},{"family":"Graham","given":"Wendy"}],"issued":{"date-parts":[["2018",7,1]]}}}],"schema":"https://github.com/citation-style-language/schema/raw/master/csl-citation.json"}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(Aulakh et al., 2018)</w:t>
            </w:r>
            <w:r w:rsidRPr="000365ED">
              <w:rPr>
                <w:rFonts w:ascii="Times New Roman" w:hAnsi="Times New Roman" w:cs="Times New Roman"/>
              </w:rPr>
              <w:fldChar w:fldCharType="end"/>
            </w:r>
          </w:p>
        </w:tc>
        <w:tc>
          <w:tcPr>
            <w:tcW w:w="2736" w:type="dxa"/>
          </w:tcPr>
          <w:p w14:paraId="027ACBCD" w14:textId="5585F17C" w:rsidR="003A7637" w:rsidRPr="000365ED" w:rsidRDefault="003A7637" w:rsidP="00397401">
            <w:pPr>
              <w:rPr>
                <w:rFonts w:ascii="Times New Roman" w:hAnsi="Times New Roman" w:cs="Times New Roman"/>
              </w:rPr>
            </w:pPr>
            <w:r w:rsidRPr="000365ED">
              <w:rPr>
                <w:rFonts w:ascii="Times New Roman" w:hAnsi="Times New Roman" w:cs="Times New Roman"/>
              </w:rPr>
              <w:t>Caesarean section wound infections and antibiotic use: a retrospective case-series in a tertiary referral hospital in The Gambia</w:t>
            </w:r>
          </w:p>
        </w:tc>
        <w:tc>
          <w:tcPr>
            <w:tcW w:w="2329" w:type="dxa"/>
          </w:tcPr>
          <w:p w14:paraId="3BE92B2C" w14:textId="6F204E38" w:rsidR="003A7637" w:rsidRPr="000365ED" w:rsidRDefault="003A7637" w:rsidP="00397401">
            <w:pPr>
              <w:rPr>
                <w:rFonts w:ascii="Times New Roman" w:hAnsi="Times New Roman" w:cs="Times New Roman"/>
              </w:rPr>
            </w:pPr>
            <w:r w:rsidRPr="000365ED">
              <w:rPr>
                <w:rFonts w:ascii="Times New Roman" w:hAnsi="Times New Roman" w:cs="Times New Roman"/>
              </w:rPr>
              <w:t>The full article is not freely accessible to us</w:t>
            </w:r>
          </w:p>
        </w:tc>
      </w:tr>
      <w:tr w:rsidR="00D26427" w:rsidRPr="000365ED" w14:paraId="0B93ABD8" w14:textId="77777777" w:rsidTr="00944D91">
        <w:tc>
          <w:tcPr>
            <w:tcW w:w="1698" w:type="dxa"/>
          </w:tcPr>
          <w:p w14:paraId="54FB16B8" w14:textId="0A74E4C1" w:rsidR="00D26427" w:rsidRPr="000365ED" w:rsidRDefault="00D26427" w:rsidP="00397401">
            <w:pPr>
              <w:rPr>
                <w:rFonts w:ascii="Times New Roman" w:hAnsi="Times New Roman" w:cs="Times New Roman"/>
              </w:rPr>
            </w:pPr>
            <w:r w:rsidRPr="000365ED">
              <w:rPr>
                <w:rFonts w:ascii="Times New Roman" w:hAnsi="Times New Roman" w:cs="Times New Roman"/>
              </w:rPr>
              <w:t>84</w:t>
            </w:r>
          </w:p>
        </w:tc>
        <w:tc>
          <w:tcPr>
            <w:tcW w:w="2253" w:type="dxa"/>
          </w:tcPr>
          <w:p w14:paraId="3FA365D0" w14:textId="2E614C8C" w:rsidR="00D26427" w:rsidRPr="000365ED" w:rsidRDefault="00D6316E"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{"citationID":"upBPTbMM","properties":{"formattedCitation":"(Risk et al., 2013)","plainCitation":"(Risk et al., 2013)","noteIndex":0},"citationItems":[{"id":11418,"uris":["http://zotero.org/users/11836539/items/HK9ZMCR6"],"itemData":{"id":11418,"type":"article-journal","abstract":"Introduction There is evidence of inappropriate medication use, causing unnecessary costs for health systems, particularly those with limited resources. Overprescription is commonly reported and can lead to antibiotic resistance. Prescribing patterns differ between countries; little is known about paediatric prescribing practices in Africa.\nObjectives To investigate prescribing practices in children in The Gambia, West Africa.\nMethod A retrospective survey of prescribing practices in children under 5 years of age based on WHO protocol DAP/93.1 was conducted. Twenty government-run health centres across all six regions in The Gambia were assessed. The first 10 encounters each month in 2010 were recorded. For each encounter, patient demographics, diagnoses and medications were recorded as per protocol.\nResults Two thousand and four hundred patient encounters were included. The mean number of medications per encounter was 2.2 (median 2.0, IQR 2.0–3.0). Across different geographical regions within The Gambia antibiotics were prescribed in 63.4% (IQR 62.8–65.8%) and micronutrients in 21.7% (IQR 15.3–27.1%) of patient encounters. There was evidence of high antibiotic prescription in children with cough and coryzal symptoms (54.5%; IQR 35.8–59.0%) and simple diarrhoea without dehydration (44.8%; IQR 36.7–61.3%). 74.8% (IQR 71.8–76.1%) of medications were prescribed generically.\nConclusions The study showed an overprescription of antibiotics and substantial usage of micronutrients despite a lack of international evidence-based guidelines. Cost-effective interventions to improve prescribing practices are called for and more studies with a focus on rational prescribing in paediatrics in low-income settings are urgently required to fill the gap in current knowledge.","container-title":"Archives of Disease in Childhood","DOI":"10.1136/archdischild-2012-302987","ISSN":"0003-9888, 1468-2044","issue":"7","language":"en","license":"Published by the BMJ Publishing Group Limited. For permission to use (where not already granted under a licence) please go to http://group.bmj.com/group/rights-licensing/permissions","note":"publisher: BMJ Publishing Group Ltd\nsection: Original article\nPMID: 23661572","page":"503-509","source":"adc.bmj.com","title":"Rational prescribing in paediatrics in a resource-limited setting","volume":"98","author":[{"family":"Risk","given":"Rachel"},{"family":"Naismith","given":"Hamish"},{"family":"Burnett","given":"Alexander"},{"family":"Moore","given":"Sophie E."},{"family":"Cham","given":"Mamady"},{"family":"Unger","given":"Stefan"}],"issued":{"date-parts":[["2013",7,1]]}}}],"schema":"https://github.com/citation-style-language/schema/raw/master/csl-citation.json"}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(Risk et al., 2013)</w:t>
            </w:r>
            <w:r w:rsidRPr="000365ED">
              <w:rPr>
                <w:rFonts w:ascii="Times New Roman" w:hAnsi="Times New Roman" w:cs="Times New Roman"/>
              </w:rPr>
              <w:fldChar w:fldCharType="end"/>
            </w:r>
          </w:p>
        </w:tc>
        <w:tc>
          <w:tcPr>
            <w:tcW w:w="2736" w:type="dxa"/>
          </w:tcPr>
          <w:p w14:paraId="7A85B5A6" w14:textId="3EB1F01A" w:rsidR="00D26427" w:rsidRPr="000365ED" w:rsidRDefault="00D6316E" w:rsidP="00397401">
            <w:pPr>
              <w:rPr>
                <w:rFonts w:ascii="Times New Roman" w:hAnsi="Times New Roman" w:cs="Times New Roman"/>
              </w:rPr>
            </w:pPr>
            <w:r w:rsidRPr="000365ED">
              <w:rPr>
                <w:rFonts w:ascii="Times New Roman" w:hAnsi="Times New Roman" w:cs="Times New Roman"/>
              </w:rPr>
              <w:t xml:space="preserve">Rational prescribing in </w:t>
            </w:r>
            <w:proofErr w:type="spellStart"/>
            <w:r w:rsidRPr="000365ED">
              <w:rPr>
                <w:rFonts w:ascii="Times New Roman" w:hAnsi="Times New Roman" w:cs="Times New Roman"/>
              </w:rPr>
              <w:t>paediatrics</w:t>
            </w:r>
            <w:proofErr w:type="spellEnd"/>
            <w:r w:rsidRPr="000365ED">
              <w:rPr>
                <w:rFonts w:ascii="Times New Roman" w:hAnsi="Times New Roman" w:cs="Times New Roman"/>
              </w:rPr>
              <w:t xml:space="preserve"> in a resource-limited setting</w:t>
            </w:r>
          </w:p>
        </w:tc>
        <w:tc>
          <w:tcPr>
            <w:tcW w:w="2329" w:type="dxa"/>
          </w:tcPr>
          <w:p w14:paraId="7696A061" w14:textId="619753DF" w:rsidR="00D26427" w:rsidRPr="000365ED" w:rsidRDefault="00D6316E" w:rsidP="00397401">
            <w:pPr>
              <w:rPr>
                <w:rFonts w:ascii="Times New Roman" w:hAnsi="Times New Roman" w:cs="Times New Roman"/>
              </w:rPr>
            </w:pPr>
            <w:r w:rsidRPr="000365ED">
              <w:rPr>
                <w:rFonts w:ascii="Times New Roman" w:hAnsi="Times New Roman" w:cs="Times New Roman"/>
              </w:rPr>
              <w:t xml:space="preserve">The full article is not freely accessible to us. </w:t>
            </w:r>
          </w:p>
        </w:tc>
      </w:tr>
      <w:tr w:rsidR="00D26427" w:rsidRPr="000365ED" w14:paraId="77D171A4" w14:textId="77777777" w:rsidTr="00944D91">
        <w:tc>
          <w:tcPr>
            <w:tcW w:w="1698" w:type="dxa"/>
          </w:tcPr>
          <w:p w14:paraId="74B602FD" w14:textId="18F9B62C" w:rsidR="00D26427" w:rsidRPr="000365ED" w:rsidRDefault="00A8136D" w:rsidP="00397401">
            <w:pPr>
              <w:rPr>
                <w:rFonts w:ascii="Times New Roman" w:hAnsi="Times New Roman" w:cs="Times New Roman"/>
              </w:rPr>
            </w:pPr>
            <w:r w:rsidRPr="000365ED">
              <w:rPr>
                <w:rFonts w:ascii="Times New Roman" w:hAnsi="Times New Roman" w:cs="Times New Roman"/>
              </w:rPr>
              <w:t>85</w:t>
            </w:r>
          </w:p>
        </w:tc>
        <w:tc>
          <w:tcPr>
            <w:tcW w:w="2253" w:type="dxa"/>
          </w:tcPr>
          <w:p w14:paraId="059DAC22" w14:textId="2C571295" w:rsidR="00D26427" w:rsidRPr="000365ED" w:rsidRDefault="00994483"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{"citationID":"Q3BmGKfT","properties":{"formattedCitation":"(Okomo et al., 2015)","plainCitation":"(Okomo et al., 2015)","noteIndex":0},"citationItems":[{"id":11420,"uris":["http://zotero.org/users/11836539/items/RK6EVQ2F"],"itemData":{"id":11420,"type":"article-journal","abstract":"National facility-based neonatal mortality audits are an important source of data to identify areas for improvement of service delivery and outcome of care.To examine admissions to the neonatal uni...","archive_location":"world","container-title":"Paediatrics and International Child Health","DOI":"10.1179/2046905515Y.0000000036","language":"EN","license":"© W. S. Maney &amp; Son Ltd 2015","note":"publisher: Taylor &amp; Francis","source":"www.tandfonline.com","title":"Neonatal admissions, quality of care and outcome: 4 years of inpatient audit data from The Gambia's teaching hospital","title-short":"Neonatal admissions, quality of care and outcome","URL":"https://www.tandfonline.com/doi/abs/10.1179/2046905515Y.0000000036","author":[{"family":"Okomo","given":"Uduak A."},{"family":"Dibbasey","given":"Tida"},{"family":"Kassama","given":"Kalipha"},{"family":"Lawn","given":"Joy E."},{"family":"Zaman","given":"Syed M. A."},{"family":"Kampmann","given":"Beate"},{"family":"Howie","given":"Stephen R. C."},{"family":"Bojang","given":"Kalifa"}],"accessed":{"date-parts":[["2024",5,20]]},"issued":{"date-parts":[["2015",8,1]]}}}],"schema":"https://github.com/citation-style-language/schema/raw/master/csl-citation.json"}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(Okomo et al., 2015)</w:t>
            </w:r>
            <w:r w:rsidRPr="000365ED">
              <w:rPr>
                <w:rFonts w:ascii="Times New Roman" w:hAnsi="Times New Roman" w:cs="Times New Roman"/>
              </w:rPr>
              <w:fldChar w:fldCharType="end"/>
            </w:r>
          </w:p>
        </w:tc>
        <w:tc>
          <w:tcPr>
            <w:tcW w:w="2736" w:type="dxa"/>
          </w:tcPr>
          <w:p w14:paraId="0CE15086" w14:textId="468A2EF5" w:rsidR="00D26427" w:rsidRPr="000365ED" w:rsidRDefault="00A8136D" w:rsidP="00397401">
            <w:pPr>
              <w:rPr>
                <w:rFonts w:ascii="Times New Roman" w:hAnsi="Times New Roman" w:cs="Times New Roman"/>
              </w:rPr>
            </w:pPr>
            <w:r w:rsidRPr="000365ED">
              <w:rPr>
                <w:rFonts w:ascii="Times New Roman" w:hAnsi="Times New Roman" w:cs="Times New Roman"/>
              </w:rPr>
              <w:t>Neonatal admissions, quality of care and outcome: 4 years of inpatient audit data from The Gambia's teaching hospital</w:t>
            </w:r>
          </w:p>
        </w:tc>
        <w:tc>
          <w:tcPr>
            <w:tcW w:w="2329" w:type="dxa"/>
          </w:tcPr>
          <w:p w14:paraId="3ADAD2B0" w14:textId="3E2191A7" w:rsidR="00D26427" w:rsidRPr="000365ED" w:rsidRDefault="00994483" w:rsidP="00397401">
            <w:pPr>
              <w:rPr>
                <w:rFonts w:ascii="Times New Roman" w:hAnsi="Times New Roman" w:cs="Times New Roman"/>
              </w:rPr>
            </w:pPr>
            <w:r w:rsidRPr="000365ED">
              <w:rPr>
                <w:rFonts w:ascii="Times New Roman" w:hAnsi="Times New Roman" w:cs="Times New Roman"/>
              </w:rPr>
              <w:t>Not related to the themes under our consideration</w:t>
            </w:r>
          </w:p>
        </w:tc>
      </w:tr>
      <w:tr w:rsidR="00D26427" w:rsidRPr="000365ED" w14:paraId="4EAFD8E0" w14:textId="77777777" w:rsidTr="00944D91">
        <w:tc>
          <w:tcPr>
            <w:tcW w:w="1698" w:type="dxa"/>
          </w:tcPr>
          <w:p w14:paraId="39019A43" w14:textId="592282AA" w:rsidR="00D26427" w:rsidRPr="000365ED" w:rsidRDefault="00994483" w:rsidP="00397401">
            <w:pPr>
              <w:rPr>
                <w:rFonts w:ascii="Times New Roman" w:hAnsi="Times New Roman" w:cs="Times New Roman"/>
              </w:rPr>
            </w:pPr>
            <w:r w:rsidRPr="000365ED">
              <w:rPr>
                <w:rFonts w:ascii="Times New Roman" w:hAnsi="Times New Roman" w:cs="Times New Roman"/>
              </w:rPr>
              <w:t>86</w:t>
            </w:r>
          </w:p>
        </w:tc>
        <w:tc>
          <w:tcPr>
            <w:tcW w:w="2253" w:type="dxa"/>
          </w:tcPr>
          <w:p w14:paraId="0D87D595" w14:textId="4747EE3A" w:rsidR="00D26427" w:rsidRPr="000365ED" w:rsidRDefault="00994483"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{"citationID":"bl49ehSy","properties":{"formattedCitation":"(F. Joseph et al., 2015)","plainCitation":"(F. Joseph et al., 2015)","noteIndex":0},"citationItems":[{"id":11422,"uris":["http://zotero.org/users/11836539/items/9YAUQB6P"],"itemData":{"id":11422,"type":"article-journal","abstract":"Background: The audit of drug prescribing pattern in under-five children is essential in identifying the various types of non-rational prescribing such as polypharmacy and irrational use of antimicrobials. The primary objective of this study was to determine the drug prescribing pattern for children aged below five years attending the paediatric outpatient clinic of a tertiary hospital in Ado-Ekiti, South-West Nigeria.Methods: A cross-sectional study was carried out using the medical records of patients who attended the paediatric clinic of the hospital between April 1 and October 30, 2013. The medical records of patients aged below five years were selected monthly for the period of the study using a regular interval ratio. Drug use indicators were assessed using the WHO guidelines on investigation of drug use in health care facilities.Results: There were 293(55.7%) prescriptions collected from male patients and 233(44.3% from female patients with a total of 1369 prescribed drugs (2.6 ± 1.1 drugs per prescription). A total of three hundred and seventy-four (71.1%) patients had at least one antibiotic prescribed with antibiotics accounting for 28.2% of all drugs prescribed, while 13.5% of all encounters had an injection prescribed. Prescribing by generic name was done in 68.9 ± 26.5% of all prescribed medications, and 60.4% of all prescribed medications were from the latest version of the Nigerian Essential Drug List. Three hundred and twelve children (59.3%) had at least one anti-malarial drug prescribed while analgesics drugs accounted for 6.1% of all prescriptions.Conclusion: This study showed that over-prescription of antibiotics, significant use of injections and prescribing by generic name are real issues among Nigerian paediatric prescribers.Keywords: Prescribing indicators, under-five, outpatients’ clinic, rational prescribing, Nigeria","container-title":"Ethiopian Journal of Health Sciences","DOI":"10.4314/ejhs.v25i1.10","ISSN":"2413-7170","issue":"1","language":"en","license":"Copyright (c)","note":"number: 1","page":"73-78","source":"www.ajol.info","title":"Drug prescribing pattern for under-fives in a paediatric clinic in south-western Nigeria","volume":"25","author":[{"family":"Joseph","given":"F."},{"family":"Oladele","given":"O."},{"family":"Oludare","given":"O."},{"family":"Olatunde","given":"O."}],"issued":{"date-parts":[["2015",2,10]]}}}],"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(F. Joseph et al., 2015)</w:t>
            </w:r>
            <w:r w:rsidRPr="000365ED">
              <w:rPr>
                <w:rFonts w:ascii="Times New Roman" w:hAnsi="Times New Roman" w:cs="Times New Roman"/>
              </w:rPr>
              <w:fldChar w:fldCharType="end"/>
            </w:r>
          </w:p>
        </w:tc>
        <w:tc>
          <w:tcPr>
            <w:tcW w:w="2736" w:type="dxa"/>
          </w:tcPr>
          <w:p w14:paraId="2F19756B" w14:textId="63311DD2" w:rsidR="00D26427" w:rsidRPr="000365ED" w:rsidRDefault="00994483" w:rsidP="00397401">
            <w:pPr>
              <w:rPr>
                <w:rFonts w:ascii="Times New Roman" w:hAnsi="Times New Roman" w:cs="Times New Roman"/>
              </w:rPr>
            </w:pPr>
            <w:r w:rsidRPr="000365ED">
              <w:rPr>
                <w:rFonts w:ascii="Times New Roman" w:hAnsi="Times New Roman" w:cs="Times New Roman"/>
              </w:rPr>
              <w:t xml:space="preserve">Drug prescribing pattern for under-fives in a </w:t>
            </w:r>
            <w:proofErr w:type="spellStart"/>
            <w:r w:rsidRPr="000365ED">
              <w:rPr>
                <w:rFonts w:ascii="Times New Roman" w:hAnsi="Times New Roman" w:cs="Times New Roman"/>
              </w:rPr>
              <w:t>paediatric</w:t>
            </w:r>
            <w:proofErr w:type="spellEnd"/>
            <w:r w:rsidRPr="000365ED">
              <w:rPr>
                <w:rFonts w:ascii="Times New Roman" w:hAnsi="Times New Roman" w:cs="Times New Roman"/>
              </w:rPr>
              <w:t xml:space="preserve"> clinic in south-western Nigeria</w:t>
            </w:r>
          </w:p>
        </w:tc>
        <w:tc>
          <w:tcPr>
            <w:tcW w:w="2329" w:type="dxa"/>
          </w:tcPr>
          <w:p w14:paraId="7EBA5DDD" w14:textId="53EB52DA" w:rsidR="00D26427" w:rsidRPr="000365ED" w:rsidRDefault="00994483" w:rsidP="00397401">
            <w:pPr>
              <w:rPr>
                <w:rFonts w:ascii="Times New Roman" w:hAnsi="Times New Roman" w:cs="Times New Roman"/>
              </w:rPr>
            </w:pPr>
            <w:r w:rsidRPr="000365ED">
              <w:rPr>
                <w:rFonts w:ascii="Times New Roman" w:hAnsi="Times New Roman" w:cs="Times New Roman"/>
              </w:rPr>
              <w:t>Not solely on antibiotics</w:t>
            </w:r>
          </w:p>
        </w:tc>
      </w:tr>
      <w:tr w:rsidR="00D26427" w:rsidRPr="000365ED" w14:paraId="23732436" w14:textId="77777777" w:rsidTr="00944D91">
        <w:tc>
          <w:tcPr>
            <w:tcW w:w="1698" w:type="dxa"/>
          </w:tcPr>
          <w:p w14:paraId="524618F8" w14:textId="1DB5E9C6" w:rsidR="00D26427" w:rsidRPr="000365ED" w:rsidRDefault="00994483" w:rsidP="00397401">
            <w:pPr>
              <w:rPr>
                <w:rFonts w:ascii="Times New Roman" w:hAnsi="Times New Roman" w:cs="Times New Roman"/>
              </w:rPr>
            </w:pPr>
            <w:r w:rsidRPr="000365ED">
              <w:rPr>
                <w:rFonts w:ascii="Times New Roman" w:hAnsi="Times New Roman" w:cs="Times New Roman"/>
              </w:rPr>
              <w:t>87</w:t>
            </w:r>
          </w:p>
        </w:tc>
        <w:tc>
          <w:tcPr>
            <w:tcW w:w="2253" w:type="dxa"/>
          </w:tcPr>
          <w:p w14:paraId="6638D568" w14:textId="4918B890" w:rsidR="00D26427" w:rsidRPr="000365ED" w:rsidRDefault="00F52000"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ZOTERO_ITEM CSL_CITATION {"citationID":"lSKodpLM","properties":{"formattedCitation":"(Ayele &amp; Taye, 2018)","plainCitation":"(Ayele &amp; Taye, 2018)","noteIndex":0},"citationItems":[{"id":11424,"uris":["http://zotero.org/users/11836539/items/BF8E8ZWE"],"itemData":{"id":11424,"type":"article-journal","abstract":"The aim of this study was to assess utilization pattern of surgical antibiotic prophylaxis in surgical wards of Dil Chora Referral Hospital.","container-title":"BMC Research Notes","DOI":"10.1186/s13104-018-3629-6","ISSN":"1756-0500","issue":"1","journalAbbreviation":"BMC Res Notes","language":"en","page":"537","source":"Springer Link","title":"Antibiotic utilization pattern for surgical site infection prophylaxis at Dil Chora Referral Hospital Surgical Ward, Dire Dawa, Eastern Ethiopia","volume":"11","author":[{"family":"Ayele","given":"Yohanes"},{"family":"Taye","given":"Henok"}],"issued":{"date-parts":[["2018",7,31]]}}}],"schema":"https://github.com/citation-style-language/schema/raw/master/csl-citation.json"} </w:instrText>
            </w:r>
            <w:r w:rsidRPr="000365ED">
              <w:rPr>
                <w:rFonts w:ascii="Times New Roman" w:hAnsi="Times New Roman" w:cs="Times New Roman"/>
              </w:rPr>
              <w:fldChar w:fldCharType="separate"/>
            </w:r>
            <w:r w:rsidRPr="000365ED">
              <w:rPr>
                <w:rFonts w:ascii="Times New Roman" w:hAnsi="Times New Roman" w:cs="Times New Roman"/>
                <w:noProof/>
              </w:rPr>
              <w:t>(Ayele &amp; Taye, 2018)</w:t>
            </w:r>
            <w:r w:rsidRPr="000365ED">
              <w:rPr>
                <w:rFonts w:ascii="Times New Roman" w:hAnsi="Times New Roman" w:cs="Times New Roman"/>
              </w:rPr>
              <w:fldChar w:fldCharType="end"/>
            </w:r>
          </w:p>
        </w:tc>
        <w:tc>
          <w:tcPr>
            <w:tcW w:w="2736" w:type="dxa"/>
          </w:tcPr>
          <w:p w14:paraId="2D5FE587" w14:textId="53993187" w:rsidR="00D26427" w:rsidRPr="000365ED" w:rsidRDefault="00F52000" w:rsidP="00397401">
            <w:pPr>
              <w:rPr>
                <w:rFonts w:ascii="Times New Roman" w:hAnsi="Times New Roman" w:cs="Times New Roman"/>
              </w:rPr>
            </w:pPr>
            <w:r w:rsidRPr="000365ED">
              <w:rPr>
                <w:rFonts w:ascii="Times New Roman" w:hAnsi="Times New Roman" w:cs="Times New Roman"/>
              </w:rPr>
              <w:t xml:space="preserve">Antibiotic utilization pattern for surgical site infection prophylaxis at </w:t>
            </w:r>
            <w:proofErr w:type="spellStart"/>
            <w:r w:rsidRPr="000365ED">
              <w:rPr>
                <w:rFonts w:ascii="Times New Roman" w:hAnsi="Times New Roman" w:cs="Times New Roman"/>
              </w:rPr>
              <w:t>Dil</w:t>
            </w:r>
            <w:proofErr w:type="spellEnd"/>
            <w:r w:rsidRPr="000365ED">
              <w:rPr>
                <w:rFonts w:ascii="Times New Roman" w:hAnsi="Times New Roman" w:cs="Times New Roman"/>
              </w:rPr>
              <w:t xml:space="preserve"> Chora Referral Hospital Surgical Ward, Dire Dawa, Eastern Ethiopia</w:t>
            </w:r>
          </w:p>
        </w:tc>
        <w:tc>
          <w:tcPr>
            <w:tcW w:w="2329" w:type="dxa"/>
          </w:tcPr>
          <w:p w14:paraId="52F5315A" w14:textId="7753DBE8" w:rsidR="00D26427" w:rsidRPr="000365ED" w:rsidRDefault="00F52000" w:rsidP="00397401">
            <w:pPr>
              <w:rPr>
                <w:rFonts w:ascii="Times New Roman" w:hAnsi="Times New Roman" w:cs="Times New Roman"/>
              </w:rPr>
            </w:pPr>
            <w:r w:rsidRPr="000365ED">
              <w:rPr>
                <w:rFonts w:ascii="Times New Roman" w:hAnsi="Times New Roman" w:cs="Times New Roman"/>
              </w:rPr>
              <w:t>Not related to the themes under our consideration</w:t>
            </w:r>
          </w:p>
        </w:tc>
      </w:tr>
    </w:tbl>
    <w:p w14:paraId="16805681" w14:textId="77777777" w:rsidR="00EF2217" w:rsidRDefault="00EF2217" w:rsidP="00397401">
      <w:pPr>
        <w:rPr>
          <w:rFonts w:ascii="Times New Roman" w:hAnsi="Times New Roman" w:cs="Times New Roman"/>
        </w:rPr>
      </w:pPr>
    </w:p>
    <w:p w14:paraId="4E532511" w14:textId="77777777" w:rsidR="00EF2217" w:rsidRDefault="00EF2217" w:rsidP="00397401">
      <w:pPr>
        <w:rPr>
          <w:rFonts w:ascii="Times New Roman" w:hAnsi="Times New Roman" w:cs="Times New Roman"/>
        </w:rPr>
      </w:pPr>
    </w:p>
    <w:p w14:paraId="07B2145C" w14:textId="54835B51" w:rsidR="0071671D" w:rsidRPr="000365ED" w:rsidRDefault="00EC2D4F" w:rsidP="00397401">
      <w:pPr>
        <w:rPr>
          <w:rFonts w:ascii="Times New Roman" w:hAnsi="Times New Roman" w:cs="Times New Roman"/>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ZOTERO_TEMP </w:instrText>
      </w:r>
      <w:r w:rsidRPr="000365ED">
        <w:rPr>
          <w:rFonts w:ascii="Times New Roman" w:hAnsi="Times New Roman" w:cs="Times New Roman"/>
        </w:rPr>
        <w:fldChar w:fldCharType="separate"/>
      </w:r>
      <w:r w:rsidRPr="000365ED">
        <w:rPr>
          <w:rFonts w:ascii="Times New Roman" w:hAnsi="Times New Roman" w:cs="Times New Roman"/>
          <w:noProof/>
        </w:rPr>
        <w:t xml:space="preserve"> </w:t>
      </w:r>
      <w:r w:rsidRPr="000365ED">
        <w:rPr>
          <w:rFonts w:ascii="Times New Roman" w:hAnsi="Times New Roman" w:cs="Times New Roman"/>
        </w:rPr>
        <w:fldChar w:fldCharType="end"/>
      </w:r>
    </w:p>
    <w:p w14:paraId="756341FF" w14:textId="699C60B3" w:rsidR="002730BE" w:rsidRPr="000365ED" w:rsidRDefault="002730BE" w:rsidP="00B955BD">
      <w:pPr>
        <w:rPr>
          <w:rFonts w:ascii="Times New Roman" w:hAnsi="Times New Roman" w:cs="Times New Roman"/>
          <w:b/>
          <w:bCs/>
        </w:rPr>
      </w:pPr>
      <w:r w:rsidRPr="000365ED">
        <w:rPr>
          <w:rFonts w:ascii="Times New Roman" w:hAnsi="Times New Roman" w:cs="Times New Roman"/>
          <w:b/>
          <w:bCs/>
        </w:rPr>
        <w:t>Reference of excluded papers</w:t>
      </w:r>
    </w:p>
    <w:p w14:paraId="16EDBDF1" w14:textId="77777777" w:rsidR="00F52000" w:rsidRPr="000365ED" w:rsidRDefault="002730BE" w:rsidP="00B955BD">
      <w:pPr>
        <w:pStyle w:val="Bibliography"/>
        <w:spacing w:line="240" w:lineRule="auto"/>
        <w:rPr>
          <w:rFonts w:ascii="Times New Roman" w:hAnsi="Times New Roman" w:cs="Times New Roman"/>
          <w:lang w:val="en-GB"/>
        </w:rPr>
      </w:pPr>
      <w:r w:rsidRPr="000365ED">
        <w:rPr>
          <w:rFonts w:ascii="Times New Roman" w:hAnsi="Times New Roman" w:cs="Times New Roman"/>
        </w:rPr>
        <w:fldChar w:fldCharType="begin"/>
      </w:r>
      <w:r w:rsidRPr="000365ED">
        <w:rPr>
          <w:rFonts w:ascii="Times New Roman" w:hAnsi="Times New Roman" w:cs="Times New Roman"/>
        </w:rPr>
        <w:instrText xml:space="preserve"> ADDIN ZOTERO_BIBL {"uncited":[],"omitted":[],"custom":[]} CSL_BIBLIOGRAPHY </w:instrText>
      </w:r>
      <w:r w:rsidRPr="000365ED">
        <w:rPr>
          <w:rFonts w:ascii="Times New Roman" w:hAnsi="Times New Roman" w:cs="Times New Roman"/>
        </w:rPr>
        <w:fldChar w:fldCharType="separate"/>
      </w:r>
      <w:r w:rsidR="00F52000" w:rsidRPr="000365ED">
        <w:rPr>
          <w:rFonts w:ascii="Times New Roman" w:hAnsi="Times New Roman" w:cs="Times New Roman"/>
          <w:lang w:val="en-GB"/>
        </w:rPr>
        <w:t xml:space="preserve">Abubakar, U., Sha’aban, A., Mohammed, M., Muhammad, H. T., Sulaiman, S. A. S., &amp; Amir, O. (2021). Knowledge and self-reported confidence in antimicrobial stewardship programme among final year pharmacy undergraduate students in Malaysia and Nigeria. </w:t>
      </w:r>
      <w:r w:rsidR="00F52000" w:rsidRPr="000365ED">
        <w:rPr>
          <w:rFonts w:ascii="Times New Roman" w:hAnsi="Times New Roman" w:cs="Times New Roman"/>
          <w:i/>
          <w:iCs/>
          <w:lang w:val="en-GB"/>
        </w:rPr>
        <w:t>Pharmacy Education</w:t>
      </w:r>
      <w:r w:rsidR="00F52000" w:rsidRPr="000365ED">
        <w:rPr>
          <w:rFonts w:ascii="Times New Roman" w:hAnsi="Times New Roman" w:cs="Times New Roman"/>
          <w:lang w:val="en-GB"/>
        </w:rPr>
        <w:t xml:space="preserve">, </w:t>
      </w:r>
      <w:r w:rsidR="00F52000" w:rsidRPr="000365ED">
        <w:rPr>
          <w:rFonts w:ascii="Times New Roman" w:hAnsi="Times New Roman" w:cs="Times New Roman"/>
          <w:i/>
          <w:iCs/>
          <w:lang w:val="en-GB"/>
        </w:rPr>
        <w:t>21</w:t>
      </w:r>
      <w:r w:rsidR="00F52000" w:rsidRPr="000365ED">
        <w:rPr>
          <w:rFonts w:ascii="Times New Roman" w:hAnsi="Times New Roman" w:cs="Times New Roman"/>
          <w:lang w:val="en-GB"/>
        </w:rPr>
        <w:t>, 298–305. Scopus. https://doi.org/10.46542/PE.2021.211.298305</w:t>
      </w:r>
    </w:p>
    <w:p w14:paraId="399C90CF"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Abubakar, U., &amp; Tangiisuran, B. (2020). Nationwide survey of pharmacists’ involvement in antimicrobial stewardship programs in Nigerian tertiary hospitals. </w:t>
      </w:r>
      <w:r w:rsidRPr="000365ED">
        <w:rPr>
          <w:rFonts w:ascii="Times New Roman" w:hAnsi="Times New Roman" w:cs="Times New Roman"/>
          <w:i/>
          <w:iCs/>
          <w:lang w:val="en-GB"/>
        </w:rPr>
        <w:t>Journal of Global Antimicrobial Resistance</w:t>
      </w:r>
      <w:r w:rsidRPr="000365ED">
        <w:rPr>
          <w:rFonts w:ascii="Times New Roman" w:hAnsi="Times New Roman" w:cs="Times New Roman"/>
          <w:lang w:val="en-GB"/>
        </w:rPr>
        <w:t xml:space="preserve">, </w:t>
      </w:r>
      <w:r w:rsidRPr="000365ED">
        <w:rPr>
          <w:rFonts w:ascii="Times New Roman" w:hAnsi="Times New Roman" w:cs="Times New Roman"/>
          <w:i/>
          <w:iCs/>
          <w:lang w:val="en-GB"/>
        </w:rPr>
        <w:t>21</w:t>
      </w:r>
      <w:r w:rsidRPr="000365ED">
        <w:rPr>
          <w:rFonts w:ascii="Times New Roman" w:hAnsi="Times New Roman" w:cs="Times New Roman"/>
          <w:lang w:val="en-GB"/>
        </w:rPr>
        <w:t>, 148–153. Scopus. https://doi.org/10.1016/j.jgar.2019.10.007</w:t>
      </w:r>
    </w:p>
    <w:p w14:paraId="466C1FE7"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Adebayo, E. T., &amp; Hussain, N. A. (2010). Pattern of prescription drug use in Nigerian army hospitals. </w:t>
      </w:r>
      <w:r w:rsidRPr="000365ED">
        <w:rPr>
          <w:rFonts w:ascii="Times New Roman" w:hAnsi="Times New Roman" w:cs="Times New Roman"/>
          <w:i/>
          <w:iCs/>
          <w:lang w:val="en-GB"/>
        </w:rPr>
        <w:t>Annals of African Medicine</w:t>
      </w:r>
      <w:r w:rsidRPr="000365ED">
        <w:rPr>
          <w:rFonts w:ascii="Times New Roman" w:hAnsi="Times New Roman" w:cs="Times New Roman"/>
          <w:lang w:val="en-GB"/>
        </w:rPr>
        <w:t xml:space="preserve">, </w:t>
      </w:r>
      <w:r w:rsidRPr="000365ED">
        <w:rPr>
          <w:rFonts w:ascii="Times New Roman" w:hAnsi="Times New Roman" w:cs="Times New Roman"/>
          <w:i/>
          <w:iCs/>
          <w:lang w:val="en-GB"/>
        </w:rPr>
        <w:t>9</w:t>
      </w:r>
      <w:r w:rsidRPr="000365ED">
        <w:rPr>
          <w:rFonts w:ascii="Times New Roman" w:hAnsi="Times New Roman" w:cs="Times New Roman"/>
          <w:lang w:val="en-GB"/>
        </w:rPr>
        <w:t>(3), Article 3. https://www.ajol.info/index.php/aam/article/view/67103</w:t>
      </w:r>
    </w:p>
    <w:p w14:paraId="3D10BE6E"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Adisa, R., Orherhe, O. M., &amp; Fakeye, T. O. (2018). Evaluation of antibiotic prescriptions and use in under-five children in ibadan, southwestern nigeria. </w:t>
      </w:r>
      <w:r w:rsidRPr="000365ED">
        <w:rPr>
          <w:rFonts w:ascii="Times New Roman" w:hAnsi="Times New Roman" w:cs="Times New Roman"/>
          <w:i/>
          <w:iCs/>
          <w:lang w:val="en-GB"/>
        </w:rPr>
        <w:t>African Health Sciences</w:t>
      </w:r>
      <w:r w:rsidRPr="000365ED">
        <w:rPr>
          <w:rFonts w:ascii="Times New Roman" w:hAnsi="Times New Roman" w:cs="Times New Roman"/>
          <w:lang w:val="en-GB"/>
        </w:rPr>
        <w:t xml:space="preserve">, </w:t>
      </w:r>
      <w:r w:rsidRPr="000365ED">
        <w:rPr>
          <w:rFonts w:ascii="Times New Roman" w:hAnsi="Times New Roman" w:cs="Times New Roman"/>
          <w:i/>
          <w:iCs/>
          <w:lang w:val="en-GB"/>
        </w:rPr>
        <w:t>18</w:t>
      </w:r>
      <w:r w:rsidRPr="000365ED">
        <w:rPr>
          <w:rFonts w:ascii="Times New Roman" w:hAnsi="Times New Roman" w:cs="Times New Roman"/>
          <w:lang w:val="en-GB"/>
        </w:rPr>
        <w:t>(4), 1189–1201. Scopus. https://doi.org/10.4314/AHS.V18I4.40</w:t>
      </w:r>
    </w:p>
    <w:p w14:paraId="46664FD0"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Afari-Asiedu, S., Hulscher, M., Abdulai, M. A., Boamah-Kaali, E., Wertheim, H. F. L., &amp; Asante, K. P. (2021). Stakeholders’ perspectives on training over the counter medicine sellers and Community-based Health Planning and Services facilities to </w:t>
      </w:r>
      <w:r w:rsidRPr="000365ED">
        <w:rPr>
          <w:rFonts w:ascii="Times New Roman" w:hAnsi="Times New Roman" w:cs="Times New Roman"/>
          <w:lang w:val="en-GB"/>
        </w:rPr>
        <w:lastRenderedPageBreak/>
        <w:t xml:space="preserve">dispense antibiotics in Ghana. </w:t>
      </w:r>
      <w:r w:rsidRPr="000365ED">
        <w:rPr>
          <w:rFonts w:ascii="Times New Roman" w:hAnsi="Times New Roman" w:cs="Times New Roman"/>
          <w:i/>
          <w:iCs/>
          <w:lang w:val="en-GB"/>
        </w:rPr>
        <w:t>Journal of Pharmaceutical Policy and Practice</w:t>
      </w:r>
      <w:r w:rsidRPr="000365ED">
        <w:rPr>
          <w:rFonts w:ascii="Times New Roman" w:hAnsi="Times New Roman" w:cs="Times New Roman"/>
          <w:lang w:val="en-GB"/>
        </w:rPr>
        <w:t xml:space="preserve">, </w:t>
      </w:r>
      <w:r w:rsidRPr="000365ED">
        <w:rPr>
          <w:rFonts w:ascii="Times New Roman" w:hAnsi="Times New Roman" w:cs="Times New Roman"/>
          <w:i/>
          <w:iCs/>
          <w:lang w:val="en-GB"/>
        </w:rPr>
        <w:t>14</w:t>
      </w:r>
      <w:r w:rsidRPr="000365ED">
        <w:rPr>
          <w:rFonts w:ascii="Times New Roman" w:hAnsi="Times New Roman" w:cs="Times New Roman"/>
          <w:lang w:val="en-GB"/>
        </w:rPr>
        <w:t>(1). Scopus. https://doi.org/10.1186/s40545-021-00349-0</w:t>
      </w:r>
    </w:p>
    <w:p w14:paraId="5E10ADD6"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Aika, I. N., &amp; Enato, E. (2022). Health care systems administrators perspectives on antimicrobial stewardship and infection prevention and control programs across three healthcare levels: A qualitative study. </w:t>
      </w:r>
      <w:r w:rsidRPr="000365ED">
        <w:rPr>
          <w:rFonts w:ascii="Times New Roman" w:hAnsi="Times New Roman" w:cs="Times New Roman"/>
          <w:i/>
          <w:iCs/>
          <w:lang w:val="en-GB"/>
        </w:rPr>
        <w:t>Antimicrobial Resistance &amp; Infection Control</w:t>
      </w:r>
      <w:r w:rsidRPr="000365ED">
        <w:rPr>
          <w:rFonts w:ascii="Times New Roman" w:hAnsi="Times New Roman" w:cs="Times New Roman"/>
          <w:lang w:val="en-GB"/>
        </w:rPr>
        <w:t xml:space="preserve">, </w:t>
      </w:r>
      <w:r w:rsidRPr="000365ED">
        <w:rPr>
          <w:rFonts w:ascii="Times New Roman" w:hAnsi="Times New Roman" w:cs="Times New Roman"/>
          <w:i/>
          <w:iCs/>
          <w:lang w:val="en-GB"/>
        </w:rPr>
        <w:t>11</w:t>
      </w:r>
      <w:r w:rsidRPr="000365ED">
        <w:rPr>
          <w:rFonts w:ascii="Times New Roman" w:hAnsi="Times New Roman" w:cs="Times New Roman"/>
          <w:lang w:val="en-GB"/>
        </w:rPr>
        <w:t>(1), 157. https://doi.org/10.1186/s13756-022-01196-7</w:t>
      </w:r>
    </w:p>
    <w:p w14:paraId="40E9CB53"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Amponsah, O. K. O., Ayisi-Boateng, N. K., Nagaraja, S. B., Nair, D., Muradyan, K., Hedidor, G. K., Labi, A.-K., Opare-Addo, M. N. A., Sarkodie, E., &amp; Buabeng, K. O. (2022). Adherence to Prescribing Indicators at a District Hospital in Ghana: Do We Match WHO Standards? </w:t>
      </w:r>
      <w:r w:rsidRPr="000365ED">
        <w:rPr>
          <w:rFonts w:ascii="Times New Roman" w:hAnsi="Times New Roman" w:cs="Times New Roman"/>
          <w:i/>
          <w:iCs/>
          <w:lang w:val="en-GB"/>
        </w:rPr>
        <w:t>International Journal of Environmental Research and Public Health</w:t>
      </w:r>
      <w:r w:rsidRPr="000365ED">
        <w:rPr>
          <w:rFonts w:ascii="Times New Roman" w:hAnsi="Times New Roman" w:cs="Times New Roman"/>
          <w:lang w:val="en-GB"/>
        </w:rPr>
        <w:t xml:space="preserve">, </w:t>
      </w:r>
      <w:r w:rsidRPr="000365ED">
        <w:rPr>
          <w:rFonts w:ascii="Times New Roman" w:hAnsi="Times New Roman" w:cs="Times New Roman"/>
          <w:i/>
          <w:iCs/>
          <w:lang w:val="en-GB"/>
        </w:rPr>
        <w:t>19</w:t>
      </w:r>
      <w:r w:rsidRPr="000365ED">
        <w:rPr>
          <w:rFonts w:ascii="Times New Roman" w:hAnsi="Times New Roman" w:cs="Times New Roman"/>
          <w:lang w:val="en-GB"/>
        </w:rPr>
        <w:t>(19), Article 19. https://doi.org/10.3390/ijerph191912260</w:t>
      </w:r>
    </w:p>
    <w:p w14:paraId="642A0E29"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Amponsah, O. K. O., Buabeng, K. O., Owusu-Ofori, A., Ayisi-Boateng, N. K., Hämeen-Anttila, K., &amp; Enlund, H. (2021). Point prevalence survey of antibiotic consumption across three hospitals in Ghana. </w:t>
      </w:r>
      <w:r w:rsidRPr="000365ED">
        <w:rPr>
          <w:rFonts w:ascii="Times New Roman" w:hAnsi="Times New Roman" w:cs="Times New Roman"/>
          <w:i/>
          <w:iCs/>
          <w:lang w:val="en-GB"/>
        </w:rPr>
        <w:t>JAC-Antimicrobial Resistance</w:t>
      </w:r>
      <w:r w:rsidRPr="000365ED">
        <w:rPr>
          <w:rFonts w:ascii="Times New Roman" w:hAnsi="Times New Roman" w:cs="Times New Roman"/>
          <w:lang w:val="en-GB"/>
        </w:rPr>
        <w:t xml:space="preserve">, </w:t>
      </w:r>
      <w:r w:rsidRPr="000365ED">
        <w:rPr>
          <w:rFonts w:ascii="Times New Roman" w:hAnsi="Times New Roman" w:cs="Times New Roman"/>
          <w:i/>
          <w:iCs/>
          <w:lang w:val="en-GB"/>
        </w:rPr>
        <w:t>3</w:t>
      </w:r>
      <w:r w:rsidRPr="000365ED">
        <w:rPr>
          <w:rFonts w:ascii="Times New Roman" w:hAnsi="Times New Roman" w:cs="Times New Roman"/>
          <w:lang w:val="en-GB"/>
        </w:rPr>
        <w:t>(1). Scopus. https://doi.org/10.1093/jacamr/dlab008</w:t>
      </w:r>
    </w:p>
    <w:p w14:paraId="3C6E2106"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Amponsah, O. K. O., Nagaraja, S. B., Ayisi-Boateng, N. K., Nair, D., Muradyan, K., Asense, P. S., Wusu-Ansah, O. K., Terry, R. F., Khogali, M., &amp; Buabeng, K. O. (2022). High Levels of Outpatient Antibiotic Prescription at a District Hospital in Ghana: Results of a Cross Sectional Study. </w:t>
      </w:r>
      <w:r w:rsidRPr="000365ED">
        <w:rPr>
          <w:rFonts w:ascii="Times New Roman" w:hAnsi="Times New Roman" w:cs="Times New Roman"/>
          <w:i/>
          <w:iCs/>
          <w:lang w:val="en-GB"/>
        </w:rPr>
        <w:t>International Journal of Environmental Research and Public Health</w:t>
      </w:r>
      <w:r w:rsidRPr="000365ED">
        <w:rPr>
          <w:rFonts w:ascii="Times New Roman" w:hAnsi="Times New Roman" w:cs="Times New Roman"/>
          <w:lang w:val="en-GB"/>
        </w:rPr>
        <w:t xml:space="preserve">, </w:t>
      </w:r>
      <w:r w:rsidRPr="000365ED">
        <w:rPr>
          <w:rFonts w:ascii="Times New Roman" w:hAnsi="Times New Roman" w:cs="Times New Roman"/>
          <w:i/>
          <w:iCs/>
          <w:lang w:val="en-GB"/>
        </w:rPr>
        <w:t>19</w:t>
      </w:r>
      <w:r w:rsidRPr="000365ED">
        <w:rPr>
          <w:rFonts w:ascii="Times New Roman" w:hAnsi="Times New Roman" w:cs="Times New Roman"/>
          <w:lang w:val="en-GB"/>
        </w:rPr>
        <w:t>(16), Article 16. https://doi.org/10.3390/ijerph191610286</w:t>
      </w:r>
    </w:p>
    <w:p w14:paraId="67F5ACC2"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Amponsah, O. K. O., Owusu-Ofori, A., Ayisi-Boateng, N. K., Attakorah, J., Opare-Addo, M. N. A., &amp; Buabeng, K. O. (2022). Antimicrobial stewardship capacity and infection prevention and control assessment of three health facilities in the Ashanti Region of Ghana. </w:t>
      </w:r>
      <w:r w:rsidRPr="000365ED">
        <w:rPr>
          <w:rFonts w:ascii="Times New Roman" w:hAnsi="Times New Roman" w:cs="Times New Roman"/>
          <w:i/>
          <w:iCs/>
          <w:lang w:val="en-GB"/>
        </w:rPr>
        <w:t>JAC-Antimicrobial Resistance</w:t>
      </w:r>
      <w:r w:rsidRPr="000365ED">
        <w:rPr>
          <w:rFonts w:ascii="Times New Roman" w:hAnsi="Times New Roman" w:cs="Times New Roman"/>
          <w:lang w:val="en-GB"/>
        </w:rPr>
        <w:t xml:space="preserve">, </w:t>
      </w:r>
      <w:r w:rsidRPr="000365ED">
        <w:rPr>
          <w:rFonts w:ascii="Times New Roman" w:hAnsi="Times New Roman" w:cs="Times New Roman"/>
          <w:i/>
          <w:iCs/>
          <w:lang w:val="en-GB"/>
        </w:rPr>
        <w:t>4</w:t>
      </w:r>
      <w:r w:rsidRPr="000365ED">
        <w:rPr>
          <w:rFonts w:ascii="Times New Roman" w:hAnsi="Times New Roman" w:cs="Times New Roman"/>
          <w:lang w:val="en-GB"/>
        </w:rPr>
        <w:t>(2). Scopus. https://doi.org/10.1093/jacamr/dlac034</w:t>
      </w:r>
    </w:p>
    <w:p w14:paraId="56F1768D"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Asaolu, I., Kram, N., Ajala, C., Aquaisua, E., Asaolu, A., Kato-Lagumbay, K., Abuh, A., Bernand, M., &amp; Ehiri, J. (2021). “Antibiotics Can Work as a Contraceptive:” Contraceptive Knowledge and Use Among University Students in Calabar, Nigeria. </w:t>
      </w:r>
      <w:r w:rsidRPr="000365ED">
        <w:rPr>
          <w:rFonts w:ascii="Times New Roman" w:hAnsi="Times New Roman" w:cs="Times New Roman"/>
          <w:i/>
          <w:iCs/>
          <w:lang w:val="en-GB"/>
        </w:rPr>
        <w:t>Frontiers in Reproductive Health</w:t>
      </w:r>
      <w:r w:rsidRPr="000365ED">
        <w:rPr>
          <w:rFonts w:ascii="Times New Roman" w:hAnsi="Times New Roman" w:cs="Times New Roman"/>
          <w:lang w:val="en-GB"/>
        </w:rPr>
        <w:t xml:space="preserve">, </w:t>
      </w:r>
      <w:r w:rsidRPr="000365ED">
        <w:rPr>
          <w:rFonts w:ascii="Times New Roman" w:hAnsi="Times New Roman" w:cs="Times New Roman"/>
          <w:i/>
          <w:iCs/>
          <w:lang w:val="en-GB"/>
        </w:rPr>
        <w:t>3</w:t>
      </w:r>
      <w:r w:rsidRPr="000365ED">
        <w:rPr>
          <w:rFonts w:ascii="Times New Roman" w:hAnsi="Times New Roman" w:cs="Times New Roman"/>
          <w:lang w:val="en-GB"/>
        </w:rPr>
        <w:t>. Scopus. https://doi.org/10.3389/frph.2021.665653</w:t>
      </w:r>
    </w:p>
    <w:p w14:paraId="085DE488"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Ashiru-Oredope, D., Garraghan, F., Olaoye, O., Krockow, E. M., Matuluko, A., Nambatya, W., Babigumira, P. A., Tuck, C., Amofah, G., Ankrah, D., Barrett, S., Benedict, P., Boaitey, K. P., Buabeng, K. O., Cavanagh, S., Charani, E., Chikatula, E., Ghebrehewet, S., Islam, J., … Skone-James, R. (2022). Development and Implementation of an Antimicrobial Stewardship Checklist in Sub-Saharan Africa: A Co-Creation Consensus Approach. </w:t>
      </w:r>
      <w:r w:rsidRPr="000365ED">
        <w:rPr>
          <w:rFonts w:ascii="Times New Roman" w:hAnsi="Times New Roman" w:cs="Times New Roman"/>
          <w:i/>
          <w:iCs/>
          <w:lang w:val="en-GB"/>
        </w:rPr>
        <w:t>Healthcare (Switzerland)</w:t>
      </w:r>
      <w:r w:rsidRPr="000365ED">
        <w:rPr>
          <w:rFonts w:ascii="Times New Roman" w:hAnsi="Times New Roman" w:cs="Times New Roman"/>
          <w:lang w:val="en-GB"/>
        </w:rPr>
        <w:t xml:space="preserve">, </w:t>
      </w:r>
      <w:r w:rsidRPr="000365ED">
        <w:rPr>
          <w:rFonts w:ascii="Times New Roman" w:hAnsi="Times New Roman" w:cs="Times New Roman"/>
          <w:i/>
          <w:iCs/>
          <w:lang w:val="en-GB"/>
        </w:rPr>
        <w:t>10</w:t>
      </w:r>
      <w:r w:rsidRPr="000365ED">
        <w:rPr>
          <w:rFonts w:ascii="Times New Roman" w:hAnsi="Times New Roman" w:cs="Times New Roman"/>
          <w:lang w:val="en-GB"/>
        </w:rPr>
        <w:t>(9). Scopus. https://doi.org/10.3390/healthcare10091706</w:t>
      </w:r>
    </w:p>
    <w:p w14:paraId="1514D8B3"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Aulakh, A., Idoko, P., Anderson, S. T., &amp; Graham, W. (2018). Caesarean section wound infections and antibiotic use: A retrospective case-series in a tertiary referral hospital in The Gambia. </w:t>
      </w:r>
      <w:r w:rsidRPr="000365ED">
        <w:rPr>
          <w:rFonts w:ascii="Times New Roman" w:hAnsi="Times New Roman" w:cs="Times New Roman"/>
          <w:i/>
          <w:iCs/>
          <w:lang w:val="en-GB"/>
        </w:rPr>
        <w:t>Tropical Doctor</w:t>
      </w:r>
      <w:r w:rsidRPr="000365ED">
        <w:rPr>
          <w:rFonts w:ascii="Times New Roman" w:hAnsi="Times New Roman" w:cs="Times New Roman"/>
          <w:lang w:val="en-GB"/>
        </w:rPr>
        <w:t xml:space="preserve">, </w:t>
      </w:r>
      <w:r w:rsidRPr="000365ED">
        <w:rPr>
          <w:rFonts w:ascii="Times New Roman" w:hAnsi="Times New Roman" w:cs="Times New Roman"/>
          <w:i/>
          <w:iCs/>
          <w:lang w:val="en-GB"/>
        </w:rPr>
        <w:t>48</w:t>
      </w:r>
      <w:r w:rsidRPr="000365ED">
        <w:rPr>
          <w:rFonts w:ascii="Times New Roman" w:hAnsi="Times New Roman" w:cs="Times New Roman"/>
          <w:lang w:val="en-GB"/>
        </w:rPr>
        <w:t>(3), 192–199. https://doi.org/10.1177/0049475517739539</w:t>
      </w:r>
    </w:p>
    <w:p w14:paraId="5BCA13B5"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Awuor, A. O., Ogwel, B., Powell, H., Verani, J. R., Sow, S. O., Hossain, M. J., Ochieng, J. B., Juma, J., Jamka, L. P., Roose, A., Doh, S., Deichsel, E. L., Onwuchekwa, U., Keita, A. M., Antonio, M., Jones, J. C. M., Zaman, S. M. A., Badji, H., Kasumba, I. N., … Kotloff, K. L. (2023). Antibiotic-Prescribing Practices for Management of Childhood Diarrhea in 3 Sub-Saharan African Countries: Findings From the Vaccine Impact on Diarrhea in Africa (VIDA) Study, 2015–2018. </w:t>
      </w:r>
      <w:r w:rsidRPr="000365ED">
        <w:rPr>
          <w:rFonts w:ascii="Times New Roman" w:hAnsi="Times New Roman" w:cs="Times New Roman"/>
          <w:i/>
          <w:iCs/>
          <w:lang w:val="en-GB"/>
        </w:rPr>
        <w:t>Clinical Infectious Diseases</w:t>
      </w:r>
      <w:r w:rsidRPr="000365ED">
        <w:rPr>
          <w:rFonts w:ascii="Times New Roman" w:hAnsi="Times New Roman" w:cs="Times New Roman"/>
          <w:lang w:val="en-GB"/>
        </w:rPr>
        <w:t xml:space="preserve">, </w:t>
      </w:r>
      <w:r w:rsidRPr="000365ED">
        <w:rPr>
          <w:rFonts w:ascii="Times New Roman" w:hAnsi="Times New Roman" w:cs="Times New Roman"/>
          <w:i/>
          <w:iCs/>
          <w:lang w:val="en-GB"/>
        </w:rPr>
        <w:t>76</w:t>
      </w:r>
      <w:r w:rsidRPr="000365ED">
        <w:rPr>
          <w:rFonts w:ascii="Times New Roman" w:hAnsi="Times New Roman" w:cs="Times New Roman"/>
          <w:lang w:val="en-GB"/>
        </w:rPr>
        <w:t>(Supplement_1), S32–S40. https://doi.org/10.1093/cid/ciac980</w:t>
      </w:r>
    </w:p>
    <w:p w14:paraId="7262E7EF"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Ayele, Y., &amp; Taye, H. (2018). Antibiotic utilization pattern for surgical site infection prophylaxis at Dil Chora Referral Hospital Surgical Ward, Dire Dawa, Eastern </w:t>
      </w:r>
      <w:r w:rsidRPr="000365ED">
        <w:rPr>
          <w:rFonts w:ascii="Times New Roman" w:hAnsi="Times New Roman" w:cs="Times New Roman"/>
          <w:lang w:val="en-GB"/>
        </w:rPr>
        <w:lastRenderedPageBreak/>
        <w:t xml:space="preserve">Ethiopia. </w:t>
      </w:r>
      <w:r w:rsidRPr="000365ED">
        <w:rPr>
          <w:rFonts w:ascii="Times New Roman" w:hAnsi="Times New Roman" w:cs="Times New Roman"/>
          <w:i/>
          <w:iCs/>
          <w:lang w:val="en-GB"/>
        </w:rPr>
        <w:t>BMC Research Notes</w:t>
      </w:r>
      <w:r w:rsidRPr="000365ED">
        <w:rPr>
          <w:rFonts w:ascii="Times New Roman" w:hAnsi="Times New Roman" w:cs="Times New Roman"/>
          <w:lang w:val="en-GB"/>
        </w:rPr>
        <w:t xml:space="preserve">, </w:t>
      </w:r>
      <w:r w:rsidRPr="000365ED">
        <w:rPr>
          <w:rFonts w:ascii="Times New Roman" w:hAnsi="Times New Roman" w:cs="Times New Roman"/>
          <w:i/>
          <w:iCs/>
          <w:lang w:val="en-GB"/>
        </w:rPr>
        <w:t>11</w:t>
      </w:r>
      <w:r w:rsidRPr="000365ED">
        <w:rPr>
          <w:rFonts w:ascii="Times New Roman" w:hAnsi="Times New Roman" w:cs="Times New Roman"/>
          <w:lang w:val="en-GB"/>
        </w:rPr>
        <w:t>(1), 537. https://doi.org/10.1186/s13104-018-3629-6</w:t>
      </w:r>
    </w:p>
    <w:p w14:paraId="5768AC37"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Balayssac, J. E., Djadji, L. T. A., Aimé, B. N., Silue, A. N. G., Tia, E. G., &amp; Eholié, S. P. (2023). Targeted Pharmaceutical Analysis of Antibiotic Use by Risk Criteria in Patients Hospitalized in the Infectious and Tropical Diseases Department at Treichville Teaching Hospital (Abidjan, Côte d’Ivoire). </w:t>
      </w:r>
      <w:r w:rsidRPr="000365ED">
        <w:rPr>
          <w:rFonts w:ascii="Times New Roman" w:hAnsi="Times New Roman" w:cs="Times New Roman"/>
          <w:i/>
          <w:iCs/>
          <w:lang w:val="en-GB"/>
        </w:rPr>
        <w:t>Biomedical and Pharmacology Journal</w:t>
      </w:r>
      <w:r w:rsidRPr="000365ED">
        <w:rPr>
          <w:rFonts w:ascii="Times New Roman" w:hAnsi="Times New Roman" w:cs="Times New Roman"/>
          <w:lang w:val="en-GB"/>
        </w:rPr>
        <w:t xml:space="preserve">, </w:t>
      </w:r>
      <w:r w:rsidRPr="000365ED">
        <w:rPr>
          <w:rFonts w:ascii="Times New Roman" w:hAnsi="Times New Roman" w:cs="Times New Roman"/>
          <w:i/>
          <w:iCs/>
          <w:lang w:val="en-GB"/>
        </w:rPr>
        <w:t>16</w:t>
      </w:r>
      <w:r w:rsidRPr="000365ED">
        <w:rPr>
          <w:rFonts w:ascii="Times New Roman" w:hAnsi="Times New Roman" w:cs="Times New Roman"/>
          <w:lang w:val="en-GB"/>
        </w:rPr>
        <w:t>(3), 1491–1504. Scopus. https://doi.org/10.13005/bpj/2727</w:t>
      </w:r>
    </w:p>
    <w:p w14:paraId="65A3A580"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Bediako-Bowan, A. A. A., Owusu, E., Labi, A.-K., Obeng-Nkrumah, N., Sunkwa-Mills, G., Bjerrum, S., Opintan, J. A., Bannerman, C., Mølbak, K., Kurtzhals, Jø. A. L., &amp; Newman, M. J. (2019). Antibiotic use in surgical units of selected hospitals in Ghana: A multi-centre point prevalence survey. </w:t>
      </w:r>
      <w:r w:rsidRPr="000365ED">
        <w:rPr>
          <w:rFonts w:ascii="Times New Roman" w:hAnsi="Times New Roman" w:cs="Times New Roman"/>
          <w:i/>
          <w:iCs/>
          <w:lang w:val="en-GB"/>
        </w:rPr>
        <w:t>BMC Public Health</w:t>
      </w:r>
      <w:r w:rsidRPr="000365ED">
        <w:rPr>
          <w:rFonts w:ascii="Times New Roman" w:hAnsi="Times New Roman" w:cs="Times New Roman"/>
          <w:lang w:val="en-GB"/>
        </w:rPr>
        <w:t xml:space="preserve">, </w:t>
      </w:r>
      <w:r w:rsidRPr="000365ED">
        <w:rPr>
          <w:rFonts w:ascii="Times New Roman" w:hAnsi="Times New Roman" w:cs="Times New Roman"/>
          <w:i/>
          <w:iCs/>
          <w:lang w:val="en-GB"/>
        </w:rPr>
        <w:t>19</w:t>
      </w:r>
      <w:r w:rsidRPr="000365ED">
        <w:rPr>
          <w:rFonts w:ascii="Times New Roman" w:hAnsi="Times New Roman" w:cs="Times New Roman"/>
          <w:lang w:val="en-GB"/>
        </w:rPr>
        <w:t>(1). Scopus. https://doi.org/10.1186/s12889-019-7162-x</w:t>
      </w:r>
    </w:p>
    <w:p w14:paraId="52111270"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Bekoe, S. O., Ahiabu, M.-A., Orman, E., Tersbøl, B. P., Adosraku, R. K., Hansen, M., Frimodt-Moller, N., &amp; Styrishave, B. (2020). Exposure of consumers to substandard antibiotics from selected authorised and unauthorised medicine sales outlets in Ghana. </w:t>
      </w:r>
      <w:r w:rsidRPr="000365ED">
        <w:rPr>
          <w:rFonts w:ascii="Times New Roman" w:hAnsi="Times New Roman" w:cs="Times New Roman"/>
          <w:i/>
          <w:iCs/>
          <w:lang w:val="en-GB"/>
        </w:rPr>
        <w:t>Tropical Medicine and International Health</w:t>
      </w:r>
      <w:r w:rsidRPr="000365ED">
        <w:rPr>
          <w:rFonts w:ascii="Times New Roman" w:hAnsi="Times New Roman" w:cs="Times New Roman"/>
          <w:lang w:val="en-GB"/>
        </w:rPr>
        <w:t xml:space="preserve">, </w:t>
      </w:r>
      <w:r w:rsidRPr="000365ED">
        <w:rPr>
          <w:rFonts w:ascii="Times New Roman" w:hAnsi="Times New Roman" w:cs="Times New Roman"/>
          <w:i/>
          <w:iCs/>
          <w:lang w:val="en-GB"/>
        </w:rPr>
        <w:t>25</w:t>
      </w:r>
      <w:r w:rsidRPr="000365ED">
        <w:rPr>
          <w:rFonts w:ascii="Times New Roman" w:hAnsi="Times New Roman" w:cs="Times New Roman"/>
          <w:lang w:val="en-GB"/>
        </w:rPr>
        <w:t>(8), 962–975. Scopus. https://doi.org/10.1111/tmi.13442</w:t>
      </w:r>
    </w:p>
    <w:p w14:paraId="73FD44F3"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Bessat, C., Zonon, N. A., &amp; D’Acremont, V. (2019). Large-scale implementation of electronic Integrated Management of Childhood Illness (eIMCI) at the primary care level in Burkina Faso: A qualitative study on health worker perception of its medical content, usability and impact on antibiotic prescription and resistance. </w:t>
      </w:r>
      <w:r w:rsidRPr="000365ED">
        <w:rPr>
          <w:rFonts w:ascii="Times New Roman" w:hAnsi="Times New Roman" w:cs="Times New Roman"/>
          <w:i/>
          <w:iCs/>
          <w:lang w:val="en-GB"/>
        </w:rPr>
        <w:t>BMC Public Health</w:t>
      </w:r>
      <w:r w:rsidRPr="000365ED">
        <w:rPr>
          <w:rFonts w:ascii="Times New Roman" w:hAnsi="Times New Roman" w:cs="Times New Roman"/>
          <w:lang w:val="en-GB"/>
        </w:rPr>
        <w:t xml:space="preserve">, </w:t>
      </w:r>
      <w:r w:rsidRPr="000365ED">
        <w:rPr>
          <w:rFonts w:ascii="Times New Roman" w:hAnsi="Times New Roman" w:cs="Times New Roman"/>
          <w:i/>
          <w:iCs/>
          <w:lang w:val="en-GB"/>
        </w:rPr>
        <w:t>19</w:t>
      </w:r>
      <w:r w:rsidRPr="000365ED">
        <w:rPr>
          <w:rFonts w:ascii="Times New Roman" w:hAnsi="Times New Roman" w:cs="Times New Roman"/>
          <w:lang w:val="en-GB"/>
        </w:rPr>
        <w:t>(1), 449. https://doi.org/10.1186/s12889-019-6692-6</w:t>
      </w:r>
    </w:p>
    <w:p w14:paraId="564B1E8E"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Chah, J. M., Nwankwo, S. C., Uddin, I. O., &amp; Chah, K. F. (2022). Knowledge and practices regarding antibiotic use among small-scale poultry farmers in Enugu State, Nigeria. </w:t>
      </w:r>
      <w:r w:rsidRPr="000365ED">
        <w:rPr>
          <w:rFonts w:ascii="Times New Roman" w:hAnsi="Times New Roman" w:cs="Times New Roman"/>
          <w:i/>
          <w:iCs/>
          <w:lang w:val="en-GB"/>
        </w:rPr>
        <w:t>Heliyon</w:t>
      </w:r>
      <w:r w:rsidRPr="000365ED">
        <w:rPr>
          <w:rFonts w:ascii="Times New Roman" w:hAnsi="Times New Roman" w:cs="Times New Roman"/>
          <w:lang w:val="en-GB"/>
        </w:rPr>
        <w:t xml:space="preserve">, </w:t>
      </w:r>
      <w:r w:rsidRPr="000365ED">
        <w:rPr>
          <w:rFonts w:ascii="Times New Roman" w:hAnsi="Times New Roman" w:cs="Times New Roman"/>
          <w:i/>
          <w:iCs/>
          <w:lang w:val="en-GB"/>
        </w:rPr>
        <w:t>8</w:t>
      </w:r>
      <w:r w:rsidRPr="000365ED">
        <w:rPr>
          <w:rFonts w:ascii="Times New Roman" w:hAnsi="Times New Roman" w:cs="Times New Roman"/>
          <w:lang w:val="en-GB"/>
        </w:rPr>
        <w:t>(4). Scopus. https://doi.org/10.1016/j.heliyon.2022.e09342</w:t>
      </w:r>
    </w:p>
    <w:p w14:paraId="1AE0063B"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Charani, E., Smith, I., Skodvin, B., Perozziello, A., Lucet, J.-C., Lescure, F.-X., Birgand, G., Poda, A., Ahmad, R., &amp; Singh, S. (2019). Investigating the cultural and contextual determinants of antimicrobial stewardship programmes across low-, middle-and high-income countries—A qualitative study. </w:t>
      </w:r>
      <w:r w:rsidRPr="000365ED">
        <w:rPr>
          <w:rFonts w:ascii="Times New Roman" w:hAnsi="Times New Roman" w:cs="Times New Roman"/>
          <w:i/>
          <w:iCs/>
          <w:lang w:val="en-GB"/>
        </w:rPr>
        <w:t>PloS One</w:t>
      </w:r>
      <w:r w:rsidRPr="000365ED">
        <w:rPr>
          <w:rFonts w:ascii="Times New Roman" w:hAnsi="Times New Roman" w:cs="Times New Roman"/>
          <w:lang w:val="en-GB"/>
        </w:rPr>
        <w:t xml:space="preserve">, </w:t>
      </w:r>
      <w:r w:rsidRPr="000365ED">
        <w:rPr>
          <w:rFonts w:ascii="Times New Roman" w:hAnsi="Times New Roman" w:cs="Times New Roman"/>
          <w:i/>
          <w:iCs/>
          <w:lang w:val="en-GB"/>
        </w:rPr>
        <w:t>14</w:t>
      </w:r>
      <w:r w:rsidRPr="000365ED">
        <w:rPr>
          <w:rFonts w:ascii="Times New Roman" w:hAnsi="Times New Roman" w:cs="Times New Roman"/>
          <w:lang w:val="en-GB"/>
        </w:rPr>
        <w:t>(1), e0209847.</w:t>
      </w:r>
    </w:p>
    <w:p w14:paraId="1F5BB457"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Chukwu, E. E., Abuh, D., Idigbe, I. E., Osuolale, K. A., Chuka-Ebene, V., Awoderu, O., Audu, R. A., &amp; Ogunsola, F. T. (2024). Implementation of antimicrobial stewardship programs: A study of prescribers’ perspective of facilitators and barriers. </w:t>
      </w:r>
      <w:r w:rsidRPr="000365ED">
        <w:rPr>
          <w:rFonts w:ascii="Times New Roman" w:hAnsi="Times New Roman" w:cs="Times New Roman"/>
          <w:i/>
          <w:iCs/>
          <w:lang w:val="en-GB"/>
        </w:rPr>
        <w:t>Plos One</w:t>
      </w:r>
      <w:r w:rsidRPr="000365ED">
        <w:rPr>
          <w:rFonts w:ascii="Times New Roman" w:hAnsi="Times New Roman" w:cs="Times New Roman"/>
          <w:lang w:val="en-GB"/>
        </w:rPr>
        <w:t xml:space="preserve">, </w:t>
      </w:r>
      <w:r w:rsidRPr="000365ED">
        <w:rPr>
          <w:rFonts w:ascii="Times New Roman" w:hAnsi="Times New Roman" w:cs="Times New Roman"/>
          <w:i/>
          <w:iCs/>
          <w:lang w:val="en-GB"/>
        </w:rPr>
        <w:t>19</w:t>
      </w:r>
      <w:r w:rsidRPr="000365ED">
        <w:rPr>
          <w:rFonts w:ascii="Times New Roman" w:hAnsi="Times New Roman" w:cs="Times New Roman"/>
          <w:lang w:val="en-GB"/>
        </w:rPr>
        <w:t>(1), e0297472.</w:t>
      </w:r>
    </w:p>
    <w:p w14:paraId="1C223C35"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Chukwu, E. E., Oshun, P. O., Osuolale, K. A., Chuka-Ebene, V. O., Salako, A., Idigbe, I. E., Oladele, D., Audu, R. A., &amp; Ogunsola, F. T. (2021). Antimicrobial stewardship programmes in healthcare facilities in Lagos State, Nigeria: A needs assessment. </w:t>
      </w:r>
      <w:r w:rsidRPr="000365ED">
        <w:rPr>
          <w:rFonts w:ascii="Times New Roman" w:hAnsi="Times New Roman" w:cs="Times New Roman"/>
          <w:i/>
          <w:iCs/>
          <w:lang w:val="en-GB"/>
        </w:rPr>
        <w:t>Journal of Global Antimicrobial Resistance</w:t>
      </w:r>
      <w:r w:rsidRPr="000365ED">
        <w:rPr>
          <w:rFonts w:ascii="Times New Roman" w:hAnsi="Times New Roman" w:cs="Times New Roman"/>
          <w:lang w:val="en-GB"/>
        </w:rPr>
        <w:t xml:space="preserve">, </w:t>
      </w:r>
      <w:r w:rsidRPr="000365ED">
        <w:rPr>
          <w:rFonts w:ascii="Times New Roman" w:hAnsi="Times New Roman" w:cs="Times New Roman"/>
          <w:i/>
          <w:iCs/>
          <w:lang w:val="en-GB"/>
        </w:rPr>
        <w:t>25</w:t>
      </w:r>
      <w:r w:rsidRPr="000365ED">
        <w:rPr>
          <w:rFonts w:ascii="Times New Roman" w:hAnsi="Times New Roman" w:cs="Times New Roman"/>
          <w:lang w:val="en-GB"/>
        </w:rPr>
        <w:t>, 162–170. Scopus. https://doi.org/10.1016/j.jgar.2021.02.034</w:t>
      </w:r>
    </w:p>
    <w:p w14:paraId="686C857C"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Compaore, A., Ekusai-Sebatta, D., Kaawa-Mafigiri, D., Kukula, V., Odopey, S., Kapisi, J., Hopkins, H., Kiemde, F., Tinto, H., Baiden, R., Olliaro, P., Nkeramahame, J., Dittrich, S., &amp; Horgan, P. (2023). Viewpoint: Antimicrobial Resistance Diagnostics Use Accelerator: Qualitative Research on Adherence to Prescriptions. </w:t>
      </w:r>
      <w:r w:rsidRPr="000365ED">
        <w:rPr>
          <w:rFonts w:ascii="Times New Roman" w:hAnsi="Times New Roman" w:cs="Times New Roman"/>
          <w:i/>
          <w:iCs/>
          <w:lang w:val="en-GB"/>
        </w:rPr>
        <w:t>Clinical Infectious Diseases</w:t>
      </w:r>
      <w:r w:rsidRPr="000365ED">
        <w:rPr>
          <w:rFonts w:ascii="Times New Roman" w:hAnsi="Times New Roman" w:cs="Times New Roman"/>
          <w:lang w:val="en-GB"/>
        </w:rPr>
        <w:t xml:space="preserve">, </w:t>
      </w:r>
      <w:r w:rsidRPr="000365ED">
        <w:rPr>
          <w:rFonts w:ascii="Times New Roman" w:hAnsi="Times New Roman" w:cs="Times New Roman"/>
          <w:i/>
          <w:iCs/>
          <w:lang w:val="en-GB"/>
        </w:rPr>
        <w:t>77</w:t>
      </w:r>
      <w:r w:rsidRPr="000365ED">
        <w:rPr>
          <w:rFonts w:ascii="Times New Roman" w:hAnsi="Times New Roman" w:cs="Times New Roman"/>
          <w:lang w:val="en-GB"/>
        </w:rPr>
        <w:t>, S206–S210. Scopus. https://doi.org/10.1093/cid/ciad323</w:t>
      </w:r>
    </w:p>
    <w:p w14:paraId="2649C3C9"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Daniel, N., Malgwi, K. D., Umaru, B., Omeh, I. J., &amp; Sanya, L. (2021). A survey of the usage (frequency and pattern) of antibiotics at the University of Maiduguri Veterinary Teaching Hospital, Maiduguri, Borno State, Nigeria. </w:t>
      </w:r>
      <w:r w:rsidRPr="000365ED">
        <w:rPr>
          <w:rFonts w:ascii="Times New Roman" w:hAnsi="Times New Roman" w:cs="Times New Roman"/>
          <w:i/>
          <w:iCs/>
          <w:lang w:val="en-GB"/>
        </w:rPr>
        <w:t>Veterinary World</w:t>
      </w:r>
      <w:r w:rsidRPr="000365ED">
        <w:rPr>
          <w:rFonts w:ascii="Times New Roman" w:hAnsi="Times New Roman" w:cs="Times New Roman"/>
          <w:lang w:val="en-GB"/>
        </w:rPr>
        <w:t xml:space="preserve">, </w:t>
      </w:r>
      <w:r w:rsidRPr="000365ED">
        <w:rPr>
          <w:rFonts w:ascii="Times New Roman" w:hAnsi="Times New Roman" w:cs="Times New Roman"/>
          <w:i/>
          <w:iCs/>
          <w:lang w:val="en-GB"/>
        </w:rPr>
        <w:t>14</w:t>
      </w:r>
      <w:r w:rsidRPr="000365ED">
        <w:rPr>
          <w:rFonts w:ascii="Times New Roman" w:hAnsi="Times New Roman" w:cs="Times New Roman"/>
          <w:lang w:val="en-GB"/>
        </w:rPr>
        <w:t>(11), 2941–2946. Scopus. https://doi.org/10.14202/vetworld.2021.2941-2946</w:t>
      </w:r>
    </w:p>
    <w:p w14:paraId="76E8B269"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D’Arcy, N., Cloutman-Green, E., Klein, N., &amp; Spratt, D. A. (2014). Environmental viral contamination in a pediatric hospital outpatient waiting area: Implications for </w:t>
      </w:r>
      <w:r w:rsidRPr="000365ED">
        <w:rPr>
          <w:rFonts w:ascii="Times New Roman" w:hAnsi="Times New Roman" w:cs="Times New Roman"/>
          <w:lang w:val="en-GB"/>
        </w:rPr>
        <w:lastRenderedPageBreak/>
        <w:t xml:space="preserve">infection control. </w:t>
      </w:r>
      <w:r w:rsidRPr="000365ED">
        <w:rPr>
          <w:rFonts w:ascii="Times New Roman" w:hAnsi="Times New Roman" w:cs="Times New Roman"/>
          <w:i/>
          <w:iCs/>
          <w:lang w:val="en-GB"/>
        </w:rPr>
        <w:t>American Journal of Infection Control</w:t>
      </w:r>
      <w:r w:rsidRPr="000365ED">
        <w:rPr>
          <w:rFonts w:ascii="Times New Roman" w:hAnsi="Times New Roman" w:cs="Times New Roman"/>
          <w:lang w:val="en-GB"/>
        </w:rPr>
        <w:t xml:space="preserve">, </w:t>
      </w:r>
      <w:r w:rsidRPr="000365ED">
        <w:rPr>
          <w:rFonts w:ascii="Times New Roman" w:hAnsi="Times New Roman" w:cs="Times New Roman"/>
          <w:i/>
          <w:iCs/>
          <w:lang w:val="en-GB"/>
        </w:rPr>
        <w:t>42</w:t>
      </w:r>
      <w:r w:rsidRPr="000365ED">
        <w:rPr>
          <w:rFonts w:ascii="Times New Roman" w:hAnsi="Times New Roman" w:cs="Times New Roman"/>
          <w:lang w:val="en-GB"/>
        </w:rPr>
        <w:t>(8), 856–860. https://doi.org/10.1016/j.ajic.2014.04.014</w:t>
      </w:r>
    </w:p>
    <w:p w14:paraId="58114F6B"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Dodoo, C. C., Orman, E., Alalbila, T., Mensah, A., Jato, J., Mfoafo, K. A., Folitse, I., Hutton-Nyameaye, A., Ben, I. O., Mensah-Kane, P., Sarkodie, E., Kpokiri, E., Ladva, M., Awadzi, B., &amp; Jani, Y. (2021). Antimicrobial prescription pattern in ho teaching hospital, ghana: Seasonal determination using a point prevalence survey. </w:t>
      </w:r>
      <w:r w:rsidRPr="000365ED">
        <w:rPr>
          <w:rFonts w:ascii="Times New Roman" w:hAnsi="Times New Roman" w:cs="Times New Roman"/>
          <w:i/>
          <w:iCs/>
          <w:lang w:val="en-GB"/>
        </w:rPr>
        <w:t>Antibiotics</w:t>
      </w:r>
      <w:r w:rsidRPr="000365ED">
        <w:rPr>
          <w:rFonts w:ascii="Times New Roman" w:hAnsi="Times New Roman" w:cs="Times New Roman"/>
          <w:lang w:val="en-GB"/>
        </w:rPr>
        <w:t xml:space="preserve">, </w:t>
      </w:r>
      <w:r w:rsidRPr="000365ED">
        <w:rPr>
          <w:rFonts w:ascii="Times New Roman" w:hAnsi="Times New Roman" w:cs="Times New Roman"/>
          <w:i/>
          <w:iCs/>
          <w:lang w:val="en-GB"/>
        </w:rPr>
        <w:t>10</w:t>
      </w:r>
      <w:r w:rsidRPr="000365ED">
        <w:rPr>
          <w:rFonts w:ascii="Times New Roman" w:hAnsi="Times New Roman" w:cs="Times New Roman"/>
          <w:lang w:val="en-GB"/>
        </w:rPr>
        <w:t>(2), 1–11. Scopus. https://doi.org/10.3390/antibiotics10020199</w:t>
      </w:r>
    </w:p>
    <w:p w14:paraId="2B209DA7"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Dohou, A. M., Buda, V. O., Anagonou, S., Bambeke, F. V., Hees, T. V., Dossou, F. M., &amp; Dalleur, O. (2022). Healthcare Professionals’ Knowledge and Beliefs on Antibiotic Prophylaxis in Cesarean Section: A Mixed-Methods Study in Benin. </w:t>
      </w:r>
      <w:r w:rsidRPr="000365ED">
        <w:rPr>
          <w:rFonts w:ascii="Times New Roman" w:hAnsi="Times New Roman" w:cs="Times New Roman"/>
          <w:i/>
          <w:iCs/>
          <w:lang w:val="en-GB"/>
        </w:rPr>
        <w:t>Antibiotics</w:t>
      </w:r>
      <w:r w:rsidRPr="000365ED">
        <w:rPr>
          <w:rFonts w:ascii="Times New Roman" w:hAnsi="Times New Roman" w:cs="Times New Roman"/>
          <w:lang w:val="en-GB"/>
        </w:rPr>
        <w:t xml:space="preserve">, </w:t>
      </w:r>
      <w:r w:rsidRPr="000365ED">
        <w:rPr>
          <w:rFonts w:ascii="Times New Roman" w:hAnsi="Times New Roman" w:cs="Times New Roman"/>
          <w:i/>
          <w:iCs/>
          <w:lang w:val="en-GB"/>
        </w:rPr>
        <w:t>11</w:t>
      </w:r>
      <w:r w:rsidRPr="000365ED">
        <w:rPr>
          <w:rFonts w:ascii="Times New Roman" w:hAnsi="Times New Roman" w:cs="Times New Roman"/>
          <w:lang w:val="en-GB"/>
        </w:rPr>
        <w:t>(7). Scopus. https://doi.org/10.3390/antibiotics11070872</w:t>
      </w:r>
    </w:p>
    <w:p w14:paraId="1D4CEB15"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Dougnon, V., Chabi, Y., Koudokpon, H., Agbankpe, J., Sefounon, R., Alle, D., Bankole, H., &amp; Baba-Moussa, L. (2020). Prescription of antibiotics as a source of emerging antibiotic resistance: Knowledge, attitudes, and practices of medical staff in the Dassa-Glazoué and Savalou-Bantè’s health zones (Benin, West Africa). </w:t>
      </w:r>
      <w:r w:rsidRPr="000365ED">
        <w:rPr>
          <w:rFonts w:ascii="Times New Roman" w:hAnsi="Times New Roman" w:cs="Times New Roman"/>
          <w:i/>
          <w:iCs/>
          <w:lang w:val="en-GB"/>
        </w:rPr>
        <w:t>International Journal of One Health</w:t>
      </w:r>
      <w:r w:rsidRPr="000365ED">
        <w:rPr>
          <w:rFonts w:ascii="Times New Roman" w:hAnsi="Times New Roman" w:cs="Times New Roman"/>
          <w:lang w:val="en-GB"/>
        </w:rPr>
        <w:t xml:space="preserve">, </w:t>
      </w:r>
      <w:r w:rsidRPr="000365ED">
        <w:rPr>
          <w:rFonts w:ascii="Times New Roman" w:hAnsi="Times New Roman" w:cs="Times New Roman"/>
          <w:i/>
          <w:iCs/>
          <w:lang w:val="en-GB"/>
        </w:rPr>
        <w:t>6</w:t>
      </w:r>
      <w:r w:rsidRPr="000365ED">
        <w:rPr>
          <w:rFonts w:ascii="Times New Roman" w:hAnsi="Times New Roman" w:cs="Times New Roman"/>
          <w:lang w:val="en-GB"/>
        </w:rPr>
        <w:t>(1), 34–40. Scopus. https://doi.org/10.14202/IJOH.2020.34-40</w:t>
      </w:r>
    </w:p>
    <w:p w14:paraId="2AE34F2F"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Efunshile, A. M., Ezeanosike, O., Nwangwu, C. C., König, B., Jokelainen, P., &amp; Robertson, L. J. (2019). Apparent overuse of antibiotics in the management of watery diarrhoea in children in Abakaliki, Nigeria. </w:t>
      </w:r>
      <w:r w:rsidRPr="000365ED">
        <w:rPr>
          <w:rFonts w:ascii="Times New Roman" w:hAnsi="Times New Roman" w:cs="Times New Roman"/>
          <w:i/>
          <w:iCs/>
          <w:lang w:val="en-GB"/>
        </w:rPr>
        <w:t>BMC Infectious Diseases</w:t>
      </w:r>
      <w:r w:rsidRPr="000365ED">
        <w:rPr>
          <w:rFonts w:ascii="Times New Roman" w:hAnsi="Times New Roman" w:cs="Times New Roman"/>
          <w:lang w:val="en-GB"/>
        </w:rPr>
        <w:t xml:space="preserve">, </w:t>
      </w:r>
      <w:r w:rsidRPr="000365ED">
        <w:rPr>
          <w:rFonts w:ascii="Times New Roman" w:hAnsi="Times New Roman" w:cs="Times New Roman"/>
          <w:i/>
          <w:iCs/>
          <w:lang w:val="en-GB"/>
        </w:rPr>
        <w:t>19</w:t>
      </w:r>
      <w:r w:rsidRPr="000365ED">
        <w:rPr>
          <w:rFonts w:ascii="Times New Roman" w:hAnsi="Times New Roman" w:cs="Times New Roman"/>
          <w:lang w:val="en-GB"/>
        </w:rPr>
        <w:t>(1). Scopus. https://doi.org/10.1186/s12879-019-3899-1</w:t>
      </w:r>
    </w:p>
    <w:p w14:paraId="6D618DA5"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Ekwochi, U., Chinawa, J. M., Osuorah, C. D. I., Odetunde, O. I., Obu, H. A., &amp; Agwu, S. (2014). The use of unprescribed antibiotics in management of upper respiratory tract infection in children in Enugu, South East Nigeria. </w:t>
      </w:r>
      <w:r w:rsidRPr="000365ED">
        <w:rPr>
          <w:rFonts w:ascii="Times New Roman" w:hAnsi="Times New Roman" w:cs="Times New Roman"/>
          <w:i/>
          <w:iCs/>
          <w:lang w:val="en-GB"/>
        </w:rPr>
        <w:t>Journal of Tropical Pediatrics</w:t>
      </w:r>
      <w:r w:rsidRPr="000365ED">
        <w:rPr>
          <w:rFonts w:ascii="Times New Roman" w:hAnsi="Times New Roman" w:cs="Times New Roman"/>
          <w:lang w:val="en-GB"/>
        </w:rPr>
        <w:t xml:space="preserve">, </w:t>
      </w:r>
      <w:r w:rsidRPr="000365ED">
        <w:rPr>
          <w:rFonts w:ascii="Times New Roman" w:hAnsi="Times New Roman" w:cs="Times New Roman"/>
          <w:i/>
          <w:iCs/>
          <w:lang w:val="en-GB"/>
        </w:rPr>
        <w:t>60</w:t>
      </w:r>
      <w:r w:rsidRPr="000365ED">
        <w:rPr>
          <w:rFonts w:ascii="Times New Roman" w:hAnsi="Times New Roman" w:cs="Times New Roman"/>
          <w:lang w:val="en-GB"/>
        </w:rPr>
        <w:t>(3), 249–252. Scopus. https://doi.org/10.1093/tropej/fmt111</w:t>
      </w:r>
    </w:p>
    <w:p w14:paraId="5283EF66"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Esan, D. T., Fasoro, A. A., Odesanya, O. E., Esan, T. O., Ojo, E. F., &amp; Faeji, C. O. (2018). Assessment of Self-Medication Practices and Its Associated Factors among Undergraduates of a Private University in Nigeria. </w:t>
      </w:r>
      <w:r w:rsidRPr="000365ED">
        <w:rPr>
          <w:rFonts w:ascii="Times New Roman" w:hAnsi="Times New Roman" w:cs="Times New Roman"/>
          <w:i/>
          <w:iCs/>
          <w:lang w:val="en-GB"/>
        </w:rPr>
        <w:t>Journal of Environmental and Public Health</w:t>
      </w:r>
      <w:r w:rsidRPr="000365ED">
        <w:rPr>
          <w:rFonts w:ascii="Times New Roman" w:hAnsi="Times New Roman" w:cs="Times New Roman"/>
          <w:lang w:val="en-GB"/>
        </w:rPr>
        <w:t xml:space="preserve">, </w:t>
      </w:r>
      <w:r w:rsidRPr="000365ED">
        <w:rPr>
          <w:rFonts w:ascii="Times New Roman" w:hAnsi="Times New Roman" w:cs="Times New Roman"/>
          <w:i/>
          <w:iCs/>
          <w:lang w:val="en-GB"/>
        </w:rPr>
        <w:t>2018</w:t>
      </w:r>
      <w:r w:rsidRPr="000365ED">
        <w:rPr>
          <w:rFonts w:ascii="Times New Roman" w:hAnsi="Times New Roman" w:cs="Times New Roman"/>
          <w:lang w:val="en-GB"/>
        </w:rPr>
        <w:t>. Scopus. https://doi.org/10.1155/2018/5439079</w:t>
      </w:r>
    </w:p>
    <w:p w14:paraId="2A83EAA8"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Ezeonu, I. M., Ntun, N. W., &amp; Ugwu, K. O. (2017). Intestinal candidiasis and antibiotic usage in children: Case study of Nsukka, South Eastern Nigeria. </w:t>
      </w:r>
      <w:r w:rsidRPr="000365ED">
        <w:rPr>
          <w:rFonts w:ascii="Times New Roman" w:hAnsi="Times New Roman" w:cs="Times New Roman"/>
          <w:i/>
          <w:iCs/>
          <w:lang w:val="en-GB"/>
        </w:rPr>
        <w:t>African Health Sciences</w:t>
      </w:r>
      <w:r w:rsidRPr="000365ED">
        <w:rPr>
          <w:rFonts w:ascii="Times New Roman" w:hAnsi="Times New Roman" w:cs="Times New Roman"/>
          <w:lang w:val="en-GB"/>
        </w:rPr>
        <w:t xml:space="preserve">, </w:t>
      </w:r>
      <w:r w:rsidRPr="000365ED">
        <w:rPr>
          <w:rFonts w:ascii="Times New Roman" w:hAnsi="Times New Roman" w:cs="Times New Roman"/>
          <w:i/>
          <w:iCs/>
          <w:lang w:val="en-GB"/>
        </w:rPr>
        <w:t>17</w:t>
      </w:r>
      <w:r w:rsidRPr="000365ED">
        <w:rPr>
          <w:rFonts w:ascii="Times New Roman" w:hAnsi="Times New Roman" w:cs="Times New Roman"/>
          <w:lang w:val="en-GB"/>
        </w:rPr>
        <w:t>(4), 1178–1184. Scopus. https://doi.org/10.4314/ahs.v17i4.27</w:t>
      </w:r>
    </w:p>
    <w:p w14:paraId="21CDF744"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Fadare, J. O., Ogunleye, O., Iliyasu, G., Adeoti, A., Schellack, N., Engler, D., Massele, A., &amp; Godman, B. (2019). Status of antimicrobial stewardship programmes in Nigerian tertiary healthcare facilities: Findings and implications. </w:t>
      </w:r>
      <w:r w:rsidRPr="000365ED">
        <w:rPr>
          <w:rFonts w:ascii="Times New Roman" w:hAnsi="Times New Roman" w:cs="Times New Roman"/>
          <w:i/>
          <w:iCs/>
          <w:lang w:val="en-GB"/>
        </w:rPr>
        <w:t>Journal of Global Antimicrobial Resistance</w:t>
      </w:r>
      <w:r w:rsidRPr="000365ED">
        <w:rPr>
          <w:rFonts w:ascii="Times New Roman" w:hAnsi="Times New Roman" w:cs="Times New Roman"/>
          <w:lang w:val="en-GB"/>
        </w:rPr>
        <w:t xml:space="preserve">, </w:t>
      </w:r>
      <w:r w:rsidRPr="000365ED">
        <w:rPr>
          <w:rFonts w:ascii="Times New Roman" w:hAnsi="Times New Roman" w:cs="Times New Roman"/>
          <w:i/>
          <w:iCs/>
          <w:lang w:val="en-GB"/>
        </w:rPr>
        <w:t>17</w:t>
      </w:r>
      <w:r w:rsidRPr="000365ED">
        <w:rPr>
          <w:rFonts w:ascii="Times New Roman" w:hAnsi="Times New Roman" w:cs="Times New Roman"/>
          <w:lang w:val="en-GB"/>
        </w:rPr>
        <w:t>, 132–136. Scopus. https://doi.org/10.1016/j.jgar.2018.11.025</w:t>
      </w:r>
    </w:p>
    <w:p w14:paraId="7593A312"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Fadare, J., Olatunya, O., Oluwayemi, O., &amp; Ogundare, O. (2015). Drug prescribing pattern for under-fives in a paediatric clinic in South-Western Nigeria. </w:t>
      </w:r>
      <w:r w:rsidRPr="000365ED">
        <w:rPr>
          <w:rFonts w:ascii="Times New Roman" w:hAnsi="Times New Roman" w:cs="Times New Roman"/>
          <w:i/>
          <w:iCs/>
          <w:lang w:val="en-GB"/>
        </w:rPr>
        <w:t>Ethiopian Journal of Health Sciences</w:t>
      </w:r>
      <w:r w:rsidRPr="000365ED">
        <w:rPr>
          <w:rFonts w:ascii="Times New Roman" w:hAnsi="Times New Roman" w:cs="Times New Roman"/>
          <w:lang w:val="en-GB"/>
        </w:rPr>
        <w:t xml:space="preserve">, </w:t>
      </w:r>
      <w:r w:rsidRPr="000365ED">
        <w:rPr>
          <w:rFonts w:ascii="Times New Roman" w:hAnsi="Times New Roman" w:cs="Times New Roman"/>
          <w:i/>
          <w:iCs/>
          <w:lang w:val="en-GB"/>
        </w:rPr>
        <w:t>25</w:t>
      </w:r>
      <w:r w:rsidRPr="000365ED">
        <w:rPr>
          <w:rFonts w:ascii="Times New Roman" w:hAnsi="Times New Roman" w:cs="Times New Roman"/>
          <w:lang w:val="en-GB"/>
        </w:rPr>
        <w:t>(1), 73–78. Scopus. https://doi.org/10.4314/ejhs.v25i1.10</w:t>
      </w:r>
    </w:p>
    <w:p w14:paraId="3BE3F2A9"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Fredua-Agyeman, M., Onwukwe, B., &amp; Adu-Aryee, N. A. (2020). Antibiotic prescribing and the risk of antibiotic–associated diarrhoea in Korle Bu Teaching Hospital, Ghana: A pilot study. </w:t>
      </w:r>
      <w:r w:rsidRPr="000365ED">
        <w:rPr>
          <w:rFonts w:ascii="Times New Roman" w:hAnsi="Times New Roman" w:cs="Times New Roman"/>
          <w:i/>
          <w:iCs/>
          <w:lang w:val="en-GB"/>
        </w:rPr>
        <w:t>The Journal of Infection in Developing Countries</w:t>
      </w:r>
      <w:r w:rsidRPr="000365ED">
        <w:rPr>
          <w:rFonts w:ascii="Times New Roman" w:hAnsi="Times New Roman" w:cs="Times New Roman"/>
          <w:lang w:val="en-GB"/>
        </w:rPr>
        <w:t xml:space="preserve">, </w:t>
      </w:r>
      <w:r w:rsidRPr="000365ED">
        <w:rPr>
          <w:rFonts w:ascii="Times New Roman" w:hAnsi="Times New Roman" w:cs="Times New Roman"/>
          <w:i/>
          <w:iCs/>
          <w:lang w:val="en-GB"/>
        </w:rPr>
        <w:t>14</w:t>
      </w:r>
      <w:r w:rsidRPr="000365ED">
        <w:rPr>
          <w:rFonts w:ascii="Times New Roman" w:hAnsi="Times New Roman" w:cs="Times New Roman"/>
          <w:lang w:val="en-GB"/>
        </w:rPr>
        <w:t>(08), Article 08. https://doi.org/10.3855/jidc.11259</w:t>
      </w:r>
    </w:p>
    <w:p w14:paraId="32E10075"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Garcia-Vello, P., Brobbey, F., Gonzalez-Zorn, B., &amp; Setsoafia Saba, C. K. (2020). A cross-sectional study on antibiotic prescription in a teaching hospital in Ghana. </w:t>
      </w:r>
      <w:r w:rsidRPr="000365ED">
        <w:rPr>
          <w:rFonts w:ascii="Times New Roman" w:hAnsi="Times New Roman" w:cs="Times New Roman"/>
          <w:i/>
          <w:iCs/>
          <w:lang w:val="en-GB"/>
        </w:rPr>
        <w:t>The Pan African Medical Journal</w:t>
      </w:r>
      <w:r w:rsidRPr="000365ED">
        <w:rPr>
          <w:rFonts w:ascii="Times New Roman" w:hAnsi="Times New Roman" w:cs="Times New Roman"/>
          <w:lang w:val="en-GB"/>
        </w:rPr>
        <w:t xml:space="preserve">, </w:t>
      </w:r>
      <w:r w:rsidRPr="000365ED">
        <w:rPr>
          <w:rFonts w:ascii="Times New Roman" w:hAnsi="Times New Roman" w:cs="Times New Roman"/>
          <w:i/>
          <w:iCs/>
          <w:lang w:val="en-GB"/>
        </w:rPr>
        <w:t>35</w:t>
      </w:r>
      <w:r w:rsidRPr="000365ED">
        <w:rPr>
          <w:rFonts w:ascii="Times New Roman" w:hAnsi="Times New Roman" w:cs="Times New Roman"/>
          <w:lang w:val="en-GB"/>
        </w:rPr>
        <w:t>, 12. https://doi.org/10.11604/pamj.2020.35.12.18324</w:t>
      </w:r>
    </w:p>
    <w:p w14:paraId="7CDB51C8"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Goff, D. A., Gauthier, T. P., Langford, B. J., Prusakov, P., Ubaka Chukwuemka, M., Nwomeh, B. C., Yunis, K. A., Saad, T., van den Bergh, D., Villegas, M. V., Martinez, N., Morris, A., Ashiru-Oredope, D., Howard, P., &amp; Sanchez, P. J. (2022). Global </w:t>
      </w:r>
      <w:r w:rsidRPr="000365ED">
        <w:rPr>
          <w:rFonts w:ascii="Times New Roman" w:hAnsi="Times New Roman" w:cs="Times New Roman"/>
          <w:lang w:val="en-GB"/>
        </w:rPr>
        <w:lastRenderedPageBreak/>
        <w:t xml:space="preserve">resilience and new strategies needed for antimicrobial stewardship during the COVID-19 pandemic and beyond. </w:t>
      </w:r>
      <w:r w:rsidRPr="000365ED">
        <w:rPr>
          <w:rFonts w:ascii="Times New Roman" w:hAnsi="Times New Roman" w:cs="Times New Roman"/>
          <w:i/>
          <w:iCs/>
          <w:lang w:val="en-GB"/>
        </w:rPr>
        <w:t>JACCP Journal of the American College of Clinical Pharmacy</w:t>
      </w:r>
      <w:r w:rsidRPr="000365ED">
        <w:rPr>
          <w:rFonts w:ascii="Times New Roman" w:hAnsi="Times New Roman" w:cs="Times New Roman"/>
          <w:lang w:val="en-GB"/>
        </w:rPr>
        <w:t xml:space="preserve">, </w:t>
      </w:r>
      <w:r w:rsidRPr="000365ED">
        <w:rPr>
          <w:rFonts w:ascii="Times New Roman" w:hAnsi="Times New Roman" w:cs="Times New Roman"/>
          <w:i/>
          <w:iCs/>
          <w:lang w:val="en-GB"/>
        </w:rPr>
        <w:t>5</w:t>
      </w:r>
      <w:r w:rsidRPr="000365ED">
        <w:rPr>
          <w:rFonts w:ascii="Times New Roman" w:hAnsi="Times New Roman" w:cs="Times New Roman"/>
          <w:lang w:val="en-GB"/>
        </w:rPr>
        <w:t>(7), 707–715. Scopus. https://doi.org/10.1002/jac5.1622</w:t>
      </w:r>
    </w:p>
    <w:p w14:paraId="04DD583A"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Gyedu, A., Katz, M., Agbedinu, K., Donkor, P., &amp; Mock, C. (2019). Antibiotics for Groin Hernia Repair According to Evidence-Based Guidelines: Time for Action in Ghana. </w:t>
      </w:r>
      <w:r w:rsidRPr="000365ED">
        <w:rPr>
          <w:rFonts w:ascii="Times New Roman" w:hAnsi="Times New Roman" w:cs="Times New Roman"/>
          <w:i/>
          <w:iCs/>
          <w:lang w:val="en-GB"/>
        </w:rPr>
        <w:t>Journal of Surgical Research</w:t>
      </w:r>
      <w:r w:rsidRPr="000365ED">
        <w:rPr>
          <w:rFonts w:ascii="Times New Roman" w:hAnsi="Times New Roman" w:cs="Times New Roman"/>
          <w:lang w:val="en-GB"/>
        </w:rPr>
        <w:t xml:space="preserve">, </w:t>
      </w:r>
      <w:r w:rsidRPr="000365ED">
        <w:rPr>
          <w:rFonts w:ascii="Times New Roman" w:hAnsi="Times New Roman" w:cs="Times New Roman"/>
          <w:i/>
          <w:iCs/>
          <w:lang w:val="en-GB"/>
        </w:rPr>
        <w:t>238</w:t>
      </w:r>
      <w:r w:rsidRPr="000365ED">
        <w:rPr>
          <w:rFonts w:ascii="Times New Roman" w:hAnsi="Times New Roman" w:cs="Times New Roman"/>
          <w:lang w:val="en-GB"/>
        </w:rPr>
        <w:t>, 90–95. Scopus. https://doi.org/10.1016/j.jss.2019.01.040</w:t>
      </w:r>
    </w:p>
    <w:p w14:paraId="3A8E5235"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Isanaka, S., Tang, K., Berthé, F., Grais, R. F., &amp; Pandya, A. (2022). Cost-effectiveness of routine versus indicated antibiotic therapy in the management of severe wasting in children. </w:t>
      </w:r>
      <w:r w:rsidRPr="000365ED">
        <w:rPr>
          <w:rFonts w:ascii="Times New Roman" w:hAnsi="Times New Roman" w:cs="Times New Roman"/>
          <w:i/>
          <w:iCs/>
          <w:lang w:val="en-GB"/>
        </w:rPr>
        <w:t>Cost Effectiveness and Resource Allocation</w:t>
      </w:r>
      <w:r w:rsidRPr="000365ED">
        <w:rPr>
          <w:rFonts w:ascii="Times New Roman" w:hAnsi="Times New Roman" w:cs="Times New Roman"/>
          <w:lang w:val="en-GB"/>
        </w:rPr>
        <w:t xml:space="preserve">, </w:t>
      </w:r>
      <w:r w:rsidRPr="000365ED">
        <w:rPr>
          <w:rFonts w:ascii="Times New Roman" w:hAnsi="Times New Roman" w:cs="Times New Roman"/>
          <w:i/>
          <w:iCs/>
          <w:lang w:val="en-GB"/>
        </w:rPr>
        <w:t>20</w:t>
      </w:r>
      <w:r w:rsidRPr="000365ED">
        <w:rPr>
          <w:rFonts w:ascii="Times New Roman" w:hAnsi="Times New Roman" w:cs="Times New Roman"/>
          <w:lang w:val="en-GB"/>
        </w:rPr>
        <w:t>(1). Scopus. https://doi.org/10.1186/s12962-022-00374-z</w:t>
      </w:r>
    </w:p>
    <w:p w14:paraId="00F48A62"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Janssen, J., Afari-Asiedu, S., Monnier, A., Abdulai, M. A., Tawiah, T., Wertheim, H., Baltussen, R., &amp; Asante, K. P. (2022). Exploring the economic impact of inappropriate antibiotic use: The case of upper respiratory tract infections in Ghana. </w:t>
      </w:r>
      <w:r w:rsidRPr="000365ED">
        <w:rPr>
          <w:rFonts w:ascii="Times New Roman" w:hAnsi="Times New Roman" w:cs="Times New Roman"/>
          <w:i/>
          <w:iCs/>
          <w:lang w:val="en-GB"/>
        </w:rPr>
        <w:t>Antimicrobial Resistance &amp; Infection Control</w:t>
      </w:r>
      <w:r w:rsidRPr="000365ED">
        <w:rPr>
          <w:rFonts w:ascii="Times New Roman" w:hAnsi="Times New Roman" w:cs="Times New Roman"/>
          <w:lang w:val="en-GB"/>
        </w:rPr>
        <w:t xml:space="preserve">, </w:t>
      </w:r>
      <w:r w:rsidRPr="000365ED">
        <w:rPr>
          <w:rFonts w:ascii="Times New Roman" w:hAnsi="Times New Roman" w:cs="Times New Roman"/>
          <w:i/>
          <w:iCs/>
          <w:lang w:val="en-GB"/>
        </w:rPr>
        <w:t>11</w:t>
      </w:r>
      <w:r w:rsidRPr="000365ED">
        <w:rPr>
          <w:rFonts w:ascii="Times New Roman" w:hAnsi="Times New Roman" w:cs="Times New Roman"/>
          <w:lang w:val="en-GB"/>
        </w:rPr>
        <w:t>(1), 53. https://doi.org/10.1186/s13756-022-01096-w</w:t>
      </w:r>
    </w:p>
    <w:p w14:paraId="406D7DE2"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Joseph, F., Oladele, O., Oludare, O., &amp; Olatunde, O. (2015). Drug prescribing pattern for under-fives in a paediatric clinic in south-western Nigeria. </w:t>
      </w:r>
      <w:r w:rsidRPr="000365ED">
        <w:rPr>
          <w:rFonts w:ascii="Times New Roman" w:hAnsi="Times New Roman" w:cs="Times New Roman"/>
          <w:i/>
          <w:iCs/>
          <w:lang w:val="en-GB"/>
        </w:rPr>
        <w:t>Ethiopian Journal of Health Sciences</w:t>
      </w:r>
      <w:r w:rsidRPr="000365ED">
        <w:rPr>
          <w:rFonts w:ascii="Times New Roman" w:hAnsi="Times New Roman" w:cs="Times New Roman"/>
          <w:lang w:val="en-GB"/>
        </w:rPr>
        <w:t xml:space="preserve">, </w:t>
      </w:r>
      <w:r w:rsidRPr="000365ED">
        <w:rPr>
          <w:rFonts w:ascii="Times New Roman" w:hAnsi="Times New Roman" w:cs="Times New Roman"/>
          <w:i/>
          <w:iCs/>
          <w:lang w:val="en-GB"/>
        </w:rPr>
        <w:t>25</w:t>
      </w:r>
      <w:r w:rsidRPr="000365ED">
        <w:rPr>
          <w:rFonts w:ascii="Times New Roman" w:hAnsi="Times New Roman" w:cs="Times New Roman"/>
          <w:lang w:val="en-GB"/>
        </w:rPr>
        <w:t>(1), Article 1. https://doi.org/10.4314/ejhs.v25i1.10</w:t>
      </w:r>
    </w:p>
    <w:p w14:paraId="43832E5B"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Joseph, G. S., &amp; Salaudeen, A. G. (2021). Assessment of Antibiotic Prescription Pattern as a Predisposing Factor to Growing Antibiotics Resistance in Kwara South Senatorial District of Nigeria. </w:t>
      </w:r>
      <w:r w:rsidRPr="000365ED">
        <w:rPr>
          <w:rFonts w:ascii="Times New Roman" w:hAnsi="Times New Roman" w:cs="Times New Roman"/>
          <w:i/>
          <w:iCs/>
          <w:lang w:val="en-GB"/>
        </w:rPr>
        <w:t>Texila International Journal of Public Health</w:t>
      </w:r>
      <w:r w:rsidRPr="000365ED">
        <w:rPr>
          <w:rFonts w:ascii="Times New Roman" w:hAnsi="Times New Roman" w:cs="Times New Roman"/>
          <w:lang w:val="en-GB"/>
        </w:rPr>
        <w:t xml:space="preserve">, </w:t>
      </w:r>
      <w:r w:rsidRPr="000365ED">
        <w:rPr>
          <w:rFonts w:ascii="Times New Roman" w:hAnsi="Times New Roman" w:cs="Times New Roman"/>
          <w:i/>
          <w:iCs/>
          <w:lang w:val="en-GB"/>
        </w:rPr>
        <w:t>9</w:t>
      </w:r>
      <w:r w:rsidRPr="000365ED">
        <w:rPr>
          <w:rFonts w:ascii="Times New Roman" w:hAnsi="Times New Roman" w:cs="Times New Roman"/>
          <w:lang w:val="en-GB"/>
        </w:rPr>
        <w:t>(2). Scopus. https://doi.org/10.21522/TIJPH.2013.09.02.Art020</w:t>
      </w:r>
    </w:p>
    <w:p w14:paraId="1A96238A"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Kamara, I. F., Kumar, A. M. V., Maruta, A., Fofanah, B. D., Njuguna, C. K., Shongwe, S., Moses, F., Tengbe, S. M., Kanu, J. S., Lakoh, S., Mansaray, A. H. D., Selvaraj, K., Khogali, M., &amp; Zachariah, R. (2022). Antibiotic Use in Suspected and Confirmed COVID-19 Patients Admitted to Health Facilities in Sierra Leone in 2020–2021: Practice Does Not Follow Policy. </w:t>
      </w:r>
      <w:r w:rsidRPr="000365ED">
        <w:rPr>
          <w:rFonts w:ascii="Times New Roman" w:hAnsi="Times New Roman" w:cs="Times New Roman"/>
          <w:i/>
          <w:iCs/>
          <w:lang w:val="en-GB"/>
        </w:rPr>
        <w:t>International Journal of Environmental Research and Public Health</w:t>
      </w:r>
      <w:r w:rsidRPr="000365ED">
        <w:rPr>
          <w:rFonts w:ascii="Times New Roman" w:hAnsi="Times New Roman" w:cs="Times New Roman"/>
          <w:lang w:val="en-GB"/>
        </w:rPr>
        <w:t xml:space="preserve">, </w:t>
      </w:r>
      <w:r w:rsidRPr="000365ED">
        <w:rPr>
          <w:rFonts w:ascii="Times New Roman" w:hAnsi="Times New Roman" w:cs="Times New Roman"/>
          <w:i/>
          <w:iCs/>
          <w:lang w:val="en-GB"/>
        </w:rPr>
        <w:t>19</w:t>
      </w:r>
      <w:r w:rsidRPr="000365ED">
        <w:rPr>
          <w:rFonts w:ascii="Times New Roman" w:hAnsi="Times New Roman" w:cs="Times New Roman"/>
          <w:lang w:val="en-GB"/>
        </w:rPr>
        <w:t>(7), Article 7. https://doi.org/10.3390/ijerph19074005</w:t>
      </w:r>
    </w:p>
    <w:p w14:paraId="0CDE2DBE"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Kamere, N., Rutter, V., Munkombwe, D., Aywak, D. A., Muro, E. P., Kaminyoghe, F., Rajab, K., Lawal, M. O., Muriithi, N., Kusu, N., Karimu, O., Barlatt, S. H. A., Nambatya, W., &amp; Ashiru-Oredope, D. (2023). Supply-chain factors and antimicrobial stewardship. </w:t>
      </w:r>
      <w:r w:rsidRPr="000365ED">
        <w:rPr>
          <w:rFonts w:ascii="Times New Roman" w:hAnsi="Times New Roman" w:cs="Times New Roman"/>
          <w:i/>
          <w:iCs/>
          <w:lang w:val="en-GB"/>
        </w:rPr>
        <w:t>Bulletin of the World Health Organization</w:t>
      </w:r>
      <w:r w:rsidRPr="000365ED">
        <w:rPr>
          <w:rFonts w:ascii="Times New Roman" w:hAnsi="Times New Roman" w:cs="Times New Roman"/>
          <w:lang w:val="en-GB"/>
        </w:rPr>
        <w:t xml:space="preserve">, </w:t>
      </w:r>
      <w:r w:rsidRPr="000365ED">
        <w:rPr>
          <w:rFonts w:ascii="Times New Roman" w:hAnsi="Times New Roman" w:cs="Times New Roman"/>
          <w:i/>
          <w:iCs/>
          <w:lang w:val="en-GB"/>
        </w:rPr>
        <w:t>101</w:t>
      </w:r>
      <w:r w:rsidRPr="000365ED">
        <w:rPr>
          <w:rFonts w:ascii="Times New Roman" w:hAnsi="Times New Roman" w:cs="Times New Roman"/>
          <w:lang w:val="en-GB"/>
        </w:rPr>
        <w:t>(6), 403–411. Scopus. https://doi.org/10.2471/BLT.22.288650</w:t>
      </w:r>
    </w:p>
    <w:p w14:paraId="428D85E0"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Kpagoi, S. S. T. K., Kamara, K. N., Carshon-Marsh, R., Delamou, A., Manzi, M., Kamara, R. Z., Moiwo, M. M., Kamara, M., Koroma, Z., Lakoh, S., Fofanah, B. D., Kamara, I. F., Kanu, A. B. J., Kenneh, S., Kanu, J. S., Margao, S., &amp; Kamau, E. M. (2023). Assessing Changes in Surgical Site Infections and Antibiotic Use among Caesarean Section and Herniorrhaphy Patients at a Regional Hospital in Sierra Leone Following Operational Research in 2021. </w:t>
      </w:r>
      <w:r w:rsidRPr="000365ED">
        <w:rPr>
          <w:rFonts w:ascii="Times New Roman" w:hAnsi="Times New Roman" w:cs="Times New Roman"/>
          <w:i/>
          <w:iCs/>
          <w:lang w:val="en-GB"/>
        </w:rPr>
        <w:t>Tropical Medicine and Infectious Disease</w:t>
      </w:r>
      <w:r w:rsidRPr="000365ED">
        <w:rPr>
          <w:rFonts w:ascii="Times New Roman" w:hAnsi="Times New Roman" w:cs="Times New Roman"/>
          <w:lang w:val="en-GB"/>
        </w:rPr>
        <w:t xml:space="preserve">, </w:t>
      </w:r>
      <w:r w:rsidRPr="000365ED">
        <w:rPr>
          <w:rFonts w:ascii="Times New Roman" w:hAnsi="Times New Roman" w:cs="Times New Roman"/>
          <w:i/>
          <w:iCs/>
          <w:lang w:val="en-GB"/>
        </w:rPr>
        <w:t>8</w:t>
      </w:r>
      <w:r w:rsidRPr="000365ED">
        <w:rPr>
          <w:rFonts w:ascii="Times New Roman" w:hAnsi="Times New Roman" w:cs="Times New Roman"/>
          <w:lang w:val="en-GB"/>
        </w:rPr>
        <w:t>(8). Scopus. https://doi.org/10.3390/tropicalmed8080385</w:t>
      </w:r>
    </w:p>
    <w:p w14:paraId="4A55B086"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Kubasari, C., Adeapena, W., Najjemba, R., Hedidor, G. K., Adjei, R. L., Manu, G., Timire, C., Afari-Asiedu, S., &amp; Asante, K. P. (2023). Quality of Data Recording and Antimicrobial Use in a Municipal Veterinary Clinic in Ghana. </w:t>
      </w:r>
      <w:r w:rsidRPr="000365ED">
        <w:rPr>
          <w:rFonts w:ascii="Times New Roman" w:hAnsi="Times New Roman" w:cs="Times New Roman"/>
          <w:i/>
          <w:iCs/>
          <w:lang w:val="en-GB"/>
        </w:rPr>
        <w:t>Tropical Medicine and Infectious Disease</w:t>
      </w:r>
      <w:r w:rsidRPr="000365ED">
        <w:rPr>
          <w:rFonts w:ascii="Times New Roman" w:hAnsi="Times New Roman" w:cs="Times New Roman"/>
          <w:lang w:val="en-GB"/>
        </w:rPr>
        <w:t xml:space="preserve">, </w:t>
      </w:r>
      <w:r w:rsidRPr="000365ED">
        <w:rPr>
          <w:rFonts w:ascii="Times New Roman" w:hAnsi="Times New Roman" w:cs="Times New Roman"/>
          <w:i/>
          <w:iCs/>
          <w:lang w:val="en-GB"/>
        </w:rPr>
        <w:t>8</w:t>
      </w:r>
      <w:r w:rsidRPr="000365ED">
        <w:rPr>
          <w:rFonts w:ascii="Times New Roman" w:hAnsi="Times New Roman" w:cs="Times New Roman"/>
          <w:lang w:val="en-GB"/>
        </w:rPr>
        <w:t>(11). Scopus. https://doi.org/10.3390/tropicalmed8110485</w:t>
      </w:r>
    </w:p>
    <w:p w14:paraId="5461EFD4"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Labbé, A.-C., Pépin, J., Khonde, N., Dzokoto, A., Méda, H., Asamoah-Adu, C., Mayaud, P., Mabey, D., Demers, E., &amp; Alary, M. (2012). Periodical antibiotic treatment for the control of gonococcal and chlamydial infections among sex workers in benin and Ghana: A cluster-randomized placebo-controlled trial. </w:t>
      </w:r>
      <w:r w:rsidRPr="000365ED">
        <w:rPr>
          <w:rFonts w:ascii="Times New Roman" w:hAnsi="Times New Roman" w:cs="Times New Roman"/>
          <w:i/>
          <w:iCs/>
          <w:lang w:val="en-GB"/>
        </w:rPr>
        <w:t>Sexually Transmitted Diseases</w:t>
      </w:r>
      <w:r w:rsidRPr="000365ED">
        <w:rPr>
          <w:rFonts w:ascii="Times New Roman" w:hAnsi="Times New Roman" w:cs="Times New Roman"/>
          <w:lang w:val="en-GB"/>
        </w:rPr>
        <w:t xml:space="preserve">, </w:t>
      </w:r>
      <w:r w:rsidRPr="000365ED">
        <w:rPr>
          <w:rFonts w:ascii="Times New Roman" w:hAnsi="Times New Roman" w:cs="Times New Roman"/>
          <w:i/>
          <w:iCs/>
          <w:lang w:val="en-GB"/>
        </w:rPr>
        <w:t>39</w:t>
      </w:r>
      <w:r w:rsidRPr="000365ED">
        <w:rPr>
          <w:rFonts w:ascii="Times New Roman" w:hAnsi="Times New Roman" w:cs="Times New Roman"/>
          <w:lang w:val="en-GB"/>
        </w:rPr>
        <w:t>(4), 253–259. Scopus. https://doi.org/10.1097/OLQ.0b013e318244aaa0</w:t>
      </w:r>
    </w:p>
    <w:p w14:paraId="4C3A681D"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lastRenderedPageBreak/>
        <w:t xml:space="preserve">Labi, A.-K., Obeng-Nkrumah, N., Bjerrum, S., Enweronu-Laryea, C., &amp; Newman, M. J. (2016). Neonatal bloodstream infections in a Ghanaian Tertiary Hospital: Are the current antibiotic recommendations adequate? </w:t>
      </w:r>
      <w:r w:rsidRPr="000365ED">
        <w:rPr>
          <w:rFonts w:ascii="Times New Roman" w:hAnsi="Times New Roman" w:cs="Times New Roman"/>
          <w:i/>
          <w:iCs/>
          <w:lang w:val="en-GB"/>
        </w:rPr>
        <w:t>BMC Infectious Diseases</w:t>
      </w:r>
      <w:r w:rsidRPr="000365ED">
        <w:rPr>
          <w:rFonts w:ascii="Times New Roman" w:hAnsi="Times New Roman" w:cs="Times New Roman"/>
          <w:lang w:val="en-GB"/>
        </w:rPr>
        <w:t xml:space="preserve">, </w:t>
      </w:r>
      <w:r w:rsidRPr="000365ED">
        <w:rPr>
          <w:rFonts w:ascii="Times New Roman" w:hAnsi="Times New Roman" w:cs="Times New Roman"/>
          <w:i/>
          <w:iCs/>
          <w:lang w:val="en-GB"/>
        </w:rPr>
        <w:t>16</w:t>
      </w:r>
      <w:r w:rsidRPr="000365ED">
        <w:rPr>
          <w:rFonts w:ascii="Times New Roman" w:hAnsi="Times New Roman" w:cs="Times New Roman"/>
          <w:lang w:val="en-GB"/>
        </w:rPr>
        <w:t>(1). Scopus. https://doi.org/10.1186/s12879-016-1913-4</w:t>
      </w:r>
    </w:p>
    <w:p w14:paraId="77B9010A"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Lakoh, S., Adekanmbi, O., Jiba, D. F., Deen, G. F., Gashau, W., Sevalie, S., &amp; Klein, E. Y. (2020). Antibiotic use among hospitalized adult patients in a setting with limited laboratory infrastructure in Freetown Sierra Leone, 2017–2018. </w:t>
      </w:r>
      <w:r w:rsidRPr="000365ED">
        <w:rPr>
          <w:rFonts w:ascii="Times New Roman" w:hAnsi="Times New Roman" w:cs="Times New Roman"/>
          <w:i/>
          <w:iCs/>
          <w:lang w:val="en-GB"/>
        </w:rPr>
        <w:t>International Journal of Infectious Diseases</w:t>
      </w:r>
      <w:r w:rsidRPr="000365ED">
        <w:rPr>
          <w:rFonts w:ascii="Times New Roman" w:hAnsi="Times New Roman" w:cs="Times New Roman"/>
          <w:lang w:val="en-GB"/>
        </w:rPr>
        <w:t xml:space="preserve">, </w:t>
      </w:r>
      <w:r w:rsidRPr="000365ED">
        <w:rPr>
          <w:rFonts w:ascii="Times New Roman" w:hAnsi="Times New Roman" w:cs="Times New Roman"/>
          <w:i/>
          <w:iCs/>
          <w:lang w:val="en-GB"/>
        </w:rPr>
        <w:t>90</w:t>
      </w:r>
      <w:r w:rsidRPr="000365ED">
        <w:rPr>
          <w:rFonts w:ascii="Times New Roman" w:hAnsi="Times New Roman" w:cs="Times New Roman"/>
          <w:lang w:val="en-GB"/>
        </w:rPr>
        <w:t>, 71–76. https://doi.org/10.1016/j.ijid.2019.10.022</w:t>
      </w:r>
    </w:p>
    <w:p w14:paraId="0F69DB0A"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Lakoh, S., Bawoh, M., Lewis, H., Jalloh, I., Thomas, C., Barlatt, S., Jalloh, A., Deen, G. F., Russell, J. B. W., Kabba, M. S., Batema, M. N. P., Borgstein, C., Sesay, N., Sesay, D., Nagi, N. K., Firima, E., &amp; Thomas, S. (2023). Establishing an Antimicrobial Stewardship Program in Sierra Leone: A Report of the Experience of a Low-Income Country in West Africa. </w:t>
      </w:r>
      <w:r w:rsidRPr="000365ED">
        <w:rPr>
          <w:rFonts w:ascii="Times New Roman" w:hAnsi="Times New Roman" w:cs="Times New Roman"/>
          <w:i/>
          <w:iCs/>
          <w:lang w:val="en-GB"/>
        </w:rPr>
        <w:t>Antibiotics</w:t>
      </w:r>
      <w:r w:rsidRPr="000365ED">
        <w:rPr>
          <w:rFonts w:ascii="Times New Roman" w:hAnsi="Times New Roman" w:cs="Times New Roman"/>
          <w:lang w:val="en-GB"/>
        </w:rPr>
        <w:t xml:space="preserve">, </w:t>
      </w:r>
      <w:r w:rsidRPr="000365ED">
        <w:rPr>
          <w:rFonts w:ascii="Times New Roman" w:hAnsi="Times New Roman" w:cs="Times New Roman"/>
          <w:i/>
          <w:iCs/>
          <w:lang w:val="en-GB"/>
        </w:rPr>
        <w:t>12</w:t>
      </w:r>
      <w:r w:rsidRPr="000365ED">
        <w:rPr>
          <w:rFonts w:ascii="Times New Roman" w:hAnsi="Times New Roman" w:cs="Times New Roman"/>
          <w:lang w:val="en-GB"/>
        </w:rPr>
        <w:t>(3). Scopus. https://doi.org/10.3390/antibiotics12030424</w:t>
      </w:r>
    </w:p>
    <w:p w14:paraId="6B04D297"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Makanjuola, R. O., Bello, A. A., Sadiq, F. U., Ishaleku, D., Oduwole, K. H., &amp; Taylor-Robinson, A. W. (2021). Comparative analysis of the unregulated sale of antimicrobial prescription medication by drug retailers before and during the COVID-19 pandemic in Abuja, Nigeria. </w:t>
      </w:r>
      <w:r w:rsidRPr="000365ED">
        <w:rPr>
          <w:rFonts w:ascii="Times New Roman" w:hAnsi="Times New Roman" w:cs="Times New Roman"/>
          <w:i/>
          <w:iCs/>
          <w:lang w:val="en-GB"/>
        </w:rPr>
        <w:t>Microbes and Infectious Diseases</w:t>
      </w:r>
      <w:r w:rsidRPr="000365ED">
        <w:rPr>
          <w:rFonts w:ascii="Times New Roman" w:hAnsi="Times New Roman" w:cs="Times New Roman"/>
          <w:lang w:val="en-GB"/>
        </w:rPr>
        <w:t xml:space="preserve">, </w:t>
      </w:r>
      <w:r w:rsidRPr="000365ED">
        <w:rPr>
          <w:rFonts w:ascii="Times New Roman" w:hAnsi="Times New Roman" w:cs="Times New Roman"/>
          <w:i/>
          <w:iCs/>
          <w:lang w:val="en-GB"/>
        </w:rPr>
        <w:t>2</w:t>
      </w:r>
      <w:r w:rsidRPr="000365ED">
        <w:rPr>
          <w:rFonts w:ascii="Times New Roman" w:hAnsi="Times New Roman" w:cs="Times New Roman"/>
          <w:lang w:val="en-GB"/>
        </w:rPr>
        <w:t>(3), 423–432. Scopus. https://doi.org/10.21608/MID.2021.71677.1142</w:t>
      </w:r>
    </w:p>
    <w:p w14:paraId="330FE165"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Mambula, G., Nanjebe, D., Munene, A., Guindo, O., Salifou, A., Mamaty, A.-A., Rattigan, S., Ellis, S., Khavessian, N., van der Pluijm, R. W., Marquer, C., Adehossi, I. A., &amp; Langendorf, C. (2023). Practices and challenges related to antibiotic use in paediatric treatment in hospitals and health centres in Niger and Uganda: A mixed methods study. </w:t>
      </w:r>
      <w:r w:rsidRPr="000365ED">
        <w:rPr>
          <w:rFonts w:ascii="Times New Roman" w:hAnsi="Times New Roman" w:cs="Times New Roman"/>
          <w:i/>
          <w:iCs/>
          <w:lang w:val="en-GB"/>
        </w:rPr>
        <w:t>Antimicrobial Resistance &amp; Infection Control</w:t>
      </w:r>
      <w:r w:rsidRPr="000365ED">
        <w:rPr>
          <w:rFonts w:ascii="Times New Roman" w:hAnsi="Times New Roman" w:cs="Times New Roman"/>
          <w:lang w:val="en-GB"/>
        </w:rPr>
        <w:t xml:space="preserve">, </w:t>
      </w:r>
      <w:r w:rsidRPr="000365ED">
        <w:rPr>
          <w:rFonts w:ascii="Times New Roman" w:hAnsi="Times New Roman" w:cs="Times New Roman"/>
          <w:i/>
          <w:iCs/>
          <w:lang w:val="en-GB"/>
        </w:rPr>
        <w:t>12</w:t>
      </w:r>
      <w:r w:rsidRPr="000365ED">
        <w:rPr>
          <w:rFonts w:ascii="Times New Roman" w:hAnsi="Times New Roman" w:cs="Times New Roman"/>
          <w:lang w:val="en-GB"/>
        </w:rPr>
        <w:t>(1), 67. https://doi.org/10.1186/s13756-023-01271-7</w:t>
      </w:r>
    </w:p>
    <w:p w14:paraId="0346A0F5"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Mensah, K. B., Opoku-Agyeman, K., &amp; Ansah, C. (2017). Antibiotic use during pregnancy: A retrospective study of prescription patterns and birth outcomes at an antenatal clinic in rural Ghana. </w:t>
      </w:r>
      <w:r w:rsidRPr="000365ED">
        <w:rPr>
          <w:rFonts w:ascii="Times New Roman" w:hAnsi="Times New Roman" w:cs="Times New Roman"/>
          <w:i/>
          <w:iCs/>
          <w:lang w:val="en-GB"/>
        </w:rPr>
        <w:t>Journal of Pharmaceutical Policy and Practice</w:t>
      </w:r>
      <w:r w:rsidRPr="000365ED">
        <w:rPr>
          <w:rFonts w:ascii="Times New Roman" w:hAnsi="Times New Roman" w:cs="Times New Roman"/>
          <w:lang w:val="en-GB"/>
        </w:rPr>
        <w:t xml:space="preserve">, </w:t>
      </w:r>
      <w:r w:rsidRPr="000365ED">
        <w:rPr>
          <w:rFonts w:ascii="Times New Roman" w:hAnsi="Times New Roman" w:cs="Times New Roman"/>
          <w:i/>
          <w:iCs/>
          <w:lang w:val="en-GB"/>
        </w:rPr>
        <w:t>10</w:t>
      </w:r>
      <w:r w:rsidRPr="000365ED">
        <w:rPr>
          <w:rFonts w:ascii="Times New Roman" w:hAnsi="Times New Roman" w:cs="Times New Roman"/>
          <w:lang w:val="en-GB"/>
        </w:rPr>
        <w:t>(1). Scopus. https://doi.org/10.1186/s40545-017-0111-0</w:t>
      </w:r>
    </w:p>
    <w:p w14:paraId="4799927F"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Moon, T. D., Sumah, I., Amorim, G., Alhasan, F., Howard, L. M., Myers, H., Green, A. F., Grant, D. S., Schieffelin, J. S., &amp; Samuels, R. J. (2023). Antibiotic prescribing practices for acute respiratory illness in children less than 24 months of age in Kenema, Sierra Leone: Is it time to move beyond algorithm driven decision making? </w:t>
      </w:r>
      <w:r w:rsidRPr="000365ED">
        <w:rPr>
          <w:rFonts w:ascii="Times New Roman" w:hAnsi="Times New Roman" w:cs="Times New Roman"/>
          <w:i/>
          <w:iCs/>
          <w:lang w:val="en-GB"/>
        </w:rPr>
        <w:t>BMC Infectious Diseases</w:t>
      </w:r>
      <w:r w:rsidRPr="000365ED">
        <w:rPr>
          <w:rFonts w:ascii="Times New Roman" w:hAnsi="Times New Roman" w:cs="Times New Roman"/>
          <w:lang w:val="en-GB"/>
        </w:rPr>
        <w:t xml:space="preserve">, </w:t>
      </w:r>
      <w:r w:rsidRPr="000365ED">
        <w:rPr>
          <w:rFonts w:ascii="Times New Roman" w:hAnsi="Times New Roman" w:cs="Times New Roman"/>
          <w:i/>
          <w:iCs/>
          <w:lang w:val="en-GB"/>
        </w:rPr>
        <w:t>23</w:t>
      </w:r>
      <w:r w:rsidRPr="000365ED">
        <w:rPr>
          <w:rFonts w:ascii="Times New Roman" w:hAnsi="Times New Roman" w:cs="Times New Roman"/>
          <w:lang w:val="en-GB"/>
        </w:rPr>
        <w:t>(1), 626. https://doi.org/10.1186/s12879-023-08606-0</w:t>
      </w:r>
    </w:p>
    <w:p w14:paraId="6995F485"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Nduka, S. O., Edebeatu, C., Isidienu, C. P., &amp; Amorha, K. C. (2017). Prescribing practices for pediatric out-patients: A case study of two teaching hospitals in Nigeria. </w:t>
      </w:r>
      <w:r w:rsidRPr="000365ED">
        <w:rPr>
          <w:rFonts w:ascii="Times New Roman" w:hAnsi="Times New Roman" w:cs="Times New Roman"/>
          <w:i/>
          <w:iCs/>
          <w:lang w:val="en-GB"/>
        </w:rPr>
        <w:t>Tropical Journal of Pharmaceutical Research</w:t>
      </w:r>
      <w:r w:rsidRPr="000365ED">
        <w:rPr>
          <w:rFonts w:ascii="Times New Roman" w:hAnsi="Times New Roman" w:cs="Times New Roman"/>
          <w:lang w:val="en-GB"/>
        </w:rPr>
        <w:t xml:space="preserve">, </w:t>
      </w:r>
      <w:r w:rsidRPr="000365ED">
        <w:rPr>
          <w:rFonts w:ascii="Times New Roman" w:hAnsi="Times New Roman" w:cs="Times New Roman"/>
          <w:i/>
          <w:iCs/>
          <w:lang w:val="en-GB"/>
        </w:rPr>
        <w:t>16</w:t>
      </w:r>
      <w:r w:rsidRPr="000365ED">
        <w:rPr>
          <w:rFonts w:ascii="Times New Roman" w:hAnsi="Times New Roman" w:cs="Times New Roman"/>
          <w:lang w:val="en-GB"/>
        </w:rPr>
        <w:t>(3), 705–711. Scopus. https://doi.org/10.4314/tjpr.v16i3.28</w:t>
      </w:r>
    </w:p>
    <w:p w14:paraId="38D26FC1"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Nelson, E. J., Khan, A. I., Keita, A. M., Brintz, B. J., Keita, Y., Sanogo, D., Islam, M. T., Khan, Z. H., Rashid, M. M., Nasrin, D., Watt, M. H., Ahmed, S. M., Haaland, B., Pavia, A. T., Levine, A. C., Chao, D. L., Kotloff, K. L., Qadri, F., &amp; Sow, S. O. (2022). Improving Antibiotic Stewardship for Diarrheal Disease with Probability-Based Electronic Clinical Decision Support: A Randomized Crossover Trial. </w:t>
      </w:r>
      <w:r w:rsidRPr="000365ED">
        <w:rPr>
          <w:rFonts w:ascii="Times New Roman" w:hAnsi="Times New Roman" w:cs="Times New Roman"/>
          <w:i/>
          <w:iCs/>
          <w:lang w:val="en-GB"/>
        </w:rPr>
        <w:t>JAMA Pediatrics</w:t>
      </w:r>
      <w:r w:rsidRPr="000365ED">
        <w:rPr>
          <w:rFonts w:ascii="Times New Roman" w:hAnsi="Times New Roman" w:cs="Times New Roman"/>
          <w:lang w:val="en-GB"/>
        </w:rPr>
        <w:t xml:space="preserve">, </w:t>
      </w:r>
      <w:r w:rsidRPr="000365ED">
        <w:rPr>
          <w:rFonts w:ascii="Times New Roman" w:hAnsi="Times New Roman" w:cs="Times New Roman"/>
          <w:i/>
          <w:iCs/>
          <w:lang w:val="en-GB"/>
        </w:rPr>
        <w:t>176</w:t>
      </w:r>
      <w:r w:rsidRPr="000365ED">
        <w:rPr>
          <w:rFonts w:ascii="Times New Roman" w:hAnsi="Times New Roman" w:cs="Times New Roman"/>
          <w:lang w:val="en-GB"/>
        </w:rPr>
        <w:t>(10), 973–979. Scopus. https://doi.org/10.1001/jamapediatrics.2022.2535</w:t>
      </w:r>
    </w:p>
    <w:p w14:paraId="7C1605FE"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Nyarko, E., Akoto, F. M., &amp; Doku-Amponsah, K. (2023). Perceived antimicrobial dispensing practices in medicine outlets in Ghana: A maximum difference experiment design. </w:t>
      </w:r>
      <w:r w:rsidRPr="000365ED">
        <w:rPr>
          <w:rFonts w:ascii="Times New Roman" w:hAnsi="Times New Roman" w:cs="Times New Roman"/>
          <w:i/>
          <w:iCs/>
          <w:lang w:val="en-GB"/>
        </w:rPr>
        <w:t>PLoS ONE</w:t>
      </w:r>
      <w:r w:rsidRPr="000365ED">
        <w:rPr>
          <w:rFonts w:ascii="Times New Roman" w:hAnsi="Times New Roman" w:cs="Times New Roman"/>
          <w:lang w:val="en-GB"/>
        </w:rPr>
        <w:t xml:space="preserve">, </w:t>
      </w:r>
      <w:r w:rsidRPr="000365ED">
        <w:rPr>
          <w:rFonts w:ascii="Times New Roman" w:hAnsi="Times New Roman" w:cs="Times New Roman"/>
          <w:i/>
          <w:iCs/>
          <w:lang w:val="en-GB"/>
        </w:rPr>
        <w:t>18</w:t>
      </w:r>
      <w:r w:rsidRPr="000365ED">
        <w:rPr>
          <w:rFonts w:ascii="Times New Roman" w:hAnsi="Times New Roman" w:cs="Times New Roman"/>
          <w:lang w:val="en-GB"/>
        </w:rPr>
        <w:t>(7), 1–15. https://doi.org/10.1371/journal.pone.0288519</w:t>
      </w:r>
    </w:p>
    <w:p w14:paraId="73F0DB07"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Obasanya, J. O., Ogunbode, O., &amp; Landu-Adams, V. (2022). An appraisal of the contextual drivers of successful antimicrobial stewardship implementation in Nigerian health </w:t>
      </w:r>
      <w:r w:rsidRPr="000365ED">
        <w:rPr>
          <w:rFonts w:ascii="Times New Roman" w:hAnsi="Times New Roman" w:cs="Times New Roman"/>
          <w:lang w:val="en-GB"/>
        </w:rPr>
        <w:lastRenderedPageBreak/>
        <w:t xml:space="preserve">care facilities. </w:t>
      </w:r>
      <w:r w:rsidRPr="000365ED">
        <w:rPr>
          <w:rFonts w:ascii="Times New Roman" w:hAnsi="Times New Roman" w:cs="Times New Roman"/>
          <w:i/>
          <w:iCs/>
          <w:lang w:val="en-GB"/>
        </w:rPr>
        <w:t>Journal of Global Antimicrobial Resistance</w:t>
      </w:r>
      <w:r w:rsidRPr="000365ED">
        <w:rPr>
          <w:rFonts w:ascii="Times New Roman" w:hAnsi="Times New Roman" w:cs="Times New Roman"/>
          <w:lang w:val="en-GB"/>
        </w:rPr>
        <w:t xml:space="preserve">, </w:t>
      </w:r>
      <w:r w:rsidRPr="000365ED">
        <w:rPr>
          <w:rFonts w:ascii="Times New Roman" w:hAnsi="Times New Roman" w:cs="Times New Roman"/>
          <w:i/>
          <w:iCs/>
          <w:lang w:val="en-GB"/>
        </w:rPr>
        <w:t>31</w:t>
      </w:r>
      <w:r w:rsidRPr="000365ED">
        <w:rPr>
          <w:rFonts w:ascii="Times New Roman" w:hAnsi="Times New Roman" w:cs="Times New Roman"/>
          <w:lang w:val="en-GB"/>
        </w:rPr>
        <w:t>, 141–148. https://doi.org/10.1016/j.jgar.2022.08.007</w:t>
      </w:r>
    </w:p>
    <w:p w14:paraId="7A0FA230"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Ogunnigbo, O., Nabiryo, M., Atteh, M., Muringu, E., Olaitan, O. J., Rutter, V., &amp; Ashiru-Oredope, D. (2022). Exploring the Antimicrobial Stewardship Educational Needs of Healthcare Students and the Potential of an Antimicrobial Prescribing App as an Educational Tool in Selected African Countries. </w:t>
      </w:r>
      <w:r w:rsidRPr="000365ED">
        <w:rPr>
          <w:rFonts w:ascii="Times New Roman" w:hAnsi="Times New Roman" w:cs="Times New Roman"/>
          <w:i/>
          <w:iCs/>
          <w:lang w:val="en-GB"/>
        </w:rPr>
        <w:t>Antibiotics</w:t>
      </w:r>
      <w:r w:rsidRPr="000365ED">
        <w:rPr>
          <w:rFonts w:ascii="Times New Roman" w:hAnsi="Times New Roman" w:cs="Times New Roman"/>
          <w:lang w:val="en-GB"/>
        </w:rPr>
        <w:t xml:space="preserve">, </w:t>
      </w:r>
      <w:r w:rsidRPr="000365ED">
        <w:rPr>
          <w:rFonts w:ascii="Times New Roman" w:hAnsi="Times New Roman" w:cs="Times New Roman"/>
          <w:i/>
          <w:iCs/>
          <w:lang w:val="en-GB"/>
        </w:rPr>
        <w:t>11</w:t>
      </w:r>
      <w:r w:rsidRPr="000365ED">
        <w:rPr>
          <w:rFonts w:ascii="Times New Roman" w:hAnsi="Times New Roman" w:cs="Times New Roman"/>
          <w:lang w:val="en-GB"/>
        </w:rPr>
        <w:t>(5). Scopus. https://doi.org/10.3390/antibiotics11050691</w:t>
      </w:r>
    </w:p>
    <w:p w14:paraId="44CDF503"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Ogunrinde, O. G., Raji, T., Owolabi, O. A., &amp; Anigo, K. M. (2012). Knowledge, attitude and practice of home management of childhood diarrhoea among caregivers of under-5 children with diarrhoeal disease in northwestern Nigeria. </w:t>
      </w:r>
      <w:r w:rsidRPr="000365ED">
        <w:rPr>
          <w:rFonts w:ascii="Times New Roman" w:hAnsi="Times New Roman" w:cs="Times New Roman"/>
          <w:i/>
          <w:iCs/>
          <w:lang w:val="en-GB"/>
        </w:rPr>
        <w:t>Journal of Tropical Pediatrics</w:t>
      </w:r>
      <w:r w:rsidRPr="000365ED">
        <w:rPr>
          <w:rFonts w:ascii="Times New Roman" w:hAnsi="Times New Roman" w:cs="Times New Roman"/>
          <w:lang w:val="en-GB"/>
        </w:rPr>
        <w:t xml:space="preserve">, </w:t>
      </w:r>
      <w:r w:rsidRPr="000365ED">
        <w:rPr>
          <w:rFonts w:ascii="Times New Roman" w:hAnsi="Times New Roman" w:cs="Times New Roman"/>
          <w:i/>
          <w:iCs/>
          <w:lang w:val="en-GB"/>
        </w:rPr>
        <w:t>58</w:t>
      </w:r>
      <w:r w:rsidRPr="000365ED">
        <w:rPr>
          <w:rFonts w:ascii="Times New Roman" w:hAnsi="Times New Roman" w:cs="Times New Roman"/>
          <w:lang w:val="en-GB"/>
        </w:rPr>
        <w:t>(2), 143–146. Scopus. https://doi.org/10.1093/tropej/fmr048</w:t>
      </w:r>
    </w:p>
    <w:p w14:paraId="2C3D4B62"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Okomo, U. A., Dibbasey, T., Kassama, K., Lawn, J. E., Zaman, S. M. A., Kampmann, B., Howie, S. R. C., &amp; Bojang, K. (2015). Neonatal admissions, quality of care and outcome: 4 years of inpatient audit data from The Gambia’s teaching hospital. </w:t>
      </w:r>
      <w:r w:rsidRPr="000365ED">
        <w:rPr>
          <w:rFonts w:ascii="Times New Roman" w:hAnsi="Times New Roman" w:cs="Times New Roman"/>
          <w:i/>
          <w:iCs/>
          <w:lang w:val="en-GB"/>
        </w:rPr>
        <w:t>Paediatrics and International Child Health</w:t>
      </w:r>
      <w:r w:rsidRPr="000365ED">
        <w:rPr>
          <w:rFonts w:ascii="Times New Roman" w:hAnsi="Times New Roman" w:cs="Times New Roman"/>
          <w:lang w:val="en-GB"/>
        </w:rPr>
        <w:t>. https://doi.org/10.1179/2046905515Y.0000000036</w:t>
      </w:r>
    </w:p>
    <w:p w14:paraId="4681B988"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Okoro, R. N., Nmeka, C., &amp; Erah, P. O. (2019). Antibiotics prescription pattern and determinants of utilization in the national health insurance scheme at a Tertiary Hospital in Nigeria. </w:t>
      </w:r>
      <w:r w:rsidRPr="000365ED">
        <w:rPr>
          <w:rFonts w:ascii="Times New Roman" w:hAnsi="Times New Roman" w:cs="Times New Roman"/>
          <w:i/>
          <w:iCs/>
          <w:lang w:val="en-GB"/>
        </w:rPr>
        <w:t>African Health Sciences</w:t>
      </w:r>
      <w:r w:rsidRPr="000365ED">
        <w:rPr>
          <w:rFonts w:ascii="Times New Roman" w:hAnsi="Times New Roman" w:cs="Times New Roman"/>
          <w:lang w:val="en-GB"/>
        </w:rPr>
        <w:t xml:space="preserve">, </w:t>
      </w:r>
      <w:r w:rsidRPr="000365ED">
        <w:rPr>
          <w:rFonts w:ascii="Times New Roman" w:hAnsi="Times New Roman" w:cs="Times New Roman"/>
          <w:i/>
          <w:iCs/>
          <w:lang w:val="en-GB"/>
        </w:rPr>
        <w:t>19</w:t>
      </w:r>
      <w:r w:rsidRPr="000365ED">
        <w:rPr>
          <w:rFonts w:ascii="Times New Roman" w:hAnsi="Times New Roman" w:cs="Times New Roman"/>
          <w:lang w:val="en-GB"/>
        </w:rPr>
        <w:t>(3), Article 3. https://doi.org/10.4314/ahs.v19i3.8</w:t>
      </w:r>
    </w:p>
    <w:p w14:paraId="79B76275"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Oli, A. N., Onyeaso, N., Emencheta, S. C., Ofomata, C. M., Kretchy, J.-P., Okhamafe, A., &amp; Ele, G. N. (2021). Evaluating antimicrobial prescribing in a Tertiary Healthcare Institution in Nigeria. </w:t>
      </w:r>
      <w:r w:rsidRPr="000365ED">
        <w:rPr>
          <w:rFonts w:ascii="Times New Roman" w:hAnsi="Times New Roman" w:cs="Times New Roman"/>
          <w:i/>
          <w:iCs/>
          <w:lang w:val="en-GB"/>
        </w:rPr>
        <w:t>Journal of Pharmaceutical Policy and Practice</w:t>
      </w:r>
      <w:r w:rsidRPr="000365ED">
        <w:rPr>
          <w:rFonts w:ascii="Times New Roman" w:hAnsi="Times New Roman" w:cs="Times New Roman"/>
          <w:lang w:val="en-GB"/>
        </w:rPr>
        <w:t xml:space="preserve">, </w:t>
      </w:r>
      <w:r w:rsidRPr="000365ED">
        <w:rPr>
          <w:rFonts w:ascii="Times New Roman" w:hAnsi="Times New Roman" w:cs="Times New Roman"/>
          <w:i/>
          <w:iCs/>
          <w:lang w:val="en-GB"/>
        </w:rPr>
        <w:t>14</w:t>
      </w:r>
      <w:r w:rsidRPr="000365ED">
        <w:rPr>
          <w:rFonts w:ascii="Times New Roman" w:hAnsi="Times New Roman" w:cs="Times New Roman"/>
          <w:lang w:val="en-GB"/>
        </w:rPr>
        <w:t>(1). Scopus. https://doi.org/10.1186/s40545-021-00380-1</w:t>
      </w:r>
    </w:p>
    <w:p w14:paraId="0B490A5C"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Olliaro, P., Nkeramahame, J., Horgan, P., Tinto, H., Kiemde, F., Baiden, R., Adjei, A., Kapisi, J., Hopkins, H., Salami, O., Moore, C. E., Dittrich, S., Weber, S., &amp; Ongarello, S. (2023). Synthesis and Meta-analysis of 3 Randomized Trials Conducted in Burkina Faso, Ghana, and Uganda Comparing the Effects of Point-of-Care Tests and Diagnostic Algorithms Versus Routine Care on Antibiotic Prescriptions and Clinical Outcomes in Ambulatory Patients &lt;18 Years of Age with Acute Febrile Illness. </w:t>
      </w:r>
      <w:r w:rsidRPr="000365ED">
        <w:rPr>
          <w:rFonts w:ascii="Times New Roman" w:hAnsi="Times New Roman" w:cs="Times New Roman"/>
          <w:i/>
          <w:iCs/>
          <w:lang w:val="en-GB"/>
        </w:rPr>
        <w:t>Clinical Infectious Diseases</w:t>
      </w:r>
      <w:r w:rsidRPr="000365ED">
        <w:rPr>
          <w:rFonts w:ascii="Times New Roman" w:hAnsi="Times New Roman" w:cs="Times New Roman"/>
          <w:lang w:val="en-GB"/>
        </w:rPr>
        <w:t xml:space="preserve">, </w:t>
      </w:r>
      <w:r w:rsidRPr="000365ED">
        <w:rPr>
          <w:rFonts w:ascii="Times New Roman" w:hAnsi="Times New Roman" w:cs="Times New Roman"/>
          <w:i/>
          <w:iCs/>
          <w:lang w:val="en-GB"/>
        </w:rPr>
        <w:t>77</w:t>
      </w:r>
      <w:r w:rsidRPr="000365ED">
        <w:rPr>
          <w:rFonts w:ascii="Times New Roman" w:hAnsi="Times New Roman" w:cs="Times New Roman"/>
          <w:lang w:val="en-GB"/>
        </w:rPr>
        <w:t>, S199–S205. Scopus. https://doi.org/10.1093/cid/ciad324</w:t>
      </w:r>
    </w:p>
    <w:p w14:paraId="0C1F159C"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Oloso, N. O., Odetokun, I. A., Ghali-Mohammed, I., Fasina, F. O., Olatoye, I. O., &amp; Adetunji, V. O. (2022). Knowledge, Attitudes, and Risk Perception of Broiler Grow-Out Farmers on Antimicrobial Use and Resistance in Oyo State, Nigeria. </w:t>
      </w:r>
      <w:r w:rsidRPr="000365ED">
        <w:rPr>
          <w:rFonts w:ascii="Times New Roman" w:hAnsi="Times New Roman" w:cs="Times New Roman"/>
          <w:i/>
          <w:iCs/>
          <w:lang w:val="en-GB"/>
        </w:rPr>
        <w:t>Antibiotics</w:t>
      </w:r>
      <w:r w:rsidRPr="000365ED">
        <w:rPr>
          <w:rFonts w:ascii="Times New Roman" w:hAnsi="Times New Roman" w:cs="Times New Roman"/>
          <w:lang w:val="en-GB"/>
        </w:rPr>
        <w:t xml:space="preserve">, </w:t>
      </w:r>
      <w:r w:rsidRPr="000365ED">
        <w:rPr>
          <w:rFonts w:ascii="Times New Roman" w:hAnsi="Times New Roman" w:cs="Times New Roman"/>
          <w:i/>
          <w:iCs/>
          <w:lang w:val="en-GB"/>
        </w:rPr>
        <w:t>11</w:t>
      </w:r>
      <w:r w:rsidRPr="000365ED">
        <w:rPr>
          <w:rFonts w:ascii="Times New Roman" w:hAnsi="Times New Roman" w:cs="Times New Roman"/>
          <w:lang w:val="en-GB"/>
        </w:rPr>
        <w:t>(5). Scopus. https://doi.org/10.3390/antibiotics11050567</w:t>
      </w:r>
    </w:p>
    <w:p w14:paraId="1F8CBF44"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Opintan, J. A. (2018). Leveraging donor support to develop a national antimicrobial resistance policy and action plan: Ghana’s success story. </w:t>
      </w:r>
      <w:r w:rsidRPr="000365ED">
        <w:rPr>
          <w:rFonts w:ascii="Times New Roman" w:hAnsi="Times New Roman" w:cs="Times New Roman"/>
          <w:i/>
          <w:iCs/>
          <w:lang w:val="en-GB"/>
        </w:rPr>
        <w:t>African Journal of Laboratory Medicine</w:t>
      </w:r>
      <w:r w:rsidRPr="000365ED">
        <w:rPr>
          <w:rFonts w:ascii="Times New Roman" w:hAnsi="Times New Roman" w:cs="Times New Roman"/>
          <w:lang w:val="en-GB"/>
        </w:rPr>
        <w:t xml:space="preserve">, </w:t>
      </w:r>
      <w:r w:rsidRPr="000365ED">
        <w:rPr>
          <w:rFonts w:ascii="Times New Roman" w:hAnsi="Times New Roman" w:cs="Times New Roman"/>
          <w:i/>
          <w:iCs/>
          <w:lang w:val="en-GB"/>
        </w:rPr>
        <w:t>7</w:t>
      </w:r>
      <w:r w:rsidRPr="000365ED">
        <w:rPr>
          <w:rFonts w:ascii="Times New Roman" w:hAnsi="Times New Roman" w:cs="Times New Roman"/>
          <w:lang w:val="en-GB"/>
        </w:rPr>
        <w:t>(2). Scopus. https://doi.org/10.4102/ajlm.v7i2.825</w:t>
      </w:r>
    </w:p>
    <w:p w14:paraId="75925304"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Oppong, K. G., Attakorah, J., Enimil, A., Ansah, C., &amp; Buabeng, K. O. (2022). ANTIBIOTIC STEWARDSHIP AND ITS IMPACT ON ANTIBIOTIC USE AT THE CHILD HEALTH DIRECTORATE OF A TEACHING HOSPITAL IN GHANA. </w:t>
      </w:r>
      <w:r w:rsidRPr="000365ED">
        <w:rPr>
          <w:rFonts w:ascii="Times New Roman" w:hAnsi="Times New Roman" w:cs="Times New Roman"/>
          <w:i/>
          <w:iCs/>
          <w:lang w:val="en-GB"/>
        </w:rPr>
        <w:t>African Journal of Applied Research</w:t>
      </w:r>
      <w:r w:rsidRPr="000365ED">
        <w:rPr>
          <w:rFonts w:ascii="Times New Roman" w:hAnsi="Times New Roman" w:cs="Times New Roman"/>
          <w:lang w:val="en-GB"/>
        </w:rPr>
        <w:t xml:space="preserve">, </w:t>
      </w:r>
      <w:r w:rsidRPr="000365ED">
        <w:rPr>
          <w:rFonts w:ascii="Times New Roman" w:hAnsi="Times New Roman" w:cs="Times New Roman"/>
          <w:i/>
          <w:iCs/>
          <w:lang w:val="en-GB"/>
        </w:rPr>
        <w:t>8</w:t>
      </w:r>
      <w:r w:rsidRPr="000365ED">
        <w:rPr>
          <w:rFonts w:ascii="Times New Roman" w:hAnsi="Times New Roman" w:cs="Times New Roman"/>
          <w:lang w:val="en-GB"/>
        </w:rPr>
        <w:t>(2), 322–331. Scopus. https://doi.org/10.26437/ajar.31.10.2022.22</w:t>
      </w:r>
    </w:p>
    <w:p w14:paraId="0987ACF4"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Osifo, O., &amp; Aghahowa, S. (2011). Audit of antibiotic therapy in surgical neonates in a tertiary hospital in Benin City, Nigeria. </w:t>
      </w:r>
      <w:r w:rsidRPr="000365ED">
        <w:rPr>
          <w:rFonts w:ascii="Times New Roman" w:hAnsi="Times New Roman" w:cs="Times New Roman"/>
          <w:i/>
          <w:iCs/>
          <w:lang w:val="en-GB"/>
        </w:rPr>
        <w:t>African Journal of Paediatric Surgery</w:t>
      </w:r>
      <w:r w:rsidRPr="000365ED">
        <w:rPr>
          <w:rFonts w:ascii="Times New Roman" w:hAnsi="Times New Roman" w:cs="Times New Roman"/>
          <w:lang w:val="en-GB"/>
        </w:rPr>
        <w:t xml:space="preserve">, </w:t>
      </w:r>
      <w:r w:rsidRPr="000365ED">
        <w:rPr>
          <w:rFonts w:ascii="Times New Roman" w:hAnsi="Times New Roman" w:cs="Times New Roman"/>
          <w:i/>
          <w:iCs/>
          <w:lang w:val="en-GB"/>
        </w:rPr>
        <w:t>8</w:t>
      </w:r>
      <w:r w:rsidRPr="000365ED">
        <w:rPr>
          <w:rFonts w:ascii="Times New Roman" w:hAnsi="Times New Roman" w:cs="Times New Roman"/>
          <w:lang w:val="en-GB"/>
        </w:rPr>
        <w:t>(1), 23–28. Scopus. https://doi.org/10.4103/0189-6725.78664</w:t>
      </w:r>
    </w:p>
    <w:p w14:paraId="3502C0B7"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Prah, J., Kizzie-Hayford, J., Walker, E., &amp; Ampofo-Asiama, A. (2017). Antibiotic prescription pattern in a Ghanaian primary health care facility. </w:t>
      </w:r>
      <w:r w:rsidRPr="000365ED">
        <w:rPr>
          <w:rFonts w:ascii="Times New Roman" w:hAnsi="Times New Roman" w:cs="Times New Roman"/>
          <w:i/>
          <w:iCs/>
          <w:lang w:val="en-GB"/>
        </w:rPr>
        <w:t>Pan African Medical Journal</w:t>
      </w:r>
      <w:r w:rsidRPr="000365ED">
        <w:rPr>
          <w:rFonts w:ascii="Times New Roman" w:hAnsi="Times New Roman" w:cs="Times New Roman"/>
          <w:lang w:val="en-GB"/>
        </w:rPr>
        <w:t xml:space="preserve">, </w:t>
      </w:r>
      <w:r w:rsidRPr="000365ED">
        <w:rPr>
          <w:rFonts w:ascii="Times New Roman" w:hAnsi="Times New Roman" w:cs="Times New Roman"/>
          <w:i/>
          <w:iCs/>
          <w:lang w:val="en-GB"/>
        </w:rPr>
        <w:t>28</w:t>
      </w:r>
      <w:r w:rsidRPr="000365ED">
        <w:rPr>
          <w:rFonts w:ascii="Times New Roman" w:hAnsi="Times New Roman" w:cs="Times New Roman"/>
          <w:lang w:val="en-GB"/>
        </w:rPr>
        <w:t>. Scopus. https://doi.org/10.11604/pamj.2017.28.214.13940</w:t>
      </w:r>
    </w:p>
    <w:p w14:paraId="45A80F89"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lastRenderedPageBreak/>
        <w:t xml:space="preserve">Risk, R., Naismith, H., Burnett, A., Moore, S. E., Cham, M., &amp; Unger, S. (2013). Rational prescribing in paediatrics in a resource-limited setting. </w:t>
      </w:r>
      <w:r w:rsidRPr="000365ED">
        <w:rPr>
          <w:rFonts w:ascii="Times New Roman" w:hAnsi="Times New Roman" w:cs="Times New Roman"/>
          <w:i/>
          <w:iCs/>
          <w:lang w:val="en-GB"/>
        </w:rPr>
        <w:t>Archives of Disease in Childhood</w:t>
      </w:r>
      <w:r w:rsidRPr="000365ED">
        <w:rPr>
          <w:rFonts w:ascii="Times New Roman" w:hAnsi="Times New Roman" w:cs="Times New Roman"/>
          <w:lang w:val="en-GB"/>
        </w:rPr>
        <w:t xml:space="preserve">, </w:t>
      </w:r>
      <w:r w:rsidRPr="000365ED">
        <w:rPr>
          <w:rFonts w:ascii="Times New Roman" w:hAnsi="Times New Roman" w:cs="Times New Roman"/>
          <w:i/>
          <w:iCs/>
          <w:lang w:val="en-GB"/>
        </w:rPr>
        <w:t>98</w:t>
      </w:r>
      <w:r w:rsidRPr="000365ED">
        <w:rPr>
          <w:rFonts w:ascii="Times New Roman" w:hAnsi="Times New Roman" w:cs="Times New Roman"/>
          <w:lang w:val="en-GB"/>
        </w:rPr>
        <w:t>(7), 503–509. https://doi.org/10.1136/archdischild-2012-302987</w:t>
      </w:r>
    </w:p>
    <w:p w14:paraId="5B68D98D"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Roberts, A. A., Fajolu, I., Oshun, P., Osuagwu, C., Awofeso, O., Temiye, E., &amp; Oduyebo, O. O. (2020). Feasibility Study of Prospective Audit, Intervention and Feedback as an Antimicrobial Stewardship Strategy at the Lagos University Teaching Hospital. </w:t>
      </w:r>
      <w:r w:rsidRPr="000365ED">
        <w:rPr>
          <w:rFonts w:ascii="Times New Roman" w:hAnsi="Times New Roman" w:cs="Times New Roman"/>
          <w:i/>
          <w:iCs/>
          <w:lang w:val="en-GB"/>
        </w:rPr>
        <w:t>Nigerian Postgraduate Medical Journal</w:t>
      </w:r>
      <w:r w:rsidRPr="000365ED">
        <w:rPr>
          <w:rFonts w:ascii="Times New Roman" w:hAnsi="Times New Roman" w:cs="Times New Roman"/>
          <w:lang w:val="en-GB"/>
        </w:rPr>
        <w:t xml:space="preserve">, </w:t>
      </w:r>
      <w:r w:rsidRPr="000365ED">
        <w:rPr>
          <w:rFonts w:ascii="Times New Roman" w:hAnsi="Times New Roman" w:cs="Times New Roman"/>
          <w:i/>
          <w:iCs/>
          <w:lang w:val="en-GB"/>
        </w:rPr>
        <w:t>27</w:t>
      </w:r>
      <w:r w:rsidRPr="000365ED">
        <w:rPr>
          <w:rFonts w:ascii="Times New Roman" w:hAnsi="Times New Roman" w:cs="Times New Roman"/>
          <w:lang w:val="en-GB"/>
        </w:rPr>
        <w:t>(1), 54. https://doi.org/10.4103/npmj.npmj_115_19</w:t>
      </w:r>
    </w:p>
    <w:p w14:paraId="606EEDCE"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Saleem, Z., Godman, B., Cook, A., Khan, M. A., Campbell, S. M., Seaton, R. A., Siachalinga, L., Haseeb, A., Amir, A., Kurdi, A., Mwita, J. C., Sefah, I. A., Opanga, S. A., Fadare, J. O., Ogunleye, O. O., Meyer, J. C., Massele, A., Kibuule, D., Kalungia, A. C., … Moore, C. E. (2022). Ongoing Efforts to Improve Antimicrobial Utilization in Hospitals among African Countries and Implications for the Future. </w:t>
      </w:r>
      <w:r w:rsidRPr="000365ED">
        <w:rPr>
          <w:rFonts w:ascii="Times New Roman" w:hAnsi="Times New Roman" w:cs="Times New Roman"/>
          <w:i/>
          <w:iCs/>
          <w:lang w:val="en-GB"/>
        </w:rPr>
        <w:t>Antibiotics</w:t>
      </w:r>
      <w:r w:rsidRPr="000365ED">
        <w:rPr>
          <w:rFonts w:ascii="Times New Roman" w:hAnsi="Times New Roman" w:cs="Times New Roman"/>
          <w:lang w:val="en-GB"/>
        </w:rPr>
        <w:t xml:space="preserve">, </w:t>
      </w:r>
      <w:r w:rsidRPr="000365ED">
        <w:rPr>
          <w:rFonts w:ascii="Times New Roman" w:hAnsi="Times New Roman" w:cs="Times New Roman"/>
          <w:i/>
          <w:iCs/>
          <w:lang w:val="en-GB"/>
        </w:rPr>
        <w:t>11</w:t>
      </w:r>
      <w:r w:rsidRPr="000365ED">
        <w:rPr>
          <w:rFonts w:ascii="Times New Roman" w:hAnsi="Times New Roman" w:cs="Times New Roman"/>
          <w:lang w:val="en-GB"/>
        </w:rPr>
        <w:t>(12). Scopus. https://doi.org/10.3390/antibiotics11121824</w:t>
      </w:r>
    </w:p>
    <w:p w14:paraId="1AA5F425"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Sawadogo, A., Kagambèga, A., Moodley, A., Ouedraogo, A. A., Barro, N., &amp; Dione, M. (2023). Knowledge, Attitudes, and Practices Related to Antibiotic Use and Antibiotic Resistance among Poultry Farmers in Urban and Peri-Urban Areas of Ouagadougou, Burkina Faso. </w:t>
      </w:r>
      <w:r w:rsidRPr="000365ED">
        <w:rPr>
          <w:rFonts w:ascii="Times New Roman" w:hAnsi="Times New Roman" w:cs="Times New Roman"/>
          <w:i/>
          <w:iCs/>
          <w:lang w:val="en-GB"/>
        </w:rPr>
        <w:t>Antibiotics</w:t>
      </w:r>
      <w:r w:rsidRPr="000365ED">
        <w:rPr>
          <w:rFonts w:ascii="Times New Roman" w:hAnsi="Times New Roman" w:cs="Times New Roman"/>
          <w:lang w:val="en-GB"/>
        </w:rPr>
        <w:t xml:space="preserve">, </w:t>
      </w:r>
      <w:r w:rsidRPr="000365ED">
        <w:rPr>
          <w:rFonts w:ascii="Times New Roman" w:hAnsi="Times New Roman" w:cs="Times New Roman"/>
          <w:i/>
          <w:iCs/>
          <w:lang w:val="en-GB"/>
        </w:rPr>
        <w:t>12</w:t>
      </w:r>
      <w:r w:rsidRPr="000365ED">
        <w:rPr>
          <w:rFonts w:ascii="Times New Roman" w:hAnsi="Times New Roman" w:cs="Times New Roman"/>
          <w:lang w:val="en-GB"/>
        </w:rPr>
        <w:t>(1). Scopus. https://doi.org/10.3390/antibiotics12010133</w:t>
      </w:r>
    </w:p>
    <w:p w14:paraId="6B93F007"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Senn, N., Rarau, P., Salib, M., Manong, D., Siba, P., Rogerson, S., Mueller, I., &amp; Genton, B. (2014). Use of Antibiotics within the IMCI Guidelines in Outpatient Settings in Papua New Guinean Children: An Observational and Effectiveness Study. </w:t>
      </w:r>
      <w:r w:rsidRPr="000365ED">
        <w:rPr>
          <w:rFonts w:ascii="Times New Roman" w:hAnsi="Times New Roman" w:cs="Times New Roman"/>
          <w:i/>
          <w:iCs/>
          <w:lang w:val="en-GB"/>
        </w:rPr>
        <w:t>PLoS ONE</w:t>
      </w:r>
      <w:r w:rsidRPr="000365ED">
        <w:rPr>
          <w:rFonts w:ascii="Times New Roman" w:hAnsi="Times New Roman" w:cs="Times New Roman"/>
          <w:lang w:val="en-GB"/>
        </w:rPr>
        <w:t xml:space="preserve">, </w:t>
      </w:r>
      <w:r w:rsidRPr="000365ED">
        <w:rPr>
          <w:rFonts w:ascii="Times New Roman" w:hAnsi="Times New Roman" w:cs="Times New Roman"/>
          <w:i/>
          <w:iCs/>
          <w:lang w:val="en-GB"/>
        </w:rPr>
        <w:t>9</w:t>
      </w:r>
      <w:r w:rsidRPr="000365ED">
        <w:rPr>
          <w:rFonts w:ascii="Times New Roman" w:hAnsi="Times New Roman" w:cs="Times New Roman"/>
          <w:lang w:val="en-GB"/>
        </w:rPr>
        <w:t>(3), 1–9. https://doi.org/10.1371/journal.pone.0090990</w:t>
      </w:r>
    </w:p>
    <w:p w14:paraId="256C2C6A"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Sié, A., Coulibaly, B., Adama, S., Ouermi, L., Dah, C., Tapsoba, C., Bärnighausen, T., Kelly, J. D., Doan, T., Lietman, T. M., Keenan, J. D., &amp; Oldenburg, C. E. (2019). Antibiotic prescription patterns among children younger than 5 years in Nouna district, Burkina Faso. </w:t>
      </w:r>
      <w:r w:rsidRPr="000365ED">
        <w:rPr>
          <w:rFonts w:ascii="Times New Roman" w:hAnsi="Times New Roman" w:cs="Times New Roman"/>
          <w:i/>
          <w:iCs/>
          <w:lang w:val="en-GB"/>
        </w:rPr>
        <w:t>American Journal of Tropical Medicine and Hygiene</w:t>
      </w:r>
      <w:r w:rsidRPr="000365ED">
        <w:rPr>
          <w:rFonts w:ascii="Times New Roman" w:hAnsi="Times New Roman" w:cs="Times New Roman"/>
          <w:lang w:val="en-GB"/>
        </w:rPr>
        <w:t xml:space="preserve">, </w:t>
      </w:r>
      <w:r w:rsidRPr="000365ED">
        <w:rPr>
          <w:rFonts w:ascii="Times New Roman" w:hAnsi="Times New Roman" w:cs="Times New Roman"/>
          <w:i/>
          <w:iCs/>
          <w:lang w:val="en-GB"/>
        </w:rPr>
        <w:t>100</w:t>
      </w:r>
      <w:r w:rsidRPr="000365ED">
        <w:rPr>
          <w:rFonts w:ascii="Times New Roman" w:hAnsi="Times New Roman" w:cs="Times New Roman"/>
          <w:lang w:val="en-GB"/>
        </w:rPr>
        <w:t>(5), 1121–1124. Scopus. https://doi.org/10.4269/ajtmh.18-0791</w:t>
      </w:r>
    </w:p>
    <w:p w14:paraId="41F09954"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Sié, A., Ouattara, M., Bountogo, M., Dah, C., Compaoré, G., Boudo, V., Lebas, E., Brogdon, J., Nyatigo, F., Arnold, B. F., Lietman, T. M., &amp; Oldenburg, C. E. (2021). Indication for Antibiotic Prescription among Children Attending Primary Healthcare Services in Rural Burkina Faso. </w:t>
      </w:r>
      <w:r w:rsidRPr="000365ED">
        <w:rPr>
          <w:rFonts w:ascii="Times New Roman" w:hAnsi="Times New Roman" w:cs="Times New Roman"/>
          <w:i/>
          <w:iCs/>
          <w:lang w:val="en-GB"/>
        </w:rPr>
        <w:t>Clinical Infectious Diseases</w:t>
      </w:r>
      <w:r w:rsidRPr="000365ED">
        <w:rPr>
          <w:rFonts w:ascii="Times New Roman" w:hAnsi="Times New Roman" w:cs="Times New Roman"/>
          <w:lang w:val="en-GB"/>
        </w:rPr>
        <w:t xml:space="preserve">, </w:t>
      </w:r>
      <w:r w:rsidRPr="000365ED">
        <w:rPr>
          <w:rFonts w:ascii="Times New Roman" w:hAnsi="Times New Roman" w:cs="Times New Roman"/>
          <w:i/>
          <w:iCs/>
          <w:lang w:val="en-GB"/>
        </w:rPr>
        <w:t>73</w:t>
      </w:r>
      <w:r w:rsidRPr="000365ED">
        <w:rPr>
          <w:rFonts w:ascii="Times New Roman" w:hAnsi="Times New Roman" w:cs="Times New Roman"/>
          <w:lang w:val="en-GB"/>
        </w:rPr>
        <w:t>(7), 1288–1291. Scopus. https://doi.org/10.1093/cid/ciab471</w:t>
      </w:r>
    </w:p>
    <w:p w14:paraId="4636F58B"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The CDI Study Group. (2010). Community-directed interventions for priority health problems in Africa: Results of a multicountry study. </w:t>
      </w:r>
      <w:r w:rsidRPr="000365ED">
        <w:rPr>
          <w:rFonts w:ascii="Times New Roman" w:hAnsi="Times New Roman" w:cs="Times New Roman"/>
          <w:i/>
          <w:iCs/>
          <w:lang w:val="en-GB"/>
        </w:rPr>
        <w:t>Bulletin of the World Health Organization</w:t>
      </w:r>
      <w:r w:rsidRPr="000365ED">
        <w:rPr>
          <w:rFonts w:ascii="Times New Roman" w:hAnsi="Times New Roman" w:cs="Times New Roman"/>
          <w:lang w:val="en-GB"/>
        </w:rPr>
        <w:t xml:space="preserve">, </w:t>
      </w:r>
      <w:r w:rsidRPr="000365ED">
        <w:rPr>
          <w:rFonts w:ascii="Times New Roman" w:hAnsi="Times New Roman" w:cs="Times New Roman"/>
          <w:i/>
          <w:iCs/>
          <w:lang w:val="en-GB"/>
        </w:rPr>
        <w:t>88</w:t>
      </w:r>
      <w:r w:rsidRPr="000365ED">
        <w:rPr>
          <w:rFonts w:ascii="Times New Roman" w:hAnsi="Times New Roman" w:cs="Times New Roman"/>
          <w:lang w:val="en-GB"/>
        </w:rPr>
        <w:t>(7), 509–518. https://doi.org/10.2471/BLT.09.069203</w:t>
      </w:r>
    </w:p>
    <w:p w14:paraId="4576C105"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Umar, L. W., Isah, A., Musa, S., &amp; Umar, B. (2018). Prescribing pattern and antibiotic use for hospitalized children in a Northern Nigerian Teaching Hospital. </w:t>
      </w:r>
      <w:r w:rsidRPr="000365ED">
        <w:rPr>
          <w:rFonts w:ascii="Times New Roman" w:hAnsi="Times New Roman" w:cs="Times New Roman"/>
          <w:i/>
          <w:iCs/>
          <w:lang w:val="en-GB"/>
        </w:rPr>
        <w:t>Annals of African Medicine</w:t>
      </w:r>
      <w:r w:rsidRPr="000365ED">
        <w:rPr>
          <w:rFonts w:ascii="Times New Roman" w:hAnsi="Times New Roman" w:cs="Times New Roman"/>
          <w:lang w:val="en-GB"/>
        </w:rPr>
        <w:t xml:space="preserve">, </w:t>
      </w:r>
      <w:r w:rsidRPr="000365ED">
        <w:rPr>
          <w:rFonts w:ascii="Times New Roman" w:hAnsi="Times New Roman" w:cs="Times New Roman"/>
          <w:i/>
          <w:iCs/>
          <w:lang w:val="en-GB"/>
        </w:rPr>
        <w:t>17</w:t>
      </w:r>
      <w:r w:rsidRPr="000365ED">
        <w:rPr>
          <w:rFonts w:ascii="Times New Roman" w:hAnsi="Times New Roman" w:cs="Times New Roman"/>
          <w:lang w:val="en-GB"/>
        </w:rPr>
        <w:t>(1), 26–32. Scopus. https://doi.org/10.4103/aam.aam_44_17</w:t>
      </w:r>
    </w:p>
    <w:p w14:paraId="77D7A964"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Valia, D., Ingelbeen, B., Kaboré, B., Karama, I., Peeters, M., Lompo, P., Vlieghe, E., Post, A., Cox, J., de Mast, Q., Robert, A., van der Sande, M. A. B., Villalobos, H. R., van der Ven, A., Tinto, H., &amp; Jacobs, J. (2022). Use of WATCH antibiotics prior to presentation to the hospital in rural Burkina Faso. </w:t>
      </w:r>
      <w:r w:rsidRPr="000365ED">
        <w:rPr>
          <w:rFonts w:ascii="Times New Roman" w:hAnsi="Times New Roman" w:cs="Times New Roman"/>
          <w:i/>
          <w:iCs/>
          <w:lang w:val="en-GB"/>
        </w:rPr>
        <w:t>Antimicrobial Resistance and Infection Control</w:t>
      </w:r>
      <w:r w:rsidRPr="000365ED">
        <w:rPr>
          <w:rFonts w:ascii="Times New Roman" w:hAnsi="Times New Roman" w:cs="Times New Roman"/>
          <w:lang w:val="en-GB"/>
        </w:rPr>
        <w:t xml:space="preserve">, </w:t>
      </w:r>
      <w:r w:rsidRPr="000365ED">
        <w:rPr>
          <w:rFonts w:ascii="Times New Roman" w:hAnsi="Times New Roman" w:cs="Times New Roman"/>
          <w:i/>
          <w:iCs/>
          <w:lang w:val="en-GB"/>
        </w:rPr>
        <w:t>11</w:t>
      </w:r>
      <w:r w:rsidRPr="000365ED">
        <w:rPr>
          <w:rFonts w:ascii="Times New Roman" w:hAnsi="Times New Roman" w:cs="Times New Roman"/>
          <w:lang w:val="en-GB"/>
        </w:rPr>
        <w:t>(1). Scopus. https://doi.org/10.1186/s13756-022-01098-8</w:t>
      </w:r>
    </w:p>
    <w:p w14:paraId="278A5398"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Valia, D., Kouanda, J. S., Ingelbeen, B., Derra, K., Kaboré, B., Kiemdé, F., Rouamba, T., Rouamba, E., Hien, F. S., Campbell, L., Meudec, M., Robert, A., Tinto, H., van der Sande, M. A. B., &amp; Villalobos, H. R. (2023). Healthcare seeking outside healthcare facilities and antibiotic dispensing patterns in rural Burkina Faso: A mixed methods study. </w:t>
      </w:r>
      <w:r w:rsidRPr="000365ED">
        <w:rPr>
          <w:rFonts w:ascii="Times New Roman" w:hAnsi="Times New Roman" w:cs="Times New Roman"/>
          <w:i/>
          <w:iCs/>
          <w:lang w:val="en-GB"/>
        </w:rPr>
        <w:t>Tropical Medicine and International Health</w:t>
      </w:r>
      <w:r w:rsidRPr="000365ED">
        <w:rPr>
          <w:rFonts w:ascii="Times New Roman" w:hAnsi="Times New Roman" w:cs="Times New Roman"/>
          <w:lang w:val="en-GB"/>
        </w:rPr>
        <w:t xml:space="preserve">, </w:t>
      </w:r>
      <w:r w:rsidRPr="000365ED">
        <w:rPr>
          <w:rFonts w:ascii="Times New Roman" w:hAnsi="Times New Roman" w:cs="Times New Roman"/>
          <w:i/>
          <w:iCs/>
          <w:lang w:val="en-GB"/>
        </w:rPr>
        <w:t>28</w:t>
      </w:r>
      <w:r w:rsidRPr="000365ED">
        <w:rPr>
          <w:rFonts w:ascii="Times New Roman" w:hAnsi="Times New Roman" w:cs="Times New Roman"/>
          <w:lang w:val="en-GB"/>
        </w:rPr>
        <w:t>(5), 391–400. Scopus. https://doi.org/10.1111/tmi.13868</w:t>
      </w:r>
    </w:p>
    <w:p w14:paraId="00B5C836"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lastRenderedPageBreak/>
        <w:t xml:space="preserve">Vialle-Valentin, C. E., LeCates, R. F., Zhang, F., Desta, A. T., &amp; Ross-Degnan, D. (2012). Predictors of antibiotic use in African communities: Evidence from medicines household surveys in five countries. </w:t>
      </w:r>
      <w:r w:rsidRPr="000365ED">
        <w:rPr>
          <w:rFonts w:ascii="Times New Roman" w:hAnsi="Times New Roman" w:cs="Times New Roman"/>
          <w:i/>
          <w:iCs/>
          <w:lang w:val="en-GB"/>
        </w:rPr>
        <w:t>Tropical Medicine &amp; International Health</w:t>
      </w:r>
      <w:r w:rsidRPr="000365ED">
        <w:rPr>
          <w:rFonts w:ascii="Times New Roman" w:hAnsi="Times New Roman" w:cs="Times New Roman"/>
          <w:lang w:val="en-GB"/>
        </w:rPr>
        <w:t xml:space="preserve">, </w:t>
      </w:r>
      <w:r w:rsidRPr="000365ED">
        <w:rPr>
          <w:rFonts w:ascii="Times New Roman" w:hAnsi="Times New Roman" w:cs="Times New Roman"/>
          <w:i/>
          <w:iCs/>
          <w:lang w:val="en-GB"/>
        </w:rPr>
        <w:t>17</w:t>
      </w:r>
      <w:r w:rsidRPr="000365ED">
        <w:rPr>
          <w:rFonts w:ascii="Times New Roman" w:hAnsi="Times New Roman" w:cs="Times New Roman"/>
          <w:lang w:val="en-GB"/>
        </w:rPr>
        <w:t>(2), 211–222. https://doi.org/10.1111/j.1365-3156.2011.02895.x</w:t>
      </w:r>
    </w:p>
    <w:p w14:paraId="58CE78DC"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Wieters, I., Johnstone, S., Makiala-Mandanda, S., Poda, A., Akoua-Koffi, C., Abu Sin, M., Eckmanns, T., Galeone, V., Kaboré, F. N., Kahwata, F., Leendertz, F. H., Mputu, B., Ouedraogo, A.-S., Page, N., Schink, S. B., Touré, F. S., Traoré, A., Venter, M., Vietor, A. C., … Tomczyk, S. (2024). Reported antibiotic use among patients in the multicenter ANDEMIA infectious diseases surveillance study in sub-saharan Africa. </w:t>
      </w:r>
      <w:r w:rsidRPr="000365ED">
        <w:rPr>
          <w:rFonts w:ascii="Times New Roman" w:hAnsi="Times New Roman" w:cs="Times New Roman"/>
          <w:i/>
          <w:iCs/>
          <w:lang w:val="en-GB"/>
        </w:rPr>
        <w:t>Antimicrobial Resistance &amp; Infection Control</w:t>
      </w:r>
      <w:r w:rsidRPr="000365ED">
        <w:rPr>
          <w:rFonts w:ascii="Times New Roman" w:hAnsi="Times New Roman" w:cs="Times New Roman"/>
          <w:lang w:val="en-GB"/>
        </w:rPr>
        <w:t xml:space="preserve">, </w:t>
      </w:r>
      <w:r w:rsidRPr="000365ED">
        <w:rPr>
          <w:rFonts w:ascii="Times New Roman" w:hAnsi="Times New Roman" w:cs="Times New Roman"/>
          <w:i/>
          <w:iCs/>
          <w:lang w:val="en-GB"/>
        </w:rPr>
        <w:t>13</w:t>
      </w:r>
      <w:r w:rsidRPr="000365ED">
        <w:rPr>
          <w:rFonts w:ascii="Times New Roman" w:hAnsi="Times New Roman" w:cs="Times New Roman"/>
          <w:lang w:val="en-GB"/>
        </w:rPr>
        <w:t>(1), 9. https://doi.org/10.1186/s13756-024-01365-w</w:t>
      </w:r>
    </w:p>
    <w:p w14:paraId="03FF8770"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Wood, C. E., Luedtke, S., Musah, A., Bammeke, F., Mutiu, B., Ojewola, R., Bankole, O., Ademuyiwa, A. O., Ekumankama, C. B., Ogunsola, F., Okonji, P., Kpokiri, E. E., Ayibanoah, T., Aworabhi-Oki, N., Shallcross, L., Molnar, A., Wiseman, S., Hayward, A., Soriano, D., … Kostkova, P. (2022). Exploring barriers to guideline implementation for prescription of surgical antibiotic prophylaxis in Nigeria. </w:t>
      </w:r>
      <w:r w:rsidRPr="000365ED">
        <w:rPr>
          <w:rFonts w:ascii="Times New Roman" w:hAnsi="Times New Roman" w:cs="Times New Roman"/>
          <w:i/>
          <w:iCs/>
          <w:lang w:val="en-GB"/>
        </w:rPr>
        <w:t>JAC-Antimicrobial Resistance</w:t>
      </w:r>
      <w:r w:rsidRPr="000365ED">
        <w:rPr>
          <w:rFonts w:ascii="Times New Roman" w:hAnsi="Times New Roman" w:cs="Times New Roman"/>
          <w:lang w:val="en-GB"/>
        </w:rPr>
        <w:t xml:space="preserve">, </w:t>
      </w:r>
      <w:r w:rsidRPr="000365ED">
        <w:rPr>
          <w:rFonts w:ascii="Times New Roman" w:hAnsi="Times New Roman" w:cs="Times New Roman"/>
          <w:i/>
          <w:iCs/>
          <w:lang w:val="en-GB"/>
        </w:rPr>
        <w:t>4</w:t>
      </w:r>
      <w:r w:rsidRPr="000365ED">
        <w:rPr>
          <w:rFonts w:ascii="Times New Roman" w:hAnsi="Times New Roman" w:cs="Times New Roman"/>
          <w:lang w:val="en-GB"/>
        </w:rPr>
        <w:t>(2). Scopus. https://doi.org/10.1093/jacamr/dlac044</w:t>
      </w:r>
    </w:p>
    <w:p w14:paraId="7CFB87C2"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Yevutsey, S. K., Buabeng, K. O., Aikins, M., Anto, B. P., Biritwum, R. B., Frimodt-Møller, N., &amp; Gyansa-Lutterodt, M. (2017). Situational analysis of antibiotic use and resistance in Ghana: Policy and regulation. </w:t>
      </w:r>
      <w:r w:rsidRPr="000365ED">
        <w:rPr>
          <w:rFonts w:ascii="Times New Roman" w:hAnsi="Times New Roman" w:cs="Times New Roman"/>
          <w:i/>
          <w:iCs/>
          <w:lang w:val="en-GB"/>
        </w:rPr>
        <w:t>BMC Public Health</w:t>
      </w:r>
      <w:r w:rsidRPr="000365ED">
        <w:rPr>
          <w:rFonts w:ascii="Times New Roman" w:hAnsi="Times New Roman" w:cs="Times New Roman"/>
          <w:lang w:val="en-GB"/>
        </w:rPr>
        <w:t xml:space="preserve">, </w:t>
      </w:r>
      <w:r w:rsidRPr="000365ED">
        <w:rPr>
          <w:rFonts w:ascii="Times New Roman" w:hAnsi="Times New Roman" w:cs="Times New Roman"/>
          <w:i/>
          <w:iCs/>
          <w:lang w:val="en-GB"/>
        </w:rPr>
        <w:t>17</w:t>
      </w:r>
      <w:r w:rsidRPr="000365ED">
        <w:rPr>
          <w:rFonts w:ascii="Times New Roman" w:hAnsi="Times New Roman" w:cs="Times New Roman"/>
          <w:lang w:val="en-GB"/>
        </w:rPr>
        <w:t>(1). Scopus. https://doi.org/10.1186/s12889-017-4910-7</w:t>
      </w:r>
    </w:p>
    <w:p w14:paraId="589426E5"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Yi, S., Ramachandran, A., Epps, L., Mayah, A., Burkholder, T. W., Jaung, M. S., Haider, A., Whesseh, P., Shakpeh, J., Enriquez, K., &amp; Bills, C. (2022). Emergency department antimicrobial use in a low-resource setting: Results from a retrospective observational study at a referral hospital in Liberia. </w:t>
      </w:r>
      <w:r w:rsidRPr="000365ED">
        <w:rPr>
          <w:rFonts w:ascii="Times New Roman" w:hAnsi="Times New Roman" w:cs="Times New Roman"/>
          <w:i/>
          <w:iCs/>
          <w:lang w:val="en-GB"/>
        </w:rPr>
        <w:t>BMJ Open</w:t>
      </w:r>
      <w:r w:rsidRPr="000365ED">
        <w:rPr>
          <w:rFonts w:ascii="Times New Roman" w:hAnsi="Times New Roman" w:cs="Times New Roman"/>
          <w:lang w:val="en-GB"/>
        </w:rPr>
        <w:t xml:space="preserve">, </w:t>
      </w:r>
      <w:r w:rsidRPr="000365ED">
        <w:rPr>
          <w:rFonts w:ascii="Times New Roman" w:hAnsi="Times New Roman" w:cs="Times New Roman"/>
          <w:i/>
          <w:iCs/>
          <w:lang w:val="en-GB"/>
        </w:rPr>
        <w:t>12</w:t>
      </w:r>
      <w:r w:rsidRPr="000365ED">
        <w:rPr>
          <w:rFonts w:ascii="Times New Roman" w:hAnsi="Times New Roman" w:cs="Times New Roman"/>
          <w:lang w:val="en-GB"/>
        </w:rPr>
        <w:t>(4). Scopus. https://doi.org/10.1136/bmjopen-2021-056709</w:t>
      </w:r>
    </w:p>
    <w:p w14:paraId="46A4FE20" w14:textId="77777777" w:rsidR="00F52000" w:rsidRPr="000365ED" w:rsidRDefault="00F52000" w:rsidP="00B955BD">
      <w:pPr>
        <w:pStyle w:val="Bibliography"/>
        <w:spacing w:line="240" w:lineRule="auto"/>
        <w:rPr>
          <w:rFonts w:ascii="Times New Roman" w:hAnsi="Times New Roman" w:cs="Times New Roman"/>
          <w:lang w:val="en-GB"/>
        </w:rPr>
      </w:pPr>
      <w:r w:rsidRPr="000365ED">
        <w:rPr>
          <w:rFonts w:ascii="Times New Roman" w:hAnsi="Times New Roman" w:cs="Times New Roman"/>
          <w:lang w:val="en-GB"/>
        </w:rPr>
        <w:t xml:space="preserve">Yusuf, I., Arzai, A. H., Yusha´u, M., Garba, L., Haruna, M., &amp; Getso, M. I. (2021). Cross-sectional survey of knowledge and attitudes of healthcare workers and community members toward the Ebola virus disease and antimicrobial resistance pathogens outbreaks in Nigeria. </w:t>
      </w:r>
      <w:r w:rsidRPr="000365ED">
        <w:rPr>
          <w:rFonts w:ascii="Times New Roman" w:hAnsi="Times New Roman" w:cs="Times New Roman"/>
          <w:i/>
          <w:iCs/>
          <w:lang w:val="en-GB"/>
        </w:rPr>
        <w:t>Pan African Medical Journal</w:t>
      </w:r>
      <w:r w:rsidRPr="000365ED">
        <w:rPr>
          <w:rFonts w:ascii="Times New Roman" w:hAnsi="Times New Roman" w:cs="Times New Roman"/>
          <w:lang w:val="en-GB"/>
        </w:rPr>
        <w:t xml:space="preserve">, </w:t>
      </w:r>
      <w:r w:rsidRPr="000365ED">
        <w:rPr>
          <w:rFonts w:ascii="Times New Roman" w:hAnsi="Times New Roman" w:cs="Times New Roman"/>
          <w:i/>
          <w:iCs/>
          <w:lang w:val="en-GB"/>
        </w:rPr>
        <w:t>40</w:t>
      </w:r>
      <w:r w:rsidRPr="000365ED">
        <w:rPr>
          <w:rFonts w:ascii="Times New Roman" w:hAnsi="Times New Roman" w:cs="Times New Roman"/>
          <w:lang w:val="en-GB"/>
        </w:rPr>
        <w:t>(1), Article 1. https://www.ajol.info/index.php/pamj/article/view/231226</w:t>
      </w:r>
    </w:p>
    <w:p w14:paraId="2F36A9F1" w14:textId="0EF0E489" w:rsidR="002730BE" w:rsidRPr="000365ED" w:rsidRDefault="002730BE" w:rsidP="00B955BD">
      <w:pPr>
        <w:jc w:val="both"/>
        <w:rPr>
          <w:rFonts w:ascii="Times New Roman" w:hAnsi="Times New Roman" w:cs="Times New Roman"/>
        </w:rPr>
      </w:pPr>
      <w:r w:rsidRPr="000365ED">
        <w:rPr>
          <w:rFonts w:ascii="Times New Roman" w:hAnsi="Times New Roman" w:cs="Times New Roman"/>
        </w:rPr>
        <w:fldChar w:fldCharType="end"/>
      </w:r>
    </w:p>
    <w:sectPr w:rsidR="002730BE" w:rsidRPr="000365ED" w:rsidSect="00605D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charset w:val="00"/>
    <w:family w:val="roman"/>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00C"/>
    <w:rsid w:val="0000380C"/>
    <w:rsid w:val="0002429F"/>
    <w:rsid w:val="00027097"/>
    <w:rsid w:val="000365ED"/>
    <w:rsid w:val="0004239C"/>
    <w:rsid w:val="00061E0E"/>
    <w:rsid w:val="000A37C3"/>
    <w:rsid w:val="000F4CCD"/>
    <w:rsid w:val="00133F49"/>
    <w:rsid w:val="00144788"/>
    <w:rsid w:val="0016216D"/>
    <w:rsid w:val="001A5A83"/>
    <w:rsid w:val="001B3FB6"/>
    <w:rsid w:val="001E0A36"/>
    <w:rsid w:val="001F1F08"/>
    <w:rsid w:val="002215C1"/>
    <w:rsid w:val="002730BE"/>
    <w:rsid w:val="002738CF"/>
    <w:rsid w:val="002A1CC2"/>
    <w:rsid w:val="002A6BA8"/>
    <w:rsid w:val="00316D6C"/>
    <w:rsid w:val="00321B41"/>
    <w:rsid w:val="00397401"/>
    <w:rsid w:val="003A69BE"/>
    <w:rsid w:val="003A7637"/>
    <w:rsid w:val="003D0B37"/>
    <w:rsid w:val="003D32FA"/>
    <w:rsid w:val="003E7A44"/>
    <w:rsid w:val="003F403A"/>
    <w:rsid w:val="00431F1B"/>
    <w:rsid w:val="00462534"/>
    <w:rsid w:val="00471776"/>
    <w:rsid w:val="004946BE"/>
    <w:rsid w:val="004B0220"/>
    <w:rsid w:val="004D06F9"/>
    <w:rsid w:val="004F1C7A"/>
    <w:rsid w:val="0055599C"/>
    <w:rsid w:val="00590B64"/>
    <w:rsid w:val="005C16FF"/>
    <w:rsid w:val="005E229C"/>
    <w:rsid w:val="005F2E8C"/>
    <w:rsid w:val="00605DAC"/>
    <w:rsid w:val="006166F6"/>
    <w:rsid w:val="00660E72"/>
    <w:rsid w:val="006821D0"/>
    <w:rsid w:val="006A4BB8"/>
    <w:rsid w:val="006D594A"/>
    <w:rsid w:val="006E1164"/>
    <w:rsid w:val="007060C1"/>
    <w:rsid w:val="00710EB9"/>
    <w:rsid w:val="0071671D"/>
    <w:rsid w:val="00717103"/>
    <w:rsid w:val="007623AD"/>
    <w:rsid w:val="007E321D"/>
    <w:rsid w:val="00857339"/>
    <w:rsid w:val="00870C14"/>
    <w:rsid w:val="008751B6"/>
    <w:rsid w:val="00884659"/>
    <w:rsid w:val="008869C5"/>
    <w:rsid w:val="008B63F2"/>
    <w:rsid w:val="008C1989"/>
    <w:rsid w:val="008F2B8E"/>
    <w:rsid w:val="00930A9A"/>
    <w:rsid w:val="00941763"/>
    <w:rsid w:val="00944D91"/>
    <w:rsid w:val="00994483"/>
    <w:rsid w:val="009B3D11"/>
    <w:rsid w:val="009C5D61"/>
    <w:rsid w:val="009D3E36"/>
    <w:rsid w:val="00A14E7A"/>
    <w:rsid w:val="00A314B8"/>
    <w:rsid w:val="00A378B8"/>
    <w:rsid w:val="00A536E9"/>
    <w:rsid w:val="00A67CCB"/>
    <w:rsid w:val="00A8136D"/>
    <w:rsid w:val="00AD3209"/>
    <w:rsid w:val="00B00C20"/>
    <w:rsid w:val="00B02B40"/>
    <w:rsid w:val="00B72F18"/>
    <w:rsid w:val="00B955BD"/>
    <w:rsid w:val="00BE1880"/>
    <w:rsid w:val="00BF45AD"/>
    <w:rsid w:val="00C73927"/>
    <w:rsid w:val="00C77E6F"/>
    <w:rsid w:val="00C92A3F"/>
    <w:rsid w:val="00D2432E"/>
    <w:rsid w:val="00D24FD7"/>
    <w:rsid w:val="00D26427"/>
    <w:rsid w:val="00D55E9E"/>
    <w:rsid w:val="00D6316E"/>
    <w:rsid w:val="00D716CE"/>
    <w:rsid w:val="00D81B11"/>
    <w:rsid w:val="00D85190"/>
    <w:rsid w:val="00D97D18"/>
    <w:rsid w:val="00DB302E"/>
    <w:rsid w:val="00DD2681"/>
    <w:rsid w:val="00E3220D"/>
    <w:rsid w:val="00EC2D4F"/>
    <w:rsid w:val="00EF2217"/>
    <w:rsid w:val="00EF3C18"/>
    <w:rsid w:val="00EF5D6F"/>
    <w:rsid w:val="00F3600C"/>
    <w:rsid w:val="00F52000"/>
    <w:rsid w:val="00FA19AF"/>
    <w:rsid w:val="00FB4B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21F2F1"/>
  <w15:chartTrackingRefBased/>
  <w15:docId w15:val="{C39FCB2E-4B7C-B546-B279-B44985722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BodyText"/>
    <w:link w:val="Heading3Char"/>
    <w:uiPriority w:val="9"/>
    <w:unhideWhenUsed/>
    <w:qFormat/>
    <w:rsid w:val="00BE1880"/>
    <w:pPr>
      <w:keepNext/>
      <w:suppressAutoHyphens/>
      <w:spacing w:before="140" w:after="120"/>
      <w:outlineLvl w:val="2"/>
    </w:pPr>
    <w:rPr>
      <w:rFonts w:ascii="Liberation Serif" w:eastAsia="Noto Serif CJK SC" w:hAnsi="Liberation Serif" w:cs="Lohit Devanagari"/>
      <w:b/>
      <w:bCs/>
      <w:kern w:val="2"/>
      <w:sz w:val="28"/>
      <w:szCs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2F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02B40"/>
    <w:pPr>
      <w:spacing w:before="100" w:beforeAutospacing="1" w:after="100" w:afterAutospacing="1"/>
    </w:pPr>
    <w:rPr>
      <w:rFonts w:ascii="Times New Roman" w:eastAsia="Times New Roman" w:hAnsi="Times New Roman" w:cs="Times New Roman"/>
      <w:lang w:eastAsia="en-GB"/>
    </w:rPr>
  </w:style>
  <w:style w:type="paragraph" w:styleId="Bibliography">
    <w:name w:val="Bibliography"/>
    <w:basedOn w:val="Normal"/>
    <w:next w:val="Normal"/>
    <w:uiPriority w:val="37"/>
    <w:unhideWhenUsed/>
    <w:rsid w:val="00DD2681"/>
    <w:pPr>
      <w:spacing w:line="480" w:lineRule="auto"/>
      <w:ind w:left="720" w:hanging="720"/>
    </w:pPr>
  </w:style>
  <w:style w:type="character" w:styleId="CommentReference">
    <w:name w:val="annotation reference"/>
    <w:basedOn w:val="DefaultParagraphFont"/>
    <w:uiPriority w:val="99"/>
    <w:semiHidden/>
    <w:unhideWhenUsed/>
    <w:rsid w:val="00144788"/>
    <w:rPr>
      <w:sz w:val="16"/>
      <w:szCs w:val="16"/>
    </w:rPr>
  </w:style>
  <w:style w:type="paragraph" w:styleId="CommentText">
    <w:name w:val="annotation text"/>
    <w:basedOn w:val="Normal"/>
    <w:link w:val="CommentTextChar"/>
    <w:uiPriority w:val="99"/>
    <w:unhideWhenUsed/>
    <w:rsid w:val="00144788"/>
    <w:rPr>
      <w:sz w:val="20"/>
      <w:szCs w:val="20"/>
    </w:rPr>
  </w:style>
  <w:style w:type="character" w:customStyle="1" w:styleId="CommentTextChar">
    <w:name w:val="Comment Text Char"/>
    <w:basedOn w:val="DefaultParagraphFont"/>
    <w:link w:val="CommentText"/>
    <w:uiPriority w:val="99"/>
    <w:rsid w:val="00144788"/>
    <w:rPr>
      <w:sz w:val="20"/>
      <w:szCs w:val="20"/>
    </w:rPr>
  </w:style>
  <w:style w:type="paragraph" w:styleId="CommentSubject">
    <w:name w:val="annotation subject"/>
    <w:basedOn w:val="CommentText"/>
    <w:next w:val="CommentText"/>
    <w:link w:val="CommentSubjectChar"/>
    <w:uiPriority w:val="99"/>
    <w:semiHidden/>
    <w:unhideWhenUsed/>
    <w:rsid w:val="00144788"/>
    <w:rPr>
      <w:b/>
      <w:bCs/>
    </w:rPr>
  </w:style>
  <w:style w:type="character" w:customStyle="1" w:styleId="CommentSubjectChar">
    <w:name w:val="Comment Subject Char"/>
    <w:basedOn w:val="CommentTextChar"/>
    <w:link w:val="CommentSubject"/>
    <w:uiPriority w:val="99"/>
    <w:semiHidden/>
    <w:rsid w:val="00144788"/>
    <w:rPr>
      <w:b/>
      <w:bCs/>
      <w:sz w:val="20"/>
      <w:szCs w:val="20"/>
    </w:rPr>
  </w:style>
  <w:style w:type="paragraph" w:styleId="BalloonText">
    <w:name w:val="Balloon Text"/>
    <w:basedOn w:val="Normal"/>
    <w:link w:val="BalloonTextChar"/>
    <w:uiPriority w:val="99"/>
    <w:semiHidden/>
    <w:unhideWhenUsed/>
    <w:rsid w:val="003E7A4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E7A44"/>
    <w:rPr>
      <w:rFonts w:ascii="Times New Roman" w:hAnsi="Times New Roman" w:cs="Times New Roman"/>
      <w:sz w:val="18"/>
      <w:szCs w:val="18"/>
    </w:rPr>
  </w:style>
  <w:style w:type="character" w:customStyle="1" w:styleId="Heading3Char">
    <w:name w:val="Heading 3 Char"/>
    <w:basedOn w:val="DefaultParagraphFont"/>
    <w:link w:val="Heading3"/>
    <w:uiPriority w:val="9"/>
    <w:rsid w:val="00BE1880"/>
    <w:rPr>
      <w:rFonts w:ascii="Liberation Serif" w:eastAsia="Noto Serif CJK SC" w:hAnsi="Liberation Serif" w:cs="Lohit Devanagari"/>
      <w:b/>
      <w:bCs/>
      <w:kern w:val="2"/>
      <w:sz w:val="28"/>
      <w:szCs w:val="28"/>
      <w:lang w:val="en-US" w:eastAsia="zh-CN" w:bidi="hi-IN"/>
    </w:rPr>
  </w:style>
  <w:style w:type="character" w:customStyle="1" w:styleId="StrongEmphasis">
    <w:name w:val="Strong Emphasis"/>
    <w:qFormat/>
    <w:rsid w:val="00BE1880"/>
    <w:rPr>
      <w:b/>
      <w:bCs/>
    </w:rPr>
  </w:style>
  <w:style w:type="paragraph" w:styleId="BodyText">
    <w:name w:val="Body Text"/>
    <w:basedOn w:val="Normal"/>
    <w:link w:val="BodyTextChar"/>
    <w:rsid w:val="00BE1880"/>
    <w:pPr>
      <w:suppressAutoHyphens/>
      <w:spacing w:after="140" w:line="276" w:lineRule="auto"/>
    </w:pPr>
    <w:rPr>
      <w:rFonts w:ascii="Liberation Serif" w:eastAsia="Noto Serif CJK SC" w:hAnsi="Liberation Serif" w:cs="Lohit Devanagari"/>
      <w:kern w:val="2"/>
      <w:lang w:eastAsia="zh-CN" w:bidi="hi-IN"/>
    </w:rPr>
  </w:style>
  <w:style w:type="character" w:customStyle="1" w:styleId="BodyTextChar">
    <w:name w:val="Body Text Char"/>
    <w:basedOn w:val="DefaultParagraphFont"/>
    <w:link w:val="BodyText"/>
    <w:rsid w:val="00BE1880"/>
    <w:rPr>
      <w:rFonts w:ascii="Liberation Serif" w:eastAsia="Noto Serif CJK SC" w:hAnsi="Liberation Serif" w:cs="Lohit Devanagari"/>
      <w:kern w:val="2"/>
      <w:lang w:val="en-US" w:eastAsia="zh-CN" w:bidi="hi-IN"/>
    </w:rPr>
  </w:style>
  <w:style w:type="paragraph" w:customStyle="1" w:styleId="TableContents">
    <w:name w:val="Table Contents"/>
    <w:basedOn w:val="Normal"/>
    <w:qFormat/>
    <w:rsid w:val="00BE1880"/>
    <w:pPr>
      <w:widowControl w:val="0"/>
      <w:suppressLineNumbers/>
      <w:suppressAutoHyphens/>
    </w:pPr>
    <w:rPr>
      <w:rFonts w:ascii="Liberation Serif" w:eastAsia="Noto Serif CJK SC" w:hAnsi="Liberation Serif" w:cs="Lohit Devanagari"/>
      <w:kern w:val="2"/>
      <w:lang w:eastAsia="zh-CN" w:bidi="hi-IN"/>
    </w:rPr>
  </w:style>
  <w:style w:type="paragraph" w:customStyle="1" w:styleId="TableHeading">
    <w:name w:val="Table Heading"/>
    <w:basedOn w:val="TableContents"/>
    <w:qFormat/>
    <w:rsid w:val="00BE1880"/>
    <w:pPr>
      <w:jc w:val="center"/>
    </w:pPr>
    <w:rPr>
      <w:b/>
      <w:bCs/>
    </w:rPr>
  </w:style>
  <w:style w:type="character" w:styleId="Hyperlink">
    <w:name w:val="Hyperlink"/>
    <w:basedOn w:val="DefaultParagraphFont"/>
    <w:semiHidden/>
    <w:unhideWhenUsed/>
    <w:rsid w:val="008751B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8951566">
      <w:bodyDiv w:val="1"/>
      <w:marLeft w:val="0"/>
      <w:marRight w:val="0"/>
      <w:marTop w:val="0"/>
      <w:marBottom w:val="0"/>
      <w:divBdr>
        <w:top w:val="none" w:sz="0" w:space="0" w:color="auto"/>
        <w:left w:val="none" w:sz="0" w:space="0" w:color="auto"/>
        <w:bottom w:val="none" w:sz="0" w:space="0" w:color="auto"/>
        <w:right w:val="none" w:sz="0" w:space="0" w:color="auto"/>
      </w:divBdr>
    </w:div>
    <w:div w:id="678851801">
      <w:bodyDiv w:val="1"/>
      <w:marLeft w:val="0"/>
      <w:marRight w:val="0"/>
      <w:marTop w:val="0"/>
      <w:marBottom w:val="0"/>
      <w:divBdr>
        <w:top w:val="none" w:sz="0" w:space="0" w:color="auto"/>
        <w:left w:val="none" w:sz="0" w:space="0" w:color="auto"/>
        <w:bottom w:val="none" w:sz="0" w:space="0" w:color="auto"/>
        <w:right w:val="none" w:sz="0" w:space="0" w:color="auto"/>
      </w:divBdr>
    </w:div>
    <w:div w:id="825439554">
      <w:bodyDiv w:val="1"/>
      <w:marLeft w:val="0"/>
      <w:marRight w:val="0"/>
      <w:marTop w:val="0"/>
      <w:marBottom w:val="0"/>
      <w:divBdr>
        <w:top w:val="none" w:sz="0" w:space="0" w:color="auto"/>
        <w:left w:val="none" w:sz="0" w:space="0" w:color="auto"/>
        <w:bottom w:val="none" w:sz="0" w:space="0" w:color="auto"/>
        <w:right w:val="none" w:sz="0" w:space="0" w:color="auto"/>
      </w:divBdr>
    </w:div>
    <w:div w:id="891961471">
      <w:bodyDiv w:val="1"/>
      <w:marLeft w:val="0"/>
      <w:marRight w:val="0"/>
      <w:marTop w:val="0"/>
      <w:marBottom w:val="0"/>
      <w:divBdr>
        <w:top w:val="none" w:sz="0" w:space="0" w:color="auto"/>
        <w:left w:val="none" w:sz="0" w:space="0" w:color="auto"/>
        <w:bottom w:val="none" w:sz="0" w:space="0" w:color="auto"/>
        <w:right w:val="none" w:sz="0" w:space="0" w:color="auto"/>
      </w:divBdr>
    </w:div>
    <w:div w:id="1012991535">
      <w:bodyDiv w:val="1"/>
      <w:marLeft w:val="0"/>
      <w:marRight w:val="0"/>
      <w:marTop w:val="0"/>
      <w:marBottom w:val="0"/>
      <w:divBdr>
        <w:top w:val="none" w:sz="0" w:space="0" w:color="auto"/>
        <w:left w:val="none" w:sz="0" w:space="0" w:color="auto"/>
        <w:bottom w:val="none" w:sz="0" w:space="0" w:color="auto"/>
        <w:right w:val="none" w:sz="0" w:space="0" w:color="auto"/>
      </w:divBdr>
    </w:div>
    <w:div w:id="1086924282">
      <w:bodyDiv w:val="1"/>
      <w:marLeft w:val="0"/>
      <w:marRight w:val="0"/>
      <w:marTop w:val="0"/>
      <w:marBottom w:val="0"/>
      <w:divBdr>
        <w:top w:val="none" w:sz="0" w:space="0" w:color="auto"/>
        <w:left w:val="none" w:sz="0" w:space="0" w:color="auto"/>
        <w:bottom w:val="none" w:sz="0" w:space="0" w:color="auto"/>
        <w:right w:val="none" w:sz="0" w:space="0" w:color="auto"/>
      </w:divBdr>
    </w:div>
    <w:div w:id="1119568863">
      <w:bodyDiv w:val="1"/>
      <w:marLeft w:val="0"/>
      <w:marRight w:val="0"/>
      <w:marTop w:val="0"/>
      <w:marBottom w:val="0"/>
      <w:divBdr>
        <w:top w:val="none" w:sz="0" w:space="0" w:color="auto"/>
        <w:left w:val="none" w:sz="0" w:space="0" w:color="auto"/>
        <w:bottom w:val="none" w:sz="0" w:space="0" w:color="auto"/>
        <w:right w:val="none" w:sz="0" w:space="0" w:color="auto"/>
      </w:divBdr>
    </w:div>
    <w:div w:id="1411930806">
      <w:bodyDiv w:val="1"/>
      <w:marLeft w:val="0"/>
      <w:marRight w:val="0"/>
      <w:marTop w:val="0"/>
      <w:marBottom w:val="0"/>
      <w:divBdr>
        <w:top w:val="none" w:sz="0" w:space="0" w:color="auto"/>
        <w:left w:val="none" w:sz="0" w:space="0" w:color="auto"/>
        <w:bottom w:val="none" w:sz="0" w:space="0" w:color="auto"/>
        <w:right w:val="none" w:sz="0" w:space="0" w:color="auto"/>
      </w:divBdr>
    </w:div>
    <w:div w:id="1434398024">
      <w:bodyDiv w:val="1"/>
      <w:marLeft w:val="0"/>
      <w:marRight w:val="0"/>
      <w:marTop w:val="0"/>
      <w:marBottom w:val="0"/>
      <w:divBdr>
        <w:top w:val="none" w:sz="0" w:space="0" w:color="auto"/>
        <w:left w:val="none" w:sz="0" w:space="0" w:color="auto"/>
        <w:bottom w:val="none" w:sz="0" w:space="0" w:color="auto"/>
        <w:right w:val="none" w:sz="0" w:space="0" w:color="auto"/>
      </w:divBdr>
    </w:div>
    <w:div w:id="153776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hyperlink" Target="mailto:esampane-donkor@ug.edu.gh" TargetMode="Externa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40</Pages>
  <Words>60227</Words>
  <Characters>343299</Characters>
  <Application>Microsoft Office Word</Application>
  <DocSecurity>0</DocSecurity>
  <Lines>2860</Lines>
  <Paragraphs>805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abdulhalimosman20@gmail.com</dc:creator>
  <cp:keywords/>
  <dc:description/>
  <cp:lastModifiedBy>Abdul-Halim Osman</cp:lastModifiedBy>
  <cp:revision>31</cp:revision>
  <dcterms:created xsi:type="dcterms:W3CDTF">2024-04-12T16:25:00Z</dcterms:created>
  <dcterms:modified xsi:type="dcterms:W3CDTF">2024-10-12T02:17:00Z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id="HohYAI2u"/&gt;&lt;style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 name="dontAskDelayCitationUpdates" value="true"/&gt;&lt;/prefs&gt;&lt;/data&gt;</vt:lpwstr>
  </property>
  <property fmtid="{D5CDD505-2E9C-101B-9397-08002B2CF9AE}" pid="4" name="GrammarlyDocumentId">
    <vt:lpwstr>ae500b508ad4ff58baa75f4eaabcd58882f0b60f01a55f05da17cf34306ddf39</vt:lpwstr>
  </property>
</Properties>
</file>