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4675" w14:textId="6C8600E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b/>
          <w:bCs/>
          <w:sz w:val="22"/>
          <w:szCs w:val="22"/>
        </w:rPr>
        <w:t>Supplementary File A: Literature search protocol</w:t>
      </w:r>
    </w:p>
    <w:p w14:paraId="570A60D8" w14:textId="60F0D68F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E9583A2" w14:textId="037D251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 xml:space="preserve">Question 1: What are the modes of human-to-human transmission of </w:t>
      </w:r>
      <w:proofErr w:type="spellStart"/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?  </w:t>
      </w:r>
    </w:p>
    <w:p w14:paraId="46539FBE" w14:textId="0569C288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This question intends to supplement findings on effectiveness of IPC measures to prevent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infection. </w:t>
      </w:r>
    </w:p>
    <w:p w14:paraId="1C65B355" w14:textId="1F97E8D0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60E347F4" w14:textId="176C150B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Inclusion Criteria: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29C81656" w14:textId="53818E51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F3E7974" w14:textId="4F2A1390" w:rsidR="00CD616D" w:rsidRDefault="62892557" w:rsidP="684AE1ED">
      <w:pPr>
        <w:pStyle w:val="ListParagraph"/>
        <w:numPr>
          <w:ilvl w:val="0"/>
          <w:numId w:val="13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Study design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 Case-control studies, cohort studies and non-comparative studies. Case reports and case series are also included. </w:t>
      </w:r>
    </w:p>
    <w:p w14:paraId="39F9F979" w14:textId="6371BD86" w:rsidR="00CD616D" w:rsidRDefault="62892557" w:rsidP="684AE1ED">
      <w:pPr>
        <w:pStyle w:val="ListParagraph"/>
        <w:numPr>
          <w:ilvl w:val="0"/>
          <w:numId w:val="13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Population</w:t>
      </w: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: Individuals with confirmed or probable cases of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infection, as defined by the WHO's case definition for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disease or other local or regional guidelines. Suspected cases with a documented epidemiological link to a confirmed or probable case may also be considered. </w:t>
      </w:r>
    </w:p>
    <w:p w14:paraId="4B2FAC9F" w14:textId="08D8C1F0" w:rsidR="00CD616D" w:rsidRDefault="62892557" w:rsidP="684AE1ED">
      <w:pPr>
        <w:pStyle w:val="ListParagraph"/>
        <w:numPr>
          <w:ilvl w:val="0"/>
          <w:numId w:val="13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Outcomes</w:t>
      </w: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: confirmed, probable or suspected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infection following exposure to a confirmed or probable case of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.  </w:t>
      </w:r>
    </w:p>
    <w:p w14:paraId="62D2F042" w14:textId="36369ED3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0273C8D4" w14:textId="26A39372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Each transmission reported as either a single mode of transmission, multiple possible routes of transmission, or unknown route of transmission. The following modes will be considered: </w:t>
      </w:r>
    </w:p>
    <w:p w14:paraId="482A44A5" w14:textId="0FE84E22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Respiratory transmission (whether droplet or airborne) </w:t>
      </w:r>
    </w:p>
    <w:p w14:paraId="16239A5F" w14:textId="66C46036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Direct contact with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case </w:t>
      </w:r>
    </w:p>
    <w:p w14:paraId="36562F5C" w14:textId="52A599F6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Indirect contact with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case, including fomite transmission </w:t>
      </w:r>
    </w:p>
    <w:p w14:paraId="3B7794E9" w14:textId="48EA39EC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Vertical (mother-to-child) transmission </w:t>
      </w:r>
    </w:p>
    <w:p w14:paraId="17F9DABB" w14:textId="212E82BC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Sexual transmission </w:t>
      </w:r>
    </w:p>
    <w:p w14:paraId="67A835E9" w14:textId="6CAFFA64" w:rsidR="00CD616D" w:rsidRDefault="62892557" w:rsidP="684AE1ED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Non-human related (zoonotic transmission) </w:t>
      </w:r>
    </w:p>
    <w:p w14:paraId="1C42F209" w14:textId="750D4036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C1704E1" w14:textId="67B2965A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lastRenderedPageBreak/>
        <w:t>Settings</w:t>
      </w: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: all geographies are considered but given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outbreaks have only occurred in 5 countries (Bangladesh, India, Malaysia, Philippines, Singapore) it is expected that data will be obtained from these countries only. </w:t>
      </w:r>
    </w:p>
    <w:p w14:paraId="54C8D29D" w14:textId="7B21AE1C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2DCCA4B8" w14:textId="74ADE69B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Exclusion Criteria: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1ED56664" w14:textId="0DD8C0C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0F407716" w14:textId="0436F547" w:rsidR="00CD616D" w:rsidRDefault="62892557" w:rsidP="684AE1ED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published in a language other than English. </w:t>
      </w:r>
    </w:p>
    <w:p w14:paraId="51BE8AC7" w14:textId="30C44649" w:rsidR="00CD616D" w:rsidRDefault="62892557" w:rsidP="684AE1ED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Studies that do not provide sufficient information to infer modes of transmission of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. </w:t>
      </w:r>
    </w:p>
    <w:p w14:paraId="6CA0CD8C" w14:textId="728D0203" w:rsidR="00CD616D" w:rsidRDefault="62892557" w:rsidP="684AE1ED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Studies that refer exclusively to zoonotic transmission or spillover of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. </w:t>
      </w:r>
    </w:p>
    <w:p w14:paraId="02C4F260" w14:textId="718171BD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6DFCFB15" w14:textId="2746E2C6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Search terms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099C7F1B" w14:textId="17F6458F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Nipah virus or Nipah.mp </w:t>
      </w:r>
    </w:p>
    <w:p w14:paraId="435FC9BB" w14:textId="7193F435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Case*.mp </w:t>
      </w:r>
    </w:p>
    <w:p w14:paraId="136CF1FC" w14:textId="5CB327B4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Person.mp </w:t>
      </w:r>
    </w:p>
    <w:p w14:paraId="361ACAE9" w14:textId="45911729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Individual.mp </w:t>
      </w:r>
    </w:p>
    <w:p w14:paraId="4ACC5FB3" w14:textId="17F49511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2 or 3 or 4 </w:t>
      </w:r>
    </w:p>
    <w:p w14:paraId="5495EA7F" w14:textId="7BADD6B2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Outbreak.mp </w:t>
      </w:r>
    </w:p>
    <w:p w14:paraId="3A1B8BCD" w14:textId="495152D2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Transmi*.mp </w:t>
      </w:r>
    </w:p>
    <w:p w14:paraId="7E7DF888" w14:textId="6072F8E9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Spread.mp </w:t>
      </w:r>
    </w:p>
    <w:p w14:paraId="0F4D6EED" w14:textId="284ECA05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Epidemic.mp </w:t>
      </w:r>
    </w:p>
    <w:p w14:paraId="03463883" w14:textId="18EB3A09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Cluster.mp </w:t>
      </w:r>
    </w:p>
    <w:p w14:paraId="270A910D" w14:textId="244DDC90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6 or 7 or 8 or 9 or 10 </w:t>
      </w:r>
    </w:p>
    <w:p w14:paraId="4D5E01BC" w14:textId="393BE29E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Bangladesh.mp </w:t>
      </w:r>
    </w:p>
    <w:p w14:paraId="78ADB0C0" w14:textId="0F3967EC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India.mp </w:t>
      </w:r>
    </w:p>
    <w:p w14:paraId="54E21CF3" w14:textId="7CC68DF6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Malaysia.mp </w:t>
      </w:r>
    </w:p>
    <w:p w14:paraId="2E163B83" w14:textId="7A0CD5DB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Philippines.mp </w:t>
      </w:r>
    </w:p>
    <w:p w14:paraId="5916D88F" w14:textId="71DF0FF5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Singapore.mp </w:t>
      </w:r>
    </w:p>
    <w:p w14:paraId="5648AC8F" w14:textId="6834A3A2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lastRenderedPageBreak/>
        <w:t>12 or 13 or 14 or 15 or 16 </w:t>
      </w:r>
    </w:p>
    <w:p w14:paraId="01B5E845" w14:textId="3AC2BC0B" w:rsidR="00CD616D" w:rsidRDefault="62892557" w:rsidP="684AE1ED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1 and 5 and 11 and 17 </w:t>
      </w:r>
    </w:p>
    <w:p w14:paraId="65B1E7D0" w14:textId="6C8D460B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10399C75" w14:textId="40B813BB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 xml:space="preserve">Question 2: </w:t>
      </w:r>
      <w:r w:rsidRPr="684AE1ED">
        <w:rPr>
          <w:rFonts w:ascii="Arial" w:eastAsia="Arial" w:hAnsi="Arial" w:cs="Arial"/>
          <w:sz w:val="22"/>
          <w:szCs w:val="22"/>
        </w:rPr>
        <w:t xml:space="preserve">Which infection prevention and control precautions are most effective in preventing transmission of </w:t>
      </w:r>
      <w:proofErr w:type="spellStart"/>
      <w:r w:rsidRPr="684AE1ED">
        <w:rPr>
          <w:rFonts w:ascii="Arial" w:eastAsia="Arial" w:hAnsi="Arial" w:cs="Arial"/>
          <w:sz w:val="22"/>
          <w:szCs w:val="22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</w:rPr>
        <w:t xml:space="preserve"> to healthcare workers?</w:t>
      </w:r>
    </w:p>
    <w:p w14:paraId="5F816615" w14:textId="145D5882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1773E4ED" w14:textId="764ADEFF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Inclusion Criteria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6157E1C4" w14:textId="387BD054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C959E19" w14:textId="03A8801B" w:rsidR="00CD616D" w:rsidRDefault="62892557" w:rsidP="684AE1ED">
      <w:pPr>
        <w:pStyle w:val="ListParagraph"/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Study design: Comparative studies, including but not limited to 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randomised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 or otherwise controlled trials, cohort studies, case-control studies and ecological studies.</w:t>
      </w:r>
      <w:r w:rsidR="00C02827">
        <w:rPr>
          <w:rFonts w:ascii="Arial" w:eastAsia="Arial" w:hAnsi="Arial" w:cs="Arial"/>
          <w:sz w:val="22"/>
          <w:szCs w:val="22"/>
          <w:lang w:val="en-US"/>
        </w:rPr>
        <w:t xml:space="preserve"> In the event of no comparative studies evaluating the effectiveness of infection prevention and control measures in preventing </w:t>
      </w:r>
      <w:proofErr w:type="spellStart"/>
      <w:r w:rsidR="00C02827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="00C02827">
        <w:rPr>
          <w:rFonts w:ascii="Arial" w:eastAsia="Arial" w:hAnsi="Arial" w:cs="Arial"/>
          <w:sz w:val="22"/>
          <w:szCs w:val="22"/>
          <w:lang w:val="en-US"/>
        </w:rPr>
        <w:t xml:space="preserve"> transmission being available, studies describing the use of IPC measures within </w:t>
      </w:r>
      <w:proofErr w:type="spellStart"/>
      <w:r w:rsidR="00C02827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="00C02827">
        <w:rPr>
          <w:rFonts w:ascii="Arial" w:eastAsia="Arial" w:hAnsi="Arial" w:cs="Arial"/>
          <w:sz w:val="22"/>
          <w:szCs w:val="22"/>
          <w:lang w:val="en-US"/>
        </w:rPr>
        <w:t xml:space="preserve"> outbreaks will be included to inform, albeit not fully answer, this question.</w:t>
      </w:r>
    </w:p>
    <w:p w14:paraId="4A41EB84" w14:textId="2934C63F" w:rsidR="00CD616D" w:rsidRDefault="62892557" w:rsidP="684AE1ED">
      <w:pPr>
        <w:pStyle w:val="ListParagraph"/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Population: Healthcare workers, patients and other populations within healthcare settings exposed to cases of 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 xml:space="preserve"> disease. </w:t>
      </w:r>
    </w:p>
    <w:p w14:paraId="5B672984" w14:textId="74B0222F" w:rsidR="00CD616D" w:rsidRDefault="62892557" w:rsidP="684AE1ED">
      <w:pPr>
        <w:pStyle w:val="ListParagraph"/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Comparisons: </w:t>
      </w:r>
    </w:p>
    <w:p w14:paraId="23DA7199" w14:textId="04FE30F8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Intervention 1: isolation of Nipah patients in 'airborne precaution' rooms, defined as having a high ventilation rate and controlled direction of airflow. </w:t>
      </w:r>
    </w:p>
    <w:p w14:paraId="3B4F2E5C" w14:textId="50BE3DED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Control 1: isolation of Nipah patients in 'adequately ventilated' rooms that lack a controlled direction of airflow, or rooms with insufficient ventilation to qualify as an airborne precaution room. </w:t>
      </w:r>
    </w:p>
    <w:p w14:paraId="30767D3F" w14:textId="600B8F4F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Intervention 2: use of respirators (e.g. N95, FFP2) during management of Nipah patients. </w:t>
      </w:r>
    </w:p>
    <w:p w14:paraId="1C754EAC" w14:textId="114F7071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Control 2: use of medical masks during management of Nipah patients. </w:t>
      </w:r>
    </w:p>
    <w:p w14:paraId="7DF8AE77" w14:textId="576F618D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Intervention 3: use of alcohol-based hand hygiene among healthcare workers involved in management of Nipah patients. </w:t>
      </w:r>
    </w:p>
    <w:p w14:paraId="39B1110D" w14:textId="1E5E2AAD" w:rsidR="00CD616D" w:rsidRDefault="62892557" w:rsidP="684AE1ED">
      <w:pPr>
        <w:pStyle w:val="ListParagraph"/>
        <w:numPr>
          <w:ilvl w:val="1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Control 3: use of other, or lack of, hand hygiene among healthcare workers involved in management of Nipah patients. </w:t>
      </w:r>
    </w:p>
    <w:p w14:paraId="3B117312" w14:textId="766EBBDF" w:rsidR="00CD616D" w:rsidRDefault="62892557" w:rsidP="684AE1ED">
      <w:pPr>
        <w:pStyle w:val="ListParagraph"/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Outcomes: Nipah virus infection in healthcare workers, patients, and other populations within healthcare settings. </w:t>
      </w:r>
    </w:p>
    <w:p w14:paraId="184CEB1C" w14:textId="4A5A8443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B86A70F" w14:textId="2A498F12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Settings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 all geographies are considered, but given Nipah outbreaks have only occurred in 5 countries (Bangladesh, India, Malaysia, Philippines, Singapore) it is expected that data will be obtained from these countries only. </w:t>
      </w:r>
    </w:p>
    <w:p w14:paraId="5384BFAB" w14:textId="0AE9B82B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lastRenderedPageBreak/>
        <w:t> </w:t>
      </w:r>
    </w:p>
    <w:p w14:paraId="23DBD548" w14:textId="35173AF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Exclusion Criteria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27297B7E" w14:textId="58EC7AA8" w:rsidR="00CD616D" w:rsidRDefault="62892557" w:rsidP="684AE1ED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published in a language other than English. </w:t>
      </w:r>
    </w:p>
    <w:p w14:paraId="0C4FD447" w14:textId="35A75B2C" w:rsidR="00CD616D" w:rsidRDefault="62892557" w:rsidP="684AE1ED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that do not refer to human Nipah cases. </w:t>
      </w:r>
    </w:p>
    <w:p w14:paraId="3596416F" w14:textId="6FE569B2" w:rsidR="00CD616D" w:rsidRDefault="62892557" w:rsidP="684AE1ED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that make no reference to evaluation of infection prevention and control practices. </w:t>
      </w:r>
    </w:p>
    <w:p w14:paraId="4339A917" w14:textId="55E60C40" w:rsidR="00CD616D" w:rsidRDefault="62892557" w:rsidP="684AE1ED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Non-comparative studies. </w:t>
      </w:r>
    </w:p>
    <w:p w14:paraId="3BD56881" w14:textId="78071818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049CF132" w14:textId="4FAC0A2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Search terms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5C80CF9C" w14:textId="1944D0AB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Nipah.mp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37F1A8EA" w14:textId="7197E0D7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(random* or factorial* or placebo* or assign* or 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CA"/>
        </w:rPr>
        <w:t>allocat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CA"/>
        </w:rPr>
        <w:t>* or crossover*).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CA"/>
        </w:rPr>
        <w:t>mp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  </w:t>
      </w:r>
    </w:p>
    <w:p w14:paraId="762B0E70" w14:textId="095163A0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((blind* or mask*) and (single or double or triple or treble)).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CA"/>
        </w:rPr>
        <w:t>mp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EFC09F9" w14:textId="46D35705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crossover procedure.mp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C627DD1" w14:textId="4CBB84E0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double blind procedure or single blind procedure.mp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6722869F" w14:textId="230C286B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randomization/ or placebo.mp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236703A3" w14:textId="17B5BD89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randomized controlled trial.mp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3C4672ED" w14:textId="3B1A6E85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cohort study.mp. or cohort analysis.mp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 </w:t>
      </w:r>
    </w:p>
    <w:p w14:paraId="0DFADBFD" w14:textId="337F877B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comparative study.mp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 </w:t>
      </w:r>
    </w:p>
    <w:p w14:paraId="69D0E5D3" w14:textId="70C2517F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controlled study</w:t>
      </w:r>
      <w:r w:rsidRPr="684AE1ED">
        <w:rPr>
          <w:rFonts w:ascii="Arial" w:eastAsia="Arial" w:hAnsi="Arial" w:cs="Arial"/>
          <w:sz w:val="22"/>
          <w:szCs w:val="22"/>
          <w:lang w:val="en-US"/>
        </w:rPr>
        <w:t>.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mp</w:t>
      </w:r>
      <w:proofErr w:type="spellEnd"/>
    </w:p>
    <w:p w14:paraId="67E6514C" w14:textId="4BB978D5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CA"/>
        </w:rPr>
        <w:t>editorial or commentary.mp</w:t>
      </w: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179D0599" w14:textId="7BFB2892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2 or 3 or 4 or 5 or 6 or 7 </w:t>
      </w:r>
    </w:p>
    <w:p w14:paraId="7E2BA6E1" w14:textId="402F2548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8 or 9 or 10 NOT 11 </w:t>
      </w:r>
    </w:p>
    <w:p w14:paraId="19C02185" w14:textId="7DE4EFF5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12 or 13 </w:t>
      </w:r>
    </w:p>
    <w:p w14:paraId="576A59E7" w14:textId="17483B1A" w:rsidR="00CD616D" w:rsidRDefault="62892557" w:rsidP="684AE1ED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1 and 14 </w:t>
      </w:r>
    </w:p>
    <w:p w14:paraId="2AC7E2D5" w14:textId="2064070F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467C2864" w14:textId="5FBD23C2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 xml:space="preserve">Question 3: </w:t>
      </w:r>
      <w:r w:rsidRPr="684AE1ED">
        <w:rPr>
          <w:rFonts w:ascii="Arial" w:eastAsia="Arial" w:hAnsi="Arial" w:cs="Arial"/>
          <w:sz w:val="22"/>
          <w:szCs w:val="22"/>
          <w:u w:val="single"/>
        </w:rPr>
        <w:t xml:space="preserve">What are the risk factors for transmission of </w:t>
      </w:r>
      <w:proofErr w:type="spellStart"/>
      <w:r w:rsidRPr="684AE1ED">
        <w:rPr>
          <w:rFonts w:ascii="Arial" w:eastAsia="Arial" w:hAnsi="Arial" w:cs="Arial"/>
          <w:sz w:val="22"/>
          <w:szCs w:val="22"/>
          <w:u w:val="single"/>
        </w:rPr>
        <w:t>NiV</w:t>
      </w:r>
      <w:proofErr w:type="spellEnd"/>
      <w:r w:rsidRPr="684AE1ED">
        <w:rPr>
          <w:rFonts w:ascii="Arial" w:eastAsia="Arial" w:hAnsi="Arial" w:cs="Arial"/>
          <w:sz w:val="22"/>
          <w:szCs w:val="22"/>
          <w:u w:val="single"/>
        </w:rPr>
        <w:t xml:space="preserve"> within household or community settings?</w:t>
      </w:r>
    </w:p>
    <w:p w14:paraId="6ABEEF6B" w14:textId="34390EBD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4A7DDF60" w14:textId="2525E91C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lastRenderedPageBreak/>
        <w:t>Inclusion Criteria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0C21BEF6" w14:textId="3FABB80D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1282AD6" w14:textId="62BC6610" w:rsidR="00CD616D" w:rsidRDefault="62892557" w:rsidP="684AE1ED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Study design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Comparative studies, including but not limited to </w:t>
      </w:r>
      <w:proofErr w:type="spellStart"/>
      <w:r w:rsidRPr="684AE1ED">
        <w:rPr>
          <w:rFonts w:ascii="Arial" w:eastAsia="Arial" w:hAnsi="Arial" w:cs="Arial"/>
          <w:sz w:val="22"/>
          <w:szCs w:val="22"/>
          <w:lang w:val="en-US"/>
        </w:rPr>
        <w:t>randomised</w:t>
      </w:r>
      <w:proofErr w:type="spellEnd"/>
      <w:r w:rsidRPr="684AE1ED">
        <w:rPr>
          <w:rFonts w:ascii="Arial" w:eastAsia="Arial" w:hAnsi="Arial" w:cs="Arial"/>
          <w:sz w:val="22"/>
          <w:szCs w:val="22"/>
          <w:lang w:val="en-US"/>
        </w:rPr>
        <w:t> or otherwise controlled trials, cohort studies, case-control studies and ecological studies, will initially be considered. Non-comparative studies will be included to add to findings from comparative studies. </w:t>
      </w:r>
    </w:p>
    <w:p w14:paraId="218D39BE" w14:textId="065239E9" w:rsidR="00CD616D" w:rsidRDefault="62892557" w:rsidP="684AE1ED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Population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Individuals with confirmed or probable cases of Nipah virus infection, as defined by the WHO's case definition for Nipah virus disease or other local or regional guidelines. Suspected cases with a documented epidemiological link to a confirmed or probable case may also be considered. </w:t>
      </w:r>
    </w:p>
    <w:p w14:paraId="40CE13B9" w14:textId="251D5D48" w:rsidR="00CD616D" w:rsidRDefault="62892557" w:rsidP="684AE1ED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Comparisons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523F0FDE" w14:textId="18590830" w:rsidR="00CD616D" w:rsidRDefault="62892557" w:rsidP="684AE1ED">
      <w:pPr>
        <w:pStyle w:val="ListParagraph"/>
        <w:numPr>
          <w:ilvl w:val="1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Intervention 1: Nipah patients isolate at home, with no contact with other household members between symptomatic onset and the end of the infectious period. </w:t>
      </w:r>
    </w:p>
    <w:p w14:paraId="10982577" w14:textId="7B5103E5" w:rsidR="00CD616D" w:rsidRDefault="62892557" w:rsidP="684AE1ED">
      <w:pPr>
        <w:pStyle w:val="ListParagraph"/>
        <w:numPr>
          <w:ilvl w:val="1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Control 1: Nipah patients do not isolate from family members during the infectious period. </w:t>
      </w:r>
    </w:p>
    <w:p w14:paraId="070CD5F0" w14:textId="75D9D2E1" w:rsidR="00CD616D" w:rsidRDefault="62892557" w:rsidP="684AE1ED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Outcomes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confirmed, probable or suspected Nipah virus infection following exposure to a confirmed or probable case of Nipah. </w:t>
      </w:r>
    </w:p>
    <w:p w14:paraId="05F6A56D" w14:textId="2E9C0B7A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70184D59" w14:textId="22427769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Settings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 all geographies are considered, but given Nipah outbreaks have only occurred in 5 countries (Bangladesh, India, Malaysia, Philippines, Singapore) it is expected that data will be obtained from these countries only. </w:t>
      </w:r>
    </w:p>
    <w:p w14:paraId="49F6A788" w14:textId="69C1773C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6EFB857" w14:textId="04284A99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Exclusion Criteria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7BB52EDC" w14:textId="04F05C1D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434CC96" w14:textId="69D7DBB1" w:rsidR="00CD616D" w:rsidRDefault="62892557" w:rsidP="684AE1ED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published in a language other than English. </w:t>
      </w:r>
    </w:p>
    <w:p w14:paraId="40E24B95" w14:textId="02E41731" w:rsidR="00CD616D" w:rsidRDefault="62892557" w:rsidP="684AE1ED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that do not refer to Nipah cases. </w:t>
      </w:r>
    </w:p>
    <w:p w14:paraId="67886336" w14:textId="55EF603B" w:rsidR="00CD616D" w:rsidRDefault="62892557" w:rsidP="684AE1ED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Studies that do not document the occurrence or transmission of Nipah within a household setting. </w:t>
      </w:r>
    </w:p>
    <w:p w14:paraId="5D26C602" w14:textId="1149F920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 </w:t>
      </w:r>
    </w:p>
    <w:p w14:paraId="590B4239" w14:textId="2E995467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u w:val="single"/>
          <w:lang w:val="en-US"/>
        </w:rPr>
        <w:t>Search terms</w:t>
      </w:r>
      <w:r w:rsidRPr="684AE1ED">
        <w:rPr>
          <w:rFonts w:ascii="Arial" w:eastAsia="Arial" w:hAnsi="Arial" w:cs="Arial"/>
          <w:sz w:val="22"/>
          <w:szCs w:val="22"/>
          <w:lang w:val="en-US"/>
        </w:rPr>
        <w:t>: </w:t>
      </w:r>
    </w:p>
    <w:p w14:paraId="3AF31849" w14:textId="43911998" w:rsidR="00CD616D" w:rsidRDefault="62892557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lastRenderedPageBreak/>
        <w:t> </w:t>
      </w:r>
    </w:p>
    <w:p w14:paraId="1B800EFF" w14:textId="45BDFE2A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Nipah virus or Nipah.mp </w:t>
      </w:r>
    </w:p>
    <w:p w14:paraId="7D13C60A" w14:textId="5E6B0B63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Case*.mp </w:t>
      </w:r>
    </w:p>
    <w:p w14:paraId="05B2D69A" w14:textId="37EA2D44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Person.mp </w:t>
      </w:r>
    </w:p>
    <w:p w14:paraId="67C89BDF" w14:textId="2D0B09D0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Individual.mp </w:t>
      </w:r>
    </w:p>
    <w:p w14:paraId="6C086D50" w14:textId="0DC0D18E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2 or 3 or 4 </w:t>
      </w:r>
    </w:p>
    <w:p w14:paraId="7D9F8C5F" w14:textId="32A62822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Outbreak.mp </w:t>
      </w:r>
    </w:p>
    <w:p w14:paraId="52AB8FBC" w14:textId="19679137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Transmi*.mp </w:t>
      </w:r>
    </w:p>
    <w:p w14:paraId="004E33A0" w14:textId="58A88A2D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Spread.mp </w:t>
      </w:r>
    </w:p>
    <w:p w14:paraId="58755071" w14:textId="37948751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Epidemic.mp </w:t>
      </w:r>
    </w:p>
    <w:p w14:paraId="627EBC87" w14:textId="3F2E8A2A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Cluster.mp </w:t>
      </w:r>
    </w:p>
    <w:p w14:paraId="057C1963" w14:textId="5CD1D36D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6 or 7 or 8 or 9 or 10 </w:t>
      </w:r>
    </w:p>
    <w:p w14:paraId="177750CF" w14:textId="74C5BD19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Bangladesh.mp </w:t>
      </w:r>
    </w:p>
    <w:p w14:paraId="69C23A40" w14:textId="326926E6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India.mp </w:t>
      </w:r>
    </w:p>
    <w:p w14:paraId="4001D3E6" w14:textId="4AF312F8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Malaysia.mp </w:t>
      </w:r>
    </w:p>
    <w:p w14:paraId="11C63093" w14:textId="53FA72FD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Philippines.mp </w:t>
      </w:r>
    </w:p>
    <w:p w14:paraId="43E10492" w14:textId="6495E868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Singapore.mp </w:t>
      </w:r>
    </w:p>
    <w:p w14:paraId="1E8F9970" w14:textId="39E89D48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12 or 13 or 14 or 15 or 16 </w:t>
      </w:r>
    </w:p>
    <w:p w14:paraId="314426A1" w14:textId="34FE5574" w:rsidR="00CD616D" w:rsidRDefault="62892557" w:rsidP="684AE1ED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  <w:lang w:val="en-US"/>
        </w:rPr>
        <w:t>1 and 5 and 11 and 17 </w:t>
      </w:r>
    </w:p>
    <w:p w14:paraId="50F19948" w14:textId="2D6B1713" w:rsidR="00CD616D" w:rsidRDefault="00000000">
      <w:r>
        <w:br w:type="page"/>
      </w:r>
    </w:p>
    <w:p w14:paraId="47240F40" w14:textId="08154C1F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b/>
          <w:bCs/>
          <w:sz w:val="22"/>
          <w:szCs w:val="22"/>
        </w:rPr>
        <w:lastRenderedPageBreak/>
        <w:t>Supplementary File B: Quality and risk of bias assessment results</w:t>
      </w:r>
    </w:p>
    <w:p w14:paraId="52EFC664" w14:textId="3852CA17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Case-control and cohort studies were assessed for quality and risk of bias by the following 13-question checklist, adapted from JBI Critical Appraisal tools for case-control and cohort studies: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684AE1ED" w14:paraId="255EB128" w14:textId="77777777" w:rsidTr="684AE1ED">
        <w:trPr>
          <w:trHeight w:val="330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774F1E6A" w14:textId="2BFA5DED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groups comparable other than the presence/absence of exposure or outcome?</w:t>
            </w:r>
          </w:p>
        </w:tc>
      </w:tr>
      <w:tr w:rsidR="684AE1ED" w14:paraId="79141AE9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1BBA5477" w14:textId="42334FF1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cases and controls matched appropriately?</w:t>
            </w:r>
          </w:p>
        </w:tc>
      </w:tr>
      <w:tr w:rsidR="684AE1ED" w14:paraId="7C5FA686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4EB5C327" w14:textId="13E9DA46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same criteria used for identification of cases and controls/exposed and unexposed?</w:t>
            </w:r>
          </w:p>
        </w:tc>
      </w:tr>
      <w:tr w:rsidR="684AE1ED" w14:paraId="4F287B72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14AC8CDB" w14:textId="6A0BE43D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exposure measured in a standard, valid and reliable way?</w:t>
            </w:r>
          </w:p>
        </w:tc>
      </w:tr>
      <w:tr w:rsidR="684AE1ED" w14:paraId="6B449C99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52808C64" w14:textId="1BE7CB58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exposure measured in the same way for cases and controls?</w:t>
            </w:r>
          </w:p>
        </w:tc>
      </w:tr>
      <w:tr w:rsidR="684AE1ED" w14:paraId="6BCF3087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421473DD" w14:textId="31E11DEF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confounding factors identified?</w:t>
            </w:r>
          </w:p>
        </w:tc>
      </w:tr>
      <w:tr w:rsidR="684AE1ED" w14:paraId="2500E2C1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6732AEF6" w14:textId="67A2DA0C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strategies to deal with confounding factors stated?</w:t>
            </w:r>
          </w:p>
        </w:tc>
      </w:tr>
      <w:tr w:rsidR="684AE1ED" w14:paraId="4D3695D2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075C63ED" w14:textId="790DAA8C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outcomes assessed in a standard, valid and reliable way for each group?</w:t>
            </w:r>
          </w:p>
        </w:tc>
      </w:tr>
      <w:tr w:rsidR="684AE1ED" w14:paraId="4ADBC2D0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220700C5" w14:textId="486492EA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 exposure period of interest long enough to be meaningful?</w:t>
            </w:r>
          </w:p>
        </w:tc>
      </w:tr>
      <w:tr w:rsidR="684AE1ED" w14:paraId="044332A3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63723D95" w14:textId="5E517A2C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appropriate statistical analysis used?</w:t>
            </w:r>
          </w:p>
        </w:tc>
      </w:tr>
      <w:tr w:rsidR="684AE1ED" w14:paraId="51E042FC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7BD19748" w14:textId="6E2BB6AA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 follow up time reported and sufficient to be long enough for outcomes to occur?</w:t>
            </w:r>
          </w:p>
        </w:tc>
      </w:tr>
      <w:tr w:rsidR="684AE1ED" w14:paraId="7EB5ABAF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5D07518F" w14:textId="58E5557B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follow up complete, and if not, were the reasons to loss to follow up described and explored?</w:t>
            </w:r>
          </w:p>
        </w:tc>
      </w:tr>
      <w:tr w:rsidR="684AE1ED" w14:paraId="71035E12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05ED6516" w14:textId="0F4F85B4" w:rsidR="684AE1ED" w:rsidRDefault="684AE1ED" w:rsidP="684AE1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strategies to address incomplete follow up utilized?</w:t>
            </w:r>
          </w:p>
        </w:tc>
      </w:tr>
    </w:tbl>
    <w:p w14:paraId="7CCBE95E" w14:textId="55F058D6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6642B12F" w14:textId="4CE08D41" w:rsidR="00CD616D" w:rsidRDefault="00CD616D" w:rsidP="684AE1ED">
      <w:pPr>
        <w:rPr>
          <w:rFonts w:ascii="Arial" w:eastAsia="Arial" w:hAnsi="Arial" w:cs="Arial"/>
          <w:sz w:val="22"/>
          <w:szCs w:val="22"/>
        </w:rPr>
      </w:pPr>
    </w:p>
    <w:p w14:paraId="3E1D7864" w14:textId="705FECE0" w:rsidR="00CD616D" w:rsidRDefault="12F143ED" w:rsidP="684AE1ED">
      <w:pPr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The results for each comparative study are presented below: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568"/>
        <w:gridCol w:w="559"/>
        <w:gridCol w:w="636"/>
        <w:gridCol w:w="572"/>
        <w:gridCol w:w="530"/>
        <w:gridCol w:w="765"/>
        <w:gridCol w:w="588"/>
        <w:gridCol w:w="424"/>
        <w:gridCol w:w="549"/>
        <w:gridCol w:w="501"/>
        <w:gridCol w:w="475"/>
        <w:gridCol w:w="572"/>
        <w:gridCol w:w="475"/>
        <w:gridCol w:w="539"/>
        <w:gridCol w:w="475"/>
        <w:gridCol w:w="491"/>
      </w:tblGrid>
      <w:tr w:rsidR="684AE1ED" w14:paraId="76B5B449" w14:textId="77777777" w:rsidTr="684AE1ED">
        <w:trPr>
          <w:trHeight w:val="1095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42B78D2F" w14:textId="7B4D2687" w:rsidR="684AE1ED" w:rsidRDefault="684AE1ED" w:rsidP="684AE1E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25EFEEAF" w14:textId="69F7216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Mounts et al 2001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1324495C" w14:textId="146B605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Smither et al 2022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56390562" w14:textId="174B4AE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Parashar et al 2000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A2FAF01" w14:textId="6276B75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sz w:val="18"/>
                <w:szCs w:val="18"/>
              </w:rPr>
              <w:t>Homaira</w:t>
            </w:r>
            <w:proofErr w:type="spellEnd"/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40481E7F" w14:textId="7A39279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Huang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6F14011E" w14:textId="164BADD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Chakraborty et al 2015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161B9848" w14:textId="1AA8B51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sz w:val="18"/>
                <w:szCs w:val="18"/>
              </w:rPr>
              <w:t>Sazzad</w:t>
            </w:r>
            <w:proofErr w:type="spellEnd"/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 et al 2013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3906EDCA" w14:textId="5CDD081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Luby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2006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0300DE44" w14:textId="522D569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Fogarty et al 2008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26840144" w14:textId="420FFD1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Hegde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5D0F7363" w14:textId="4A83B15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Hsu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2014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98BBB72" w14:textId="74BF829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Homaira</w:t>
            </w:r>
            <w:proofErr w:type="spellEnd"/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BE8E26D" w14:textId="22279B3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Gurley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2007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750CAFA8" w14:textId="188ED1E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Mont-</w:t>
            </w:r>
            <w:proofErr w:type="spellStart"/>
            <w:r w:rsidRPr="684AE1ED">
              <w:rPr>
                <w:rFonts w:ascii="Arial" w:eastAsia="Arial" w:hAnsi="Arial" w:cs="Arial"/>
                <w:sz w:val="18"/>
                <w:szCs w:val="18"/>
              </w:rPr>
              <w:t>gomery</w:t>
            </w:r>
            <w:proofErr w:type="spellEnd"/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 et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al 2008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1C69D0B4" w14:textId="35A11E9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Chew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2000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60E16583" w14:textId="20F4A40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Amal et al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2000</w:t>
            </w:r>
          </w:p>
        </w:tc>
      </w:tr>
      <w:tr w:rsidR="684AE1ED" w14:paraId="7F93275F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379641B6" w14:textId="02BA54E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378A9D74" w14:textId="5CD709D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51B875C6" w14:textId="3E6AC01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2D49334F" w14:textId="0163C89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3123DB5" w14:textId="36AF6FD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78FC26BE" w14:textId="6C899C8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6609331A" w14:textId="2B5934F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6A0D8A9D" w14:textId="3E2581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4F9840C0" w14:textId="1470FAA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023E0B92" w14:textId="22CEDAF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0B3B402D" w14:textId="6DFF622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1F08064F" w14:textId="783DEED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EBFA22B" w14:textId="04FD6BF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5ADA1C3" w14:textId="2EE6253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23CC1D64" w14:textId="76F2732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2DB3A386" w14:textId="5A9BEEF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34661DC9" w14:textId="7AF9463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2B4D57BB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12D175BE" w14:textId="3790F6C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5BAA4F1D" w14:textId="11658D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69EEEB84" w14:textId="3EF11BD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09437009" w14:textId="67FFC43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5C32132A" w14:textId="6ED18E4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7E81004F" w14:textId="3A09D17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1B8788A4" w14:textId="005481C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3A2720EF" w14:textId="0E5E85E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2446D23A" w14:textId="788E03B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2AA62A72" w14:textId="29716C1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781B9563" w14:textId="6A49D16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39927EB" w14:textId="13CDE77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D7A27DA" w14:textId="619178A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2A7DC68" w14:textId="7ECEF1C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66972653" w14:textId="74430D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4886BA7D" w14:textId="7362D93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123DD00E" w14:textId="010DA79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7BA96300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3EC425FA" w14:textId="286740A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7FE3FF15" w14:textId="7C4D18B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3814AED1" w14:textId="4BC4B8E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0F47E385" w14:textId="474F892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3A9DA21C" w14:textId="7B84625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51F35C88" w14:textId="32285CB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3DD7EC41" w14:textId="2780723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0D814E2D" w14:textId="2765494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6269F4E2" w14:textId="1EB46FA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3A10267F" w14:textId="7C90123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45B7F76B" w14:textId="5AE497A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7CC6EDD8" w14:textId="5AAC190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575B591" w14:textId="4144D1B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C42BA08" w14:textId="315C5EB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7A58A968" w14:textId="52F62C9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48D49716" w14:textId="2FD17D7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52FC459E" w14:textId="7B92ED0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7C5D4AEB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7387DED6" w14:textId="6882418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11B2C788" w14:textId="4C85AE1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6A182D49" w14:textId="1FB1948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668CE2DA" w14:textId="7D9C3BC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694923D0" w14:textId="37B8224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1AABD4E2" w14:textId="099E1E6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2F39D463" w14:textId="67249C7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45A3C539" w14:textId="7DAE482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59FAEE71" w14:textId="0A14409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5ABAA06A" w14:textId="2E7952B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2B9CF17E" w14:textId="061BF69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229BB9EF" w14:textId="0E8B461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F03A2B2" w14:textId="10D7B21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69BD4A6" w14:textId="544B2F0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38C07DAB" w14:textId="405E033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8F6EE03" w14:textId="02BC91F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5CFCF35C" w14:textId="10092FF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00BD5254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1EAEA494" w14:textId="57703E3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3D580F07" w14:textId="18926E1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57C6708F" w14:textId="1E87168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13C99B19" w14:textId="34FC351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B6833BA" w14:textId="605C10B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64AB13A8" w14:textId="4F31C01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732BBA65" w14:textId="4721600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0CD3459D" w14:textId="34567BB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29A6A483" w14:textId="5BDA3FA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70206FC8" w14:textId="75F27C4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28A8E07C" w14:textId="6DD2EA9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AEC1AF7" w14:textId="558273D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25022733" w14:textId="7B9AB11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C3293B9" w14:textId="6E38718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64EC458C" w14:textId="1EFB2F4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2A7D6F9F" w14:textId="1CABD41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310A8932" w14:textId="6E32764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22A64BCB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596BFD8C" w14:textId="64B2C6B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5A7AC458" w14:textId="60D9908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59970DEA" w14:textId="2012E76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23932384" w14:textId="028060D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66D6B36F" w14:textId="3F99454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057CEB0B" w14:textId="0A10FDA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0C8D8DF0" w14:textId="43165CE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10865AFD" w14:textId="18BCA81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556E3429" w14:textId="36B70F0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394FED4A" w14:textId="176905B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6234C51A" w14:textId="786247A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2FD28039" w14:textId="2D5F9D4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A9F2CCA" w14:textId="4804827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5DC1050C" w14:textId="7C7CDDB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5F38BC42" w14:textId="68E5E8B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7B4CBE58" w14:textId="729E0B5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6495A96E" w14:textId="3817F58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16F06209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17012696" w14:textId="139672A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047298C6" w14:textId="693BECD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46AE9ACB" w14:textId="34EB4E9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0E2C8A9A" w14:textId="7FA9F81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4834D6F" w14:textId="10FFA9E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650AA754" w14:textId="51E3138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541ED0A2" w14:textId="0847FA4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124F9205" w14:textId="59319A3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507B83A2" w14:textId="18B4FC6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2328E06F" w14:textId="1D15D98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71923898" w14:textId="68D12EE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34AA899" w14:textId="770B772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C98AF49" w14:textId="186AEB5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860DC84" w14:textId="540DE89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4BD2DBE1" w14:textId="6191BD9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9A3CB29" w14:textId="1237EC8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18B2DD50" w14:textId="4E6DFB5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4A7EE938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79B14EFA" w14:textId="5372181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36CB82CD" w14:textId="1ADA2D2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0C5941F1" w14:textId="00268FC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1EEB3A45" w14:textId="268E1BD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347A405" w14:textId="2FF02CA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1FF2B38A" w14:textId="34AFB88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568F6ECC" w14:textId="6A657B7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358CED8E" w14:textId="6BF9F5B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2555A026" w14:textId="1694FC2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36CD8761" w14:textId="09543E3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2B20F32F" w14:textId="1CAD88E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45DAFE5" w14:textId="15F785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3EDA685D" w14:textId="5B75F6F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46D11A7B" w14:textId="57900A0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6D55BCAD" w14:textId="5631092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288D136B" w14:textId="17C6331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008321B6" w14:textId="11CD593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48AB8A7A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32B00021" w14:textId="74183F4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5F2A0855" w14:textId="624C74C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28531BBF" w14:textId="1176A36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3022B082" w14:textId="03C17BE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55C6C9E" w14:textId="5BB48FF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529EF415" w14:textId="2C44127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52793D80" w14:textId="65721D5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092DE3D8" w14:textId="07E20FE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1E1F3CAB" w14:textId="7A4EF1A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31462B20" w14:textId="372E681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6B99DCC1" w14:textId="5A7D367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492ED8EB" w14:textId="40C0DDE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5A6062D0" w14:textId="2DB9183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6BD29FE" w14:textId="01E645D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1C20F749" w14:textId="1871176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4A83B4F" w14:textId="0ADF5FD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1C108888" w14:textId="6C5B6A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1E6E32A7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7224E983" w14:textId="14CD0B1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676B17B4" w14:textId="08B0AB3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35829083" w14:textId="1C98083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49EC51A5" w14:textId="490704F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6266901F" w14:textId="022F08F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0B69BAD5" w14:textId="1424E81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32C6F9FF" w14:textId="569D35E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2F38C727" w14:textId="47DD473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4A20D3EB" w14:textId="0D06E14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6ACC618E" w14:textId="729CB5F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4F1F9F4F" w14:textId="5837BBF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1D3BC2F7" w14:textId="191519B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316EFCD" w14:textId="07B6DAD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03677981" w14:textId="5031784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1D59041A" w14:textId="5D61640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6D9E19E9" w14:textId="2D611DD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069C5EB3" w14:textId="15D3272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50E89FC4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18FFD439" w14:textId="55F873F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02CF244A" w14:textId="4FB3C51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3DA6FB45" w14:textId="16F82E7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72F78CE4" w14:textId="66223F6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7E36F129" w14:textId="25DBAA6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1AD6846B" w14:textId="7A125A4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128F2E0D" w14:textId="57424B8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3CF28B8F" w14:textId="312E560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20DDC5FD" w14:textId="61A0AFE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0FE3B309" w14:textId="3CCE490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21168744" w14:textId="763FAD5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12AC0F23" w14:textId="36F7A61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400BD1A6" w14:textId="4E8D8BF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7B97CABD" w14:textId="4A4612A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6F600C2A" w14:textId="76E99BB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EE85636" w14:textId="02AAF3C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3F7D3B9E" w14:textId="24048A9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684AE1ED" w14:paraId="65CD2B11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5A5DEDA7" w14:textId="51BA172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5F06493D" w14:textId="65E44AC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7EBF56DF" w14:textId="3CC4C10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7384DE34" w14:textId="021F69B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2491278D" w14:textId="1099DC9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127157C1" w14:textId="5877F43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3B530DE1" w14:textId="4270405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04798117" w14:textId="5412E76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6086C4B0" w14:textId="086497B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6FF38992" w14:textId="5219AF1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5319F6EC" w14:textId="6BC66B1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71D503E3" w14:textId="032937B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1230F2D1" w14:textId="0DD1276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111BEA75" w14:textId="254C240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778A67A9" w14:textId="4E8E18C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567B148E" w14:textId="40A03F2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2778DA46" w14:textId="24F83B4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684AE1ED" w14:paraId="1B89B151" w14:textId="77777777" w:rsidTr="684AE1ED">
        <w:trPr>
          <w:trHeight w:val="300"/>
        </w:trPr>
        <w:tc>
          <w:tcPr>
            <w:tcW w:w="296" w:type="dxa"/>
            <w:tcMar>
              <w:left w:w="105" w:type="dxa"/>
              <w:right w:w="105" w:type="dxa"/>
            </w:tcMar>
            <w:vAlign w:val="center"/>
          </w:tcPr>
          <w:p w14:paraId="2AB5FB5D" w14:textId="23240A1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568" w:type="dxa"/>
            <w:tcMar>
              <w:left w:w="105" w:type="dxa"/>
              <w:right w:w="105" w:type="dxa"/>
            </w:tcMar>
            <w:vAlign w:val="center"/>
          </w:tcPr>
          <w:p w14:paraId="3BF91129" w14:textId="5D960F7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559" w:type="dxa"/>
            <w:tcMar>
              <w:left w:w="105" w:type="dxa"/>
              <w:right w:w="105" w:type="dxa"/>
            </w:tcMar>
            <w:vAlign w:val="center"/>
          </w:tcPr>
          <w:p w14:paraId="176E5020" w14:textId="526C795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636" w:type="dxa"/>
            <w:tcMar>
              <w:left w:w="105" w:type="dxa"/>
              <w:right w:w="105" w:type="dxa"/>
            </w:tcMar>
            <w:vAlign w:val="center"/>
          </w:tcPr>
          <w:p w14:paraId="77F5C906" w14:textId="5DFC600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4C31AC7E" w14:textId="1DA0820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0" w:type="dxa"/>
            <w:tcMar>
              <w:left w:w="105" w:type="dxa"/>
              <w:right w:w="105" w:type="dxa"/>
            </w:tcMar>
            <w:vAlign w:val="center"/>
          </w:tcPr>
          <w:p w14:paraId="6C4DD808" w14:textId="0C8E475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765" w:type="dxa"/>
            <w:tcMar>
              <w:left w:w="105" w:type="dxa"/>
              <w:right w:w="105" w:type="dxa"/>
            </w:tcMar>
            <w:vAlign w:val="center"/>
          </w:tcPr>
          <w:p w14:paraId="555C1959" w14:textId="6EB3058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88" w:type="dxa"/>
            <w:tcMar>
              <w:left w:w="105" w:type="dxa"/>
              <w:right w:w="105" w:type="dxa"/>
            </w:tcMar>
            <w:vAlign w:val="center"/>
          </w:tcPr>
          <w:p w14:paraId="7FBA028B" w14:textId="1BED298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24" w:type="dxa"/>
            <w:tcMar>
              <w:left w:w="105" w:type="dxa"/>
              <w:right w:w="105" w:type="dxa"/>
            </w:tcMar>
            <w:vAlign w:val="center"/>
          </w:tcPr>
          <w:p w14:paraId="7D07812C" w14:textId="40DFDD0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49" w:type="dxa"/>
            <w:tcMar>
              <w:left w:w="105" w:type="dxa"/>
              <w:right w:w="105" w:type="dxa"/>
            </w:tcMar>
            <w:vAlign w:val="center"/>
          </w:tcPr>
          <w:p w14:paraId="00C3F0B7" w14:textId="0E85B4F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01" w:type="dxa"/>
            <w:tcMar>
              <w:left w:w="105" w:type="dxa"/>
              <w:right w:w="105" w:type="dxa"/>
            </w:tcMar>
            <w:vAlign w:val="center"/>
          </w:tcPr>
          <w:p w14:paraId="3363DEE1" w14:textId="2A5E3E1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FC75E0A" w14:textId="5FFF924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72" w:type="dxa"/>
            <w:tcMar>
              <w:left w:w="105" w:type="dxa"/>
              <w:right w:w="105" w:type="dxa"/>
            </w:tcMar>
            <w:vAlign w:val="center"/>
          </w:tcPr>
          <w:p w14:paraId="018D59F0" w14:textId="7E964FE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41226463" w14:textId="2E2CA02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539" w:type="dxa"/>
            <w:tcMar>
              <w:left w:w="105" w:type="dxa"/>
              <w:right w:w="105" w:type="dxa"/>
            </w:tcMar>
            <w:vAlign w:val="center"/>
          </w:tcPr>
          <w:p w14:paraId="6DD1986C" w14:textId="0DB83A0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75" w:type="dxa"/>
            <w:tcMar>
              <w:left w:w="105" w:type="dxa"/>
              <w:right w:w="105" w:type="dxa"/>
            </w:tcMar>
            <w:vAlign w:val="center"/>
          </w:tcPr>
          <w:p w14:paraId="3890677F" w14:textId="7B72B7D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491" w:type="dxa"/>
            <w:tcMar>
              <w:left w:w="105" w:type="dxa"/>
              <w:right w:w="105" w:type="dxa"/>
            </w:tcMar>
            <w:vAlign w:val="center"/>
          </w:tcPr>
          <w:p w14:paraId="6AB6FADB" w14:textId="4D81E10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</w:tbl>
    <w:p w14:paraId="41C4A612" w14:textId="168DA4A7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51CFF828" w14:textId="5BF3FB26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50EE3684" w14:textId="01145AAF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Case series and retrospective case analyses were assessed via the JBI case series checklist: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684AE1ED" w14:paraId="229DA3FA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6D6BA5B8" w14:textId="6D3364C5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there clear criteria for inclusion in the case series?</w:t>
            </w:r>
          </w:p>
        </w:tc>
      </w:tr>
      <w:tr w:rsidR="684AE1ED" w14:paraId="0A5D9D87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49BD82C9" w14:textId="3FD8EB34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Was the condition measured in a standard, reliable way for all participants included in the case series?</w:t>
            </w:r>
          </w:p>
        </w:tc>
      </w:tr>
      <w:tr w:rsidR="684AE1ED" w14:paraId="5B29615D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0BDE6787" w14:textId="6DF30EE1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valid methods used for identification of the condition for all participants included in the case series?</w:t>
            </w:r>
          </w:p>
        </w:tc>
      </w:tr>
      <w:tr w:rsidR="684AE1ED" w14:paraId="6980BAFC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22038FE3" w14:textId="23D4D478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Did the case series have consecutive inclusion of participants?</w:t>
            </w:r>
          </w:p>
        </w:tc>
      </w:tr>
      <w:tr w:rsidR="684AE1ED" w14:paraId="732E7AAE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1A4E798A" w14:textId="13F9CEA6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Did the case series have complete inclusion of participants?</w:t>
            </w:r>
          </w:p>
        </w:tc>
      </w:tr>
      <w:tr w:rsidR="684AE1ED" w14:paraId="075206A1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3E6894A1" w14:textId="592D03E8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there clear reporting of the demographics of the participants in the study?</w:t>
            </w:r>
          </w:p>
        </w:tc>
      </w:tr>
      <w:tr w:rsidR="684AE1ED" w14:paraId="305634F3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79FCA085" w14:textId="64BC0BBC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there clear reporting of clinical information of the participants?</w:t>
            </w:r>
          </w:p>
        </w:tc>
      </w:tr>
      <w:tr w:rsidR="684AE1ED" w14:paraId="59631562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39E909F7" w14:textId="563B9894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outcomes or follow up results of cases clearly reported?</w:t>
            </w:r>
          </w:p>
        </w:tc>
      </w:tr>
      <w:tr w:rsidR="684AE1ED" w14:paraId="1E188DA4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34E96AE1" w14:textId="5304FBC8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there clear reporting of the presenting site(s)/clinic(s) demographic information?</w:t>
            </w:r>
          </w:p>
        </w:tc>
      </w:tr>
      <w:tr w:rsidR="684AE1ED" w14:paraId="138FDEF9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6E1F76C3" w14:textId="6309B796" w:rsidR="684AE1ED" w:rsidRDefault="684AE1ED" w:rsidP="684AE1ED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statistical analysis appropriate?</w:t>
            </w:r>
          </w:p>
          <w:p w14:paraId="5CF3C5D3" w14:textId="5AE8C188" w:rsidR="684AE1ED" w:rsidRDefault="684AE1ED" w:rsidP="684AE1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E2B69A1" w14:textId="6FA71497" w:rsidR="684AE1ED" w:rsidRDefault="684AE1ED" w:rsidP="684AE1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2A9AB655" w14:textId="50B74B85" w:rsidR="684AE1ED" w:rsidRDefault="684AE1ED" w:rsidP="684AE1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AA99ADD" w14:textId="682A006F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The results for each case series/retrospective case analysis are presented below: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17"/>
        <w:gridCol w:w="817"/>
        <w:gridCol w:w="817"/>
        <w:gridCol w:w="817"/>
        <w:gridCol w:w="817"/>
        <w:gridCol w:w="817"/>
        <w:gridCol w:w="817"/>
        <w:gridCol w:w="840"/>
        <w:gridCol w:w="817"/>
        <w:gridCol w:w="817"/>
      </w:tblGrid>
      <w:tr w:rsidR="684AE1ED" w14:paraId="26EFA59C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8E7A724" w14:textId="6197BE5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40C0FB6" w14:textId="66516BE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Lee et al 2020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E706182" w14:textId="72666FC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Chandni et al 2020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477916D" w14:textId="175FBDC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Kumar et al 2024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4326461" w14:textId="4411991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Ali et al 2020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0C6F426" w14:textId="5C27970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Chadha et al 2006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AC0D8E9" w14:textId="69B7B61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Hassan et al 2018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C53069A" w14:textId="5968C3E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Thomas et al 2019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140F92D5" w14:textId="4EA8C62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sz w:val="18"/>
                <w:szCs w:val="18"/>
              </w:rPr>
              <w:t>Arunkumar</w:t>
            </w:r>
            <w:proofErr w:type="spellEnd"/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 et al 2019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AC93709" w14:textId="310F56D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Yadav et al 2022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31CE298" w14:textId="2388FC5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Nikolay et al 2019</w:t>
            </w:r>
          </w:p>
        </w:tc>
      </w:tr>
      <w:tr w:rsidR="684AE1ED" w14:paraId="711FE3A2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6481E82" w14:textId="139E00B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8759554" w14:textId="3837357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18B27A6" w14:textId="6126F51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2A21836" w14:textId="7B41843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3D24C0D" w14:textId="0F8976C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A1FD07B" w14:textId="33581BD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62F20CA" w14:textId="61EB3E9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2E96F7E" w14:textId="49FFCEC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3C65CBD9" w14:textId="1E93CDE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771CF35" w14:textId="6F68176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D6A7DB0" w14:textId="0867B9D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52BCBA79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305990A" w14:textId="063734F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B86EBC2" w14:textId="2252C41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Unclear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0B1934F" w14:textId="4D1EED9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023126B" w14:textId="3D717FE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346AC0B" w14:textId="4CE604B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00A5BB5" w14:textId="4CFE579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7FBDFE8" w14:textId="0D4CEC7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309A16F" w14:textId="7B70625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4EECF69F" w14:textId="29D165D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5D529F2" w14:textId="52361C8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43ABAD4" w14:textId="1B3B2F4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6CE9BF8B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0A540FD" w14:textId="16A3E13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6971119" w14:textId="1CB83AE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CEAB2B0" w14:textId="7966BDF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D197A5C" w14:textId="4F10FE7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7FBBA26" w14:textId="1C2EC42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E162AB7" w14:textId="45A8E05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04A5D7E" w14:textId="60B87CE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056F0FE" w14:textId="5E2EDDE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6104E685" w14:textId="1C23E30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D2C0E1B" w14:textId="22CFB1D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E61899F" w14:textId="2B317E2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53E72788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8D317ED" w14:textId="7F14C35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3C00FDE" w14:textId="68FE0CE4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47968E4" w14:textId="3E0DC0F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74533B6" w14:textId="2DC86E6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E0D20FE" w14:textId="1C8166E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E27DA06" w14:textId="4D0BBE6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64750C9" w14:textId="3521E46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7EB2B50" w14:textId="289F902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38726144" w14:textId="1A0ADA1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CB05D9B" w14:textId="669DDBE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2A39439" w14:textId="284D4AB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6046DD71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2EB8F37" w14:textId="41F0E4C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95C1D46" w14:textId="4502205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05269AA" w14:textId="34CF967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3C4D2CE" w14:textId="6F7F85B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60FCE77" w14:textId="2C86122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E98BE3D" w14:textId="0C8E2B8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Unclear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1B40415" w14:textId="3FCC6C5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4BC3592" w14:textId="2700B9E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3F356095" w14:textId="2B0AFBF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3DE214D" w14:textId="483A9E2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ADA2DD4" w14:textId="6D90C08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4FB1B6AA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69DB46D" w14:textId="1D21D1E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8363D1D" w14:textId="5E1CDBA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64FA417" w14:textId="1570596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62B282D" w14:textId="2759BF3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B1870C3" w14:textId="26C6F8F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84B6EED" w14:textId="184FFF4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FE4F69E" w14:textId="4DCC5FF9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2CD593D" w14:textId="3918D3D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3598F729" w14:textId="4B9A69C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D76FC1D" w14:textId="45B3A78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95DDBFF" w14:textId="0F0E377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27B3E267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F56D836" w14:textId="0B4892A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C0E43AB" w14:textId="77848C3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E1749B6" w14:textId="4F9384E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2DB10C1" w14:textId="6A68A14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E2C34B9" w14:textId="0CE0FB2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B924F36" w14:textId="6610817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A535BDC" w14:textId="34C402E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5F8FB8D" w14:textId="38FDF8D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38B57F9B" w14:textId="61DC4F9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69AB173" w14:textId="5C478A5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CFF26E5" w14:textId="299CF31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6B54C768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CD492AF" w14:textId="782811A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257F151C" w14:textId="403CC34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8D06A35" w14:textId="2800D3D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7B23BBD" w14:textId="5FAFB3A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625EA31" w14:textId="3C9085D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7B3E20F" w14:textId="4F3AC64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BAFB445" w14:textId="4339F52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C2B3664" w14:textId="63B76AFD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2EF309A6" w14:textId="2976F55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14F19A8" w14:textId="20F21EE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0A1C6D5" w14:textId="175FB41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7EC357B4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FDEDCFE" w14:textId="582AFC7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AD50C6B" w14:textId="0DCE9A9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4F51B35" w14:textId="03F6FA8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6F6F97E" w14:textId="553CFA6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CFE3739" w14:textId="3B0E0A4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735F20E" w14:textId="6EC9E2B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13640D9A" w14:textId="761BD45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F274E42" w14:textId="68444505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460BE540" w14:textId="675B7B8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2971480" w14:textId="14F8F270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96C2B91" w14:textId="1B298F8E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46E89185" w14:textId="77777777" w:rsidTr="684AE1ED">
        <w:trPr>
          <w:trHeight w:val="300"/>
        </w:trPr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FB569AD" w14:textId="37BDF16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48B03C14" w14:textId="399AF656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DA37626" w14:textId="6EF13E37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A755E2F" w14:textId="4301CE0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5545680E" w14:textId="3A1676A1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07BD16F" w14:textId="2D70ED5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6D4B5601" w14:textId="3A0534AC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34E2AF38" w14:textId="79F614B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840" w:type="dxa"/>
            <w:tcMar>
              <w:left w:w="105" w:type="dxa"/>
              <w:right w:w="105" w:type="dxa"/>
            </w:tcMar>
            <w:vAlign w:val="center"/>
          </w:tcPr>
          <w:p w14:paraId="16EF2ABC" w14:textId="0098494A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04BC3A9F" w14:textId="059B74A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817" w:type="dxa"/>
            <w:tcMar>
              <w:left w:w="105" w:type="dxa"/>
              <w:right w:w="105" w:type="dxa"/>
            </w:tcMar>
            <w:vAlign w:val="center"/>
          </w:tcPr>
          <w:p w14:paraId="760A467E" w14:textId="1CDB3CD3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</w:tbl>
    <w:p w14:paraId="58EE42B7" w14:textId="36616DB1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2B5F3DC0" w14:textId="1CCFFFAE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Case series were assessed via the corresponding JBI checklist: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684AE1ED" w14:paraId="0F6500DB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454147D7" w14:textId="3C966BA0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criteria for inclusion in the sample clearly defined?</w:t>
            </w:r>
          </w:p>
        </w:tc>
      </w:tr>
      <w:tr w:rsidR="684AE1ED" w14:paraId="1E950A0D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3155A0FE" w14:textId="1E8C356C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study subjects and the setting described in detail?</w:t>
            </w:r>
          </w:p>
        </w:tc>
      </w:tr>
      <w:tr w:rsidR="684AE1ED" w14:paraId="23D54A62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7ACAA209" w14:textId="111B1679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the exposure measured in a valid and reliable way?</w:t>
            </w:r>
          </w:p>
        </w:tc>
      </w:tr>
      <w:tr w:rsidR="684AE1ED" w14:paraId="07186DDC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495AE337" w14:textId="3706AF8C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objective, standard criteria used for measurement of the condition?</w:t>
            </w:r>
          </w:p>
        </w:tc>
      </w:tr>
      <w:tr w:rsidR="684AE1ED" w14:paraId="33EE12B7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2C246C30" w14:textId="2BA1A5F2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confounding factors identified?</w:t>
            </w:r>
          </w:p>
        </w:tc>
      </w:tr>
      <w:tr w:rsidR="684AE1ED" w14:paraId="75EF0F0F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1B331CAA" w14:textId="5ADFB7F7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strategies to deal with confounding factors stated?</w:t>
            </w:r>
          </w:p>
        </w:tc>
      </w:tr>
      <w:tr w:rsidR="684AE1ED" w14:paraId="264174FA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2FFACFE0" w14:textId="193AE7F5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the outcomes measured in a valid and reliable way?</w:t>
            </w:r>
          </w:p>
        </w:tc>
      </w:tr>
      <w:tr w:rsidR="684AE1ED" w14:paraId="78590B0A" w14:textId="77777777" w:rsidTr="684AE1ED">
        <w:trPr>
          <w:trHeight w:val="28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</w:tcPr>
          <w:p w14:paraId="62AC49C8" w14:textId="780C1D7B" w:rsidR="684AE1ED" w:rsidRDefault="684AE1ED" w:rsidP="684AE1E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Was appropriate statistical analysis used?</w:t>
            </w:r>
          </w:p>
          <w:p w14:paraId="70DB1335" w14:textId="6BFB4C97" w:rsidR="684AE1ED" w:rsidRDefault="684AE1ED" w:rsidP="684AE1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2B6F7B14" w14:textId="30BBF9F1" w:rsidR="684AE1ED" w:rsidRDefault="684AE1ED" w:rsidP="684AE1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1D13E1D" w14:textId="00875E64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6EA905BB" w14:textId="342E8FAE" w:rsidR="00CD616D" w:rsidRDefault="12F143ED" w:rsidP="684AE1ED">
      <w:pPr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sz w:val="22"/>
          <w:szCs w:val="22"/>
        </w:rPr>
        <w:t>The results for each cross-sectional study are presented below: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601"/>
        <w:gridCol w:w="1714"/>
        <w:gridCol w:w="1601"/>
        <w:gridCol w:w="1601"/>
        <w:gridCol w:w="1646"/>
      </w:tblGrid>
      <w:tr w:rsidR="684AE1ED" w14:paraId="7A7CFB9C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4EF991F5" w14:textId="1ECF6CAB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0EC186BA" w14:textId="4B5CBF9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Raj et al 2019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22E2F41D" w14:textId="7172E78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Chan et al 2002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0F9B794C" w14:textId="6566DBF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Kumar et al 2020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10196A46" w14:textId="17C8304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Luby et al 2009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49077EE6" w14:textId="6174F25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Gurley et al 2007</w:t>
            </w:r>
          </w:p>
        </w:tc>
      </w:tr>
      <w:tr w:rsidR="684AE1ED" w14:paraId="5F2AF937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008236CB" w14:textId="38BFA21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5DFBF986" w14:textId="6D1F71C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5B965AAA" w14:textId="6C13B47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1FD738A2" w14:textId="081113E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5644868F" w14:textId="128B387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7F37F66E" w14:textId="6DEF71D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13BBAEF1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3C1ED047" w14:textId="0636F06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66D20EAA" w14:textId="3A32920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26CBB719" w14:textId="15D29BA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77EE809D" w14:textId="5F8B357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2C70725E" w14:textId="37F70AF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5BA449F5" w14:textId="29C01D5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30E4FE29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466493EE" w14:textId="77DF7DD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122D8E24" w14:textId="48EF2AE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2C23FB09" w14:textId="6655DEF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4634FFCC" w14:textId="705816EB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64AC612A" w14:textId="6229F6E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0C9F4785" w14:textId="260E2DF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4572B4F2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14CC35A4" w14:textId="5270AEC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2D25A68C" w14:textId="6902E79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Mixed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2BB88CEB" w14:textId="0559120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24D20119" w14:textId="4ACFAEB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273E53A9" w14:textId="30456285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47E80963" w14:textId="251F599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77FC6D7D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13B951FC" w14:textId="014F0E6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12727A0A" w14:textId="7100620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4B9A0D86" w14:textId="07078A1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04E1685A" w14:textId="535C44B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309B7BBA" w14:textId="44A0858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6E039A0F" w14:textId="10E196C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</w:p>
        </w:tc>
      </w:tr>
      <w:tr w:rsidR="684AE1ED" w14:paraId="4A3045EF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2413D2AE" w14:textId="4CFB8BF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7FB648F6" w14:textId="18F9060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0EBDDC0E" w14:textId="426AEE1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38E644EF" w14:textId="14A8B8E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4D70AAD0" w14:textId="434E155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02A59F9A" w14:textId="566D494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684AE1ED" w14:paraId="5251CDCA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6E547023" w14:textId="013AEFA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71FF6954" w14:textId="5269401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1844A7AD" w14:textId="30B6B8A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0F6CC001" w14:textId="451FEC3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48B6648F" w14:textId="7B6BB88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4E3AE7D2" w14:textId="1E7B64F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684AE1ED" w14:paraId="4328C373" w14:textId="77777777" w:rsidTr="684AE1ED">
        <w:trPr>
          <w:trHeight w:val="300"/>
        </w:trPr>
        <w:tc>
          <w:tcPr>
            <w:tcW w:w="852" w:type="dxa"/>
            <w:tcMar>
              <w:left w:w="105" w:type="dxa"/>
              <w:right w:w="105" w:type="dxa"/>
            </w:tcMar>
            <w:vAlign w:val="center"/>
          </w:tcPr>
          <w:p w14:paraId="6AD0925A" w14:textId="0A34C2F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34A4153E" w14:textId="1783B1C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714" w:type="dxa"/>
            <w:tcMar>
              <w:left w:w="105" w:type="dxa"/>
              <w:right w:w="105" w:type="dxa"/>
            </w:tcMar>
            <w:vAlign w:val="center"/>
          </w:tcPr>
          <w:p w14:paraId="061CDA74" w14:textId="5BC8B08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4A2E0B18" w14:textId="615B6B9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center"/>
          </w:tcPr>
          <w:p w14:paraId="4C0404BD" w14:textId="2ECF43A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646" w:type="dxa"/>
            <w:tcMar>
              <w:left w:w="105" w:type="dxa"/>
              <w:right w:w="105" w:type="dxa"/>
            </w:tcMar>
            <w:vAlign w:val="center"/>
          </w:tcPr>
          <w:p w14:paraId="717E88CC" w14:textId="0D6FF545" w:rsidR="684AE1ED" w:rsidRDefault="684AE1ED" w:rsidP="684AE1ED">
            <w:pPr>
              <w:tabs>
                <w:tab w:val="center" w:pos="981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No</w:t>
            </w:r>
            <w:r>
              <w:tab/>
            </w:r>
          </w:p>
        </w:tc>
      </w:tr>
    </w:tbl>
    <w:p w14:paraId="4C7110E8" w14:textId="0CFC1E84" w:rsidR="00CD616D" w:rsidRDefault="00CD616D" w:rsidP="684AE1ED">
      <w:pPr>
        <w:rPr>
          <w:rFonts w:ascii="Arial" w:eastAsia="Arial" w:hAnsi="Arial" w:cs="Arial"/>
          <w:sz w:val="22"/>
          <w:szCs w:val="22"/>
        </w:rPr>
      </w:pPr>
    </w:p>
    <w:p w14:paraId="25C5EE95" w14:textId="1C95D786" w:rsidR="00CD616D" w:rsidRDefault="12F143ED" w:rsidP="684AE1ED">
      <w:pPr>
        <w:jc w:val="both"/>
        <w:rPr>
          <w:rFonts w:ascii="Arial" w:eastAsia="Arial" w:hAnsi="Arial" w:cs="Arial"/>
          <w:sz w:val="22"/>
          <w:szCs w:val="22"/>
        </w:rPr>
      </w:pPr>
      <w:r w:rsidRPr="684AE1ED">
        <w:rPr>
          <w:rFonts w:ascii="Arial" w:eastAsia="Arial" w:hAnsi="Arial" w:cs="Arial"/>
          <w:b/>
          <w:bCs/>
          <w:sz w:val="22"/>
          <w:szCs w:val="22"/>
        </w:rPr>
        <w:t>Supplementary File C: Overview of studies included for data extraction</w:t>
      </w:r>
    </w:p>
    <w:p w14:paraId="5596C4DA" w14:textId="3858E347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407"/>
        <w:gridCol w:w="1303"/>
        <w:gridCol w:w="1522"/>
        <w:gridCol w:w="1960"/>
      </w:tblGrid>
      <w:tr w:rsidR="684AE1ED" w14:paraId="7713C90C" w14:textId="77777777" w:rsidTr="684AE1ED">
        <w:trPr>
          <w:trHeight w:val="51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73499D2A" w14:textId="1B0CA09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Study title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E94946A" w14:textId="6D9C95A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Year of publication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4A00FE19" w14:textId="438A6E2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Country of study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2E58283B" w14:textId="3421E83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Type of study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634D4CD1" w14:textId="41B3B9F5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Stages of review (1-4) addressed</w:t>
            </w:r>
          </w:p>
        </w:tc>
      </w:tr>
      <w:tr w:rsidR="684AE1ED" w14:paraId="5476997A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CD796AB" w14:textId="5BA5CB76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 cohort study of health care workers to assess nosocomial transmissibility of Nipah virus, Malaysia, 1999</w:t>
            </w:r>
          </w:p>
          <w:p w14:paraId="1390F52C" w14:textId="789DAC3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34508F4A" w14:textId="28D1BFB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2001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73D5DEF0" w14:textId="78A8C08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Malaysia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972480D" w14:textId="346A33E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cohort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4BED284" w14:textId="3B29707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2,3</w:t>
            </w:r>
          </w:p>
        </w:tc>
      </w:tr>
      <w:tr w:rsidR="684AE1ED" w14:paraId="533B13E4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0A0EAFD5" w14:textId="3FD9436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Assessment of Health Facilities for Airborne Infection Control Practices and Adherence to National Airborne Infection Control Guidelines: A Study from Kerala, Southern India.</w:t>
            </w:r>
          </w:p>
          <w:p w14:paraId="75427380" w14:textId="56B5F36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2EA95CC6" w14:textId="615B5F7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2019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AE4BFA5" w14:textId="3206227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0C43D73" w14:textId="1446733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Cross-sectional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6EB54053" w14:textId="3C940E9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684AE1ED" w14:paraId="221AFA69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6D7CEC64" w14:textId="7AC1F03B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 survey of Nipah virus infection among various risk groups in Singapore</w:t>
            </w:r>
          </w:p>
          <w:p w14:paraId="25FAF38F" w14:textId="6BA9753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5EA7F40" w14:textId="638BF5A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2002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7C295AA" w14:textId="357D703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Singapore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5DBA7982" w14:textId="6A2A3F3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Cross-sectional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68A79271" w14:textId="2BCE996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24A0C206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D0BF9EE" w14:textId="3A93D5B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 study of risk factors for human infection with a new zoonotic paramyxovirus, Nipah virus, during a 1998-1999 outbreak of severe encephalitis in Malaysia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F9E6AD3" w14:textId="12901F3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2000</w:t>
            </w:r>
          </w:p>
          <w:p w14:paraId="3F63A8A2" w14:textId="7798D2B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0B75BA5C" w14:textId="4459778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Malaysia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24C340A" w14:textId="12F6A6E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0AD5AA4" w14:textId="029EC84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116EC6FE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677F8DDF" w14:textId="6C936745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Changing contact patterns over disease progression: Nipah virus as a case study</w:t>
            </w:r>
          </w:p>
          <w:p w14:paraId="5A9CFB9F" w14:textId="6DB82C2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1A96DF81" w14:textId="10929CC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72ECA2C" w14:textId="1FDDCA5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242E383" w14:textId="16B0241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Cross-sectional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68B7304E" w14:textId="3D8F354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0D8A9E98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1CD4FD24" w14:textId="6AA3FF48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Clinical manifestations of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virus-infected patients who presented to the emergency department during an outbreak in Kerala State in India, May 2018</w:t>
            </w:r>
          </w:p>
          <w:p w14:paraId="686D09CF" w14:textId="51F8651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176AE224" w14:textId="5C40F98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495CBCDA" w14:textId="1833899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58496F7F" w14:textId="4F3E4DB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 series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26823C6C" w14:textId="3B7D46E5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4099CED8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A642141" w14:textId="7EE17268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Clinico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-epidemiological presentations and management of Nipah virus infection during the outbreak in Kozhikode district, Kerala state, India 2023</w:t>
            </w:r>
          </w:p>
          <w:p w14:paraId="1BF0F092" w14:textId="7E25D16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502FAA70" w14:textId="1E68020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  <w:p w14:paraId="046D1DE6" w14:textId="21385C6B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D7BAE24" w14:textId="7CA98CC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6CB9733A" w14:textId="64A01D1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 series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4FEF55DC" w14:textId="3413D42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7F37EF69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03A6C81C" w14:textId="63293DAD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lastRenderedPageBreak/>
              <w:t xml:space="preserve">Cluster of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virus infection,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kushtia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district, Bangladesh, 2007</w:t>
            </w:r>
          </w:p>
          <w:p w14:paraId="34860484" w14:textId="71EB8FA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7B8A5779" w14:textId="24432A1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415F93B9" w14:textId="18EC0CD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50B525E4" w14:textId="588BC15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49BC3CE0" w14:textId="07CEE14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2B694EF6" w14:textId="77777777" w:rsidTr="684AE1ED">
        <w:trPr>
          <w:trHeight w:val="1695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01A1754" w14:textId="09A75BBA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Dissecting an outbreak: A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clinico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-epidemiological study of Nipah virus infection in Kerala, India, 2018</w:t>
            </w:r>
          </w:p>
          <w:p w14:paraId="262699CE" w14:textId="4C13A84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6B811A27" w14:textId="6A516FC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06017E9C" w14:textId="7BAF44E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201275D0" w14:textId="475F759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 series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7C4B9254" w14:textId="79154C5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413D4200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D06F93D" w14:textId="6183212C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Evolving epidemiology of Nipah virus infection in Bangladesh: Evidence from outbreaks during 2010-2011</w:t>
            </w:r>
          </w:p>
          <w:p w14:paraId="0D4708F8" w14:textId="26F9613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01D3374" w14:textId="0E84206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2016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E5F468E" w14:textId="0A648EB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07A2956" w14:textId="37A6C85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646CBC7" w14:textId="175A20D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4917FD25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03B7861B" w14:textId="1FDFE69C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 Virus Infection Outbreak with Nosocomial and Corpse-to-Human Transmission, Bangladesh</w:t>
            </w:r>
          </w:p>
          <w:p w14:paraId="49F1C9DD" w14:textId="68F244C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685A7F8" w14:textId="7C039B7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2013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45725152" w14:textId="5D574A9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4DFEDD72" w14:textId="3CC9EEF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5B05B81" w14:textId="36607BC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082A22E5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5A2B2AA8" w14:textId="76DE5490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Foodborne transmission of Nipah virus, Bangladesh</w:t>
            </w:r>
          </w:p>
          <w:p w14:paraId="3EA3F33E" w14:textId="1DDB4C5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591A70C1" w14:textId="70F7799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2006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FFCE084" w14:textId="4C1A9CE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AF10F49" w14:textId="357878D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CAE49FA" w14:textId="0D75446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755F92C1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712779DE" w14:textId="2197DDA5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Infections among contacts of patients with Nipah virus, India</w:t>
            </w:r>
          </w:p>
          <w:p w14:paraId="2C489E64" w14:textId="78B66F2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232A4646" w14:textId="47A777DB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6B2FEF9" w14:textId="316EAA1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AEAB17B" w14:textId="2285E9C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Cross-sectional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C4AEED8" w14:textId="02C2714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7B45FE16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17F2AD3B" w14:textId="425FE6A2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Investigating Rare Risk Factors for Nipah Virus in Bangladesh: 2001-2012</w:t>
            </w:r>
          </w:p>
          <w:p w14:paraId="62B07897" w14:textId="2B77A25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C95895F" w14:textId="592929C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2016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0184B99" w14:textId="082133D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277FB65" w14:textId="5BFE873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4F4B6EDB" w14:textId="0EE3FA8B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4D127EB1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DC85602" w14:textId="150E310E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 virus-associated encephalitis outbreak, Siliguri, India</w:t>
            </w:r>
          </w:p>
          <w:p w14:paraId="0F9EB386" w14:textId="39695A4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62140012" w14:textId="0FA426D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2006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D6556EC" w14:textId="7E94AB7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8615088" w14:textId="61D5D9D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analysis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F5A8745" w14:textId="03901A2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3701A5FB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AF1C05B" w14:textId="7BAAFA4F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 virus encephalitis reemergence, Bangladesh</w:t>
            </w:r>
          </w:p>
          <w:p w14:paraId="1EC8DB8C" w14:textId="13F25A1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124A8C71" w14:textId="1BB8E81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2004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3A3B6973" w14:textId="0D370D1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2882B91" w14:textId="1D0CA12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0521FA07" w14:textId="30DCC6A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75AEA6E4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37CA231" w14:textId="438C851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Nipah Virus Infection in Kozhikode, Kerala, South India, in 2018: Epidemiology of an </w:t>
            </w: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Outbreak of an Emerging Disease.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6C1E8EF5" w14:textId="1E423EE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9DF57BF" w14:textId="1D6C98B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A874299" w14:textId="119C270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 series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35F1BC8" w14:textId="4CBE832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682154D8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74C318E" w14:textId="0B334E05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 virus outbreak with person-to-person transmission in a district of Bangladesh, 2007</w:t>
            </w:r>
          </w:p>
          <w:p w14:paraId="664AB503" w14:textId="63C3BCC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57C73D0E" w14:textId="298CC04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2010</w:t>
            </w:r>
          </w:p>
          <w:p w14:paraId="7FCFA1ED" w14:textId="786CACA2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5C58F4AE" w14:textId="0B17BE0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EEDD540" w14:textId="5C6AAB2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0FEA6F1B" w14:textId="3B84C72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03E030BE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9FA0551" w14:textId="209667AF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Person-to-person transmission of Nipah virus in a Bangladeshi community</w:t>
            </w:r>
          </w:p>
          <w:p w14:paraId="1F63B78E" w14:textId="1FB0A90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262E001B" w14:textId="5D97603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2007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776F06A6" w14:textId="61544EB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B9999D9" w14:textId="1608DD1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E947C90" w14:textId="312FDF5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5C2C5A65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4A821DEC" w14:textId="051F16F8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Outbreak investigation of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virus disease in Kerala, India, 2018</w:t>
            </w:r>
          </w:p>
          <w:p w14:paraId="2A91DB6B" w14:textId="1DEF7B6D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18F631F" w14:textId="3F55FE1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2019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0EF29147" w14:textId="2EF9850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India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1DC1C07" w14:textId="11C27A5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 series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1FA3600E" w14:textId="6897DCC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24B97D36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6DAD1266" w14:textId="30FD43E5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Recurrent zoonotic transmission of Nipah virus into humans, Bangladesh, 2001-2007</w:t>
            </w:r>
          </w:p>
          <w:p w14:paraId="75F95B00" w14:textId="70BA745F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53E5A2B" w14:textId="67CE3F8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2009</w:t>
            </w:r>
          </w:p>
          <w:p w14:paraId="1E387E59" w14:textId="00860923" w:rsidR="684AE1ED" w:rsidRDefault="684AE1ED" w:rsidP="684AE1E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5BA4320B" w14:textId="46718FF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95D8477" w14:textId="1211E9F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analysis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4793B0E" w14:textId="549C9BB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04ED074C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0030F1AB" w14:textId="33FAF866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Risk factors for Nipah virus encephalitis in Bangladesh</w:t>
            </w:r>
          </w:p>
          <w:p w14:paraId="45F56147" w14:textId="4B1D7705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34B5CAC" w14:textId="20802D5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2008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416F9D38" w14:textId="1E41C5A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F1A0F48" w14:textId="0FE9233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1D688792" w14:textId="734991B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1,3</w:t>
            </w:r>
          </w:p>
        </w:tc>
      </w:tr>
      <w:tr w:rsidR="684AE1ED" w14:paraId="17B307A0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7F9BBF28" w14:textId="3711D042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Risk factors for Nipah virus infection among abattoir workers in Singapore</w:t>
            </w:r>
          </w:p>
          <w:p w14:paraId="600F27F4" w14:textId="5488889A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6860597A" w14:textId="33F11BE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2000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AE24E98" w14:textId="7A9A282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Singapore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EAA1086" w14:textId="40BA168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75E3A941" w14:textId="6ADA50A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3D0FA567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66C9548" w14:textId="772DAC34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Risk factors for Nipah virus transmission, Port Dickson, Negeri Sembilan, Malaysia: results from a hospital-based case-control study</w:t>
            </w:r>
          </w:p>
          <w:p w14:paraId="60E4EBF1" w14:textId="3928E106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2077B374" w14:textId="0B58C49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2000</w:t>
            </w:r>
          </w:p>
          <w:p w14:paraId="32E895FE" w14:textId="5970080F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0B0863AE" w14:textId="2085309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Malaysia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632248B1" w14:textId="3BAE74BE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Case-control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242C760A" w14:textId="78832C5C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684AE1ED" w14:paraId="54F48646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53435B9" w14:textId="2F18AE6B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Risk of nosocomial transmission of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virus in a Bangladesh Hospital</w:t>
            </w:r>
          </w:p>
          <w:p w14:paraId="2A3B3D25" w14:textId="348356B9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5BB72021" w14:textId="7084DAE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2007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258D542A" w14:textId="1036DD9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5B4458CA" w14:textId="1F7863CD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Cross-sectional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00731EB2" w14:textId="6281DF6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1,2</w:t>
            </w:r>
          </w:p>
        </w:tc>
      </w:tr>
      <w:tr w:rsidR="684AE1ED" w14:paraId="173E30CB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58550846" w14:textId="54BB217B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Tackling a global epidemic threat: Nipah surveillance in Bangladesh, 2006-2021</w:t>
            </w:r>
          </w:p>
          <w:p w14:paraId="37441C39" w14:textId="481E1282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72F995B7" w14:textId="21CCFC48" w:rsidR="684AE1ED" w:rsidRDefault="684AE1ED" w:rsidP="684AE1E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2023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004B8081" w14:textId="65A83A3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E3F0C12" w14:textId="019B3CA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analysis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198CD3A3" w14:textId="691C68D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17620197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2E64BB95" w14:textId="14D56B37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lastRenderedPageBreak/>
              <w:t xml:space="preserve">Transmission of </w:t>
            </w: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virus - 14 years of investigations in Bangladesh</w:t>
            </w:r>
          </w:p>
          <w:p w14:paraId="30AC95A2" w14:textId="0CC8E15C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F291A58" w14:textId="4743812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2019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6C069BB8" w14:textId="6991656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2834CD70" w14:textId="1768F14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analysis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1A7210E4" w14:textId="3211843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684AE1ED" w14:paraId="130455B7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3716D9AC" w14:textId="3503602F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Aerosol Survival, Disinfection and Formalin Inactivation of Nipah Virus</w:t>
            </w:r>
          </w:p>
          <w:p w14:paraId="6E5E6B92" w14:textId="393E10A8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1F9CCAF2" w14:textId="18FC6C73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2022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26B75DE7" w14:textId="679FF2F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B63BDFC" w14:textId="56BAA120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Experimental 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12DD57D5" w14:textId="693DD84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684AE1ED" w14:paraId="11FF8DCF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6106ECD7" w14:textId="1D8D965F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Evaluation and comparison of three virucidal agents on inactivation of Nipah virus</w:t>
            </w:r>
          </w:p>
          <w:p w14:paraId="25442F78" w14:textId="0B10519E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035C0282" w14:textId="3EE1BB5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2022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CF5B2B5" w14:textId="571B796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China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E528125" w14:textId="562132C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Experimental 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54780E26" w14:textId="0A1E9D29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684AE1ED" w14:paraId="5C11A1D3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53F8A5FE" w14:textId="52E56F11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Henipavirus</w:t>
            </w:r>
            <w:proofErr w:type="spellEnd"/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susceptibility to environmental variables</w:t>
            </w:r>
          </w:p>
          <w:p w14:paraId="598458F5" w14:textId="4588E308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D8C9950" w14:textId="727EA15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2007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C832C96" w14:textId="69CB3FB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Australia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693D8FCE" w14:textId="6A9B3615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 xml:space="preserve">Experimental 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2C96ACB" w14:textId="46E78F2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684AE1ED" w14:paraId="53BA62E5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7261B38D" w14:textId="0204F2B3" w:rsidR="684AE1ED" w:rsidRDefault="684AE1ED" w:rsidP="684AE1E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Nipah virus contamination of hospital surfaces during outbreaks, Bangladesh, 2013-2014</w:t>
            </w:r>
          </w:p>
          <w:p w14:paraId="6F4E4577" w14:textId="6B0D1858" w:rsidR="684AE1ED" w:rsidRDefault="684AE1ED" w:rsidP="684AE1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494B4CAB" w14:textId="64566086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2018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1F2EFE66" w14:textId="66B47928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Bangladesh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51B359A1" w14:textId="24A0A6A7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Retrospective analysis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29F162BA" w14:textId="2CAF6ED2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684AE1ED" w14:paraId="49F5AF03" w14:textId="77777777" w:rsidTr="684AE1ED">
        <w:trPr>
          <w:trHeight w:val="300"/>
        </w:trPr>
        <w:tc>
          <w:tcPr>
            <w:tcW w:w="2824" w:type="dxa"/>
            <w:tcMar>
              <w:left w:w="105" w:type="dxa"/>
              <w:right w:w="105" w:type="dxa"/>
            </w:tcMar>
            <w:vAlign w:val="center"/>
          </w:tcPr>
          <w:p w14:paraId="54A52E66" w14:textId="06ED50FA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Update: Outbreak of Nipah Virus – Malaysia and Singapore, 1999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  <w:vAlign w:val="center"/>
          </w:tcPr>
          <w:p w14:paraId="7549F9F7" w14:textId="6098B284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1999</w:t>
            </w:r>
          </w:p>
        </w:tc>
        <w:tc>
          <w:tcPr>
            <w:tcW w:w="1303" w:type="dxa"/>
            <w:tcMar>
              <w:left w:w="105" w:type="dxa"/>
              <w:right w:w="105" w:type="dxa"/>
            </w:tcMar>
            <w:vAlign w:val="center"/>
          </w:tcPr>
          <w:p w14:paraId="205B4BE1" w14:textId="2A1049CB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Malaysia, Singapore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B77A32A" w14:textId="10556301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Outbreak report</w:t>
            </w:r>
          </w:p>
        </w:tc>
        <w:tc>
          <w:tcPr>
            <w:tcW w:w="1960" w:type="dxa"/>
            <w:tcMar>
              <w:left w:w="105" w:type="dxa"/>
              <w:right w:w="105" w:type="dxa"/>
            </w:tcMar>
            <w:vAlign w:val="center"/>
          </w:tcPr>
          <w:p w14:paraId="3393E2C0" w14:textId="5DEF66A5" w:rsidR="684AE1ED" w:rsidRDefault="684AE1ED" w:rsidP="684AE1E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84AE1E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</w:tbl>
    <w:p w14:paraId="47D9D0B8" w14:textId="4CF0AB82" w:rsidR="00CD616D" w:rsidRDefault="00CD616D" w:rsidP="684AE1ED">
      <w:pPr>
        <w:jc w:val="both"/>
        <w:rPr>
          <w:rFonts w:ascii="Arial" w:eastAsia="Arial" w:hAnsi="Arial" w:cs="Arial"/>
          <w:sz w:val="22"/>
          <w:szCs w:val="22"/>
        </w:rPr>
      </w:pPr>
    </w:p>
    <w:p w14:paraId="5E5787A5" w14:textId="72474B0C" w:rsidR="00C02827" w:rsidRDefault="00C02827">
      <w:r>
        <w:br w:type="page"/>
      </w:r>
    </w:p>
    <w:p w14:paraId="5452C025" w14:textId="19849D30" w:rsidR="00C02827" w:rsidRDefault="006A0D35">
      <w:pPr>
        <w:rPr>
          <w:noProof/>
        </w:rPr>
      </w:pPr>
      <w:r>
        <w:rPr>
          <w:b/>
          <w:bCs/>
        </w:rPr>
        <w:lastRenderedPageBreak/>
        <w:t xml:space="preserve">Supplementary File D: Line list of </w:t>
      </w:r>
      <w:proofErr w:type="spellStart"/>
      <w:r>
        <w:rPr>
          <w:b/>
          <w:bCs/>
        </w:rPr>
        <w:t>NiV</w:t>
      </w:r>
      <w:proofErr w:type="spellEnd"/>
      <w:r>
        <w:rPr>
          <w:b/>
          <w:bCs/>
        </w:rPr>
        <w:t xml:space="preserve"> cases identified from the descriptive literature</w:t>
      </w:r>
      <w:r>
        <w:rPr>
          <w:noProof/>
        </w:rPr>
        <w:drawing>
          <wp:inline distT="0" distB="0" distL="0" distR="0" wp14:anchorId="4E7F2483" wp14:editId="01F25762">
            <wp:extent cx="9045439" cy="5037667"/>
            <wp:effectExtent l="0" t="0" r="0" b="4445"/>
            <wp:docPr id="170156848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561180-45F4-4307-1E34-527060074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E561180-45F4-4307-1E34-527060074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b="80280"/>
                    <a:stretch/>
                  </pic:blipFill>
                  <pic:spPr bwMode="auto">
                    <a:xfrm>
                      <a:off x="0" y="0"/>
                      <a:ext cx="9180227" cy="5112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5C4C6" wp14:editId="03AFE90B">
            <wp:extent cx="9381728" cy="4885055"/>
            <wp:effectExtent l="0" t="0" r="3810" b="4445"/>
            <wp:docPr id="127205688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561180-45F4-4307-1E34-527060074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E561180-45F4-4307-1E34-527060074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20023" b="61539"/>
                    <a:stretch/>
                  </pic:blipFill>
                  <pic:spPr bwMode="auto">
                    <a:xfrm>
                      <a:off x="0" y="0"/>
                      <a:ext cx="9494727" cy="494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0D4FB9" wp14:editId="53443C58">
            <wp:extent cx="9095776" cy="5875867"/>
            <wp:effectExtent l="0" t="0" r="0" b="4445"/>
            <wp:docPr id="128426271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561180-45F4-4307-1E34-527060074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E561180-45F4-4307-1E34-527060074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38396" b="38730"/>
                    <a:stretch/>
                  </pic:blipFill>
                  <pic:spPr bwMode="auto">
                    <a:xfrm>
                      <a:off x="0" y="0"/>
                      <a:ext cx="9215290" cy="595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1DD0E" wp14:editId="1195C9ED">
            <wp:extent cx="8982075" cy="4927519"/>
            <wp:effectExtent l="0" t="0" r="0" b="635"/>
            <wp:docPr id="6260195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561180-45F4-4307-1E34-527060074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E561180-45F4-4307-1E34-527060074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61251" b="19323"/>
                    <a:stretch/>
                  </pic:blipFill>
                  <pic:spPr bwMode="auto">
                    <a:xfrm>
                      <a:off x="0" y="0"/>
                      <a:ext cx="9097966" cy="499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96E4D9" wp14:editId="4BC08140">
            <wp:extent cx="9229090" cy="5037449"/>
            <wp:effectExtent l="0" t="0" r="3810" b="5080"/>
            <wp:docPr id="62299058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561180-45F4-4307-1E34-527060074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E561180-45F4-4307-1E34-527060074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80673"/>
                    <a:stretch/>
                  </pic:blipFill>
                  <pic:spPr bwMode="auto">
                    <a:xfrm>
                      <a:off x="0" y="0"/>
                      <a:ext cx="9345958" cy="510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A441A" w14:textId="77777777" w:rsidR="00C64FA2" w:rsidRDefault="00C64FA2" w:rsidP="00C64FA2">
      <w:pPr>
        <w:tabs>
          <w:tab w:val="left" w:pos="987"/>
        </w:tabs>
      </w:pPr>
    </w:p>
    <w:p w14:paraId="3ED4C4C5" w14:textId="77777777" w:rsidR="00C64FA2" w:rsidRDefault="00C64FA2" w:rsidP="00C64FA2">
      <w:pPr>
        <w:tabs>
          <w:tab w:val="left" w:pos="987"/>
        </w:tabs>
        <w:rPr>
          <w:b/>
          <w:bCs/>
        </w:rPr>
      </w:pPr>
    </w:p>
    <w:p w14:paraId="0D4639B8" w14:textId="04A30015" w:rsidR="00C64FA2" w:rsidRDefault="00C64FA2" w:rsidP="00C64FA2">
      <w:pPr>
        <w:tabs>
          <w:tab w:val="left" w:pos="987"/>
        </w:tabs>
      </w:pPr>
      <w:r w:rsidRPr="00C64FA2">
        <w:rPr>
          <w:b/>
          <w:bCs/>
        </w:rPr>
        <w:lastRenderedPageBreak/>
        <w:t xml:space="preserve">Supplementary File E: Collection of odds ratios for meta-analysis of </w:t>
      </w:r>
      <w:r w:rsidR="00D77A81">
        <w:rPr>
          <w:b/>
          <w:bCs/>
        </w:rPr>
        <w:t xml:space="preserve">studies outlining contact with a </w:t>
      </w:r>
      <w:proofErr w:type="spellStart"/>
      <w:r w:rsidR="00D77A81">
        <w:rPr>
          <w:b/>
          <w:bCs/>
        </w:rPr>
        <w:t>NiV</w:t>
      </w:r>
      <w:proofErr w:type="spellEnd"/>
      <w:r w:rsidR="00D77A81">
        <w:rPr>
          <w:b/>
          <w:bCs/>
        </w:rPr>
        <w:t xml:space="preserve"> case as a risk factor</w:t>
      </w:r>
      <w:r w:rsidRPr="00C64FA2">
        <w:rPr>
          <w:b/>
          <w:bCs/>
        </w:rPr>
        <w:t xml:space="preserve"> for </w:t>
      </w:r>
      <w:proofErr w:type="spellStart"/>
      <w:r w:rsidRPr="00C64FA2">
        <w:rPr>
          <w:b/>
          <w:bCs/>
        </w:rPr>
        <w:t>NiV</w:t>
      </w:r>
      <w:proofErr w:type="spellEnd"/>
      <w:r w:rsidRPr="00C64FA2">
        <w:rPr>
          <w:b/>
          <w:bCs/>
        </w:rPr>
        <w:t xml:space="preserve"> transmission</w:t>
      </w:r>
    </w:p>
    <w:p w14:paraId="2A4CA98A" w14:textId="0C2B3BA5" w:rsidR="00C64FA2" w:rsidRPr="00C64FA2" w:rsidRDefault="00C64FA2" w:rsidP="00C64FA2">
      <w:pPr>
        <w:tabs>
          <w:tab w:val="left" w:pos="987"/>
        </w:tabs>
      </w:pPr>
      <w:r w:rsidRPr="00C64FA2">
        <w:tab/>
      </w:r>
      <w:r>
        <w:rPr>
          <w:noProof/>
        </w:rPr>
        <w:drawing>
          <wp:inline distT="0" distB="0" distL="0" distR="0" wp14:anchorId="719BD24D" wp14:editId="01DFB802">
            <wp:extent cx="7543800" cy="21209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9ED3BD4-3ADD-215B-EB67-9050919662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D9ED3BD4-3ADD-215B-EB67-9050919662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FA2" w:rsidRPr="00C64FA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Times New Roman">
    <w:altName w:val="Arial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E66D"/>
    <w:multiLevelType w:val="multilevel"/>
    <w:tmpl w:val="EDC2D2C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6050"/>
    <w:multiLevelType w:val="multilevel"/>
    <w:tmpl w:val="9D22990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84F5"/>
    <w:multiLevelType w:val="hybridMultilevel"/>
    <w:tmpl w:val="C82AA692"/>
    <w:lvl w:ilvl="0" w:tplc="DC821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C1C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33C3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C3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A4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21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00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6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6B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4B40"/>
    <w:multiLevelType w:val="multilevel"/>
    <w:tmpl w:val="AF04C7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2E1A3"/>
    <w:multiLevelType w:val="multilevel"/>
    <w:tmpl w:val="C534E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107AC"/>
    <w:multiLevelType w:val="hybridMultilevel"/>
    <w:tmpl w:val="84149738"/>
    <w:lvl w:ilvl="0" w:tplc="AF84DACC">
      <w:start w:val="1"/>
      <w:numFmt w:val="decimal"/>
      <w:lvlText w:val="%1."/>
      <w:lvlJc w:val="left"/>
      <w:pPr>
        <w:ind w:left="720" w:hanging="360"/>
      </w:pPr>
    </w:lvl>
    <w:lvl w:ilvl="1" w:tplc="7750A7FE">
      <w:start w:val="1"/>
      <w:numFmt w:val="decimal"/>
      <w:lvlText w:val="%2."/>
      <w:lvlJc w:val="left"/>
      <w:pPr>
        <w:ind w:left="1440" w:hanging="360"/>
      </w:pPr>
      <w:rPr>
        <w:rFonts w:ascii="Arial,Times New Roman" w:hAnsi="Arial,Times New Roman" w:hint="default"/>
      </w:rPr>
    </w:lvl>
    <w:lvl w:ilvl="2" w:tplc="27043AE8">
      <w:start w:val="1"/>
      <w:numFmt w:val="lowerRoman"/>
      <w:lvlText w:val="%3."/>
      <w:lvlJc w:val="right"/>
      <w:pPr>
        <w:ind w:left="2160" w:hanging="180"/>
      </w:pPr>
    </w:lvl>
    <w:lvl w:ilvl="3" w:tplc="27B83EB4">
      <w:start w:val="1"/>
      <w:numFmt w:val="decimal"/>
      <w:lvlText w:val="%4."/>
      <w:lvlJc w:val="left"/>
      <w:pPr>
        <w:ind w:left="2880" w:hanging="360"/>
      </w:pPr>
    </w:lvl>
    <w:lvl w:ilvl="4" w:tplc="CC648BB0">
      <w:start w:val="1"/>
      <w:numFmt w:val="lowerLetter"/>
      <w:lvlText w:val="%5."/>
      <w:lvlJc w:val="left"/>
      <w:pPr>
        <w:ind w:left="3600" w:hanging="360"/>
      </w:pPr>
    </w:lvl>
    <w:lvl w:ilvl="5" w:tplc="4C163894">
      <w:start w:val="1"/>
      <w:numFmt w:val="lowerRoman"/>
      <w:lvlText w:val="%6."/>
      <w:lvlJc w:val="right"/>
      <w:pPr>
        <w:ind w:left="4320" w:hanging="180"/>
      </w:pPr>
    </w:lvl>
    <w:lvl w:ilvl="6" w:tplc="F7A05632">
      <w:start w:val="1"/>
      <w:numFmt w:val="decimal"/>
      <w:lvlText w:val="%7."/>
      <w:lvlJc w:val="left"/>
      <w:pPr>
        <w:ind w:left="5040" w:hanging="360"/>
      </w:pPr>
    </w:lvl>
    <w:lvl w:ilvl="7" w:tplc="3AA2C160">
      <w:start w:val="1"/>
      <w:numFmt w:val="lowerLetter"/>
      <w:lvlText w:val="%8."/>
      <w:lvlJc w:val="left"/>
      <w:pPr>
        <w:ind w:left="5760" w:hanging="360"/>
      </w:pPr>
    </w:lvl>
    <w:lvl w:ilvl="8" w:tplc="0922A9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8DC08"/>
    <w:multiLevelType w:val="multilevel"/>
    <w:tmpl w:val="89900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A7137"/>
    <w:multiLevelType w:val="hybridMultilevel"/>
    <w:tmpl w:val="702CD412"/>
    <w:lvl w:ilvl="0" w:tplc="654CB1D2">
      <w:start w:val="1"/>
      <w:numFmt w:val="decimal"/>
      <w:lvlText w:val="%1."/>
      <w:lvlJc w:val="left"/>
      <w:pPr>
        <w:ind w:left="720" w:hanging="360"/>
      </w:pPr>
    </w:lvl>
    <w:lvl w:ilvl="1" w:tplc="6688F37A">
      <w:start w:val="1"/>
      <w:numFmt w:val="decimal"/>
      <w:lvlText w:val="%2."/>
      <w:lvlJc w:val="left"/>
      <w:pPr>
        <w:ind w:left="1440" w:hanging="360"/>
      </w:pPr>
      <w:rPr>
        <w:rFonts w:ascii="Arial,Times New Roman" w:hAnsi="Arial,Times New Roman" w:hint="default"/>
      </w:rPr>
    </w:lvl>
    <w:lvl w:ilvl="2" w:tplc="469E79A4">
      <w:start w:val="1"/>
      <w:numFmt w:val="lowerRoman"/>
      <w:lvlText w:val="%3."/>
      <w:lvlJc w:val="right"/>
      <w:pPr>
        <w:ind w:left="2160" w:hanging="180"/>
      </w:pPr>
    </w:lvl>
    <w:lvl w:ilvl="3" w:tplc="FC12C68E">
      <w:start w:val="1"/>
      <w:numFmt w:val="decimal"/>
      <w:lvlText w:val="%4."/>
      <w:lvlJc w:val="left"/>
      <w:pPr>
        <w:ind w:left="2880" w:hanging="360"/>
      </w:pPr>
    </w:lvl>
    <w:lvl w:ilvl="4" w:tplc="E09690E6">
      <w:start w:val="1"/>
      <w:numFmt w:val="lowerLetter"/>
      <w:lvlText w:val="%5."/>
      <w:lvlJc w:val="left"/>
      <w:pPr>
        <w:ind w:left="3600" w:hanging="360"/>
      </w:pPr>
    </w:lvl>
    <w:lvl w:ilvl="5" w:tplc="435C9B78">
      <w:start w:val="1"/>
      <w:numFmt w:val="lowerRoman"/>
      <w:lvlText w:val="%6."/>
      <w:lvlJc w:val="right"/>
      <w:pPr>
        <w:ind w:left="4320" w:hanging="180"/>
      </w:pPr>
    </w:lvl>
    <w:lvl w:ilvl="6" w:tplc="B8D2D836">
      <w:start w:val="1"/>
      <w:numFmt w:val="decimal"/>
      <w:lvlText w:val="%7."/>
      <w:lvlJc w:val="left"/>
      <w:pPr>
        <w:ind w:left="5040" w:hanging="360"/>
      </w:pPr>
    </w:lvl>
    <w:lvl w:ilvl="7" w:tplc="1046CD4E">
      <w:start w:val="1"/>
      <w:numFmt w:val="lowerLetter"/>
      <w:lvlText w:val="%8."/>
      <w:lvlJc w:val="left"/>
      <w:pPr>
        <w:ind w:left="5760" w:hanging="360"/>
      </w:pPr>
    </w:lvl>
    <w:lvl w:ilvl="8" w:tplc="C1A673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7E4DE"/>
    <w:multiLevelType w:val="hybridMultilevel"/>
    <w:tmpl w:val="E480AB54"/>
    <w:lvl w:ilvl="0" w:tplc="61F21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8707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AF2E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28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46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CA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0C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AB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03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886E5"/>
    <w:multiLevelType w:val="hybridMultilevel"/>
    <w:tmpl w:val="AFEA451C"/>
    <w:lvl w:ilvl="0" w:tplc="CA2A219A">
      <w:start w:val="1"/>
      <w:numFmt w:val="decimal"/>
      <w:lvlText w:val="%1."/>
      <w:lvlJc w:val="left"/>
      <w:pPr>
        <w:ind w:left="720" w:hanging="360"/>
      </w:pPr>
    </w:lvl>
    <w:lvl w:ilvl="1" w:tplc="5130F1B0">
      <w:start w:val="1"/>
      <w:numFmt w:val="lowerLetter"/>
      <w:lvlText w:val="%2."/>
      <w:lvlJc w:val="left"/>
      <w:pPr>
        <w:ind w:left="1440" w:hanging="360"/>
      </w:pPr>
    </w:lvl>
    <w:lvl w:ilvl="2" w:tplc="822E7DC8">
      <w:start w:val="1"/>
      <w:numFmt w:val="decimal"/>
      <w:lvlText w:val="%3."/>
      <w:lvlJc w:val="left"/>
      <w:pPr>
        <w:ind w:left="2160" w:hanging="360"/>
      </w:pPr>
      <w:rPr>
        <w:rFonts w:ascii="Arial,Times New Roman" w:hAnsi="Arial,Times New Roman" w:hint="default"/>
      </w:rPr>
    </w:lvl>
    <w:lvl w:ilvl="3" w:tplc="DC6E0D30">
      <w:start w:val="1"/>
      <w:numFmt w:val="decimal"/>
      <w:lvlText w:val="%4."/>
      <w:lvlJc w:val="left"/>
      <w:pPr>
        <w:ind w:left="2880" w:hanging="360"/>
      </w:pPr>
    </w:lvl>
    <w:lvl w:ilvl="4" w:tplc="593E24A8">
      <w:start w:val="1"/>
      <w:numFmt w:val="lowerLetter"/>
      <w:lvlText w:val="%5."/>
      <w:lvlJc w:val="left"/>
      <w:pPr>
        <w:ind w:left="3600" w:hanging="360"/>
      </w:pPr>
    </w:lvl>
    <w:lvl w:ilvl="5" w:tplc="8EFCF20A">
      <w:start w:val="1"/>
      <w:numFmt w:val="lowerRoman"/>
      <w:lvlText w:val="%6."/>
      <w:lvlJc w:val="right"/>
      <w:pPr>
        <w:ind w:left="4320" w:hanging="180"/>
      </w:pPr>
    </w:lvl>
    <w:lvl w:ilvl="6" w:tplc="0DE2D2F4">
      <w:start w:val="1"/>
      <w:numFmt w:val="decimal"/>
      <w:lvlText w:val="%7."/>
      <w:lvlJc w:val="left"/>
      <w:pPr>
        <w:ind w:left="5040" w:hanging="360"/>
      </w:pPr>
    </w:lvl>
    <w:lvl w:ilvl="7" w:tplc="57C4517C">
      <w:start w:val="1"/>
      <w:numFmt w:val="lowerLetter"/>
      <w:lvlText w:val="%8."/>
      <w:lvlJc w:val="left"/>
      <w:pPr>
        <w:ind w:left="5760" w:hanging="360"/>
      </w:pPr>
    </w:lvl>
    <w:lvl w:ilvl="8" w:tplc="959607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841EC"/>
    <w:multiLevelType w:val="multilevel"/>
    <w:tmpl w:val="396EBAC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FE79E"/>
    <w:multiLevelType w:val="multilevel"/>
    <w:tmpl w:val="1AFCAE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06FF6"/>
    <w:multiLevelType w:val="multilevel"/>
    <w:tmpl w:val="1FE63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46662">
    <w:abstractNumId w:val="5"/>
  </w:num>
  <w:num w:numId="2" w16cid:durableId="616447110">
    <w:abstractNumId w:val="9"/>
  </w:num>
  <w:num w:numId="3" w16cid:durableId="313535948">
    <w:abstractNumId w:val="7"/>
  </w:num>
  <w:num w:numId="4" w16cid:durableId="49426669">
    <w:abstractNumId w:val="0"/>
  </w:num>
  <w:num w:numId="5" w16cid:durableId="726143915">
    <w:abstractNumId w:val="6"/>
  </w:num>
  <w:num w:numId="6" w16cid:durableId="816649994">
    <w:abstractNumId w:val="8"/>
  </w:num>
  <w:num w:numId="7" w16cid:durableId="34547431">
    <w:abstractNumId w:val="10"/>
  </w:num>
  <w:num w:numId="8" w16cid:durableId="20670507">
    <w:abstractNumId w:val="3"/>
  </w:num>
  <w:num w:numId="9" w16cid:durableId="190387428">
    <w:abstractNumId w:val="2"/>
  </w:num>
  <w:num w:numId="10" w16cid:durableId="1874996000">
    <w:abstractNumId w:val="1"/>
  </w:num>
  <w:num w:numId="11" w16cid:durableId="1049888075">
    <w:abstractNumId w:val="12"/>
  </w:num>
  <w:num w:numId="12" w16cid:durableId="1602300749">
    <w:abstractNumId w:val="4"/>
  </w:num>
  <w:num w:numId="13" w16cid:durableId="289433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6C4FF6"/>
    <w:rsid w:val="002D8BD7"/>
    <w:rsid w:val="004F6AE5"/>
    <w:rsid w:val="006A0D35"/>
    <w:rsid w:val="008B44C1"/>
    <w:rsid w:val="00C02827"/>
    <w:rsid w:val="00C64FA2"/>
    <w:rsid w:val="00CD616D"/>
    <w:rsid w:val="00D77A81"/>
    <w:rsid w:val="12F143ED"/>
    <w:rsid w:val="326C4FF6"/>
    <w:rsid w:val="6104AC7C"/>
    <w:rsid w:val="62892557"/>
    <w:rsid w:val="684AE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C4FF6"/>
  <w15:chartTrackingRefBased/>
  <w15:docId w15:val="{D8CE108A-1374-4A5C-9F23-C3ECB9E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84AE1E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B44C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4C1"/>
    <w:rPr>
      <w:color w:val="96607D"/>
      <w:u w:val="single"/>
    </w:rPr>
  </w:style>
  <w:style w:type="paragraph" w:customStyle="1" w:styleId="msonormal0">
    <w:name w:val="msonormal"/>
    <w:basedOn w:val="Normal"/>
    <w:rsid w:val="008B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8B44C1"/>
    <w:pPr>
      <w:spacing w:before="100" w:beforeAutospacing="1" w:after="100" w:afterAutospacing="1" w:line="240" w:lineRule="auto"/>
    </w:pPr>
    <w:rPr>
      <w:rFonts w:ascii="Poppins" w:eastAsia="Times New Roman" w:hAnsi="Poppins" w:cs="Poppins"/>
      <w:color w:val="000000"/>
      <w:lang w:eastAsia="en-GB"/>
    </w:rPr>
  </w:style>
  <w:style w:type="paragraph" w:customStyle="1" w:styleId="xl66">
    <w:name w:val="xl66"/>
    <w:basedOn w:val="Normal"/>
    <w:rsid w:val="008B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Pritchard</dc:creator>
  <cp:keywords/>
  <dc:description/>
  <cp:lastModifiedBy>Sam Pritchard</cp:lastModifiedBy>
  <cp:revision>4</cp:revision>
  <dcterms:created xsi:type="dcterms:W3CDTF">2025-03-25T20:07:00Z</dcterms:created>
  <dcterms:modified xsi:type="dcterms:W3CDTF">2025-06-26T13:12:00Z</dcterms:modified>
</cp:coreProperties>
</file>